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A7804" w14:textId="77777777" w:rsidR="00551D76" w:rsidRDefault="00551D76" w:rsidP="00B503DA">
      <w:pPr>
        <w:spacing w:after="0"/>
        <w:rPr>
          <w:b/>
          <w:bCs/>
        </w:rPr>
      </w:pPr>
    </w:p>
    <w:p w14:paraId="28BCCD47" w14:textId="26BB892E" w:rsidR="00B503DA" w:rsidRDefault="00B503DA" w:rsidP="00B503DA">
      <w:pPr>
        <w:spacing w:after="0"/>
        <w:rPr>
          <w:b/>
          <w:bCs/>
        </w:rPr>
      </w:pPr>
      <w:r>
        <w:rPr>
          <w:b/>
          <w:bCs/>
        </w:rPr>
        <w:t>Michael Leather</w:t>
      </w:r>
    </w:p>
    <w:p w14:paraId="6E1BE04D" w14:textId="77777777" w:rsidR="00B503DA" w:rsidRDefault="00B503DA" w:rsidP="00B503DA">
      <w:pPr>
        <w:spacing w:after="0"/>
        <w:jc w:val="both"/>
        <w:rPr>
          <w:b/>
          <w:bCs/>
        </w:rPr>
      </w:pPr>
      <w:r>
        <w:rPr>
          <w:b/>
          <w:bCs/>
        </w:rPr>
        <w:t>Level 5 Undergraduate</w:t>
      </w:r>
    </w:p>
    <w:p w14:paraId="3E78DD10" w14:textId="77777777" w:rsidR="00B503DA" w:rsidRDefault="00B503DA" w:rsidP="00B503DA">
      <w:pPr>
        <w:spacing w:after="0"/>
        <w:jc w:val="both"/>
        <w:rPr>
          <w:b/>
          <w:bCs/>
        </w:rPr>
      </w:pPr>
      <w:r>
        <w:rPr>
          <w:b/>
          <w:bCs/>
        </w:rPr>
        <w:t>BA International Development and Global Politics</w:t>
      </w:r>
    </w:p>
    <w:p w14:paraId="3DC588A7" w14:textId="77777777" w:rsidR="00B503DA" w:rsidRDefault="00B503DA" w:rsidP="00B503DA">
      <w:pPr>
        <w:spacing w:after="0"/>
        <w:jc w:val="both"/>
        <w:rPr>
          <w:b/>
          <w:bCs/>
        </w:rPr>
      </w:pPr>
    </w:p>
    <w:p w14:paraId="0D4859CF" w14:textId="77777777" w:rsidR="00B25BE0" w:rsidRDefault="00B25BE0" w:rsidP="00B503DA">
      <w:pPr>
        <w:spacing w:after="0"/>
        <w:jc w:val="both"/>
        <w:rPr>
          <w:b/>
          <w:bCs/>
        </w:rPr>
      </w:pPr>
    </w:p>
    <w:p w14:paraId="5E184057" w14:textId="097FD19A" w:rsidR="00B503DA" w:rsidRDefault="00540003" w:rsidP="00B503DA">
      <w:pPr>
        <w:spacing w:after="0"/>
        <w:jc w:val="both"/>
        <w:rPr>
          <w:b/>
          <w:bCs/>
          <w:u w:val="single"/>
          <w:lang w:val="en-CA"/>
        </w:rPr>
      </w:pPr>
      <w:r w:rsidRPr="00540003">
        <w:rPr>
          <w:b/>
          <w:bCs/>
          <w:u w:val="single"/>
          <w:lang w:val="en-CA"/>
        </w:rPr>
        <w:t>The people of Wales wholeheartedly supported the war effort during 1914-1918. Discuss this statement with due reference to the contrasting views put forward by historians.</w:t>
      </w:r>
    </w:p>
    <w:p w14:paraId="636922FE" w14:textId="77777777" w:rsidR="00B503DA" w:rsidRDefault="00B503DA" w:rsidP="00B503DA">
      <w:pPr>
        <w:spacing w:after="0"/>
        <w:jc w:val="both"/>
        <w:rPr>
          <w:b/>
          <w:bCs/>
          <w:lang w:val="en-CA"/>
        </w:rPr>
      </w:pPr>
    </w:p>
    <w:p w14:paraId="1F44A127" w14:textId="77777777" w:rsidR="00B25BE0" w:rsidRDefault="00B25BE0" w:rsidP="00B503DA">
      <w:pPr>
        <w:spacing w:after="0"/>
        <w:jc w:val="both"/>
        <w:rPr>
          <w:b/>
          <w:bCs/>
          <w:lang w:val="en-CA"/>
        </w:rPr>
      </w:pPr>
    </w:p>
    <w:p w14:paraId="53705EDC" w14:textId="0857A37F" w:rsidR="00B503DA" w:rsidRDefault="00B503DA" w:rsidP="00B503DA">
      <w:pPr>
        <w:spacing w:after="0"/>
        <w:jc w:val="both"/>
        <w:rPr>
          <w:b/>
          <w:bCs/>
          <w:lang w:val="en-CA"/>
        </w:rPr>
      </w:pPr>
      <w:r>
        <w:rPr>
          <w:b/>
          <w:bCs/>
          <w:lang w:val="en-CA"/>
        </w:rPr>
        <w:t>Introduction</w:t>
      </w:r>
      <w:r w:rsidR="00D01029">
        <w:rPr>
          <w:b/>
          <w:bCs/>
          <w:lang w:val="en-CA"/>
        </w:rPr>
        <w:t>.</w:t>
      </w:r>
    </w:p>
    <w:p w14:paraId="0ABB29E1" w14:textId="77777777" w:rsidR="00D01029" w:rsidRDefault="00D01029" w:rsidP="00B503DA">
      <w:pPr>
        <w:spacing w:after="0"/>
        <w:jc w:val="both"/>
        <w:rPr>
          <w:b/>
          <w:bCs/>
          <w:lang w:val="en-CA"/>
        </w:rPr>
      </w:pPr>
    </w:p>
    <w:p w14:paraId="4C3051F7" w14:textId="26E15D87" w:rsidR="0076043F" w:rsidRDefault="00D01029" w:rsidP="00B503DA">
      <w:pPr>
        <w:spacing w:after="0"/>
        <w:jc w:val="both"/>
        <w:rPr>
          <w:lang w:val="en-CA"/>
        </w:rPr>
      </w:pPr>
      <w:r>
        <w:rPr>
          <w:lang w:val="en-CA"/>
        </w:rPr>
        <w:t xml:space="preserve">To fully understand the Welsh reaction to the war effort, it is important to acknowledge the circumstances surrounding their perception of the situation. In the years immediately preceding the declaration of war, Britain was weak. </w:t>
      </w:r>
      <w:r w:rsidR="00B37DF5" w:rsidRPr="00B37DF5">
        <w:rPr>
          <w:lang w:val="en-CA"/>
        </w:rPr>
        <w:t xml:space="preserve">DeGroot </w:t>
      </w:r>
      <w:r w:rsidR="00B37DF5">
        <w:rPr>
          <w:lang w:val="en-CA"/>
        </w:rPr>
        <w:t xml:space="preserve">states that </w:t>
      </w:r>
      <w:r w:rsidR="006B2C03">
        <w:rPr>
          <w:lang w:val="en-CA"/>
        </w:rPr>
        <w:t>Britain</w:t>
      </w:r>
      <w:r>
        <w:rPr>
          <w:lang w:val="en-CA"/>
        </w:rPr>
        <w:t xml:space="preserve"> had avoided war in Europe for almost one hundred years whilst becoming the largest empire ever known. </w:t>
      </w:r>
      <w:r w:rsidR="00B37DF5">
        <w:rPr>
          <w:lang w:val="en-CA"/>
        </w:rPr>
        <w:t>D</w:t>
      </w:r>
      <w:r>
        <w:rPr>
          <w:lang w:val="en-CA"/>
        </w:rPr>
        <w:t>escrib</w:t>
      </w:r>
      <w:r w:rsidR="00B37DF5">
        <w:rPr>
          <w:lang w:val="en-CA"/>
        </w:rPr>
        <w:t>ing her</w:t>
      </w:r>
      <w:r>
        <w:rPr>
          <w:lang w:val="en-CA"/>
        </w:rPr>
        <w:t xml:space="preserve"> as a peaceable kingdom </w:t>
      </w:r>
      <w:r>
        <w:rPr>
          <w:rStyle w:val="FootnoteReference"/>
          <w:lang w:val="en-CA"/>
        </w:rPr>
        <w:footnoteReference w:id="1"/>
      </w:r>
      <w:r w:rsidR="00B37DF5">
        <w:rPr>
          <w:lang w:val="en-CA"/>
        </w:rPr>
        <w:t>.</w:t>
      </w:r>
      <w:r w:rsidR="007541BF">
        <w:rPr>
          <w:lang w:val="en-CA"/>
        </w:rPr>
        <w:t xml:space="preserve"> </w:t>
      </w:r>
      <w:r w:rsidR="00B37DF5">
        <w:rPr>
          <w:lang w:val="en-CA"/>
        </w:rPr>
        <w:t xml:space="preserve">This was more by necessity than design as acknowledged by the war office official Sir Henry Brackenbury when he stated “We are attempting to maintain the largest empire the world has ever seen with armaments and reserves that would be insufficient for a third-class power” </w:t>
      </w:r>
      <w:r w:rsidR="00B37DF5">
        <w:rPr>
          <w:rStyle w:val="FootnoteReference"/>
          <w:lang w:val="en-CA"/>
        </w:rPr>
        <w:footnoteReference w:id="2"/>
      </w:r>
      <w:r w:rsidR="007541BF">
        <w:rPr>
          <w:lang w:val="en-CA"/>
        </w:rPr>
        <w:t xml:space="preserve">. The military weakness was covered by the nation’s diplomacy ability at the time </w:t>
      </w:r>
      <w:r w:rsidR="0076043F">
        <w:rPr>
          <w:lang w:val="en-CA"/>
        </w:rPr>
        <w:t>to resolve Imperial threats</w:t>
      </w:r>
      <w:r w:rsidR="007541BF">
        <w:rPr>
          <w:lang w:val="en-CA"/>
        </w:rPr>
        <w:t xml:space="preserve">. The agreement with Japan to remain neutral in 1902 in a war against Russia should any European nation join them to oppose Japan was borne out of a need to protect Britain’s interest in </w:t>
      </w:r>
      <w:r w:rsidR="00CA0296">
        <w:rPr>
          <w:lang w:val="en-CA"/>
        </w:rPr>
        <w:t>East</w:t>
      </w:r>
      <w:r w:rsidR="007541BF">
        <w:rPr>
          <w:lang w:val="en-CA"/>
        </w:rPr>
        <w:t xml:space="preserve"> Asia </w:t>
      </w:r>
      <w:r w:rsidR="00CA0296">
        <w:rPr>
          <w:lang w:val="en-CA"/>
        </w:rPr>
        <w:t>and</w:t>
      </w:r>
      <w:r w:rsidR="007541BF">
        <w:rPr>
          <w:lang w:val="en-CA"/>
        </w:rPr>
        <w:t xml:space="preserve"> focus</w:t>
      </w:r>
      <w:r w:rsidR="00CA0296">
        <w:rPr>
          <w:lang w:val="en-CA"/>
        </w:rPr>
        <w:t xml:space="preserve"> </w:t>
      </w:r>
      <w:r w:rsidR="007541BF">
        <w:rPr>
          <w:lang w:val="en-CA"/>
        </w:rPr>
        <w:t>Russia’s</w:t>
      </w:r>
      <w:r w:rsidR="00CA0296">
        <w:rPr>
          <w:lang w:val="en-CA"/>
        </w:rPr>
        <w:t xml:space="preserve"> efforts away from India and neutralising them </w:t>
      </w:r>
      <w:r w:rsidR="00CA0296">
        <w:rPr>
          <w:rStyle w:val="FootnoteReference"/>
          <w:lang w:val="en-CA"/>
        </w:rPr>
        <w:footnoteReference w:id="3"/>
      </w:r>
      <w:r w:rsidR="007541BF">
        <w:rPr>
          <w:lang w:val="en-CA"/>
        </w:rPr>
        <w:t xml:space="preserve">. </w:t>
      </w:r>
      <w:r w:rsidR="00AB58F4">
        <w:rPr>
          <w:lang w:val="en-CA"/>
        </w:rPr>
        <w:t xml:space="preserve">Russia was seen as the biggest threat at the time prompting Britain to acknowledge that although ruling India established Britain as the World’s greatest power, an invasion of India by Russia would be indefensible and drop Britain to the level of a third-rate power. This was resolved by the Anglo Russian Convention of 1907 </w:t>
      </w:r>
      <w:r w:rsidR="00AB58F4">
        <w:rPr>
          <w:rStyle w:val="FootnoteReference"/>
          <w:lang w:val="en-CA"/>
        </w:rPr>
        <w:footnoteReference w:id="4"/>
      </w:r>
      <w:r w:rsidR="00AB58F4">
        <w:rPr>
          <w:lang w:val="en-CA"/>
        </w:rPr>
        <w:t xml:space="preserve">. </w:t>
      </w:r>
      <w:r w:rsidR="00CA0296">
        <w:rPr>
          <w:lang w:val="en-CA"/>
        </w:rPr>
        <w:t>The next act of diplomacy by Britain was with France and the Anglo-French Entente which was to protect imperial interests in North Africa. This was not a slur against Germany as was not supposed to effect European relations. France however, saw it as a way to distance Germany drawing Britain into a swirling mass of European politics</w:t>
      </w:r>
      <w:r w:rsidR="00AB58F4">
        <w:rPr>
          <w:lang w:val="en-CA"/>
        </w:rPr>
        <w:t xml:space="preserve">. </w:t>
      </w:r>
      <w:r w:rsidR="00CA0296">
        <w:rPr>
          <w:lang w:val="en-CA"/>
        </w:rPr>
        <w:t xml:space="preserve"> </w:t>
      </w:r>
      <w:r w:rsidR="00AB58F4">
        <w:rPr>
          <w:lang w:val="en-CA"/>
        </w:rPr>
        <w:t>Britain did not see Germany as a rival as their interests were continental and Britain’s imperial</w:t>
      </w:r>
      <w:r w:rsidR="00CA0296">
        <w:rPr>
          <w:rStyle w:val="FootnoteReference"/>
          <w:lang w:val="en-CA"/>
        </w:rPr>
        <w:footnoteReference w:id="5"/>
      </w:r>
      <w:r w:rsidR="00CA0296">
        <w:rPr>
          <w:lang w:val="en-CA"/>
        </w:rPr>
        <w:t>.</w:t>
      </w:r>
      <w:r w:rsidR="00AB58F4">
        <w:rPr>
          <w:lang w:val="en-CA"/>
        </w:rPr>
        <w:t xml:space="preserve"> </w:t>
      </w:r>
    </w:p>
    <w:p w14:paraId="141600E7" w14:textId="44D8D654" w:rsidR="00465C00" w:rsidRDefault="00465C00" w:rsidP="00B503DA">
      <w:pPr>
        <w:spacing w:after="0"/>
        <w:jc w:val="both"/>
        <w:rPr>
          <w:lang w:val="en-CA"/>
        </w:rPr>
      </w:pPr>
      <w:r>
        <w:rPr>
          <w:lang w:val="en-CA"/>
        </w:rPr>
        <w:t xml:space="preserve">Economically, Britain was struggling to afford the cost of maintaining the Empire due to changes in their import / export dealings with the </w:t>
      </w:r>
      <w:r w:rsidR="00347993">
        <w:rPr>
          <w:lang w:val="en-CA"/>
        </w:rPr>
        <w:t>imperial</w:t>
      </w:r>
      <w:r>
        <w:rPr>
          <w:lang w:val="en-CA"/>
        </w:rPr>
        <w:t xml:space="preserve"> countries and more dependence on the industrial advancement of European countries with a higher emphasis on imports. Any war in Europe </w:t>
      </w:r>
      <w:r w:rsidR="006B2C03">
        <w:rPr>
          <w:lang w:val="en-CA"/>
        </w:rPr>
        <w:t xml:space="preserve">that was to be </w:t>
      </w:r>
      <w:r>
        <w:rPr>
          <w:lang w:val="en-CA"/>
        </w:rPr>
        <w:t xml:space="preserve">waged by Britain was one based on capitalism, empire and trade. Germany’s </w:t>
      </w:r>
      <w:r w:rsidR="006B2C03">
        <w:rPr>
          <w:lang w:val="en-CA"/>
        </w:rPr>
        <w:t xml:space="preserve">fortuitous </w:t>
      </w:r>
      <w:r>
        <w:rPr>
          <w:lang w:val="en-CA"/>
        </w:rPr>
        <w:t xml:space="preserve">invasion of Belgium allowed </w:t>
      </w:r>
      <w:r w:rsidR="006B2C03" w:rsidRPr="006B2C03">
        <w:rPr>
          <w:lang w:val="en-CA"/>
        </w:rPr>
        <w:t>the British Government to ‘sell’ the justification of war to the British public</w:t>
      </w:r>
      <w:r w:rsidR="006B2C03">
        <w:rPr>
          <w:lang w:val="en-CA"/>
        </w:rPr>
        <w:t xml:space="preserve"> as </w:t>
      </w:r>
      <w:r>
        <w:rPr>
          <w:lang w:val="en-CA"/>
        </w:rPr>
        <w:t>one of democracy, honour, and the defence of trusted friends</w:t>
      </w:r>
      <w:r w:rsidR="006B2C03">
        <w:rPr>
          <w:lang w:val="en-CA"/>
        </w:rPr>
        <w:t>, therefore covering up the national frailties</w:t>
      </w:r>
      <w:r>
        <w:rPr>
          <w:rStyle w:val="FootnoteReference"/>
          <w:lang w:val="en-CA"/>
        </w:rPr>
        <w:footnoteReference w:id="6"/>
      </w:r>
      <w:r w:rsidR="006B2C03">
        <w:rPr>
          <w:lang w:val="en-CA"/>
        </w:rPr>
        <w:t>.</w:t>
      </w:r>
      <w:r>
        <w:rPr>
          <w:lang w:val="en-CA"/>
        </w:rPr>
        <w:t xml:space="preserve"> </w:t>
      </w:r>
      <w:r w:rsidR="00551D76">
        <w:rPr>
          <w:lang w:val="en-CA"/>
        </w:rPr>
        <w:t xml:space="preserve"> </w:t>
      </w:r>
    </w:p>
    <w:p w14:paraId="0792521B" w14:textId="77777777" w:rsidR="00551D76" w:rsidRDefault="00551D76" w:rsidP="00B503DA">
      <w:pPr>
        <w:spacing w:after="0"/>
        <w:jc w:val="both"/>
        <w:rPr>
          <w:lang w:val="en-CA"/>
        </w:rPr>
      </w:pPr>
    </w:p>
    <w:p w14:paraId="13975FD3" w14:textId="77777777" w:rsidR="00551D76" w:rsidRDefault="00551D76" w:rsidP="00B503DA">
      <w:pPr>
        <w:spacing w:after="0"/>
        <w:jc w:val="both"/>
        <w:rPr>
          <w:lang w:val="en-CA"/>
        </w:rPr>
      </w:pPr>
    </w:p>
    <w:p w14:paraId="118DCD96" w14:textId="77777777" w:rsidR="00551D76" w:rsidRDefault="00551D76" w:rsidP="00B503DA">
      <w:pPr>
        <w:spacing w:after="0"/>
        <w:jc w:val="both"/>
        <w:rPr>
          <w:lang w:val="en-CA"/>
        </w:rPr>
      </w:pPr>
    </w:p>
    <w:p w14:paraId="1DA38F42" w14:textId="77777777" w:rsidR="00551D76" w:rsidRDefault="00551D76" w:rsidP="00B503DA">
      <w:pPr>
        <w:spacing w:after="0"/>
        <w:jc w:val="both"/>
        <w:rPr>
          <w:lang w:val="en-CA"/>
        </w:rPr>
      </w:pPr>
    </w:p>
    <w:p w14:paraId="07B6C202" w14:textId="0AF0AB78" w:rsidR="005F1ED7" w:rsidRDefault="005F1ED7" w:rsidP="005E6154">
      <w:pPr>
        <w:spacing w:after="0"/>
        <w:jc w:val="both"/>
        <w:rPr>
          <w:b/>
          <w:bCs/>
          <w:lang w:val="en-CA"/>
        </w:rPr>
      </w:pPr>
      <w:r w:rsidRPr="005F1ED7">
        <w:rPr>
          <w:b/>
          <w:bCs/>
          <w:lang w:val="en-CA"/>
        </w:rPr>
        <w:lastRenderedPageBreak/>
        <w:t>Wales</w:t>
      </w:r>
      <w:r w:rsidR="005E6154">
        <w:rPr>
          <w:b/>
          <w:bCs/>
          <w:lang w:val="en-CA"/>
        </w:rPr>
        <w:t xml:space="preserve"> Respon</w:t>
      </w:r>
      <w:r w:rsidR="00A149C7">
        <w:rPr>
          <w:b/>
          <w:bCs/>
          <w:lang w:val="en-CA"/>
        </w:rPr>
        <w:t>ds</w:t>
      </w:r>
      <w:r w:rsidR="005E6154">
        <w:rPr>
          <w:b/>
          <w:bCs/>
          <w:lang w:val="en-CA"/>
        </w:rPr>
        <w:t>.</w:t>
      </w:r>
    </w:p>
    <w:p w14:paraId="0F255773" w14:textId="77777777" w:rsidR="005F1ED7" w:rsidRPr="005F1ED7" w:rsidRDefault="005F1ED7" w:rsidP="005E6154">
      <w:pPr>
        <w:spacing w:after="0"/>
        <w:jc w:val="both"/>
        <w:rPr>
          <w:b/>
          <w:bCs/>
          <w:lang w:val="en-CA"/>
        </w:rPr>
      </w:pPr>
    </w:p>
    <w:p w14:paraId="3B872DFB" w14:textId="6966DD36" w:rsidR="003007E9" w:rsidRDefault="005F1ED7" w:rsidP="005E6154">
      <w:pPr>
        <w:jc w:val="both"/>
      </w:pPr>
      <w:r>
        <w:t>W</w:t>
      </w:r>
      <w:r w:rsidR="003007E9">
        <w:t xml:space="preserve">ales at the outbreak of the War was one of </w:t>
      </w:r>
      <w:r w:rsidR="00C728C3">
        <w:t xml:space="preserve">a </w:t>
      </w:r>
      <w:r w:rsidR="003007E9">
        <w:t xml:space="preserve">pacifistic </w:t>
      </w:r>
      <w:r w:rsidR="00C728C3">
        <w:t xml:space="preserve">approach </w:t>
      </w:r>
      <w:r w:rsidR="003007E9">
        <w:t xml:space="preserve">through a strong religious </w:t>
      </w:r>
      <w:r w:rsidR="00DF4323">
        <w:t>non-conformism</w:t>
      </w:r>
      <w:r w:rsidR="003007E9">
        <w:t>.</w:t>
      </w:r>
      <w:r w:rsidR="00976B99">
        <w:t xml:space="preserve"> In fact, </w:t>
      </w:r>
      <w:r w:rsidR="00DF4323">
        <w:t>pre-war</w:t>
      </w:r>
      <w:r w:rsidR="00976B99">
        <w:t xml:space="preserve"> recruitment figures </w:t>
      </w:r>
      <w:r w:rsidR="00DF4323">
        <w:t xml:space="preserve">taken from Aled Eirug’s book </w:t>
      </w:r>
      <w:r w:rsidR="00DF4323">
        <w:rPr>
          <w:rStyle w:val="FootnoteReference"/>
        </w:rPr>
        <w:footnoteReference w:id="7"/>
      </w:r>
      <w:r w:rsidR="00DF4323">
        <w:t xml:space="preserve">, </w:t>
      </w:r>
      <w:r w:rsidR="00976B99">
        <w:t>Wales only accounted for 1.8% of the whole British Army</w:t>
      </w:r>
      <w:r w:rsidR="00DF4323">
        <w:t xml:space="preserve"> although another historian Paul O’Leary in his paper puts the figure at 1.3% </w:t>
      </w:r>
      <w:r w:rsidR="00DF4323">
        <w:rPr>
          <w:rStyle w:val="FootnoteReference"/>
        </w:rPr>
        <w:footnoteReference w:id="8"/>
      </w:r>
      <w:r w:rsidR="00976B99">
        <w:t>.  A distrust by the army of the Welsh language even prohibited clergy of the non-conformist persuasion from joining. So, the passion with which thousands of Welshmen volunteered may well be attributed to pro</w:t>
      </w:r>
      <w:r>
        <w:t>-</w:t>
      </w:r>
      <w:r w:rsidR="00976B99">
        <w:t xml:space="preserve">war </w:t>
      </w:r>
      <w:r w:rsidR="00102354">
        <w:t xml:space="preserve">passionate </w:t>
      </w:r>
      <w:r w:rsidR="00976B99">
        <w:t xml:space="preserve">orators such as </w:t>
      </w:r>
      <w:r w:rsidR="00102354">
        <w:t xml:space="preserve">David </w:t>
      </w:r>
      <w:r w:rsidR="00976B99">
        <w:t xml:space="preserve">Lloyd George </w:t>
      </w:r>
      <w:r w:rsidR="00976B99">
        <w:rPr>
          <w:rStyle w:val="FootnoteReference"/>
        </w:rPr>
        <w:footnoteReference w:id="9"/>
      </w:r>
      <w:r w:rsidR="00976B99">
        <w:t>.</w:t>
      </w:r>
      <w:r w:rsidR="00102354">
        <w:t xml:space="preserve"> His appeals to recruit even found favour amongst the non-conformists as just shy of one hundred and </w:t>
      </w:r>
      <w:r w:rsidR="00706C69">
        <w:t>twenty-three</w:t>
      </w:r>
      <w:r w:rsidR="00102354">
        <w:t xml:space="preserve"> thousand joined up before January 1916 and a total of two hundred and </w:t>
      </w:r>
      <w:r w:rsidR="005E6154">
        <w:t>seventy-three</w:t>
      </w:r>
      <w:r w:rsidR="00102354">
        <w:t xml:space="preserve"> thousand throughout the war </w:t>
      </w:r>
      <w:r w:rsidR="00102354">
        <w:rPr>
          <w:rStyle w:val="FootnoteReference"/>
        </w:rPr>
        <w:footnoteReference w:id="10"/>
      </w:r>
      <w:r w:rsidR="00102354">
        <w:t>.</w:t>
      </w:r>
      <w:r w:rsidR="005E6154">
        <w:t xml:space="preserve"> These figures again are disputed by </w:t>
      </w:r>
      <w:r w:rsidR="00A25CA5">
        <w:t xml:space="preserve">author </w:t>
      </w:r>
      <w:r w:rsidR="005E6154">
        <w:t>John Davies</w:t>
      </w:r>
      <w:r w:rsidR="00A25CA5">
        <w:t xml:space="preserve"> </w:t>
      </w:r>
      <w:r w:rsidR="00A25CA5" w:rsidRPr="00A25CA5">
        <w:t xml:space="preserve">as he believes the totals to include Englishmen who migrated </w:t>
      </w:r>
      <w:r w:rsidR="00A25CA5">
        <w:t xml:space="preserve">during industrialisation </w:t>
      </w:r>
      <w:r w:rsidR="00A25CA5" w:rsidRPr="00A25CA5">
        <w:t>t</w:t>
      </w:r>
      <w:r w:rsidR="00A25CA5">
        <w:t>o</w:t>
      </w:r>
      <w:r w:rsidR="00A25CA5" w:rsidRPr="00A25CA5">
        <w:t xml:space="preserve"> South Wales to work in the mining industry</w:t>
      </w:r>
      <w:r w:rsidR="00A25CA5">
        <w:t xml:space="preserve"> </w:t>
      </w:r>
      <w:r w:rsidR="00195ABE" w:rsidRPr="00195ABE">
        <w:t>in the hope of higher wages and an improved standard of living</w:t>
      </w:r>
      <w:r w:rsidR="00195ABE" w:rsidRPr="00195ABE">
        <w:rPr>
          <w:rStyle w:val="FootnoteReference"/>
          <w:vertAlign w:val="baseline"/>
        </w:rPr>
        <w:t xml:space="preserve"> </w:t>
      </w:r>
      <w:r w:rsidR="005E6154">
        <w:rPr>
          <w:rStyle w:val="FootnoteReference"/>
        </w:rPr>
        <w:footnoteReference w:id="11"/>
      </w:r>
      <w:r w:rsidR="00A25CA5">
        <w:t>.</w:t>
      </w:r>
      <w:r w:rsidR="005E6154">
        <w:t xml:space="preserve"> </w:t>
      </w:r>
      <w:r w:rsidR="00A25CA5">
        <w:t xml:space="preserve"> </w:t>
      </w:r>
      <w:r w:rsidR="00BE2166">
        <w:t xml:space="preserve">Other areas that were conducive to enlistment included encouragement from areas such as workplaces through trade unions and sports clubs. Lord Derby advocated and formally announced the formation of what has come to be known as ‘Pals’ Battalions which through the aforementioned institutions, preyed on the ‘herd’ mentality of local male populations </w:t>
      </w:r>
      <w:r w:rsidR="00BE2166">
        <w:rPr>
          <w:rStyle w:val="FootnoteReference"/>
        </w:rPr>
        <w:footnoteReference w:id="12"/>
      </w:r>
      <w:r w:rsidR="00BE2166">
        <w:t xml:space="preserve">. Wales own contributions to these fell under the titles of </w:t>
      </w:r>
      <w:r w:rsidR="00581F84">
        <w:t xml:space="preserve">Royal Welsh Fusiliers, South Welsh Borderers and Welsh Regiment formed by the Welsh National Executive Committee, localised in places such as </w:t>
      </w:r>
      <w:r w:rsidR="00A149C7">
        <w:t xml:space="preserve">the </w:t>
      </w:r>
      <w:r w:rsidR="00581F84">
        <w:t xml:space="preserve">Rhondda Valley, Carmarthen, Oswestry and Anglesey </w:t>
      </w:r>
      <w:r w:rsidR="00581F84">
        <w:rPr>
          <w:rStyle w:val="FootnoteReference"/>
        </w:rPr>
        <w:footnoteReference w:id="13"/>
      </w:r>
      <w:r w:rsidR="00581F84">
        <w:t xml:space="preserve">. </w:t>
      </w:r>
      <w:r w:rsidR="003D2289" w:rsidRPr="003D2289">
        <w:t>Many of these units sustained heavy casualties, which had a significant impact on their communities</w:t>
      </w:r>
      <w:r w:rsidR="003D2289">
        <w:t xml:space="preserve"> when the losses and wounded returned home</w:t>
      </w:r>
      <w:r w:rsidR="003D2289" w:rsidRPr="003D2289">
        <w:t>. With the introduction of conscription in 1916, the close-knit nature of the Pals battalions was never to be replicated.</w:t>
      </w:r>
      <w:r w:rsidR="003D2289">
        <w:t xml:space="preserve"> </w:t>
      </w:r>
    </w:p>
    <w:p w14:paraId="10DDF6A6" w14:textId="223DB8A3" w:rsidR="003D2289" w:rsidRDefault="003D2289" w:rsidP="005E6154">
      <w:pPr>
        <w:jc w:val="both"/>
        <w:rPr>
          <w:b/>
          <w:bCs/>
        </w:rPr>
      </w:pPr>
      <w:r w:rsidRPr="003D2289">
        <w:rPr>
          <w:b/>
          <w:bCs/>
        </w:rPr>
        <w:t>Conscription</w:t>
      </w:r>
    </w:p>
    <w:p w14:paraId="5CF86D81" w14:textId="31FB755C" w:rsidR="004618F8" w:rsidRPr="003D2289" w:rsidRDefault="00703F39" w:rsidP="005E6154">
      <w:pPr>
        <w:jc w:val="both"/>
      </w:pPr>
      <w:r>
        <w:t>The argument for conscription was not a smooth path.</w:t>
      </w:r>
      <w:r w:rsidR="00C82C39">
        <w:t xml:space="preserve"> The voluntary system was becoming less voluntary </w:t>
      </w:r>
      <w:r w:rsidR="00C728C3">
        <w:t>‘</w:t>
      </w:r>
      <w:r w:rsidR="00C82C39" w:rsidRPr="00C728C3">
        <w:rPr>
          <w:i/>
          <w:iCs/>
        </w:rPr>
        <w:t>and the destructive yet inconclusive battles of 1915 provided the clue as to the commitment required</w:t>
      </w:r>
      <w:r w:rsidR="00C728C3">
        <w:rPr>
          <w:i/>
          <w:iCs/>
        </w:rPr>
        <w:t>’</w:t>
      </w:r>
      <w:r w:rsidR="00414E93">
        <w:t xml:space="preserve"> </w:t>
      </w:r>
      <w:r w:rsidR="00414E93">
        <w:rPr>
          <w:rStyle w:val="FootnoteReference"/>
        </w:rPr>
        <w:footnoteReference w:id="14"/>
      </w:r>
      <w:r w:rsidR="000351DC">
        <w:t xml:space="preserve"> </w:t>
      </w:r>
      <w:r w:rsidR="00C82C39">
        <w:t>and the subject of conscription was tabled. By conscripting men between the ages of eighteen and forty-one with exceptions raised the issue of still maintaining essential jobs.</w:t>
      </w:r>
      <w:r w:rsidR="00414E93">
        <w:t xml:space="preserve"> Arguments against conscription came from the Chancellor McKenna and the President of the Board of Trade Runciman who argued that the levels required would cost five million a day, a deficit of two thousand million by 1917 and the men required could not be spared from industry</w:t>
      </w:r>
      <w:r w:rsidR="000351DC">
        <w:t xml:space="preserve">. It was even argued that Lord Derby’s original recruitment campaign was set up to fail to enable the introduction of conscription at a later date </w:t>
      </w:r>
      <w:r w:rsidR="00414E93">
        <w:rPr>
          <w:rStyle w:val="FootnoteReference"/>
        </w:rPr>
        <w:footnoteReference w:id="15"/>
      </w:r>
      <w:r w:rsidR="00414E93">
        <w:t xml:space="preserve">. The Military Service Act of January 1916 was passed and imposed conscription with </w:t>
      </w:r>
      <w:r w:rsidR="00FC633C">
        <w:t>e</w:t>
      </w:r>
      <w:r w:rsidR="00414E93">
        <w:t>xemptions for men of the cloth, medically unfit, the Irish and conscientious objecto</w:t>
      </w:r>
      <w:r w:rsidR="00FC633C">
        <w:t xml:space="preserve">rs and was amended in April to include married men as it was found that too many were being exempt </w:t>
      </w:r>
      <w:r w:rsidR="00FC633C">
        <w:rPr>
          <w:rStyle w:val="FootnoteReference"/>
        </w:rPr>
        <w:footnoteReference w:id="16"/>
      </w:r>
      <w:r w:rsidR="00FC633C">
        <w:t>.</w:t>
      </w:r>
      <w:r w:rsidR="00E971F2">
        <w:t xml:space="preserve"> The applications for exemptions were dealt with by local and regional tribunals that would evaluate and pass judgement on each case. These started as ‘Arbitration Tribunals’ </w:t>
      </w:r>
      <w:r w:rsidR="00BB3BC1">
        <w:t xml:space="preserve">or </w:t>
      </w:r>
      <w:r w:rsidR="00C728C3">
        <w:t>‘</w:t>
      </w:r>
      <w:r w:rsidR="00BB3BC1">
        <w:t>Derby Tribunals</w:t>
      </w:r>
      <w:r w:rsidR="00C728C3">
        <w:t>’</w:t>
      </w:r>
      <w:r w:rsidR="00BB3BC1">
        <w:t xml:space="preserve"> </w:t>
      </w:r>
      <w:r w:rsidR="00E971F2">
        <w:t xml:space="preserve">where local </w:t>
      </w:r>
      <w:r w:rsidR="00E971F2">
        <w:lastRenderedPageBreak/>
        <w:t xml:space="preserve">men were </w:t>
      </w:r>
      <w:r w:rsidR="00BB3BC1">
        <w:t>attested but given a black star because of civilian reserved occupation. These tribunals were changed from listening to arguments about attestation to one of a judicial capacity, dealing more with conscientious objection and because they were mainly chaired and run by retired elderly personnel, were unsympathetic to young men and particularly conscientious objectors</w:t>
      </w:r>
      <w:r w:rsidR="002F09B5">
        <w:t>. Each tribunal had a military overseer present</w:t>
      </w:r>
      <w:r w:rsidR="00BB3BC1">
        <w:t xml:space="preserve"> </w:t>
      </w:r>
      <w:r w:rsidR="00BB3BC1">
        <w:rPr>
          <w:rStyle w:val="FootnoteReference"/>
        </w:rPr>
        <w:footnoteReference w:id="17"/>
      </w:r>
      <w:r w:rsidR="002F09B5">
        <w:t>.</w:t>
      </w:r>
    </w:p>
    <w:p w14:paraId="36E50223" w14:textId="228E6E1C" w:rsidR="003D2289" w:rsidRPr="004618F8" w:rsidRDefault="004618F8" w:rsidP="005E6154">
      <w:pPr>
        <w:jc w:val="both"/>
        <w:rPr>
          <w:b/>
          <w:bCs/>
        </w:rPr>
      </w:pPr>
      <w:r w:rsidRPr="004618F8">
        <w:rPr>
          <w:b/>
          <w:bCs/>
        </w:rPr>
        <w:t>Welsh Objections</w:t>
      </w:r>
      <w:r w:rsidR="009C2B02">
        <w:rPr>
          <w:b/>
          <w:bCs/>
        </w:rPr>
        <w:t xml:space="preserve"> to War</w:t>
      </w:r>
    </w:p>
    <w:p w14:paraId="1E59DA38" w14:textId="5A7E973A" w:rsidR="004618F8" w:rsidRDefault="004618F8" w:rsidP="005E6154">
      <w:pPr>
        <w:jc w:val="both"/>
      </w:pPr>
      <w:r>
        <w:t>The opposition to the war in Wales was not borne out of conscription. The Welsh prior to the start of the war were pacifistic in nature through there non-conformist religion as mentioned earlier.</w:t>
      </w:r>
      <w:r w:rsidR="009F3DF7">
        <w:t xml:space="preserve"> Not all of the traditional view of pacifism was outright opposition to the war.</w:t>
      </w:r>
      <w:r>
        <w:t xml:space="preserve"> </w:t>
      </w:r>
      <w:r w:rsidR="009F3DF7">
        <w:t xml:space="preserve">There were other approaches such as anti-militarists that supported a defencism view where upon war as an offensive act was not acceptable but the protection of the homeland should it be threatened </w:t>
      </w:r>
      <w:r w:rsidR="009F3DF7">
        <w:rPr>
          <w:rStyle w:val="FootnoteReference"/>
        </w:rPr>
        <w:footnoteReference w:id="18"/>
      </w:r>
      <w:r w:rsidR="00E971F2">
        <w:t xml:space="preserve">. The Independent Labour Party, (ILP), although in its infancy, was becoming an organisation that supported objections to war. </w:t>
      </w:r>
      <w:r w:rsidR="007D0860">
        <w:t xml:space="preserve">It led the opposition to war in Wales on the basis that it could not be justified on moral grounds and this premise was supported by prominent leaders of other anti-war organisations such as the </w:t>
      </w:r>
      <w:r w:rsidR="00575A84">
        <w:t>‘</w:t>
      </w:r>
      <w:r w:rsidR="007D0860" w:rsidRPr="00575A84">
        <w:rPr>
          <w:i/>
          <w:iCs/>
        </w:rPr>
        <w:t>National Council for Civil Liberties</w:t>
      </w:r>
      <w:r w:rsidR="00575A84" w:rsidRPr="00575A84">
        <w:rPr>
          <w:i/>
          <w:iCs/>
        </w:rPr>
        <w:t>’</w:t>
      </w:r>
      <w:r w:rsidR="007D0860">
        <w:t xml:space="preserve">, (NCCL), the </w:t>
      </w:r>
      <w:r w:rsidR="00575A84" w:rsidRPr="00575A84">
        <w:rPr>
          <w:i/>
          <w:iCs/>
        </w:rPr>
        <w:t>‘</w:t>
      </w:r>
      <w:r w:rsidR="007D0860" w:rsidRPr="00575A84">
        <w:rPr>
          <w:i/>
          <w:iCs/>
        </w:rPr>
        <w:t>No-conscription Fellowship</w:t>
      </w:r>
      <w:r w:rsidR="00575A84" w:rsidRPr="00575A84">
        <w:rPr>
          <w:i/>
          <w:iCs/>
        </w:rPr>
        <w:t>’</w:t>
      </w:r>
      <w:r w:rsidR="007D0860" w:rsidRPr="007D0860">
        <w:t>, (NCF),</w:t>
      </w:r>
      <w:r w:rsidR="007D0860">
        <w:t xml:space="preserve"> and the </w:t>
      </w:r>
      <w:r w:rsidR="00575A84">
        <w:t>‘</w:t>
      </w:r>
      <w:r w:rsidR="007D0860" w:rsidRPr="00575A84">
        <w:rPr>
          <w:i/>
          <w:iCs/>
        </w:rPr>
        <w:t>South Wales Miners Federation</w:t>
      </w:r>
      <w:r w:rsidR="00575A84" w:rsidRPr="00575A84">
        <w:rPr>
          <w:i/>
          <w:iCs/>
        </w:rPr>
        <w:t>’</w:t>
      </w:r>
      <w:r w:rsidR="007D0860">
        <w:t>, (SWMF).</w:t>
      </w:r>
      <w:r w:rsidR="007D0860" w:rsidRPr="007D0860">
        <w:t xml:space="preserve"> </w:t>
      </w:r>
      <w:r w:rsidR="007D0860">
        <w:t xml:space="preserve">The ILP’s </w:t>
      </w:r>
      <w:r w:rsidR="002F09B5">
        <w:t xml:space="preserve">first spiritual Leader and anti-militarist was the first Labour </w:t>
      </w:r>
      <w:r w:rsidR="00C728C3">
        <w:t xml:space="preserve">MP </w:t>
      </w:r>
      <w:r w:rsidR="002F09B5">
        <w:t>for Parliament, Kier Hardie,</w:t>
      </w:r>
      <w:r w:rsidR="00C728C3">
        <w:t xml:space="preserve"> who represented</w:t>
      </w:r>
      <w:r w:rsidR="002F09B5">
        <w:t xml:space="preserve"> the Merthyr Boroughs</w:t>
      </w:r>
      <w:r w:rsidR="00C728C3">
        <w:t>.</w:t>
      </w:r>
      <w:r w:rsidR="002F09B5">
        <w:t xml:space="preserve"> </w:t>
      </w:r>
      <w:r w:rsidR="00C728C3">
        <w:t>He w</w:t>
      </w:r>
      <w:r w:rsidR="002F09B5">
        <w:t xml:space="preserve">as </w:t>
      </w:r>
      <w:r w:rsidR="00575A84">
        <w:t xml:space="preserve">also </w:t>
      </w:r>
      <w:r w:rsidR="002F09B5">
        <w:t xml:space="preserve">the </w:t>
      </w:r>
      <w:r w:rsidR="00082416">
        <w:t>father-in-law</w:t>
      </w:r>
      <w:r w:rsidR="002F09B5">
        <w:t xml:space="preserve"> o</w:t>
      </w:r>
      <w:r w:rsidR="00082416">
        <w:t xml:space="preserve">f Emrys Hughes, a five-time jailed conscientious objector immortalised in the Welsh History Review about his experiences in World War One </w:t>
      </w:r>
      <w:r w:rsidR="00082416">
        <w:rPr>
          <w:rStyle w:val="FootnoteReference"/>
        </w:rPr>
        <w:footnoteReference w:id="19"/>
      </w:r>
      <w:r w:rsidR="00082416">
        <w:t>.</w:t>
      </w:r>
      <w:r w:rsidR="004F2BB9">
        <w:t xml:space="preserve"> The ILP did not formally declare its opposition to the war until 1916 but refused to take part in recruiting campaigns </w:t>
      </w:r>
      <w:r w:rsidR="004F2BB9">
        <w:rPr>
          <w:rStyle w:val="FootnoteReference"/>
        </w:rPr>
        <w:footnoteReference w:id="20"/>
      </w:r>
      <w:r w:rsidR="004F2BB9">
        <w:t>.</w:t>
      </w:r>
      <w:r w:rsidR="007D0860">
        <w:t xml:space="preserve"> </w:t>
      </w:r>
      <w:r w:rsidR="00BA1775">
        <w:t xml:space="preserve">Kier Hardie died in 1915 but such was his following that Merthyr became a hot bed for Trade Unionism and the ILP.  A memorial meeting for Hardie was one of the first </w:t>
      </w:r>
      <w:r w:rsidR="00E43906">
        <w:t xml:space="preserve">anti-war meetings to be held in Merthyr attended by up to three thousand five hundred people and organised by the ILP.  There were to be a further fifteen or so similar anti-war meetings in Merthyr before Armistice Day </w:t>
      </w:r>
      <w:r w:rsidR="00E43906">
        <w:rPr>
          <w:rStyle w:val="FootnoteReference"/>
        </w:rPr>
        <w:footnoteReference w:id="21"/>
      </w:r>
      <w:r w:rsidR="00E43906">
        <w:t xml:space="preserve">.  </w:t>
      </w:r>
      <w:r w:rsidR="007D0860">
        <w:t>T</w:t>
      </w:r>
      <w:r w:rsidR="00082416">
        <w:t xml:space="preserve">he </w:t>
      </w:r>
      <w:bookmarkStart w:id="14" w:name="_Hlk158042498"/>
      <w:r w:rsidR="00082416">
        <w:t xml:space="preserve">NCF, </w:t>
      </w:r>
      <w:bookmarkEnd w:id="14"/>
      <w:r w:rsidR="00082416">
        <w:t>wh</w:t>
      </w:r>
      <w:r w:rsidR="00575A84">
        <w:t>o</w:t>
      </w:r>
      <w:r w:rsidR="00082416">
        <w:t xml:space="preserve"> advocated that killing was an absolute sin</w:t>
      </w:r>
      <w:r w:rsidR="00575A84">
        <w:t>,</w:t>
      </w:r>
      <w:r w:rsidR="00082416">
        <w:t xml:space="preserve"> were established in Wales in 1915 and organised those of the non-conformist denomination</w:t>
      </w:r>
      <w:r w:rsidR="00575A84">
        <w:t xml:space="preserve"> into voices against the war</w:t>
      </w:r>
      <w:r w:rsidR="00C07838">
        <w:t xml:space="preserve"> and had amongst its membership people such as Bertrand Russell</w:t>
      </w:r>
      <w:r w:rsidR="00082416">
        <w:t xml:space="preserve">. </w:t>
      </w:r>
      <w:r w:rsidR="00575A84">
        <w:t>Another anti-war organisation was</w:t>
      </w:r>
      <w:r w:rsidR="00082416">
        <w:t xml:space="preserve"> the </w:t>
      </w:r>
      <w:r w:rsidR="00575A84">
        <w:t>‘</w:t>
      </w:r>
      <w:r w:rsidR="00082416" w:rsidRPr="00575A84">
        <w:rPr>
          <w:i/>
          <w:iCs/>
        </w:rPr>
        <w:t xml:space="preserve">Fellowship Of </w:t>
      </w:r>
      <w:r w:rsidR="003A4A38" w:rsidRPr="00575A84">
        <w:rPr>
          <w:i/>
          <w:iCs/>
        </w:rPr>
        <w:t>Reconciliation</w:t>
      </w:r>
      <w:r w:rsidR="00575A84">
        <w:rPr>
          <w:i/>
          <w:iCs/>
        </w:rPr>
        <w:t>’</w:t>
      </w:r>
      <w:r w:rsidR="003A4A38">
        <w:t>, (FoR), was heavily supported by prominent Welsh religious leaders</w:t>
      </w:r>
      <w:r w:rsidR="00463DD1">
        <w:t>;</w:t>
      </w:r>
      <w:r w:rsidR="00C46D7B">
        <w:t xml:space="preserve"> its first administrator being the Reverend Richard Roberts </w:t>
      </w:r>
      <w:r w:rsidR="00575A84">
        <w:t>who became</w:t>
      </w:r>
      <w:r w:rsidR="00C46D7B">
        <w:t xml:space="preserve"> the general secretary until 1915.</w:t>
      </w:r>
      <w:r w:rsidR="003A4A38">
        <w:t xml:space="preserve"> </w:t>
      </w:r>
      <w:r w:rsidR="00C46D7B">
        <w:t>The FoR,</w:t>
      </w:r>
      <w:r w:rsidR="003A4A38">
        <w:t xml:space="preserve"> whilst not public supporters of the anti-war movement, were heavily involved in pamphlet distribution and were official visitors to jailed conscientious objectors </w:t>
      </w:r>
      <w:r w:rsidR="003A4A38">
        <w:rPr>
          <w:rStyle w:val="FootnoteReference"/>
        </w:rPr>
        <w:footnoteReference w:id="22"/>
      </w:r>
      <w:r w:rsidR="003A4A38">
        <w:t>.</w:t>
      </w:r>
      <w:r w:rsidR="008D3F9D">
        <w:t xml:space="preserve"> FoR were also responsible for the newspaper publication called the </w:t>
      </w:r>
      <w:r w:rsidR="00372FB2" w:rsidRPr="00372FB2">
        <w:rPr>
          <w:i/>
          <w:iCs/>
        </w:rPr>
        <w:t>Y</w:t>
      </w:r>
      <w:r w:rsidR="008D3F9D" w:rsidRPr="00372FB2">
        <w:rPr>
          <w:i/>
          <w:iCs/>
        </w:rPr>
        <w:t xml:space="preserve"> Deyrnas</w:t>
      </w:r>
      <w:r w:rsidR="00372FB2">
        <w:t>.</w:t>
      </w:r>
      <w:r w:rsidR="001C5CFC">
        <w:t xml:space="preserve"> </w:t>
      </w:r>
      <w:r w:rsidR="001C5CFC" w:rsidRPr="001C5CFC">
        <w:t>Th</w:t>
      </w:r>
      <w:r w:rsidR="001C5CFC">
        <w:t>is</w:t>
      </w:r>
      <w:r w:rsidR="001C5CFC" w:rsidRPr="001C5CFC">
        <w:t xml:space="preserve"> monthly Welsh-language magazine</w:t>
      </w:r>
      <w:r w:rsidR="00575A84">
        <w:t>,</w:t>
      </w:r>
      <w:r w:rsidR="001C5CFC" w:rsidRPr="001C5CFC">
        <w:t xml:space="preserve"> launched in 1916 when the mounting casualties of the First World War were affecting public morale and consciousness, was a platform for antiwar sentiment in Wales.</w:t>
      </w:r>
      <w:r w:rsidR="001C5CFC">
        <w:t xml:space="preserve"> Circulation,</w:t>
      </w:r>
      <w:r w:rsidR="00463DD1">
        <w:t xml:space="preserve"> (about 3000 copies per month),</w:t>
      </w:r>
      <w:r w:rsidR="001C5CFC">
        <w:t xml:space="preserve"> </w:t>
      </w:r>
      <w:r w:rsidR="00575A84">
        <w:t xml:space="preserve">whilst not high, was </w:t>
      </w:r>
      <w:r w:rsidR="001C5CFC">
        <w:t xml:space="preserve">predominantly </w:t>
      </w:r>
      <w:r w:rsidR="00463DD1">
        <w:t xml:space="preserve">distributed </w:t>
      </w:r>
      <w:r w:rsidR="001C5CFC">
        <w:t>in North Wales,</w:t>
      </w:r>
      <w:r w:rsidR="00463DD1">
        <w:t xml:space="preserve"> Carmarthen and Glamorgan</w:t>
      </w:r>
      <w:r w:rsidR="00575A84">
        <w:t xml:space="preserve"> and was</w:t>
      </w:r>
      <w:r w:rsidR="001C5CFC">
        <w:t xml:space="preserve"> sold in over two hundred outlets </w:t>
      </w:r>
      <w:r w:rsidR="001C5CFC">
        <w:rPr>
          <w:rStyle w:val="FootnoteReference"/>
        </w:rPr>
        <w:footnoteReference w:id="23"/>
      </w:r>
      <w:r w:rsidR="001C5CFC">
        <w:t>.</w:t>
      </w:r>
      <w:r w:rsidR="009C2B02">
        <w:t xml:space="preserve"> The </w:t>
      </w:r>
      <w:r w:rsidR="00575A84">
        <w:t xml:space="preserve">number of </w:t>
      </w:r>
      <w:r w:rsidR="00C73FA6">
        <w:t xml:space="preserve">individual </w:t>
      </w:r>
      <w:r w:rsidR="009C2B02">
        <w:t>sentiments of conscientious objection in Wale</w:t>
      </w:r>
      <w:r w:rsidR="00575A84">
        <w:t>s</w:t>
      </w:r>
      <w:r w:rsidR="00C73FA6">
        <w:t xml:space="preserve">, based on Clive Pearce’s Peace Register on the Welsh Centre For International Affairs website, numbered 901 for the period of the war </w:t>
      </w:r>
      <w:r w:rsidR="00C73FA6">
        <w:rPr>
          <w:rStyle w:val="FootnoteReference"/>
        </w:rPr>
        <w:footnoteReference w:id="24"/>
      </w:r>
      <w:r w:rsidR="00C73FA6">
        <w:t>.</w:t>
      </w:r>
    </w:p>
    <w:p w14:paraId="40071F71" w14:textId="77777777" w:rsidR="00E43906" w:rsidRDefault="00E43906" w:rsidP="005E6154">
      <w:pPr>
        <w:jc w:val="both"/>
      </w:pPr>
    </w:p>
    <w:p w14:paraId="4BB3CECF" w14:textId="4CC98684" w:rsidR="00463DD1" w:rsidRDefault="00463DD1" w:rsidP="005E6154">
      <w:pPr>
        <w:jc w:val="both"/>
        <w:rPr>
          <w:b/>
          <w:bCs/>
        </w:rPr>
      </w:pPr>
      <w:r w:rsidRPr="00463DD1">
        <w:rPr>
          <w:b/>
          <w:bCs/>
        </w:rPr>
        <w:t xml:space="preserve">Social </w:t>
      </w:r>
      <w:r w:rsidR="004E7AC0">
        <w:rPr>
          <w:b/>
          <w:bCs/>
        </w:rPr>
        <w:t>Contribution</w:t>
      </w:r>
      <w:r w:rsidR="00DB22E1">
        <w:rPr>
          <w:b/>
          <w:bCs/>
        </w:rPr>
        <w:t>s</w:t>
      </w:r>
      <w:r w:rsidRPr="00463DD1">
        <w:rPr>
          <w:b/>
          <w:bCs/>
        </w:rPr>
        <w:t xml:space="preserve"> </w:t>
      </w:r>
      <w:r w:rsidR="004E7AC0">
        <w:rPr>
          <w:b/>
          <w:bCs/>
        </w:rPr>
        <w:t>I</w:t>
      </w:r>
      <w:r w:rsidRPr="00463DD1">
        <w:rPr>
          <w:b/>
          <w:bCs/>
        </w:rPr>
        <w:t>n Wales</w:t>
      </w:r>
    </w:p>
    <w:p w14:paraId="25791475" w14:textId="26F70D6F" w:rsidR="004E7AC0" w:rsidRDefault="00463DD1" w:rsidP="00E43906">
      <w:pPr>
        <w:spacing w:after="0"/>
        <w:jc w:val="both"/>
      </w:pPr>
      <w:r>
        <w:t xml:space="preserve">1914-1918 was not all about World War One in Wales. There were still the home fronts and an economy to maintain. </w:t>
      </w:r>
      <w:r w:rsidR="00EB3E8C">
        <w:t xml:space="preserve">The War predictably reduced the amount of domestic construction in Wales and with the average family having between 4-5 children, it should not come as a surprise that a study in Wales reported that in the towns and villages were overcrowded with a scarcity of housing and increasing rents. The houses were unsanitary and the air polluted by coal dust and smoke and the rivers were being subjected to unhealthy discharges from factories </w:t>
      </w:r>
      <w:r w:rsidR="00EB3E8C">
        <w:rPr>
          <w:rStyle w:val="FootnoteReference"/>
        </w:rPr>
        <w:footnoteReference w:id="25"/>
      </w:r>
      <w:r w:rsidR="00EB3E8C">
        <w:t xml:space="preserve">. </w:t>
      </w:r>
      <w:r w:rsidR="00E61ED0">
        <w:t xml:space="preserve">The health issues surrounding families was addressed to some extent with the introduction of ‘The Care of Mothers and Young Childrens Act’ of 1915 which resulted in the increase of health workers and subsidies through local government </w:t>
      </w:r>
      <w:r w:rsidR="00E61ED0">
        <w:rPr>
          <w:rStyle w:val="FootnoteReference"/>
        </w:rPr>
        <w:footnoteReference w:id="26"/>
      </w:r>
      <w:r w:rsidR="004E7AC0">
        <w:t xml:space="preserve">. Raising children and looking after the home was not the only contribution to the war that women made. They worked in the factories producing munitions, as nurses to tend the wounded and even on ships as stewardesses. They were not without loss of life, dying in explosions, torpedo attacks and even to infection whilst nursing </w:t>
      </w:r>
      <w:r w:rsidR="004E7AC0">
        <w:rPr>
          <w:rStyle w:val="FootnoteReference"/>
        </w:rPr>
        <w:footnoteReference w:id="27"/>
      </w:r>
      <w:r w:rsidR="004E7AC0">
        <w:t xml:space="preserve">. </w:t>
      </w:r>
    </w:p>
    <w:p w14:paraId="41AB3A32" w14:textId="31CA7758" w:rsidR="008B784B" w:rsidRDefault="00EB3E8C" w:rsidP="00E43906">
      <w:pPr>
        <w:spacing w:after="0"/>
        <w:jc w:val="both"/>
      </w:pPr>
      <w:r>
        <w:t>To add to the misery, taxation was introduced to pay for the war effort with three war time budgets increasing tax on the home population by one hundred and fifty percent in the first year of the war</w:t>
      </w:r>
      <w:r w:rsidR="00FA7D38">
        <w:t xml:space="preserve"> and by the end of the war, this became an eightfold increase</w:t>
      </w:r>
      <w:r>
        <w:t xml:space="preserve"> </w:t>
      </w:r>
      <w:r>
        <w:rPr>
          <w:rStyle w:val="FootnoteReference"/>
        </w:rPr>
        <w:footnoteReference w:id="28"/>
      </w:r>
      <w:r w:rsidR="00FA7D38">
        <w:t>.</w:t>
      </w:r>
    </w:p>
    <w:p w14:paraId="33734B20" w14:textId="6A3AA709" w:rsidR="00463DD1" w:rsidRDefault="008B784B" w:rsidP="00E43906">
      <w:pPr>
        <w:spacing w:after="0"/>
        <w:jc w:val="both"/>
      </w:pPr>
      <w:r>
        <w:t>Wages also became an issue particularly amongst the Welsh Miners.</w:t>
      </w:r>
      <w:r w:rsidR="00FA7D38">
        <w:t xml:space="preserve"> </w:t>
      </w:r>
      <w:r w:rsidR="00E43906">
        <w:t xml:space="preserve">The mining industry dominated the economy of South Wales. There was already a strong labour movement amongst the miners </w:t>
      </w:r>
      <w:r w:rsidR="007A2C61">
        <w:t>pre-war</w:t>
      </w:r>
      <w:r w:rsidR="00E43906">
        <w:t xml:space="preserve"> with the formation of the SWMF</w:t>
      </w:r>
      <w:r w:rsidR="00BB05EA">
        <w:t xml:space="preserve">, of which two thirds of the 200,000+ workforce were members. The SWMF published a pamphlet called </w:t>
      </w:r>
      <w:r w:rsidR="00A77F3C">
        <w:t>‘</w:t>
      </w:r>
      <w:r w:rsidR="00BB05EA" w:rsidRPr="00A77F3C">
        <w:rPr>
          <w:i/>
          <w:iCs/>
        </w:rPr>
        <w:t>The Miners Next Step</w:t>
      </w:r>
      <w:r w:rsidR="00A77F3C">
        <w:rPr>
          <w:i/>
          <w:iCs/>
        </w:rPr>
        <w:t>’</w:t>
      </w:r>
      <w:r w:rsidR="00BB05EA">
        <w:t xml:space="preserve"> which advocated industrial action over electoral politics </w:t>
      </w:r>
      <w:r w:rsidR="00BB05EA">
        <w:rPr>
          <w:rStyle w:val="FootnoteReference"/>
        </w:rPr>
        <w:footnoteReference w:id="29"/>
      </w:r>
      <w:r w:rsidR="00BB05EA">
        <w:t xml:space="preserve">. This militancy and the want for fair wages led to the threat of a Miners Strike in </w:t>
      </w:r>
      <w:r w:rsidR="00A77F3C">
        <w:t xml:space="preserve">June </w:t>
      </w:r>
      <w:r w:rsidR="00BB05EA">
        <w:t>1915. Already entrenched in anti-war movements, the miners pay deal was due for review in April of that year</w:t>
      </w:r>
      <w:r w:rsidR="007A2C61">
        <w:t xml:space="preserve">. </w:t>
      </w:r>
      <w:r w:rsidR="00BB05EA">
        <w:t xml:space="preserve"> </w:t>
      </w:r>
      <w:r w:rsidR="007A2C61">
        <w:t>An offer</w:t>
      </w:r>
      <w:r w:rsidR="00BB05EA">
        <w:t xml:space="preserve"> </w:t>
      </w:r>
      <w:r w:rsidR="007A2C61">
        <w:t xml:space="preserve">came </w:t>
      </w:r>
      <w:r w:rsidR="00CD7431">
        <w:t>from the Treasury</w:t>
      </w:r>
      <w:r w:rsidR="008071FD">
        <w:t xml:space="preserve"> </w:t>
      </w:r>
      <w:r w:rsidR="007A2C61">
        <w:t xml:space="preserve">offering a ‘bonus’ payment </w:t>
      </w:r>
      <w:r w:rsidR="008071FD">
        <w:t xml:space="preserve">which </w:t>
      </w:r>
      <w:r w:rsidR="007A2C61">
        <w:t>was refused as they wanted something more permanent and</w:t>
      </w:r>
      <w:r w:rsidR="007A2C61" w:rsidRPr="007A2C61">
        <w:t xml:space="preserve"> to acknowledge their patriotism</w:t>
      </w:r>
      <w:r w:rsidR="00CD7431">
        <w:t xml:space="preserve">. </w:t>
      </w:r>
      <w:r w:rsidR="008071FD">
        <w:t xml:space="preserve">David Lloyd George stepped in </w:t>
      </w:r>
      <w:r w:rsidR="00A77F3C">
        <w:t xml:space="preserve">at the eleventh hour </w:t>
      </w:r>
      <w:r w:rsidR="008071FD">
        <w:t xml:space="preserve">and declared the coalfields a controlled establishment </w:t>
      </w:r>
      <w:r w:rsidR="008071FD">
        <w:rPr>
          <w:rStyle w:val="FootnoteReference"/>
        </w:rPr>
        <w:footnoteReference w:id="30"/>
      </w:r>
      <w:r w:rsidR="008071FD">
        <w:t xml:space="preserve"> under the authority of the newly passed Munitions of War Act</w:t>
      </w:r>
      <w:r w:rsidR="00D77B9B">
        <w:t>. This Act gave the government control of factories, and in this case the South Wales coalfields allowing them to dictate output and restricting the workforce against industrial action</w:t>
      </w:r>
      <w:r w:rsidR="00D77B9B">
        <w:rPr>
          <w:rStyle w:val="FootnoteReference"/>
        </w:rPr>
        <w:footnoteReference w:id="31"/>
      </w:r>
      <w:r w:rsidR="00D77B9B">
        <w:t xml:space="preserve">. </w:t>
      </w:r>
    </w:p>
    <w:p w14:paraId="39E42303" w14:textId="77777777" w:rsidR="002F09B5" w:rsidRDefault="002F09B5" w:rsidP="005E6154">
      <w:pPr>
        <w:jc w:val="both"/>
      </w:pPr>
    </w:p>
    <w:p w14:paraId="2171D25C" w14:textId="6AE34D0D" w:rsidR="002F197C" w:rsidRDefault="002F197C" w:rsidP="005E6154">
      <w:pPr>
        <w:jc w:val="both"/>
        <w:rPr>
          <w:b/>
          <w:bCs/>
        </w:rPr>
      </w:pPr>
      <w:r w:rsidRPr="009E07B6">
        <w:rPr>
          <w:b/>
          <w:bCs/>
        </w:rPr>
        <w:t>The Aftermath</w:t>
      </w:r>
    </w:p>
    <w:p w14:paraId="553CC777" w14:textId="093AA564" w:rsidR="002F197C" w:rsidRDefault="008F6AE2" w:rsidP="005E6154">
      <w:pPr>
        <w:jc w:val="both"/>
      </w:pPr>
      <w:r>
        <w:t xml:space="preserve">It is difficult to be precise about the quantitive figures used by historians as they vary depending on the source and are constantly being updated as more information emerges. What is constant in their assessments is that </w:t>
      </w:r>
      <w:r w:rsidR="002F197C">
        <w:t>Wales was not an exception during World War 1</w:t>
      </w:r>
      <w:r>
        <w:t xml:space="preserve"> in terms of response</w:t>
      </w:r>
      <w:r w:rsidR="002F197C">
        <w:t>,</w:t>
      </w:r>
      <w:r>
        <w:t xml:space="preserve"> although </w:t>
      </w:r>
      <w:r w:rsidR="002F197C">
        <w:t xml:space="preserve">it could possibly be described as different. This is because of its </w:t>
      </w:r>
      <w:r>
        <w:t>stronger-than-others sense of identity as a nation within a nation, the non-conformist</w:t>
      </w:r>
      <w:r w:rsidR="002F197C">
        <w:t xml:space="preserve"> approach to </w:t>
      </w:r>
      <w:r w:rsidR="007A2C61">
        <w:t xml:space="preserve">their </w:t>
      </w:r>
      <w:r w:rsidR="002F197C">
        <w:t xml:space="preserve">religion and </w:t>
      </w:r>
      <w:r>
        <w:t>the</w:t>
      </w:r>
      <w:r w:rsidR="002F197C">
        <w:t xml:space="preserve"> </w:t>
      </w:r>
      <w:r>
        <w:t xml:space="preserve">makeup of its </w:t>
      </w:r>
      <w:r w:rsidR="002F197C">
        <w:t xml:space="preserve">geography </w:t>
      </w:r>
      <w:r>
        <w:t>and demographics</w:t>
      </w:r>
      <w:r w:rsidR="002F197C">
        <w:t>. Like all the home nations, Wales most definitely answered the call to arms despite its pacifistic views</w:t>
      </w:r>
      <w:r w:rsidR="007A2C61">
        <w:t xml:space="preserve">, nearly 123,000 volunteered before January 1916 with a total of nearly </w:t>
      </w:r>
      <w:r w:rsidR="007A2C61">
        <w:lastRenderedPageBreak/>
        <w:t>273,000 for the war’s duration</w:t>
      </w:r>
      <w:r w:rsidR="007A2C61">
        <w:rPr>
          <w:rStyle w:val="FootnoteReference"/>
        </w:rPr>
        <w:footnoteReference w:id="32"/>
      </w:r>
      <w:r w:rsidR="002F197C">
        <w:t xml:space="preserve">. </w:t>
      </w:r>
      <w:r w:rsidR="001242DE">
        <w:t>Wh</w:t>
      </w:r>
      <w:r w:rsidR="002F197C">
        <w:t xml:space="preserve">ilst </w:t>
      </w:r>
      <w:r w:rsidR="00DE628C">
        <w:t>there</w:t>
      </w:r>
      <w:r w:rsidR="002F197C">
        <w:t xml:space="preserve"> was a strong anti-war movement throughout Wales, there </w:t>
      </w:r>
      <w:r w:rsidR="00DE628C">
        <w:t xml:space="preserve">were only 901 conscientious objectors out of a total of 16,000 nationwide </w:t>
      </w:r>
      <w:r w:rsidR="00DE628C">
        <w:rPr>
          <w:rStyle w:val="FootnoteReference"/>
        </w:rPr>
        <w:footnoteReference w:id="33"/>
      </w:r>
      <w:r w:rsidR="00DE628C">
        <w:t>. What is more significant is the change in politics. The ILP movement grew to become the Labour party as we know it today, eventually</w:t>
      </w:r>
      <w:r w:rsidR="00F468AB">
        <w:t xml:space="preserve"> overpowering the Liberal party of the </w:t>
      </w:r>
      <w:r w:rsidR="001242DE">
        <w:t>pre-war</w:t>
      </w:r>
      <w:r w:rsidR="00F468AB">
        <w:t xml:space="preserve"> years. There was also movement towards social improvement </w:t>
      </w:r>
      <w:r w:rsidR="009E07B6">
        <w:t xml:space="preserve">in health issues </w:t>
      </w:r>
      <w:r w:rsidR="00F468AB">
        <w:t xml:space="preserve">and </w:t>
      </w:r>
      <w:r w:rsidR="00AB679B">
        <w:t xml:space="preserve">women, </w:t>
      </w:r>
      <w:r w:rsidR="009E07B6">
        <w:t>whilst it has not been mentioned in this paper in any depth,</w:t>
      </w:r>
      <w:r w:rsidR="008B17DF">
        <w:t xml:space="preserve"> </w:t>
      </w:r>
      <w:r w:rsidR="00AB679B">
        <w:t xml:space="preserve">it must be acknowledged that through their </w:t>
      </w:r>
      <w:r w:rsidR="008B17DF">
        <w:t>growing confidence</w:t>
      </w:r>
      <w:r w:rsidR="00AB679B">
        <w:t>,</w:t>
      </w:r>
      <w:r w:rsidR="008B17DF">
        <w:t xml:space="preserve"> </w:t>
      </w:r>
      <w:r w:rsidR="00AB679B">
        <w:t>the</w:t>
      </w:r>
      <w:r w:rsidR="008B17DF">
        <w:t xml:space="preserve"> active </w:t>
      </w:r>
      <w:r w:rsidR="00F468AB">
        <w:t xml:space="preserve">contribution </w:t>
      </w:r>
      <w:r w:rsidR="00AB679B">
        <w:t>they made and sacrificed</w:t>
      </w:r>
      <w:r w:rsidR="00F468AB">
        <w:t xml:space="preserve"> as a result of the male absence. There was also the start of nationalised and government-controlled industry which can trace its birth to the Munitions Act. There </w:t>
      </w:r>
      <w:r w:rsidR="009E07B6">
        <w:t>were</w:t>
      </w:r>
      <w:r w:rsidR="00F468AB">
        <w:t xml:space="preserve"> changes to the social structure as the pre-war middle and upper classes started to relinquish their estates partly due to the loss of </w:t>
      </w:r>
      <w:r w:rsidR="009E07B6">
        <w:t>an</w:t>
      </w:r>
      <w:r w:rsidR="00F468AB">
        <w:t xml:space="preserve"> heir-apparent killed in the war and the lack of rental income due to the loss of manpower generally. They were also subject to huge increases in taxation that did not decrease at the cessation of hostilities.</w:t>
      </w:r>
      <w:r w:rsidR="008B17DF">
        <w:t xml:space="preserve"> The anti-war movement was strong in Wales</w:t>
      </w:r>
      <w:r w:rsidR="00257704">
        <w:t>,</w:t>
      </w:r>
      <w:r w:rsidR="008B17DF">
        <w:t xml:space="preserve"> and it goes along way today that they have acknowledged it through the many books written by Welsh historians, but more poignant to that </w:t>
      </w:r>
      <w:r w:rsidR="00A210BA">
        <w:t xml:space="preserve">is the humility of Wales to acknowledge </w:t>
      </w:r>
      <w:r w:rsidR="00C70200">
        <w:t>th</w:t>
      </w:r>
      <w:r w:rsidR="00257704">
        <w:t>at</w:t>
      </w:r>
      <w:r w:rsidR="00C70200">
        <w:t xml:space="preserve"> anti-war sentiment</w:t>
      </w:r>
      <w:r w:rsidR="00A210BA">
        <w:t xml:space="preserve"> by </w:t>
      </w:r>
      <w:r w:rsidR="008B17DF">
        <w:t>the presence in the Peace Garden of Wales in Cardiff of a memorial to the conscientious objectors.</w:t>
      </w:r>
    </w:p>
    <w:p w14:paraId="36AF0069" w14:textId="77777777" w:rsidR="00A210BA" w:rsidRDefault="00A210BA" w:rsidP="005E6154">
      <w:pPr>
        <w:jc w:val="both"/>
      </w:pPr>
    </w:p>
    <w:p w14:paraId="64A8B122" w14:textId="5234ED69" w:rsidR="002F09B5" w:rsidRDefault="00A210BA" w:rsidP="00A210BA">
      <w:pPr>
        <w:jc w:val="center"/>
      </w:pPr>
      <w:r>
        <w:rPr>
          <w:noProof/>
        </w:rPr>
        <w:drawing>
          <wp:inline distT="0" distB="0" distL="0" distR="0" wp14:anchorId="44825432" wp14:editId="7001C3D4">
            <wp:extent cx="5200650" cy="3900487"/>
            <wp:effectExtent l="0" t="0" r="0" b="5080"/>
            <wp:docPr id="66233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2858" cy="3909643"/>
                    </a:xfrm>
                    <a:prstGeom prst="rect">
                      <a:avLst/>
                    </a:prstGeom>
                    <a:noFill/>
                  </pic:spPr>
                </pic:pic>
              </a:graphicData>
            </a:graphic>
          </wp:inline>
        </w:drawing>
      </w:r>
    </w:p>
    <w:p w14:paraId="0C8953C3" w14:textId="7FAA214C" w:rsidR="00A210BA" w:rsidRDefault="00A210BA" w:rsidP="00A210BA">
      <w:pPr>
        <w:jc w:val="center"/>
        <w:rPr>
          <w:b/>
          <w:bCs/>
        </w:rPr>
      </w:pPr>
      <w:r w:rsidRPr="00A210BA">
        <w:rPr>
          <w:b/>
          <w:bCs/>
        </w:rPr>
        <w:t>Figure 1. First monument to Conscientious Objectors in Wales unveiled in 2005</w:t>
      </w:r>
      <w:r>
        <w:rPr>
          <w:b/>
          <w:bCs/>
        </w:rPr>
        <w:t xml:space="preserve"> </w:t>
      </w:r>
      <w:r>
        <w:rPr>
          <w:rStyle w:val="FootnoteReference"/>
          <w:b/>
          <w:bCs/>
        </w:rPr>
        <w:footnoteReference w:id="34"/>
      </w:r>
      <w:r w:rsidRPr="00A210BA">
        <w:rPr>
          <w:b/>
          <w:bCs/>
        </w:rPr>
        <w:t>.</w:t>
      </w:r>
    </w:p>
    <w:p w14:paraId="569BC3E8" w14:textId="77777777" w:rsidR="00906F5C" w:rsidRPr="00A210BA" w:rsidRDefault="00906F5C" w:rsidP="00A210BA">
      <w:pPr>
        <w:jc w:val="center"/>
        <w:rPr>
          <w:b/>
          <w:bCs/>
        </w:rPr>
      </w:pPr>
    </w:p>
    <w:p w14:paraId="4533C29E" w14:textId="5D2E7B49" w:rsidR="00A210BA" w:rsidRDefault="00513A6C" w:rsidP="00906F5C">
      <w:pPr>
        <w:jc w:val="both"/>
      </w:pPr>
      <w:r w:rsidRPr="00513A6C">
        <w:rPr>
          <w:b/>
          <w:bCs/>
        </w:rPr>
        <w:t>Word Count 2</w:t>
      </w:r>
      <w:r w:rsidR="00906F5C">
        <w:rPr>
          <w:b/>
          <w:bCs/>
        </w:rPr>
        <w:t>64</w:t>
      </w:r>
      <w:r w:rsidR="00A77F3C">
        <w:rPr>
          <w:b/>
          <w:bCs/>
        </w:rPr>
        <w:t>7</w:t>
      </w:r>
      <w:r w:rsidRPr="00513A6C">
        <w:rPr>
          <w:b/>
          <w:bCs/>
        </w:rPr>
        <w:t xml:space="preserve"> excluding Student Block</w:t>
      </w:r>
      <w:r w:rsidR="005C7FB9">
        <w:rPr>
          <w:b/>
          <w:bCs/>
        </w:rPr>
        <w:t>, Image Titles</w:t>
      </w:r>
      <w:r w:rsidRPr="00513A6C">
        <w:rPr>
          <w:b/>
          <w:bCs/>
        </w:rPr>
        <w:t xml:space="preserve"> and References.</w:t>
      </w:r>
      <w:r w:rsidR="00A210BA">
        <w:br w:type="page"/>
      </w:r>
    </w:p>
    <w:p w14:paraId="4E94645B" w14:textId="21E586B5" w:rsidR="002C1F16" w:rsidRPr="005C7FB9" w:rsidRDefault="002C1F16" w:rsidP="005E6154">
      <w:pPr>
        <w:jc w:val="both"/>
        <w:rPr>
          <w:b/>
          <w:bCs/>
          <w:u w:val="single"/>
        </w:rPr>
      </w:pPr>
      <w:r w:rsidRPr="005C7FB9">
        <w:rPr>
          <w:b/>
          <w:bCs/>
          <w:u w:val="single"/>
        </w:rPr>
        <w:lastRenderedPageBreak/>
        <w:t>References.</w:t>
      </w:r>
    </w:p>
    <w:p w14:paraId="0F06D193" w14:textId="3EA547C1" w:rsidR="005C7FB9" w:rsidRDefault="005C7FB9" w:rsidP="005E6154">
      <w:pPr>
        <w:jc w:val="both"/>
      </w:pPr>
      <w:r w:rsidRPr="005C7FB9">
        <w:t>Davies, John</w:t>
      </w:r>
      <w:r>
        <w:t>,</w:t>
      </w:r>
      <w:r w:rsidRPr="005C7FB9">
        <w:t xml:space="preserve"> A History Of Wales, (Penguin, London, Sept 1994)</w:t>
      </w:r>
      <w:r>
        <w:t>.</w:t>
      </w:r>
    </w:p>
    <w:p w14:paraId="3EF45492" w14:textId="672845B3" w:rsidR="002C1F16" w:rsidRDefault="002C1F16" w:rsidP="005E6154">
      <w:pPr>
        <w:jc w:val="both"/>
      </w:pPr>
      <w:r w:rsidRPr="002C1F16">
        <w:t>Degroot, Gerard J</w:t>
      </w:r>
      <w:r>
        <w:t>.,</w:t>
      </w:r>
      <w:r w:rsidRPr="002C1F16">
        <w:t xml:space="preserve"> </w:t>
      </w:r>
      <w:r w:rsidRPr="002C1F16">
        <w:rPr>
          <w:i/>
          <w:iCs/>
        </w:rPr>
        <w:t>Blighty, British Society In The Era Of The Great War</w:t>
      </w:r>
      <w:r w:rsidRPr="002C1F16">
        <w:t>, (Longman London, 1996).</w:t>
      </w:r>
    </w:p>
    <w:p w14:paraId="4EF82BE3" w14:textId="1061C63B" w:rsidR="005C7FB9" w:rsidRDefault="005C7FB9" w:rsidP="005E6154">
      <w:pPr>
        <w:jc w:val="both"/>
      </w:pPr>
      <w:r w:rsidRPr="005C7FB9">
        <w:t>James, Brigadier E.A.</w:t>
      </w:r>
      <w:r>
        <w:t>,</w:t>
      </w:r>
      <w:r w:rsidRPr="005C7FB9">
        <w:t xml:space="preserve"> </w:t>
      </w:r>
      <w:r w:rsidRPr="005C7FB9">
        <w:rPr>
          <w:i/>
          <w:iCs/>
        </w:rPr>
        <w:t>British Regiments 1914–18</w:t>
      </w:r>
      <w:r w:rsidRPr="005C7FB9">
        <w:t>, (Samson Books Limited, London, 1978).</w:t>
      </w:r>
    </w:p>
    <w:p w14:paraId="04C10837" w14:textId="2562672F" w:rsidR="002C1F16" w:rsidRDefault="002C1F16" w:rsidP="005E6154">
      <w:pPr>
        <w:jc w:val="both"/>
      </w:pPr>
      <w:r w:rsidRPr="002C1F16">
        <w:t>McDermott,</w:t>
      </w:r>
      <w:r>
        <w:t xml:space="preserve"> J.,</w:t>
      </w:r>
      <w:r w:rsidRPr="002C1F16">
        <w:t xml:space="preserve"> ‘The War Plans Of The Great Powers 1880-1914,’ 1st Ed, </w:t>
      </w:r>
      <w:r w:rsidRPr="002C1F16">
        <w:rPr>
          <w:i/>
          <w:iCs/>
        </w:rPr>
        <w:t>The Revolution In British Military Thinking From The Boar War To The Moroccan Crisis</w:t>
      </w:r>
      <w:r w:rsidRPr="002C1F16">
        <w:t>, (Routledge 2017).</w:t>
      </w:r>
    </w:p>
    <w:p w14:paraId="362473F1" w14:textId="0AD5B89F" w:rsidR="005C7FB9" w:rsidRDefault="005C7FB9" w:rsidP="005E6154">
      <w:pPr>
        <w:jc w:val="both"/>
      </w:pPr>
      <w:r w:rsidRPr="005C7FB9">
        <w:t xml:space="preserve">National Library of Wales, Welsh History Review, </w:t>
      </w:r>
      <w:r w:rsidRPr="005C7FB9">
        <w:rPr>
          <w:i/>
          <w:iCs/>
        </w:rPr>
        <w:t>Conchie: Emrys Hughes And The First World War</w:t>
      </w:r>
      <w:r w:rsidRPr="005C7FB9">
        <w:t>, Vol 13, Nos 1-4, (University of Wales Press 1987)</w:t>
      </w:r>
      <w:r>
        <w:t>.</w:t>
      </w:r>
    </w:p>
    <w:p w14:paraId="47761F35" w14:textId="7A92FD84" w:rsidR="002C1F16" w:rsidRDefault="002C1F16" w:rsidP="005E6154">
      <w:pPr>
        <w:jc w:val="both"/>
      </w:pPr>
      <w:r w:rsidRPr="002C1F16">
        <w:t>O’Leary, Paul</w:t>
      </w:r>
      <w:r>
        <w:t>,</w:t>
      </w:r>
      <w:r w:rsidRPr="002C1F16">
        <w:t xml:space="preserve"> Welsh History Review, </w:t>
      </w:r>
      <w:r w:rsidRPr="002C1F16">
        <w:rPr>
          <w:i/>
          <w:iCs/>
        </w:rPr>
        <w:t>Wales And The First World War, Themes And Debates</w:t>
      </w:r>
      <w:r w:rsidRPr="002C1F16">
        <w:t>, Vol 28, Issue 4, (University of Wales Press Dec 2017)</w:t>
      </w:r>
      <w:r>
        <w:t>.</w:t>
      </w:r>
    </w:p>
    <w:p w14:paraId="6FD8292D" w14:textId="65BE82CA" w:rsidR="005C7FB9" w:rsidRDefault="005C7FB9" w:rsidP="005E6154">
      <w:pPr>
        <w:jc w:val="both"/>
      </w:pPr>
      <w:r w:rsidRPr="005C7FB9">
        <w:t>Williams</w:t>
      </w:r>
      <w:r>
        <w:t>,</w:t>
      </w:r>
      <w:r w:rsidRPr="005C7FB9">
        <w:t xml:space="preserve"> Chris &amp; Gragoe, Matthew</w:t>
      </w:r>
      <w:r>
        <w:t>,</w:t>
      </w:r>
      <w:r w:rsidRPr="005C7FB9">
        <w:t xml:space="preserve"> </w:t>
      </w:r>
      <w:r>
        <w:t>‘</w:t>
      </w:r>
      <w:r w:rsidRPr="005C7FB9">
        <w:t xml:space="preserve">Wales And War’, </w:t>
      </w:r>
      <w:r w:rsidRPr="005C7FB9">
        <w:rPr>
          <w:i/>
          <w:iCs/>
        </w:rPr>
        <w:t>Taffs In The Trenches: Welsh National Identity And Military Service 1914-18</w:t>
      </w:r>
      <w:r w:rsidRPr="005C7FB9">
        <w:t xml:space="preserve"> (University of Wales Press Apr 2007)</w:t>
      </w:r>
      <w:r>
        <w:t>.</w:t>
      </w:r>
    </w:p>
    <w:p w14:paraId="6F96586C" w14:textId="1DAB12BB" w:rsidR="005C7FB9" w:rsidRPr="002C1F16" w:rsidRDefault="005C7FB9" w:rsidP="005E6154">
      <w:pPr>
        <w:jc w:val="both"/>
      </w:pPr>
      <w:r w:rsidRPr="005C7FB9">
        <w:t xml:space="preserve">Women’s Archive of Wales, Women; Wales And War, </w:t>
      </w:r>
      <w:hyperlink r:id="rId8" w:history="1">
        <w:r w:rsidRPr="00E21916">
          <w:rPr>
            <w:rStyle w:val="Hyperlink"/>
          </w:rPr>
          <w:t>https://www.womenandwar.wales/</w:t>
        </w:r>
      </w:hyperlink>
      <w:r>
        <w:t xml:space="preserve"> </w:t>
      </w:r>
      <w:r w:rsidRPr="005C7FB9">
        <w:t xml:space="preserve"> [accessed 7th Feb 24].</w:t>
      </w:r>
    </w:p>
    <w:p w14:paraId="0E5647B6" w14:textId="2DDAD399" w:rsidR="002F09B5" w:rsidRPr="005C7FB9" w:rsidRDefault="002F09B5" w:rsidP="005E6154">
      <w:pPr>
        <w:jc w:val="both"/>
        <w:rPr>
          <w:b/>
          <w:bCs/>
          <w:u w:val="single"/>
        </w:rPr>
      </w:pPr>
      <w:r w:rsidRPr="005C7FB9">
        <w:rPr>
          <w:b/>
          <w:bCs/>
          <w:u w:val="single"/>
        </w:rPr>
        <w:t>Bibliography.</w:t>
      </w:r>
    </w:p>
    <w:p w14:paraId="6015152C" w14:textId="446B9955" w:rsidR="002F09B5" w:rsidRPr="005C7FB9" w:rsidRDefault="002F09B5" w:rsidP="005E6154">
      <w:pPr>
        <w:jc w:val="both"/>
        <w:rPr>
          <w:b/>
          <w:bCs/>
          <w:u w:val="single"/>
        </w:rPr>
      </w:pPr>
      <w:r w:rsidRPr="005C7FB9">
        <w:rPr>
          <w:b/>
          <w:bCs/>
          <w:u w:val="single"/>
        </w:rPr>
        <w:t xml:space="preserve">Books. </w:t>
      </w:r>
    </w:p>
    <w:p w14:paraId="3A8661A0" w14:textId="77777777" w:rsidR="0062408E" w:rsidRDefault="002F09B5" w:rsidP="005E6154">
      <w:pPr>
        <w:jc w:val="both"/>
      </w:pPr>
      <w:r>
        <w:t xml:space="preserve">Barlow Robin, </w:t>
      </w:r>
      <w:r w:rsidRPr="00652E7F">
        <w:rPr>
          <w:i/>
          <w:iCs/>
        </w:rPr>
        <w:t>Wales and World War O</w:t>
      </w:r>
      <w:r w:rsidR="001C5CFC" w:rsidRPr="00652E7F">
        <w:rPr>
          <w:i/>
          <w:iCs/>
        </w:rPr>
        <w:t>ne</w:t>
      </w:r>
      <w:r w:rsidR="008E3DD2">
        <w:t>, (Llandysul: Gomer Press 2014).</w:t>
      </w:r>
    </w:p>
    <w:p w14:paraId="0B6698DC" w14:textId="6FD8D6DD" w:rsidR="005D7E6E" w:rsidRDefault="005D7E6E" w:rsidP="005E6154">
      <w:pPr>
        <w:jc w:val="both"/>
      </w:pPr>
      <w:r w:rsidRPr="005D7E6E">
        <w:t>Davies,</w:t>
      </w:r>
      <w:r>
        <w:t xml:space="preserve"> John,</w:t>
      </w:r>
      <w:r w:rsidRPr="005D7E6E">
        <w:t xml:space="preserve"> </w:t>
      </w:r>
      <w:r w:rsidRPr="005D7E6E">
        <w:rPr>
          <w:i/>
          <w:iCs/>
        </w:rPr>
        <w:t>A History Of Wales</w:t>
      </w:r>
      <w:r w:rsidRPr="005D7E6E">
        <w:t>, (Penguin, London, Sept 1994)</w:t>
      </w:r>
      <w:r w:rsidR="00140195">
        <w:t>.</w:t>
      </w:r>
    </w:p>
    <w:p w14:paraId="2C2E5F40" w14:textId="6CB7DCB6" w:rsidR="002F09B5" w:rsidRDefault="002F09B5" w:rsidP="005E6154">
      <w:pPr>
        <w:jc w:val="both"/>
      </w:pPr>
      <w:r>
        <w:t xml:space="preserve"> </w:t>
      </w:r>
      <w:r w:rsidR="0062408E" w:rsidRPr="0062408E">
        <w:t>Degroot,</w:t>
      </w:r>
      <w:r w:rsidR="0062408E">
        <w:t xml:space="preserve"> Gerard J,</w:t>
      </w:r>
      <w:r w:rsidR="0062408E" w:rsidRPr="0062408E">
        <w:t xml:space="preserve"> </w:t>
      </w:r>
      <w:r w:rsidR="0062408E" w:rsidRPr="00652E7F">
        <w:rPr>
          <w:i/>
          <w:iCs/>
        </w:rPr>
        <w:t xml:space="preserve">Blighty, British Society In The Era Of The Great War, </w:t>
      </w:r>
      <w:r w:rsidR="0062408E" w:rsidRPr="0062408E">
        <w:t>(Longman London, 1996)</w:t>
      </w:r>
      <w:r w:rsidR="00140195">
        <w:t>.</w:t>
      </w:r>
    </w:p>
    <w:p w14:paraId="599137AB" w14:textId="649B18D8" w:rsidR="00652E7F" w:rsidRDefault="00652E7F" w:rsidP="005E6154">
      <w:pPr>
        <w:jc w:val="both"/>
      </w:pPr>
      <w:r w:rsidRPr="00652E7F">
        <w:t xml:space="preserve">Eirug, </w:t>
      </w:r>
      <w:r>
        <w:t xml:space="preserve">Aled, </w:t>
      </w:r>
      <w:r w:rsidRPr="00652E7F">
        <w:rPr>
          <w:i/>
          <w:iCs/>
        </w:rPr>
        <w:t>The Opposition To The Great War 1914-1918,</w:t>
      </w:r>
      <w:r>
        <w:t xml:space="preserve"> </w:t>
      </w:r>
      <w:r w:rsidRPr="00652E7F">
        <w:t>(Cardiff University Press 2018)</w:t>
      </w:r>
      <w:r w:rsidR="00140195">
        <w:t>.</w:t>
      </w:r>
    </w:p>
    <w:p w14:paraId="39A1558A" w14:textId="585BB9EE" w:rsidR="005D7E6E" w:rsidRDefault="005D7E6E" w:rsidP="005E6154">
      <w:pPr>
        <w:jc w:val="both"/>
      </w:pPr>
      <w:r w:rsidRPr="005D7E6E">
        <w:t xml:space="preserve">James, Brigadier E.A. </w:t>
      </w:r>
      <w:r w:rsidRPr="005D7E6E">
        <w:rPr>
          <w:i/>
          <w:iCs/>
        </w:rPr>
        <w:t>British Regiments 1914–18</w:t>
      </w:r>
      <w:r w:rsidRPr="005D7E6E">
        <w:t xml:space="preserve">. </w:t>
      </w:r>
      <w:r>
        <w:t>(</w:t>
      </w:r>
      <w:r w:rsidRPr="005D7E6E">
        <w:t>Samson Books Limited</w:t>
      </w:r>
      <w:r>
        <w:t>, London, 1978)</w:t>
      </w:r>
      <w:r w:rsidRPr="005D7E6E">
        <w:t>.</w:t>
      </w:r>
    </w:p>
    <w:p w14:paraId="7BDAFB4B" w14:textId="2D14F182" w:rsidR="0062408E" w:rsidRDefault="0062408E" w:rsidP="005E6154">
      <w:pPr>
        <w:jc w:val="both"/>
      </w:pPr>
      <w:r w:rsidRPr="0062408E">
        <w:t>McDermott,</w:t>
      </w:r>
      <w:r>
        <w:t xml:space="preserve"> J.,</w:t>
      </w:r>
      <w:r w:rsidRPr="0062408E">
        <w:t xml:space="preserve"> </w:t>
      </w:r>
      <w:r w:rsidRPr="00652E7F">
        <w:rPr>
          <w:i/>
          <w:iCs/>
        </w:rPr>
        <w:t>The War Plans Of The Great Powers 1880-1914</w:t>
      </w:r>
      <w:r w:rsidRPr="0062408E">
        <w:t xml:space="preserve">, 1st Ed, </w:t>
      </w:r>
      <w:r>
        <w:t>(</w:t>
      </w:r>
      <w:r w:rsidRPr="0062408E">
        <w:t>Routledge 2017</w:t>
      </w:r>
      <w:r>
        <w:t>)</w:t>
      </w:r>
      <w:r w:rsidR="00140195">
        <w:t>.</w:t>
      </w:r>
    </w:p>
    <w:p w14:paraId="453F049E" w14:textId="7D17EDD5" w:rsidR="00652E7F" w:rsidRDefault="00652E7F" w:rsidP="005E6154">
      <w:pPr>
        <w:jc w:val="both"/>
      </w:pPr>
      <w:r w:rsidRPr="00652E7F">
        <w:t>Williams</w:t>
      </w:r>
      <w:r>
        <w:t>, Chris</w:t>
      </w:r>
      <w:r w:rsidRPr="00652E7F">
        <w:t xml:space="preserve"> &amp; Matthew Gragoe, </w:t>
      </w:r>
      <w:r w:rsidRPr="005D7E6E">
        <w:rPr>
          <w:i/>
          <w:iCs/>
        </w:rPr>
        <w:t>Wales and War,</w:t>
      </w:r>
      <w:r w:rsidRPr="005D7E6E">
        <w:rPr>
          <w:b/>
          <w:bCs/>
        </w:rPr>
        <w:t xml:space="preserve"> </w:t>
      </w:r>
      <w:r w:rsidRPr="00652E7F">
        <w:t>(University of Wales Press Apr 2007).</w:t>
      </w:r>
    </w:p>
    <w:p w14:paraId="4667FD78" w14:textId="7D6D95E8" w:rsidR="00652E7F" w:rsidRPr="005C7FB9" w:rsidRDefault="00652E7F" w:rsidP="005E6154">
      <w:pPr>
        <w:jc w:val="both"/>
        <w:rPr>
          <w:b/>
          <w:bCs/>
          <w:u w:val="single"/>
        </w:rPr>
      </w:pPr>
      <w:r w:rsidRPr="005C7FB9">
        <w:rPr>
          <w:b/>
          <w:bCs/>
          <w:u w:val="single"/>
        </w:rPr>
        <w:t>Journals</w:t>
      </w:r>
      <w:r w:rsidR="002C1F16" w:rsidRPr="005C7FB9">
        <w:rPr>
          <w:b/>
          <w:bCs/>
          <w:u w:val="single"/>
        </w:rPr>
        <w:t>.</w:t>
      </w:r>
    </w:p>
    <w:p w14:paraId="24856CEE" w14:textId="6B072C26" w:rsidR="00652E7F" w:rsidRDefault="00652E7F" w:rsidP="005E6154">
      <w:pPr>
        <w:jc w:val="both"/>
      </w:pPr>
      <w:r w:rsidRPr="00652E7F">
        <w:t>O’Leary,</w:t>
      </w:r>
      <w:r>
        <w:t xml:space="preserve"> Paul,</w:t>
      </w:r>
      <w:r w:rsidRPr="00652E7F">
        <w:t xml:space="preserve"> Welsh History Review, </w:t>
      </w:r>
      <w:r w:rsidRPr="00652E7F">
        <w:rPr>
          <w:i/>
          <w:iCs/>
        </w:rPr>
        <w:t>Wales And The First World War, Themes And Debates,</w:t>
      </w:r>
      <w:r w:rsidRPr="00652E7F">
        <w:t xml:space="preserve"> (University of Wales Press Dec 2017)</w:t>
      </w:r>
      <w:r w:rsidR="00140195">
        <w:t>.</w:t>
      </w:r>
    </w:p>
    <w:p w14:paraId="1C45C15F" w14:textId="137C79FE" w:rsidR="005D7E6E" w:rsidRDefault="005D7E6E" w:rsidP="005E6154">
      <w:pPr>
        <w:jc w:val="both"/>
      </w:pPr>
      <w:r w:rsidRPr="005D7E6E">
        <w:t xml:space="preserve">National Library of Wales, Welsh History Review, </w:t>
      </w:r>
      <w:r w:rsidRPr="005D7E6E">
        <w:rPr>
          <w:i/>
          <w:iCs/>
        </w:rPr>
        <w:t>Conchie: Emrys Hughes And The First World War</w:t>
      </w:r>
      <w:r>
        <w:t xml:space="preserve">, </w:t>
      </w:r>
      <w:r w:rsidRPr="005D7E6E">
        <w:t>(University of Wales Press 1987)</w:t>
      </w:r>
      <w:r>
        <w:t>.</w:t>
      </w:r>
    </w:p>
    <w:p w14:paraId="36644318" w14:textId="701CE269" w:rsidR="005D7E6E" w:rsidRPr="005C7FB9" w:rsidRDefault="005D7E6E" w:rsidP="005E6154">
      <w:pPr>
        <w:jc w:val="both"/>
        <w:rPr>
          <w:b/>
          <w:bCs/>
          <w:u w:val="single"/>
        </w:rPr>
      </w:pPr>
      <w:r w:rsidRPr="005C7FB9">
        <w:rPr>
          <w:b/>
          <w:bCs/>
          <w:u w:val="single"/>
        </w:rPr>
        <w:t>Internet and Other Publications</w:t>
      </w:r>
      <w:r w:rsidR="002C1F16" w:rsidRPr="005C7FB9">
        <w:rPr>
          <w:b/>
          <w:bCs/>
          <w:u w:val="single"/>
        </w:rPr>
        <w:t>.</w:t>
      </w:r>
    </w:p>
    <w:p w14:paraId="5E89BE19" w14:textId="577E8699" w:rsidR="00140195" w:rsidRPr="00D65EBA" w:rsidRDefault="00D65EBA" w:rsidP="005E6154">
      <w:pPr>
        <w:jc w:val="both"/>
      </w:pPr>
      <w:r w:rsidRPr="00D65EBA">
        <w:t xml:space="preserve">Women’s Archive of Wales, Women; Wales And War, </w:t>
      </w:r>
      <w:hyperlink r:id="rId9" w:history="1">
        <w:r w:rsidRPr="00E21916">
          <w:rPr>
            <w:rStyle w:val="Hyperlink"/>
          </w:rPr>
          <w:t>https://www.womenandwar.wales/</w:t>
        </w:r>
      </w:hyperlink>
      <w:r>
        <w:t xml:space="preserve"> </w:t>
      </w:r>
      <w:r w:rsidRPr="00D65EBA">
        <w:t xml:space="preserve"> [accessed 7th Feb 24].</w:t>
      </w:r>
    </w:p>
    <w:p w14:paraId="1475B26F" w14:textId="1F26BD2C" w:rsidR="00140195" w:rsidRPr="005D7E6E" w:rsidRDefault="00140195" w:rsidP="005E6154">
      <w:pPr>
        <w:jc w:val="both"/>
        <w:rPr>
          <w:b/>
          <w:bCs/>
        </w:rPr>
      </w:pPr>
      <w:r w:rsidRPr="005C7FB9">
        <w:rPr>
          <w:b/>
          <w:bCs/>
          <w:u w:val="single"/>
        </w:rPr>
        <w:t>Images</w:t>
      </w:r>
      <w:r w:rsidR="002C1F16">
        <w:rPr>
          <w:b/>
          <w:bCs/>
        </w:rPr>
        <w:t>.</w:t>
      </w:r>
    </w:p>
    <w:p w14:paraId="308D9143" w14:textId="7553D355" w:rsidR="005D7E6E" w:rsidRDefault="005D7E6E" w:rsidP="005E6154">
      <w:pPr>
        <w:jc w:val="both"/>
      </w:pPr>
      <w:r w:rsidRPr="005D7E6E">
        <w:t xml:space="preserve">Welsh Centre For International Affairs, </w:t>
      </w:r>
      <w:r w:rsidRPr="005D7E6E">
        <w:rPr>
          <w:i/>
          <w:iCs/>
        </w:rPr>
        <w:t>Conscientous Objectors Memorial Stone</w:t>
      </w:r>
      <w:r w:rsidRPr="005D7E6E">
        <w:t xml:space="preserve">, </w:t>
      </w:r>
      <w:r>
        <w:t>[</w:t>
      </w:r>
      <w:r w:rsidRPr="005D7E6E">
        <w:t>accessed 6th Feb 24].</w:t>
      </w:r>
    </w:p>
    <w:sectPr w:rsidR="005D7E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E8C59" w14:textId="77777777" w:rsidR="00CF66B5" w:rsidRDefault="00CF66B5" w:rsidP="00D01029">
      <w:pPr>
        <w:spacing w:after="0" w:line="240" w:lineRule="auto"/>
      </w:pPr>
      <w:r>
        <w:separator/>
      </w:r>
    </w:p>
  </w:endnote>
  <w:endnote w:type="continuationSeparator" w:id="0">
    <w:p w14:paraId="5A09ADCD" w14:textId="77777777" w:rsidR="00CF66B5" w:rsidRDefault="00CF66B5" w:rsidP="00D01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353049"/>
      <w:docPartObj>
        <w:docPartGallery w:val="Page Numbers (Bottom of Page)"/>
        <w:docPartUnique/>
      </w:docPartObj>
    </w:sdtPr>
    <w:sdtEndPr>
      <w:rPr>
        <w:noProof/>
      </w:rPr>
    </w:sdtEndPr>
    <w:sdtContent>
      <w:p w14:paraId="151B19B1" w14:textId="088D1816" w:rsidR="005F1ED7" w:rsidRDefault="005F1E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C2B4D6" w14:textId="77777777" w:rsidR="005F1ED7" w:rsidRDefault="005F1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33B40" w14:textId="77777777" w:rsidR="00CF66B5" w:rsidRDefault="00CF66B5" w:rsidP="00D01029">
      <w:pPr>
        <w:spacing w:after="0" w:line="240" w:lineRule="auto"/>
      </w:pPr>
      <w:r>
        <w:separator/>
      </w:r>
    </w:p>
  </w:footnote>
  <w:footnote w:type="continuationSeparator" w:id="0">
    <w:p w14:paraId="153E22AF" w14:textId="77777777" w:rsidR="00CF66B5" w:rsidRDefault="00CF66B5" w:rsidP="00D01029">
      <w:pPr>
        <w:spacing w:after="0" w:line="240" w:lineRule="auto"/>
      </w:pPr>
      <w:r>
        <w:continuationSeparator/>
      </w:r>
    </w:p>
  </w:footnote>
  <w:footnote w:id="1">
    <w:p w14:paraId="1814BCAD" w14:textId="1CE85AF7" w:rsidR="00D01029" w:rsidRDefault="00D01029">
      <w:pPr>
        <w:pStyle w:val="FootnoteText"/>
      </w:pPr>
      <w:r>
        <w:rPr>
          <w:rStyle w:val="FootnoteReference"/>
        </w:rPr>
        <w:footnoteRef/>
      </w:r>
      <w:r>
        <w:t xml:space="preserve"> </w:t>
      </w:r>
      <w:bookmarkStart w:id="0" w:name="_Hlk158096593"/>
      <w:bookmarkStart w:id="1" w:name="_Hlk158190057"/>
      <w:r>
        <w:t xml:space="preserve">Gerard J Degroot, </w:t>
      </w:r>
      <w:bookmarkStart w:id="2" w:name="_Hlk157944236"/>
      <w:r w:rsidRPr="00D01029">
        <w:rPr>
          <w:i/>
          <w:iCs/>
        </w:rPr>
        <w:t>Blighty, British Society In The Era Of The Great War,</w:t>
      </w:r>
      <w:bookmarkEnd w:id="2"/>
      <w:r>
        <w:t xml:space="preserve"> (Longman London, 1996)</w:t>
      </w:r>
      <w:bookmarkEnd w:id="0"/>
      <w:r>
        <w:t>, p3</w:t>
      </w:r>
      <w:r w:rsidR="00D65EBA">
        <w:t>.</w:t>
      </w:r>
      <w:bookmarkEnd w:id="1"/>
    </w:p>
  </w:footnote>
  <w:footnote w:id="2">
    <w:p w14:paraId="0CF4E1D9" w14:textId="2A949353" w:rsidR="00B37DF5" w:rsidRDefault="00B37DF5" w:rsidP="00140195">
      <w:pPr>
        <w:pStyle w:val="FootnoteText"/>
        <w:ind w:left="142" w:hanging="142"/>
      </w:pPr>
      <w:r>
        <w:rPr>
          <w:rStyle w:val="FootnoteReference"/>
        </w:rPr>
        <w:footnoteRef/>
      </w:r>
      <w:r>
        <w:t xml:space="preserve"> </w:t>
      </w:r>
      <w:bookmarkStart w:id="3" w:name="_Hlk158096669"/>
      <w:bookmarkStart w:id="4" w:name="_Hlk158190135"/>
      <w:r>
        <w:t xml:space="preserve">J McDermott, </w:t>
      </w:r>
      <w:r w:rsidR="00551D76">
        <w:t>‘</w:t>
      </w:r>
      <w:r>
        <w:t>The War Plans Of The Great Powers</w:t>
      </w:r>
      <w:r w:rsidR="007541BF">
        <w:t xml:space="preserve"> 1880-1914</w:t>
      </w:r>
      <w:r>
        <w:t>,</w:t>
      </w:r>
      <w:r w:rsidR="00551D76">
        <w:t>’</w:t>
      </w:r>
      <w:r>
        <w:t xml:space="preserve"> 1</w:t>
      </w:r>
      <w:r w:rsidRPr="00B37DF5">
        <w:rPr>
          <w:vertAlign w:val="superscript"/>
        </w:rPr>
        <w:t>st</w:t>
      </w:r>
      <w:r>
        <w:t xml:space="preserve"> Ed, </w:t>
      </w:r>
      <w:r w:rsidRPr="00B37DF5">
        <w:rPr>
          <w:i/>
          <w:iCs/>
        </w:rPr>
        <w:t>The Revolution In British Military Thinking From The Boar War To The Moroccan Crisis</w:t>
      </w:r>
      <w:r>
        <w:t xml:space="preserve">, </w:t>
      </w:r>
      <w:r w:rsidR="00551D76">
        <w:t>(</w:t>
      </w:r>
      <w:r>
        <w:t>Routledge 2017</w:t>
      </w:r>
      <w:bookmarkEnd w:id="3"/>
      <w:r w:rsidR="00551D76">
        <w:t>)</w:t>
      </w:r>
      <w:r>
        <w:t>, p101.</w:t>
      </w:r>
      <w:bookmarkEnd w:id="4"/>
    </w:p>
  </w:footnote>
  <w:footnote w:id="3">
    <w:p w14:paraId="0A49AEA9" w14:textId="18F67DBD" w:rsidR="00CA0296" w:rsidRDefault="00CA0296">
      <w:pPr>
        <w:pStyle w:val="FootnoteText"/>
      </w:pPr>
      <w:r>
        <w:rPr>
          <w:rStyle w:val="FootnoteReference"/>
        </w:rPr>
        <w:footnoteRef/>
      </w:r>
      <w:r>
        <w:t xml:space="preserve"> Degroot, </w:t>
      </w:r>
      <w:r w:rsidRPr="00CA0296">
        <w:rPr>
          <w:i/>
          <w:iCs/>
        </w:rPr>
        <w:t>Blighty, British Society In The Era Of The Great War</w:t>
      </w:r>
      <w:r w:rsidRPr="00CA0296">
        <w:t xml:space="preserve">, </w:t>
      </w:r>
      <w:r>
        <w:t xml:space="preserve">ibid </w:t>
      </w:r>
      <w:r w:rsidRPr="00CA0296">
        <w:t>p</w:t>
      </w:r>
      <w:r>
        <w:t>4</w:t>
      </w:r>
      <w:r w:rsidR="00D65EBA">
        <w:t>.</w:t>
      </w:r>
    </w:p>
  </w:footnote>
  <w:footnote w:id="4">
    <w:p w14:paraId="2E2D9D71" w14:textId="4342847E" w:rsidR="00AB58F4" w:rsidRDefault="00AB58F4">
      <w:pPr>
        <w:pStyle w:val="FootnoteText"/>
      </w:pPr>
      <w:r>
        <w:rPr>
          <w:rStyle w:val="FootnoteReference"/>
        </w:rPr>
        <w:footnoteRef/>
      </w:r>
      <w:r>
        <w:t xml:space="preserve"> Ibid p5</w:t>
      </w:r>
      <w:r w:rsidR="00D65EBA">
        <w:t>.</w:t>
      </w:r>
    </w:p>
  </w:footnote>
  <w:footnote w:id="5">
    <w:p w14:paraId="40664B6A" w14:textId="69E19E87" w:rsidR="00CA0296" w:rsidRDefault="00CA0296">
      <w:pPr>
        <w:pStyle w:val="FootnoteText"/>
      </w:pPr>
      <w:r>
        <w:rPr>
          <w:rStyle w:val="FootnoteReference"/>
        </w:rPr>
        <w:footnoteRef/>
      </w:r>
      <w:r>
        <w:t xml:space="preserve"> Ibid p</w:t>
      </w:r>
      <w:r w:rsidR="00AB58F4">
        <w:t xml:space="preserve">p </w:t>
      </w:r>
      <w:r>
        <w:t>5</w:t>
      </w:r>
      <w:r w:rsidR="00AB58F4">
        <w:t>-6</w:t>
      </w:r>
      <w:r w:rsidR="00D65EBA">
        <w:t>.</w:t>
      </w:r>
    </w:p>
  </w:footnote>
  <w:footnote w:id="6">
    <w:p w14:paraId="0C48FDD6" w14:textId="1233E4F1" w:rsidR="00465C00" w:rsidRDefault="00465C00">
      <w:pPr>
        <w:pStyle w:val="FootnoteText"/>
      </w:pPr>
      <w:r>
        <w:rPr>
          <w:rStyle w:val="FootnoteReference"/>
        </w:rPr>
        <w:footnoteRef/>
      </w:r>
      <w:r>
        <w:t xml:space="preserve"> Ibid p7.</w:t>
      </w:r>
    </w:p>
  </w:footnote>
  <w:footnote w:id="7">
    <w:p w14:paraId="6111CEF3" w14:textId="0F8B8932" w:rsidR="00DF4323" w:rsidRDefault="00DF4323">
      <w:pPr>
        <w:pStyle w:val="FootnoteText"/>
      </w:pPr>
      <w:r>
        <w:rPr>
          <w:rStyle w:val="FootnoteReference"/>
        </w:rPr>
        <w:footnoteRef/>
      </w:r>
      <w:r>
        <w:t xml:space="preserve"> </w:t>
      </w:r>
      <w:bookmarkStart w:id="5" w:name="_Hlk158096820"/>
      <w:r w:rsidRPr="00DF4323">
        <w:t xml:space="preserve">Aled Eirug, </w:t>
      </w:r>
      <w:r w:rsidRPr="00B14907">
        <w:rPr>
          <w:i/>
          <w:iCs/>
        </w:rPr>
        <w:t>The Opposition To The Great War 1914-1918</w:t>
      </w:r>
      <w:r w:rsidRPr="00DF4323">
        <w:t>,(Cardiff University Press 2018)</w:t>
      </w:r>
      <w:bookmarkEnd w:id="5"/>
      <w:r w:rsidRPr="00DF4323">
        <w:t>, p xv-xvi</w:t>
      </w:r>
      <w:r w:rsidR="00D65EBA">
        <w:t>.</w:t>
      </w:r>
    </w:p>
  </w:footnote>
  <w:footnote w:id="8">
    <w:p w14:paraId="0D7B5AFD" w14:textId="11FD968E" w:rsidR="00DF4323" w:rsidRDefault="00DF4323" w:rsidP="00140195">
      <w:pPr>
        <w:pStyle w:val="FootnoteText"/>
        <w:ind w:left="142" w:hanging="142"/>
      </w:pPr>
      <w:r>
        <w:rPr>
          <w:rStyle w:val="FootnoteReference"/>
        </w:rPr>
        <w:footnoteRef/>
      </w:r>
      <w:r>
        <w:t xml:space="preserve">Paul O’Leary, Welsh History Review, </w:t>
      </w:r>
      <w:r w:rsidRPr="00B14907">
        <w:rPr>
          <w:i/>
          <w:iCs/>
        </w:rPr>
        <w:t>Wales And The First World War</w:t>
      </w:r>
      <w:r w:rsidR="00102354" w:rsidRPr="00B14907">
        <w:rPr>
          <w:i/>
          <w:iCs/>
        </w:rPr>
        <w:t>, Themes And Debates</w:t>
      </w:r>
      <w:r>
        <w:t xml:space="preserve">, Vol 28, Issue 4, </w:t>
      </w:r>
      <w:r w:rsidR="00102354">
        <w:t>(</w:t>
      </w:r>
      <w:bookmarkStart w:id="6" w:name="_Hlk158019599"/>
      <w:r w:rsidR="00102354">
        <w:t>University of Wales Press Dec 2017</w:t>
      </w:r>
      <w:bookmarkEnd w:id="6"/>
      <w:r w:rsidR="00102354">
        <w:t>), p 596.</w:t>
      </w:r>
      <w:r>
        <w:t xml:space="preserve"> </w:t>
      </w:r>
    </w:p>
  </w:footnote>
  <w:footnote w:id="9">
    <w:p w14:paraId="31B9A190" w14:textId="771B0912" w:rsidR="00976B99" w:rsidRDefault="00976B99">
      <w:pPr>
        <w:pStyle w:val="FootnoteText"/>
      </w:pPr>
      <w:r>
        <w:rPr>
          <w:rStyle w:val="FootnoteReference"/>
        </w:rPr>
        <w:footnoteRef/>
      </w:r>
      <w:r>
        <w:t xml:space="preserve"> </w:t>
      </w:r>
      <w:bookmarkStart w:id="7" w:name="_Hlk158039121"/>
      <w:r>
        <w:t xml:space="preserve">Aled Eirug, </w:t>
      </w:r>
      <w:r w:rsidRPr="00976B99">
        <w:rPr>
          <w:i/>
          <w:iCs/>
        </w:rPr>
        <w:t>The Opposition To The Great War 1914-1918</w:t>
      </w:r>
      <w:r w:rsidR="00102354">
        <w:t>, Ibid p xv</w:t>
      </w:r>
      <w:bookmarkEnd w:id="7"/>
      <w:r w:rsidR="00D65EBA">
        <w:t>.</w:t>
      </w:r>
    </w:p>
  </w:footnote>
  <w:footnote w:id="10">
    <w:p w14:paraId="1102632C" w14:textId="6A88CB33" w:rsidR="00102354" w:rsidRDefault="00102354" w:rsidP="00140195">
      <w:pPr>
        <w:pStyle w:val="FootnoteText"/>
        <w:ind w:left="142" w:hanging="142"/>
      </w:pPr>
      <w:r>
        <w:rPr>
          <w:rStyle w:val="FootnoteReference"/>
        </w:rPr>
        <w:footnoteRef/>
      </w:r>
      <w:r>
        <w:t xml:space="preserve"> Chris Williams</w:t>
      </w:r>
      <w:r w:rsidR="00723B63">
        <w:t xml:space="preserve"> &amp; Matthew Gragoe</w:t>
      </w:r>
      <w:r>
        <w:t>,</w:t>
      </w:r>
      <w:r w:rsidR="00723B63" w:rsidRPr="00723B63">
        <w:t xml:space="preserve"> </w:t>
      </w:r>
      <w:r w:rsidR="00551D76">
        <w:t>‘</w:t>
      </w:r>
      <w:r w:rsidR="00723B63" w:rsidRPr="00723B63">
        <w:t xml:space="preserve">Wales </w:t>
      </w:r>
      <w:r w:rsidR="00D65EBA">
        <w:t>A</w:t>
      </w:r>
      <w:r w:rsidR="00723B63" w:rsidRPr="00723B63">
        <w:t>nd War</w:t>
      </w:r>
      <w:r w:rsidR="00551D76">
        <w:t>’</w:t>
      </w:r>
      <w:r w:rsidR="00723B63" w:rsidRPr="00723B63">
        <w:t>,</w:t>
      </w:r>
      <w:r w:rsidR="00723B63">
        <w:t xml:space="preserve"> </w:t>
      </w:r>
      <w:r w:rsidRPr="00551D76">
        <w:rPr>
          <w:i/>
          <w:iCs/>
        </w:rPr>
        <w:t>Taffs In The Trenches</w:t>
      </w:r>
      <w:r w:rsidR="00706C69" w:rsidRPr="00551D76">
        <w:rPr>
          <w:i/>
          <w:iCs/>
        </w:rPr>
        <w:t>: Welsh National Identity And Military Service 1914-18</w:t>
      </w:r>
      <w:r w:rsidR="00723B63">
        <w:t xml:space="preserve"> </w:t>
      </w:r>
      <w:r w:rsidR="005E6154">
        <w:t>(</w:t>
      </w:r>
      <w:r w:rsidR="005E6154" w:rsidRPr="005E6154">
        <w:t xml:space="preserve">University of Wales Press </w:t>
      </w:r>
      <w:r w:rsidR="005E6154">
        <w:t>Apr</w:t>
      </w:r>
      <w:r w:rsidR="005E6154" w:rsidRPr="005E6154">
        <w:t xml:space="preserve"> 20</w:t>
      </w:r>
      <w:r w:rsidR="005E6154">
        <w:t>0</w:t>
      </w:r>
      <w:r w:rsidR="005E6154" w:rsidRPr="005E6154">
        <w:t>7</w:t>
      </w:r>
      <w:r w:rsidR="005E6154">
        <w:t>)</w:t>
      </w:r>
      <w:r w:rsidR="00706C69">
        <w:t xml:space="preserve"> p126.</w:t>
      </w:r>
    </w:p>
  </w:footnote>
  <w:footnote w:id="11">
    <w:p w14:paraId="49900A83" w14:textId="6337E36F" w:rsidR="005E6154" w:rsidRDefault="005E6154">
      <w:pPr>
        <w:pStyle w:val="FootnoteText"/>
      </w:pPr>
      <w:r>
        <w:rPr>
          <w:rStyle w:val="FootnoteReference"/>
        </w:rPr>
        <w:footnoteRef/>
      </w:r>
      <w:r>
        <w:t xml:space="preserve"> </w:t>
      </w:r>
      <w:bookmarkStart w:id="8" w:name="_Hlk158097297"/>
      <w:r>
        <w:t xml:space="preserve">John Davies, </w:t>
      </w:r>
      <w:r w:rsidRPr="005E6154">
        <w:rPr>
          <w:i/>
          <w:iCs/>
        </w:rPr>
        <w:t>A History Of Wales</w:t>
      </w:r>
      <w:r>
        <w:t>, (Penguin, London, Sept 1994)</w:t>
      </w:r>
      <w:bookmarkEnd w:id="8"/>
      <w:r>
        <w:t>, p498</w:t>
      </w:r>
      <w:r w:rsidR="00D65EBA">
        <w:t>.</w:t>
      </w:r>
    </w:p>
  </w:footnote>
  <w:footnote w:id="12">
    <w:p w14:paraId="358FDC88" w14:textId="721D08BD" w:rsidR="00BE2166" w:rsidRDefault="00BE2166">
      <w:pPr>
        <w:pStyle w:val="FootnoteText"/>
      </w:pPr>
      <w:r>
        <w:rPr>
          <w:rStyle w:val="FootnoteReference"/>
        </w:rPr>
        <w:footnoteRef/>
      </w:r>
      <w:r>
        <w:t xml:space="preserve"> </w:t>
      </w:r>
      <w:bookmarkStart w:id="9" w:name="_Hlk158024140"/>
      <w:r w:rsidRPr="00BE2166">
        <w:t xml:space="preserve">Degroot, </w:t>
      </w:r>
      <w:r w:rsidRPr="00B14907">
        <w:rPr>
          <w:i/>
          <w:iCs/>
        </w:rPr>
        <w:t>Blighty, British Society In The Era Of The Great War,</w:t>
      </w:r>
      <w:r w:rsidRPr="00BE2166">
        <w:t xml:space="preserve"> ibid p4</w:t>
      </w:r>
      <w:r>
        <w:t>9</w:t>
      </w:r>
      <w:bookmarkEnd w:id="9"/>
      <w:r w:rsidR="00D65EBA">
        <w:t>.</w:t>
      </w:r>
    </w:p>
  </w:footnote>
  <w:footnote w:id="13">
    <w:p w14:paraId="3C7DE1B3" w14:textId="6CCA1949" w:rsidR="00581F84" w:rsidRDefault="00581F84">
      <w:pPr>
        <w:pStyle w:val="FootnoteText"/>
      </w:pPr>
      <w:r>
        <w:rPr>
          <w:rStyle w:val="FootnoteReference"/>
        </w:rPr>
        <w:footnoteRef/>
      </w:r>
      <w:r>
        <w:t xml:space="preserve"> </w:t>
      </w:r>
      <w:r w:rsidR="005C7FB9" w:rsidRPr="005C7FB9">
        <w:t>Brigadier E.A</w:t>
      </w:r>
      <w:r w:rsidR="005C7FB9">
        <w:t>.</w:t>
      </w:r>
      <w:r w:rsidRPr="00581F84">
        <w:t xml:space="preserve">James, </w:t>
      </w:r>
      <w:r w:rsidRPr="00B14907">
        <w:rPr>
          <w:i/>
          <w:iCs/>
        </w:rPr>
        <w:t>British Regiments 1914–18</w:t>
      </w:r>
      <w:r w:rsidR="00551D76">
        <w:t>,</w:t>
      </w:r>
      <w:r w:rsidRPr="00581F84">
        <w:t xml:space="preserve"> </w:t>
      </w:r>
      <w:r w:rsidR="00551D76" w:rsidRPr="00551D76">
        <w:t>(Samson Books Limited</w:t>
      </w:r>
      <w:r w:rsidR="00551D76">
        <w:t>, London,</w:t>
      </w:r>
      <w:r w:rsidR="00551D76" w:rsidRPr="00551D76">
        <w:t xml:space="preserve"> 1978)</w:t>
      </w:r>
      <w:r w:rsidR="005C7FB9">
        <w:t>,</w:t>
      </w:r>
      <w:r>
        <w:t xml:space="preserve"> p 67.</w:t>
      </w:r>
    </w:p>
  </w:footnote>
  <w:footnote w:id="14">
    <w:p w14:paraId="3D882B62" w14:textId="5EE53EAF" w:rsidR="00414E93" w:rsidRDefault="00414E93">
      <w:pPr>
        <w:pStyle w:val="FootnoteText"/>
      </w:pPr>
      <w:r>
        <w:rPr>
          <w:rStyle w:val="FootnoteReference"/>
        </w:rPr>
        <w:footnoteRef/>
      </w:r>
      <w:r>
        <w:t xml:space="preserve"> </w:t>
      </w:r>
      <w:bookmarkStart w:id="10" w:name="_Hlk158044471"/>
      <w:r w:rsidRPr="00414E93">
        <w:t xml:space="preserve">Degroot, </w:t>
      </w:r>
      <w:r w:rsidRPr="00B14907">
        <w:rPr>
          <w:i/>
          <w:iCs/>
        </w:rPr>
        <w:t>Blighty, British Society In The Era Of The Great War,</w:t>
      </w:r>
      <w:r w:rsidRPr="00414E93">
        <w:t xml:space="preserve"> ibid p</w:t>
      </w:r>
      <w:r>
        <w:t>92</w:t>
      </w:r>
      <w:bookmarkEnd w:id="10"/>
      <w:r w:rsidR="00D65EBA">
        <w:t>.</w:t>
      </w:r>
    </w:p>
  </w:footnote>
  <w:footnote w:id="15">
    <w:p w14:paraId="3380FF87" w14:textId="1BA29B84" w:rsidR="00414E93" w:rsidRDefault="00414E93">
      <w:pPr>
        <w:pStyle w:val="FootnoteText"/>
      </w:pPr>
      <w:r>
        <w:rPr>
          <w:rStyle w:val="FootnoteReference"/>
        </w:rPr>
        <w:footnoteRef/>
      </w:r>
      <w:r>
        <w:t xml:space="preserve"> Ibid p 94</w:t>
      </w:r>
      <w:r w:rsidR="00D65EBA">
        <w:t>.</w:t>
      </w:r>
    </w:p>
  </w:footnote>
  <w:footnote w:id="16">
    <w:p w14:paraId="6AF2C737" w14:textId="281666D7" w:rsidR="00FC633C" w:rsidRDefault="00FC633C">
      <w:pPr>
        <w:pStyle w:val="FootnoteText"/>
      </w:pPr>
      <w:r>
        <w:rPr>
          <w:rStyle w:val="FootnoteReference"/>
        </w:rPr>
        <w:footnoteRef/>
      </w:r>
      <w:r>
        <w:t xml:space="preserve"> Ibid p96.</w:t>
      </w:r>
    </w:p>
  </w:footnote>
  <w:footnote w:id="17">
    <w:p w14:paraId="78A60628" w14:textId="20FA10F9" w:rsidR="00BB3BC1" w:rsidRDefault="00BB3BC1" w:rsidP="00140195">
      <w:pPr>
        <w:pStyle w:val="FootnoteText"/>
        <w:ind w:left="284" w:hanging="284"/>
      </w:pPr>
      <w:r>
        <w:rPr>
          <w:rStyle w:val="FootnoteReference"/>
        </w:rPr>
        <w:footnoteRef/>
      </w:r>
      <w:r>
        <w:t xml:space="preserve"> </w:t>
      </w:r>
      <w:bookmarkStart w:id="11" w:name="_Hlk158190637"/>
      <w:bookmarkStart w:id="12" w:name="_Hlk158038428"/>
      <w:r w:rsidR="00082416">
        <w:t>National</w:t>
      </w:r>
      <w:r>
        <w:t xml:space="preserve"> Library of Wale</w:t>
      </w:r>
      <w:r w:rsidR="00B14907">
        <w:t>s</w:t>
      </w:r>
      <w:r>
        <w:t xml:space="preserve">, Welsh History Review, </w:t>
      </w:r>
      <w:r w:rsidR="002F09B5" w:rsidRPr="00B14907">
        <w:rPr>
          <w:i/>
          <w:iCs/>
        </w:rPr>
        <w:t>Conchie: Em</w:t>
      </w:r>
      <w:r w:rsidR="00082416" w:rsidRPr="00B14907">
        <w:rPr>
          <w:i/>
          <w:iCs/>
        </w:rPr>
        <w:t>r</w:t>
      </w:r>
      <w:r w:rsidR="002F09B5" w:rsidRPr="00B14907">
        <w:rPr>
          <w:i/>
          <w:iCs/>
        </w:rPr>
        <w:t>ys Hughes And The First World War,</w:t>
      </w:r>
      <w:r w:rsidR="002F09B5">
        <w:t xml:space="preserve"> Vol 13, Nos 1-4,</w:t>
      </w:r>
      <w:r w:rsidR="00551D76">
        <w:t xml:space="preserve"> (University of Wales Press 1987),</w:t>
      </w:r>
      <w:r w:rsidR="002F09B5">
        <w:t xml:space="preserve"> </w:t>
      </w:r>
      <w:bookmarkEnd w:id="11"/>
      <w:r w:rsidR="002F09B5">
        <w:t>pp 337-338.</w:t>
      </w:r>
      <w:bookmarkEnd w:id="12"/>
    </w:p>
  </w:footnote>
  <w:footnote w:id="18">
    <w:p w14:paraId="23C6D011" w14:textId="4834C58F" w:rsidR="009F3DF7" w:rsidRDefault="009F3DF7">
      <w:pPr>
        <w:pStyle w:val="FootnoteText"/>
      </w:pPr>
      <w:r>
        <w:rPr>
          <w:rStyle w:val="FootnoteReference"/>
        </w:rPr>
        <w:footnoteRef/>
      </w:r>
      <w:r>
        <w:t xml:space="preserve"> </w:t>
      </w:r>
      <w:r w:rsidRPr="009F3DF7">
        <w:t xml:space="preserve"> Paul O’Leary, </w:t>
      </w:r>
      <w:r w:rsidRPr="00B14907">
        <w:rPr>
          <w:i/>
          <w:iCs/>
        </w:rPr>
        <w:t>Wales And The First World War, Themes And Debates</w:t>
      </w:r>
      <w:r>
        <w:t>, Ibid p595</w:t>
      </w:r>
      <w:r w:rsidR="00D65EBA">
        <w:t>.</w:t>
      </w:r>
    </w:p>
  </w:footnote>
  <w:footnote w:id="19">
    <w:p w14:paraId="6987155B" w14:textId="74BA27F6" w:rsidR="00082416" w:rsidRDefault="00082416" w:rsidP="00140195">
      <w:pPr>
        <w:pStyle w:val="FootnoteText"/>
        <w:ind w:left="284" w:hanging="284"/>
      </w:pPr>
      <w:r>
        <w:rPr>
          <w:rStyle w:val="FootnoteReference"/>
        </w:rPr>
        <w:footnoteRef/>
      </w:r>
      <w:r>
        <w:t xml:space="preserve"> </w:t>
      </w:r>
      <w:r w:rsidRPr="00082416">
        <w:t xml:space="preserve">National Library of Wales, Welsh History Review, (1987), </w:t>
      </w:r>
      <w:r w:rsidRPr="00B14907">
        <w:rPr>
          <w:i/>
          <w:iCs/>
        </w:rPr>
        <w:t>Conchie: Emrys Hughes And The First World War,</w:t>
      </w:r>
      <w:r w:rsidRPr="00082416">
        <w:t xml:space="preserve"> </w:t>
      </w:r>
      <w:r>
        <w:t>ibid pp 328-</w:t>
      </w:r>
      <w:r w:rsidR="005C7FB9">
        <w:t>3</w:t>
      </w:r>
      <w:r>
        <w:t>52.</w:t>
      </w:r>
    </w:p>
  </w:footnote>
  <w:footnote w:id="20">
    <w:p w14:paraId="1A93E13D" w14:textId="7ACA0B07" w:rsidR="004F2BB9" w:rsidRDefault="004F2BB9">
      <w:pPr>
        <w:pStyle w:val="FootnoteText"/>
      </w:pPr>
      <w:r>
        <w:rPr>
          <w:rStyle w:val="FootnoteReference"/>
        </w:rPr>
        <w:footnoteRef/>
      </w:r>
      <w:r>
        <w:t xml:space="preserve"> </w:t>
      </w:r>
      <w:bookmarkStart w:id="13" w:name="_Hlk158090944"/>
      <w:r w:rsidRPr="004F2BB9">
        <w:t xml:space="preserve">Aled Eirug, </w:t>
      </w:r>
      <w:r w:rsidRPr="00B14907">
        <w:rPr>
          <w:i/>
          <w:iCs/>
        </w:rPr>
        <w:t>The Opposition To The Great War 1914-1918</w:t>
      </w:r>
      <w:r w:rsidRPr="004F2BB9">
        <w:t>,</w:t>
      </w:r>
      <w:bookmarkEnd w:id="13"/>
      <w:r w:rsidRPr="004F2BB9">
        <w:t xml:space="preserve"> Ibid p </w:t>
      </w:r>
      <w:r>
        <w:t>49-51.</w:t>
      </w:r>
    </w:p>
  </w:footnote>
  <w:footnote w:id="21">
    <w:p w14:paraId="7F8621D1" w14:textId="2B8BD80A" w:rsidR="00E43906" w:rsidRDefault="00E43906">
      <w:pPr>
        <w:pStyle w:val="FootnoteText"/>
      </w:pPr>
      <w:r>
        <w:rPr>
          <w:rStyle w:val="FootnoteReference"/>
        </w:rPr>
        <w:footnoteRef/>
      </w:r>
      <w:r>
        <w:t xml:space="preserve"> Ibid p82</w:t>
      </w:r>
      <w:r w:rsidR="00D65EBA">
        <w:t>.</w:t>
      </w:r>
    </w:p>
  </w:footnote>
  <w:footnote w:id="22">
    <w:p w14:paraId="6F730E22" w14:textId="2EEBD059" w:rsidR="003A4A38" w:rsidRDefault="003A4A38">
      <w:pPr>
        <w:pStyle w:val="FootnoteText"/>
      </w:pPr>
      <w:r>
        <w:rPr>
          <w:rStyle w:val="FootnoteReference"/>
        </w:rPr>
        <w:footnoteRef/>
      </w:r>
      <w:r>
        <w:t xml:space="preserve"> </w:t>
      </w:r>
      <w:bookmarkStart w:id="15" w:name="_Hlk158042873"/>
      <w:r w:rsidRPr="003A4A38">
        <w:t xml:space="preserve">Ibid p </w:t>
      </w:r>
      <w:r>
        <w:t>18-19</w:t>
      </w:r>
      <w:bookmarkEnd w:id="15"/>
      <w:r w:rsidR="00D65EBA">
        <w:t>.</w:t>
      </w:r>
    </w:p>
  </w:footnote>
  <w:footnote w:id="23">
    <w:p w14:paraId="7583FC1C" w14:textId="27A4C292" w:rsidR="001C5CFC" w:rsidRDefault="001C5CFC">
      <w:pPr>
        <w:pStyle w:val="FootnoteText"/>
      </w:pPr>
      <w:r>
        <w:rPr>
          <w:rStyle w:val="FootnoteReference"/>
        </w:rPr>
        <w:footnoteRef/>
      </w:r>
      <w:r>
        <w:t xml:space="preserve"> Ibid p33</w:t>
      </w:r>
      <w:r w:rsidR="00D65EBA">
        <w:t>.</w:t>
      </w:r>
    </w:p>
  </w:footnote>
  <w:footnote w:id="24">
    <w:p w14:paraId="14F394C3" w14:textId="5E6422A1" w:rsidR="00C73FA6" w:rsidRDefault="00C73FA6">
      <w:pPr>
        <w:pStyle w:val="FootnoteText"/>
      </w:pPr>
      <w:r>
        <w:rPr>
          <w:rStyle w:val="FootnoteReference"/>
        </w:rPr>
        <w:footnoteRef/>
      </w:r>
      <w:r>
        <w:t xml:space="preserve"> Ibid p169.</w:t>
      </w:r>
    </w:p>
  </w:footnote>
  <w:footnote w:id="25">
    <w:p w14:paraId="182DD80D" w14:textId="0F982A03" w:rsidR="00EB3E8C" w:rsidRDefault="00EB3E8C">
      <w:pPr>
        <w:pStyle w:val="FootnoteText"/>
      </w:pPr>
      <w:r>
        <w:rPr>
          <w:rStyle w:val="FootnoteReference"/>
        </w:rPr>
        <w:footnoteRef/>
      </w:r>
      <w:r>
        <w:t xml:space="preserve"> </w:t>
      </w:r>
      <w:bookmarkStart w:id="16" w:name="_Hlk158091009"/>
      <w:r w:rsidRPr="00EB3E8C">
        <w:t xml:space="preserve">Degroot, </w:t>
      </w:r>
      <w:r w:rsidRPr="00B14907">
        <w:rPr>
          <w:i/>
          <w:iCs/>
        </w:rPr>
        <w:t>Blighty, British Society In The Era Of The Great War,</w:t>
      </w:r>
      <w:r w:rsidRPr="00EB3E8C">
        <w:t xml:space="preserve"> ibid p</w:t>
      </w:r>
      <w:r>
        <w:t>198</w:t>
      </w:r>
      <w:bookmarkEnd w:id="16"/>
      <w:r>
        <w:t>.</w:t>
      </w:r>
    </w:p>
  </w:footnote>
  <w:footnote w:id="26">
    <w:p w14:paraId="544FC972" w14:textId="42E2D5B4" w:rsidR="00E61ED0" w:rsidRDefault="00E61ED0">
      <w:pPr>
        <w:pStyle w:val="FootnoteText"/>
      </w:pPr>
      <w:r>
        <w:rPr>
          <w:rStyle w:val="FootnoteReference"/>
        </w:rPr>
        <w:footnoteRef/>
      </w:r>
      <w:r>
        <w:t xml:space="preserve"> Ibid p218.</w:t>
      </w:r>
    </w:p>
  </w:footnote>
  <w:footnote w:id="27">
    <w:p w14:paraId="6ECB219B" w14:textId="20115441" w:rsidR="004E7AC0" w:rsidRDefault="004E7AC0" w:rsidP="00140195">
      <w:pPr>
        <w:pStyle w:val="FootnoteText"/>
        <w:ind w:left="284" w:hanging="284"/>
      </w:pPr>
      <w:r>
        <w:rPr>
          <w:rStyle w:val="FootnoteReference"/>
        </w:rPr>
        <w:footnoteRef/>
      </w:r>
      <w:r w:rsidR="00140195">
        <w:t xml:space="preserve"> </w:t>
      </w:r>
      <w:bookmarkStart w:id="17" w:name="_Hlk158190743"/>
      <w:bookmarkStart w:id="18" w:name="_Hlk158189735"/>
      <w:r w:rsidR="00D65EBA">
        <w:t>Women’s</w:t>
      </w:r>
      <w:r w:rsidR="00140195">
        <w:t xml:space="preserve"> Archive of Wales, Women; Wales And War,</w:t>
      </w:r>
      <w:r>
        <w:t xml:space="preserve"> </w:t>
      </w:r>
      <w:hyperlink r:id="rId1" w:history="1">
        <w:r w:rsidR="00140195" w:rsidRPr="00E21916">
          <w:rPr>
            <w:rStyle w:val="Hyperlink"/>
          </w:rPr>
          <w:t>https://www.womenandwar.wales/</w:t>
        </w:r>
      </w:hyperlink>
      <w:r w:rsidR="00140195">
        <w:t xml:space="preserve"> [accessed 7</w:t>
      </w:r>
      <w:r w:rsidR="00140195" w:rsidRPr="00140195">
        <w:rPr>
          <w:vertAlign w:val="superscript"/>
        </w:rPr>
        <w:t>th</w:t>
      </w:r>
      <w:r w:rsidR="00140195">
        <w:t xml:space="preserve"> Feb 24].</w:t>
      </w:r>
      <w:bookmarkEnd w:id="17"/>
    </w:p>
    <w:bookmarkEnd w:id="18"/>
  </w:footnote>
  <w:footnote w:id="28">
    <w:p w14:paraId="5918B042" w14:textId="1D92E211" w:rsidR="00EB3E8C" w:rsidRDefault="00EB3E8C">
      <w:pPr>
        <w:pStyle w:val="FootnoteText"/>
      </w:pPr>
      <w:r>
        <w:rPr>
          <w:rStyle w:val="FootnoteReference"/>
        </w:rPr>
        <w:footnoteRef/>
      </w:r>
      <w:r>
        <w:t xml:space="preserve"> </w:t>
      </w:r>
      <w:r w:rsidR="00FA7D38">
        <w:t>Ibid p106.</w:t>
      </w:r>
    </w:p>
  </w:footnote>
  <w:footnote w:id="29">
    <w:p w14:paraId="0EF630F7" w14:textId="76186AA4" w:rsidR="00BB05EA" w:rsidRDefault="00BB05EA">
      <w:pPr>
        <w:pStyle w:val="FootnoteText"/>
      </w:pPr>
      <w:r>
        <w:rPr>
          <w:rStyle w:val="FootnoteReference"/>
        </w:rPr>
        <w:footnoteRef/>
      </w:r>
      <w:r>
        <w:t xml:space="preserve"> </w:t>
      </w:r>
      <w:bookmarkStart w:id="19" w:name="_Hlk158093043"/>
      <w:r w:rsidR="008071FD" w:rsidRPr="008071FD">
        <w:t xml:space="preserve">Aled Eirug, </w:t>
      </w:r>
      <w:r w:rsidR="008071FD" w:rsidRPr="00A210BA">
        <w:rPr>
          <w:i/>
          <w:iCs/>
        </w:rPr>
        <w:t>The Opposition To The Great War 1914-1918</w:t>
      </w:r>
      <w:r w:rsidR="008071FD" w:rsidRPr="008071FD">
        <w:t>,</w:t>
      </w:r>
      <w:r w:rsidR="009E07B6">
        <w:t xml:space="preserve"> </w:t>
      </w:r>
      <w:r>
        <w:t>Ibid p88</w:t>
      </w:r>
      <w:bookmarkEnd w:id="19"/>
      <w:r>
        <w:t>.</w:t>
      </w:r>
    </w:p>
  </w:footnote>
  <w:footnote w:id="30">
    <w:p w14:paraId="6B5F7E08" w14:textId="76C92584" w:rsidR="008071FD" w:rsidRDefault="008071FD">
      <w:pPr>
        <w:pStyle w:val="FootnoteText"/>
      </w:pPr>
      <w:r>
        <w:rPr>
          <w:rStyle w:val="FootnoteReference"/>
        </w:rPr>
        <w:footnoteRef/>
      </w:r>
      <w:r>
        <w:t xml:space="preserve"> </w:t>
      </w:r>
      <w:r w:rsidRPr="008071FD">
        <w:t xml:space="preserve">Degroot, </w:t>
      </w:r>
      <w:r w:rsidRPr="00A210BA">
        <w:rPr>
          <w:i/>
          <w:iCs/>
        </w:rPr>
        <w:t>Blighty, British Society In The Era Of The Great War, ibid</w:t>
      </w:r>
      <w:r w:rsidRPr="008071FD">
        <w:t xml:space="preserve"> p</w:t>
      </w:r>
      <w:r>
        <w:t>115</w:t>
      </w:r>
      <w:r w:rsidR="00D65EBA">
        <w:t>.</w:t>
      </w:r>
    </w:p>
  </w:footnote>
  <w:footnote w:id="31">
    <w:p w14:paraId="10EA54B5" w14:textId="0E57D1CF" w:rsidR="00D77B9B" w:rsidRDefault="00D77B9B">
      <w:pPr>
        <w:pStyle w:val="FootnoteText"/>
      </w:pPr>
      <w:r>
        <w:rPr>
          <w:rStyle w:val="FootnoteReference"/>
        </w:rPr>
        <w:footnoteRef/>
      </w:r>
      <w:r>
        <w:t xml:space="preserve"> Ibid p83, p114.</w:t>
      </w:r>
    </w:p>
  </w:footnote>
  <w:footnote w:id="32">
    <w:p w14:paraId="09BE23FE" w14:textId="53DA0652" w:rsidR="007A2C61" w:rsidRDefault="007A2C61">
      <w:pPr>
        <w:pStyle w:val="FootnoteText"/>
      </w:pPr>
      <w:r>
        <w:rPr>
          <w:rStyle w:val="FootnoteReference"/>
        </w:rPr>
        <w:footnoteRef/>
      </w:r>
      <w:r>
        <w:t xml:space="preserve"> </w:t>
      </w:r>
      <w:r w:rsidR="001242DE" w:rsidRPr="001242DE">
        <w:t>Aled Eirug, The Opposition To The Great War 1914-1918, Ibid p</w:t>
      </w:r>
      <w:r w:rsidR="00D65EBA">
        <w:t xml:space="preserve"> </w:t>
      </w:r>
      <w:r w:rsidR="001242DE">
        <w:t>xvi</w:t>
      </w:r>
      <w:r w:rsidR="001242DE" w:rsidRPr="001242DE">
        <w:t>.</w:t>
      </w:r>
    </w:p>
  </w:footnote>
  <w:footnote w:id="33">
    <w:p w14:paraId="54671C4C" w14:textId="44E73CE8" w:rsidR="00DE628C" w:rsidRDefault="00DE628C">
      <w:pPr>
        <w:pStyle w:val="FootnoteText"/>
      </w:pPr>
      <w:r>
        <w:rPr>
          <w:rStyle w:val="FootnoteReference"/>
        </w:rPr>
        <w:footnoteRef/>
      </w:r>
      <w:r>
        <w:t xml:space="preserve"> </w:t>
      </w:r>
      <w:r w:rsidRPr="00DE628C">
        <w:t xml:space="preserve">Aled Eirug, </w:t>
      </w:r>
      <w:r w:rsidRPr="00A210BA">
        <w:rPr>
          <w:i/>
          <w:iCs/>
        </w:rPr>
        <w:t>The Opposition To The Great War 1914-1918,</w:t>
      </w:r>
      <w:r w:rsidR="009E07B6">
        <w:t xml:space="preserve"> </w:t>
      </w:r>
      <w:r w:rsidRPr="00DE628C">
        <w:t>Ibid p</w:t>
      </w:r>
      <w:r>
        <w:t>167.</w:t>
      </w:r>
    </w:p>
  </w:footnote>
  <w:footnote w:id="34">
    <w:p w14:paraId="3CCC69CE" w14:textId="4D6E0BC3" w:rsidR="00A210BA" w:rsidRDefault="00A210BA">
      <w:pPr>
        <w:pStyle w:val="FootnoteText"/>
      </w:pPr>
      <w:r>
        <w:rPr>
          <w:rStyle w:val="FootnoteReference"/>
        </w:rPr>
        <w:footnoteRef/>
      </w:r>
      <w:r>
        <w:t xml:space="preserve"> Welsh Centre For International Affairs, </w:t>
      </w:r>
      <w:r w:rsidR="00D65EBA" w:rsidRPr="00A210BA">
        <w:rPr>
          <w:i/>
          <w:iCs/>
        </w:rPr>
        <w:t>Conscientious</w:t>
      </w:r>
      <w:r w:rsidRPr="00A210BA">
        <w:rPr>
          <w:i/>
          <w:iCs/>
        </w:rPr>
        <w:t xml:space="preserve"> Objectors Memorial Stone</w:t>
      </w:r>
      <w:r>
        <w:t xml:space="preserve">, </w:t>
      </w:r>
      <w:hyperlink r:id="rId2" w:history="1">
        <w:r w:rsidRPr="007342F2">
          <w:rPr>
            <w:rStyle w:val="Hyperlink"/>
          </w:rPr>
          <w:t>https://www.wcia.org.uk/conscientious-objectors-stone/</w:t>
        </w:r>
      </w:hyperlink>
      <w:r>
        <w:t xml:space="preserve"> accessed [6</w:t>
      </w:r>
      <w:r w:rsidRPr="00A210BA">
        <w:rPr>
          <w:vertAlign w:val="superscript"/>
        </w:rPr>
        <w:t>th</w:t>
      </w:r>
      <w:r>
        <w:t xml:space="preserve"> Feb 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3DA"/>
    <w:rsid w:val="000351DC"/>
    <w:rsid w:val="00082416"/>
    <w:rsid w:val="00102354"/>
    <w:rsid w:val="001242DE"/>
    <w:rsid w:val="00140195"/>
    <w:rsid w:val="001500B6"/>
    <w:rsid w:val="00195ABE"/>
    <w:rsid w:val="001C5CFC"/>
    <w:rsid w:val="00257704"/>
    <w:rsid w:val="00274921"/>
    <w:rsid w:val="002C1F16"/>
    <w:rsid w:val="002F09B5"/>
    <w:rsid w:val="002F197C"/>
    <w:rsid w:val="003007E9"/>
    <w:rsid w:val="00330EB0"/>
    <w:rsid w:val="00347993"/>
    <w:rsid w:val="00372FB2"/>
    <w:rsid w:val="00383D21"/>
    <w:rsid w:val="003A4A38"/>
    <w:rsid w:val="003D2289"/>
    <w:rsid w:val="00414E93"/>
    <w:rsid w:val="004618F8"/>
    <w:rsid w:val="00463DD1"/>
    <w:rsid w:val="00465C00"/>
    <w:rsid w:val="004E7AC0"/>
    <w:rsid w:val="004F2BB9"/>
    <w:rsid w:val="00513A6C"/>
    <w:rsid w:val="00540003"/>
    <w:rsid w:val="00551D76"/>
    <w:rsid w:val="00575A84"/>
    <w:rsid w:val="00581F84"/>
    <w:rsid w:val="00592A4C"/>
    <w:rsid w:val="00594A24"/>
    <w:rsid w:val="005C7FB9"/>
    <w:rsid w:val="005D7E6E"/>
    <w:rsid w:val="005E6154"/>
    <w:rsid w:val="005F1ED7"/>
    <w:rsid w:val="0062408E"/>
    <w:rsid w:val="00652E7F"/>
    <w:rsid w:val="00676902"/>
    <w:rsid w:val="006B2C03"/>
    <w:rsid w:val="00703F39"/>
    <w:rsid w:val="00706C69"/>
    <w:rsid w:val="00723B63"/>
    <w:rsid w:val="00727E57"/>
    <w:rsid w:val="007541BF"/>
    <w:rsid w:val="0076043F"/>
    <w:rsid w:val="007A2C61"/>
    <w:rsid w:val="007D0860"/>
    <w:rsid w:val="008071FD"/>
    <w:rsid w:val="008B17DF"/>
    <w:rsid w:val="008B784B"/>
    <w:rsid w:val="008D3F9D"/>
    <w:rsid w:val="008E3DD2"/>
    <w:rsid w:val="008F6AE2"/>
    <w:rsid w:val="00906F5C"/>
    <w:rsid w:val="00976B99"/>
    <w:rsid w:val="009C2B02"/>
    <w:rsid w:val="009C70E6"/>
    <w:rsid w:val="009E07B6"/>
    <w:rsid w:val="009F3DF7"/>
    <w:rsid w:val="00A149C7"/>
    <w:rsid w:val="00A210BA"/>
    <w:rsid w:val="00A25CA5"/>
    <w:rsid w:val="00A77F3C"/>
    <w:rsid w:val="00AB58F4"/>
    <w:rsid w:val="00AB679B"/>
    <w:rsid w:val="00AF33CE"/>
    <w:rsid w:val="00B0562F"/>
    <w:rsid w:val="00B14907"/>
    <w:rsid w:val="00B25BE0"/>
    <w:rsid w:val="00B37DF5"/>
    <w:rsid w:val="00B503DA"/>
    <w:rsid w:val="00BA1775"/>
    <w:rsid w:val="00BB05EA"/>
    <w:rsid w:val="00BB3BC1"/>
    <w:rsid w:val="00BE2166"/>
    <w:rsid w:val="00C07838"/>
    <w:rsid w:val="00C46D7B"/>
    <w:rsid w:val="00C70200"/>
    <w:rsid w:val="00C728C3"/>
    <w:rsid w:val="00C73FA6"/>
    <w:rsid w:val="00C82C39"/>
    <w:rsid w:val="00CA0296"/>
    <w:rsid w:val="00CD7431"/>
    <w:rsid w:val="00CF66B5"/>
    <w:rsid w:val="00D01029"/>
    <w:rsid w:val="00D20854"/>
    <w:rsid w:val="00D65EBA"/>
    <w:rsid w:val="00D77B9B"/>
    <w:rsid w:val="00DB22E1"/>
    <w:rsid w:val="00DE628C"/>
    <w:rsid w:val="00DF4323"/>
    <w:rsid w:val="00E1592F"/>
    <w:rsid w:val="00E43906"/>
    <w:rsid w:val="00E61ED0"/>
    <w:rsid w:val="00E971F2"/>
    <w:rsid w:val="00EB3E8C"/>
    <w:rsid w:val="00EC32AC"/>
    <w:rsid w:val="00F2398C"/>
    <w:rsid w:val="00F468AB"/>
    <w:rsid w:val="00FA7D38"/>
    <w:rsid w:val="00FC6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D2E8"/>
  <w15:chartTrackingRefBased/>
  <w15:docId w15:val="{F6A4FFEA-BCD7-44CB-9C39-F9C6DDBC1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3D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010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1029"/>
    <w:rPr>
      <w:sz w:val="20"/>
      <w:szCs w:val="20"/>
    </w:rPr>
  </w:style>
  <w:style w:type="character" w:styleId="FootnoteReference">
    <w:name w:val="footnote reference"/>
    <w:basedOn w:val="DefaultParagraphFont"/>
    <w:uiPriority w:val="99"/>
    <w:semiHidden/>
    <w:unhideWhenUsed/>
    <w:rsid w:val="00D01029"/>
    <w:rPr>
      <w:vertAlign w:val="superscript"/>
    </w:rPr>
  </w:style>
  <w:style w:type="paragraph" w:styleId="Header">
    <w:name w:val="header"/>
    <w:basedOn w:val="Normal"/>
    <w:link w:val="HeaderChar"/>
    <w:uiPriority w:val="99"/>
    <w:unhideWhenUsed/>
    <w:rsid w:val="005F1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ED7"/>
  </w:style>
  <w:style w:type="paragraph" w:styleId="Footer">
    <w:name w:val="footer"/>
    <w:basedOn w:val="Normal"/>
    <w:link w:val="FooterChar"/>
    <w:uiPriority w:val="99"/>
    <w:unhideWhenUsed/>
    <w:rsid w:val="005F1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ED7"/>
  </w:style>
  <w:style w:type="character" w:styleId="Hyperlink">
    <w:name w:val="Hyperlink"/>
    <w:basedOn w:val="DefaultParagraphFont"/>
    <w:uiPriority w:val="99"/>
    <w:unhideWhenUsed/>
    <w:rsid w:val="00A210BA"/>
    <w:rPr>
      <w:color w:val="0563C1" w:themeColor="hyperlink"/>
      <w:u w:val="single"/>
    </w:rPr>
  </w:style>
  <w:style w:type="character" w:styleId="UnresolvedMention">
    <w:name w:val="Unresolved Mention"/>
    <w:basedOn w:val="DefaultParagraphFont"/>
    <w:uiPriority w:val="99"/>
    <w:semiHidden/>
    <w:unhideWhenUsed/>
    <w:rsid w:val="00A21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menandwar.wal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omenandwar.wale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wcia.org.uk/conscientious-objectors-stone/" TargetMode="External"/><Relationship Id="rId1" Type="http://schemas.openxmlformats.org/officeDocument/2006/relationships/hyperlink" Target="https://www.womenandwa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8AD9E-D5D7-4132-B9F4-1DD3CE0C5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6</Pages>
  <Words>2473</Words>
  <Characters>14100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44</cp:revision>
  <dcterms:created xsi:type="dcterms:W3CDTF">2024-01-29T16:14:00Z</dcterms:created>
  <dcterms:modified xsi:type="dcterms:W3CDTF">2024-02-07T10:49:00Z</dcterms:modified>
</cp:coreProperties>
</file>