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1. Introduction</w:t>
      </w:r>
    </w:p>
    <w:p w:rsidR="00000000" w:rsidDel="00000000" w:rsidP="00000000" w:rsidRDefault="00000000" w:rsidRPr="00000000" w14:paraId="00000002">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03">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use of firearms by police officers in England and Wales is one of the most scrutinised aspects of modern-day UK policing. Unlike the United States and many European countries, England and Wales do not routinely arm their officers; instead, firearms are only carried by specially trained officers. Authorised Firearms Officers (AFOs) are only deployed to the most serious incidents. The use of firearms is statistically rare, and the consequences of using a firearm against another person can be deadly. Following the police’s deployment and use of firearms within England and Wales, when death or serious injury has been caused, this can invite legal, political and public scrutiny not only to the officer(s) involved but to the police service nationally. The accountability procedures relating to the police’s use of firearms within England and Wales are governed by legal frameworks enacted by parliament and policies by the College of Policing. The use of force in question must be to achieve a lawful objective and must be reasonable in the circumstances of its use. The </w:t>
      </w:r>
      <w:r w:rsidDel="00000000" w:rsidR="00000000" w:rsidRPr="00000000">
        <w:rPr>
          <w:rFonts w:ascii="Times New Roman" w:cs="Times New Roman" w:eastAsia="Times New Roman" w:hAnsi="Times New Roman"/>
          <w:i w:val="1"/>
          <w:iCs w:val="1"/>
          <w:color w:val="0e101a"/>
          <w:sz w:val="24"/>
          <w:szCs w:val="24"/>
          <w:rtl w:val="0"/>
        </w:rPr>
        <w:t xml:space="preserve">European Convention on Human Rights (ECHR)</w:t>
      </w:r>
      <w:r w:rsidDel="00000000" w:rsidR="00000000" w:rsidRPr="00000000">
        <w:rPr>
          <w:rFonts w:ascii="Times New Roman" w:cs="Times New Roman" w:eastAsia="Times New Roman" w:hAnsi="Times New Roman"/>
          <w:color w:val="0e101a"/>
          <w:sz w:val="24"/>
          <w:szCs w:val="24"/>
          <w:rtl w:val="0"/>
        </w:rPr>
        <w:t xml:space="preserve"> is the overarching obligation of rights for police officers to follow, with several articles providing relevance to the accountability of armed officers. </w:t>
      </w:r>
      <w:r w:rsidDel="00000000" w:rsidR="00000000" w:rsidRPr="00000000">
        <w:rPr>
          <w:rFonts w:ascii="Times New Roman" w:cs="Times New Roman" w:eastAsia="Times New Roman" w:hAnsi="Times New Roman"/>
          <w:i w:val="1"/>
          <w:iCs w:val="1"/>
          <w:color w:val="0e101a"/>
          <w:sz w:val="24"/>
          <w:szCs w:val="24"/>
          <w:rtl w:val="0"/>
        </w:rPr>
        <w:t xml:space="preserve">Section 3(1) Criminal Law Act 1967, Section 117 Police and Criminal Evidence Act (PACE) 1984, Common Law, Section 76 of the Criminal Justice and Immigration Act 2008 and the Police Conduct Regulations (2020)</w:t>
      </w:r>
      <w:r w:rsidDel="00000000" w:rsidR="00000000" w:rsidRPr="00000000">
        <w:rPr>
          <w:rFonts w:ascii="Times New Roman" w:cs="Times New Roman" w:eastAsia="Times New Roman" w:hAnsi="Times New Roman"/>
          <w:color w:val="0e101a"/>
          <w:sz w:val="24"/>
          <w:szCs w:val="24"/>
          <w:rtl w:val="0"/>
        </w:rPr>
        <w:t xml:space="preserve"> are of relevance (College of Policing, 2023).</w:t>
      </w:r>
    </w:p>
    <w:p w:rsidR="00000000" w:rsidDel="00000000" w:rsidP="00000000" w:rsidRDefault="00000000" w:rsidRPr="00000000" w14:paraId="00000004">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05">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This literature review will examine the effectiveness of current accountability procedures for the lawful and proportionate use of firearms by police officers in England and Wales. The accountability procedures currently in place for AFOs within England and Wales are understood as the standards expected to be held by a constable within the police services as governed by the code of ethics and the standards of professional behaviour, acts of parliament, independent reviews of incidents conducted by an internal forces professional standards department (PSD) and the Independent Office of Police Conduct (IOPC), post-incident procedures and His Majesty's Inspectorate of Constabulary and Fire &amp; Rescue Services (HMICFRS) reports for organisational feedback and learning. The effectiveness of these procedures will be reviewed to evaluate whether or not these accountability methods act as a safeguarding method for the police service and government against the public and media’s scrutiny, or whether the policies and organisations in question are acting in the interest of the public, ensuring the lawful and proportionate use of firearms by police officers in England and Wales.</w:t>
      </w:r>
    </w:p>
    <w:p w:rsidR="00000000" w:rsidDel="00000000" w:rsidP="00000000" w:rsidRDefault="00000000" w:rsidRPr="00000000" w14:paraId="00000006">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07">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2. Police Use of Firearms within England and Wales</w:t>
      </w:r>
    </w:p>
    <w:p w:rsidR="00000000" w:rsidDel="00000000" w:rsidP="00000000" w:rsidRDefault="00000000" w:rsidRPr="00000000" w14:paraId="00000008">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09">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Police’s use of firearms within England and Wales can be described as a rare event, as opposed to a routine tactic that is used. Home Office (2025) highlights the latest annual statistics for use of firearms between April 2024 and March 2025, in which there were 17,249 firearms operations throughout England and Wales, but only 4 incidents in which firearms were discharged at persons (0.02% of total firearm operations).  Relating this to the past 10 years, the highest discharge at persons year was April 2018 - 2019 at 13 discharges at persons, the average discharges at persons per year is 6.3.</w:t>
      </w:r>
    </w:p>
    <w:p w:rsidR="00000000" w:rsidDel="00000000" w:rsidP="00000000" w:rsidRDefault="00000000" w:rsidRPr="00000000" w14:paraId="0000000A">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0B">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However exceptional these statistics are, the impact of firearm discharge on a person, on the officer(s) involved, the person the firearm has been discharged at, the families, the police force and the public far outweighs the frequency that they occur. Squires and Kennison (2010) argue that a single police shooting incident can result in shaping the public’s perception of the police for decades, which is very important in modern-day England and Wales policing, which relies upon policing with the public's consent. In opposition to this, Hanway (2024) suggests that the public respond less favourably to police officers carrying firearms; however, the presence of armed officers and isolated firearm discharges alone do not damage long-term public trust, justice, and the decision-making quality taken by police is far more impactful on decreasing the public's long-term trust. </w:t>
      </w:r>
    </w:p>
    <w:p w:rsidR="00000000" w:rsidDel="00000000" w:rsidP="00000000" w:rsidRDefault="00000000" w:rsidRPr="00000000" w14:paraId="0000000C">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0D">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Increases in armed deployments and discharges of persons may be a result of a reflection of the current threats and counterterrorism risks within England and Wales, rather than an increase in AFOs wanting to use lethal force (The Home Office, 2025). Bradford (2024) contests that the public's trust in the police has fluctuated over the past 25-year period, regardless of isolated firearm discharges, due to factors such as fairness, transparency, and overall performance. This has a significant impact on the accountability procedures for police firearms use, as it demonstrates that they are most effective when there is clear evidence shown by the AFO(s) that the decision made to discharge the firearm was lawful, proportionate, and would withstand public scrutiny. This shows that in England and Wales, the importance of the reported threat that AFOs pose is less important to the public than the accountability procedures that take place to review the use of lethal force following the discharge of a firearm.</w:t>
      </w:r>
    </w:p>
    <w:p w:rsidR="00000000" w:rsidDel="00000000" w:rsidP="00000000" w:rsidRDefault="00000000" w:rsidRPr="00000000" w14:paraId="0000000E">
      <w:pPr>
        <w:spacing w:line="480" w:lineRule="auto"/>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0F">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3. Current Accountability Framework for Police Firearm Use</w:t>
      </w:r>
    </w:p>
    <w:p w:rsidR="00000000" w:rsidDel="00000000" w:rsidP="00000000" w:rsidRDefault="00000000" w:rsidRPr="00000000" w14:paraId="00000010">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11">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current accountability framework for the use of firearms by police in England and Wales can be seen through combining Acts of Parliament (legislation), the professional standards and accountability that a police officer holding the office of constable must follow, the independent oversight and reviews conducted on the police, human rights arguments and obligations, and inspections conducted by HMICFRS. The effectiveness of the accountability framework currently in place remains contested among most. Torrible (2020) asserts that the balance of being independent but still providing oversight to the police can undermine the accountability of external bodies such as the IOPC; however, independent oversight of the police complaints system is critical. The Home Office (2020) argues that a significant improvement of the IOPC has taken place since its establishment; the timeliness and quality of the decision-making process that takes place by the IOPC reinforces the accountability for officers, ensuring the force used is lawful and proportionate, independently of their internal organisation. </w:t>
      </w:r>
    </w:p>
    <w:p w:rsidR="00000000" w:rsidDel="00000000" w:rsidP="00000000" w:rsidRDefault="00000000" w:rsidRPr="00000000" w14:paraId="00000012">
      <w:pPr>
        <w:spacing w:line="480" w:lineRule="auto"/>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13">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3.1 Authorised Professional Practice &amp; European Convention on Human Rights</w:t>
      </w:r>
    </w:p>
    <w:p w:rsidR="00000000" w:rsidDel="00000000" w:rsidP="00000000" w:rsidRDefault="00000000" w:rsidRPr="00000000" w14:paraId="00000014">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15">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Accountability for the professional standards for armed policing is set out by Authorised Professional Practice (APP), created by the College of Policing. The APP guarantees the protection of the ECHR,  namely, Article 2, in which lethal force may only be used where it is no more than absolutely necessary to protect life, as per McCann and Others v. United Kingdom (1995). The ECHR clarified that accountability does not only stand with the individual officer's actions but also the planning and control of the operation as a whole. This is taken into consideration with the APP, which emphasises all decisions made in line with the National Decision Making Model (NDMM), the police decision-making model, relating to deployment rather than on a singular officer. Chapman (2014) argues that professional standards and accountability processes can lack transparency and independence from the investigation. When accountability procedures are internally investigated, there is a risk that they can become an attempt to be compliant with guidance contrary to whether the use of force decision-making genuinely meets the McCann threshold of being absolutely necessary. McFarlane and Amin (2021) support this, stating the importance of investigating bodies recognising the evident organisational, cultural, and supervisory impact on decision-making. Organisational culture and an officer’s supervisor can have a huge impact on how the APP and a force's policy can be interpreted and applied, therefore affecting the decisions an officer may take at a deployment.</w:t>
      </w:r>
    </w:p>
    <w:p w:rsidR="00000000" w:rsidDel="00000000" w:rsidP="00000000" w:rsidRDefault="00000000" w:rsidRPr="00000000" w14:paraId="00000016">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17">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3.2 Independent Oversight &amp; Review</w:t>
      </w:r>
    </w:p>
    <w:p w:rsidR="00000000" w:rsidDel="00000000" w:rsidP="00000000" w:rsidRDefault="00000000" w:rsidRPr="00000000" w14:paraId="00000018">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19">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An independent oversight and review of firearm deployment within England and Wales is crucial for the accountability and actions of the officers who attend and discharge firearms. Within England and Wales, police incidents that result in death or serious injury must be referred to the Independent Office of Police Conduct, which will scrutinise the incident to find any wrongdoing (IOPC, 2024). There is an evident challenge for complex and serious incidents that the IOPC investigates, which result in death or serious injury, in terms of the timescale of investigations. Martin (2021) argues that the investigation process of the IOPC is obscure, overly critical, and unnecessarily lengthy for everyone involved in an investigation, with the public often dissatisfied with the outcome. This often leads to dissatisfaction and scepticism from the involved bereaved families and the media. Porter (2012) discusses that external police ombudsmen, like the IOPC, provide a valuable role in ensuring lawful and proportionate policing, which certifies that the police are accountable for their actions. This shows that while the effectiveness of the IOPC can be critiqued, the need for independent oversight of policing incidents is vital for maintaining the public's confidence in the accountability procedures, ensuring the lawful and proportionate use of firearms by police officers in England and Wales.</w:t>
      </w:r>
    </w:p>
    <w:p w:rsidR="00000000" w:rsidDel="00000000" w:rsidP="00000000" w:rsidRDefault="00000000" w:rsidRPr="00000000" w14:paraId="0000001A">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1B">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3.3 His Majesty's Inspectorate of Constabulary and Fire &amp; Rescue Services (HMICFRS) Governance</w:t>
      </w:r>
    </w:p>
    <w:p w:rsidR="00000000" w:rsidDel="00000000" w:rsidP="00000000" w:rsidRDefault="00000000" w:rsidRPr="00000000" w14:paraId="0000001C">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1D">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HMICFRS provides further accountability measures in the process by providing regular independent assessments of policing/firearm policing capabilities and decision-making (Winchester, 2020). HMICFRS (2023) states a report was conducted in 2023 to the effectivity of deployment of firearms within police forces in England and Wales, the report concluded that firearm deployments are well structured and managed, however further transparency and accountability could be implemented in further forces, following a review of post incident debriefs, the HMICFRS only found one police force using bodyworn video to record the debrief, this was recommended to all forces. A weakness of the HMICFRS is the recurrence of reports specifically related to firearms policing; the HMICFRS would produce reports for all 43 police forces in England and Wales every 2 years; however, from 2025, this will be changed to a 4-year cycle (HMICFRS, 2025). Home Office (2020) highlights a limitation that can be seen related to the HMICFRS and the Home Office statistics that are published annually and biannually. Upon analysis, some police service recording systems do not record the data recording requirements and were not collected, therefore making some statistics inaccurate. This literature does raise questions regarding the recording practices, accountability and trust that the public will have in the inspection findings/statistics produced (IPCC, 2016).  </w:t>
      </w:r>
    </w:p>
    <w:p w:rsidR="00000000" w:rsidDel="00000000" w:rsidP="00000000" w:rsidRDefault="00000000" w:rsidRPr="00000000" w14:paraId="0000001E">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1F">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4. Post-Incident Procedures &amp; Post Deployment</w:t>
      </w:r>
    </w:p>
    <w:p w:rsidR="00000000" w:rsidDel="00000000" w:rsidP="00000000" w:rsidRDefault="00000000" w:rsidRPr="00000000" w14:paraId="00000020">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21">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A post-incident procedure and investigation is a crucial welfare and legal safeguarding process for officers involved in incidents ending in death or serious injury. College of Policing (2024) states that discharge of a firearm does not follow the ‘regular’ post-incident procedure and instead follows the post-deployment procedure. The College of Policing implements the guidance via the APP; however, it states that the procedures can range from force-to-force according to the circumstances - considerations should be made for impact on the community, media management, a debrief report and/or when appropriate an apology to people affected. The importance of understanding and scrutinising the use of lethal force is vital for ensuring the police take accountability for its use. Waring (2011) argues that being accountable and blamed often can influence how an officer documents and justifies the actions they have taken, showing that post-deployments are more than just an administrative process for police but are critical for officer/force learning. Squires and Kennison (2010) contend that effective handling post-incident is of the same importance as the police firearm discharge itself. They argue that delayed transparency and accountability towards the public can result in distrust in the public, regardless of whether the officer’s actions were lawful and proportionate. Javid (2019) agrees with this; effective post-deployment procedures were conducted following the Manchester Arena terrorist attack in 2018, which proved to be successful and concluded the incident for the police and the IOPC swiftly. </w:t>
      </w:r>
    </w:p>
    <w:p w:rsidR="00000000" w:rsidDel="00000000" w:rsidP="00000000" w:rsidRDefault="00000000" w:rsidRPr="00000000" w14:paraId="00000022">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23">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5. Organisational Learning</w:t>
      </w:r>
    </w:p>
    <w:p w:rsidR="00000000" w:rsidDel="00000000" w:rsidP="00000000" w:rsidRDefault="00000000" w:rsidRPr="00000000" w14:paraId="00000024">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25">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organisational learning that comes from a firearm discharge is paramount for learning and improvement for future firearm deployments nationwide. Following incidents that mandate a referral to the IOPC, learning recommendations are often published to the force in question to prevent recurrence in future, relating to policy, training and supervision (IOPC, 2025). However, the Police Federation of England and Wales (POLFED) question the effectiveness of the overall procedure conducted by the IOPC, there is currently no statutory time limit on police misconduct investigations, the position in which many firearms officers find themselves following a firearm discharge, POLFED argue that previous cases have prolonged for years, affecting officer mental health and wellbeing along with their operational competence - particularly if the officer has been placed on long-term restricted duties or suspension from duty. Prolonged investigations can often weaken the public’s belief in the outcomes; instead of timely and meaningful learning outcome recommendations, some cases can take several years for outcomes, sometimes providing outdated policy recommendations (POLFED, 2025). Following the revised IOPC guidance in 2019, Javid (2019) argues that the conclusions on IOPC investigations and inquests have improved considerably, improving officer welfare and preventing further distress to the families involved. However, an independent review of the IOPC was conducted by the Home Office in 2023, in which it was found that, despite improvements, IOPC investigations are still untimely and take too long, with the average investigation taking 9 months and 15% of investigations taking over a year (Fairfield, 2023).</w:t>
      </w:r>
    </w:p>
    <w:p w:rsidR="00000000" w:rsidDel="00000000" w:rsidP="00000000" w:rsidRDefault="00000000" w:rsidRPr="00000000" w14:paraId="00000026">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27">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6. Policy Debates &amp; Legislation Reform</w:t>
      </w:r>
    </w:p>
    <w:p w:rsidR="00000000" w:rsidDel="00000000" w:rsidP="00000000" w:rsidRDefault="00000000" w:rsidRPr="00000000" w14:paraId="00000028">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29">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ongoing policy debates and legislation for police accountability are changing and shaping the future for police officers, both armed and unarmed, in England and Wales. Richards (2022) suggests that an accountability policy reform is needed as a result of high-profile misconduct scandals destroying the public’s trust not just by constables but by senior leaders of the service. Due to the complex, multi-layered policy, legislation and uncertainty of what may occur during proceedings following a firearms discharge. Farrow (2024) argues that the fear of a firearms officer being blamed for their decision-making resulting in criminal and misconduct proceedings may result in discouraging proactive policing and influencing organisational culture. Following a rapid review for police accountability in 2025, Lord Hanson (2025) insists that the current accountability legal framework is inconsistent and confusing, providing low police morale, particularly for firearms officers. Both legal issues raised have been accepted by the government; the legal test for police misconduct cases relating to the use of force has been raised from the civil to criminal standard. Further to this, the threshold for unlawful killing inquests is reverting from a civil standard of proof to criminal. </w:t>
      </w:r>
    </w:p>
    <w:p w:rsidR="00000000" w:rsidDel="00000000" w:rsidP="00000000" w:rsidRDefault="00000000" w:rsidRPr="00000000" w14:paraId="0000002A">
      <w:pPr>
        <w:spacing w:line="480" w:lineRule="auto"/>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 </w:t>
      </w:r>
    </w:p>
    <w:p w:rsidR="00000000" w:rsidDel="00000000" w:rsidP="00000000" w:rsidRDefault="00000000" w:rsidRPr="00000000" w14:paraId="0000002B">
      <w:pPr>
        <w:spacing w:line="480" w:lineRule="auto"/>
        <w:rPr>
          <w:rFonts w:ascii="Times New Roman" w:cs="Times New Roman" w:eastAsia="Times New Roman" w:hAnsi="Times New Roman"/>
          <w:b w:val="1"/>
          <w:bCs w:val="1"/>
          <w:color w:val="0e101a"/>
          <w:sz w:val="28"/>
          <w:szCs w:val="28"/>
        </w:rPr>
      </w:pPr>
      <w:r w:rsidDel="00000000" w:rsidR="00000000" w:rsidRPr="00000000">
        <w:rPr>
          <w:rFonts w:ascii="Times New Roman" w:cs="Times New Roman" w:eastAsia="Times New Roman" w:hAnsi="Times New Roman"/>
          <w:b w:val="1"/>
          <w:bCs w:val="1"/>
          <w:color w:val="0e101a"/>
          <w:sz w:val="28"/>
          <w:szCs w:val="28"/>
          <w:rtl w:val="0"/>
        </w:rPr>
        <w:t xml:space="preserve">7. Conclusion and Research Gap</w:t>
      </w:r>
    </w:p>
    <w:p w:rsidR="00000000" w:rsidDel="00000000" w:rsidP="00000000" w:rsidRDefault="00000000" w:rsidRPr="00000000" w14:paraId="0000002C">
      <w:pPr>
        <w:spacing w:line="480" w:lineRule="auto"/>
        <w:rPr>
          <w:rFonts w:ascii="Times New Roman" w:cs="Times New Roman" w:eastAsia="Times New Roman" w:hAnsi="Times New Roman"/>
          <w:b w:val="1"/>
          <w:bCs w:val="1"/>
          <w:color w:val="0e101a"/>
          <w:sz w:val="24"/>
          <w:szCs w:val="24"/>
        </w:rPr>
      </w:pPr>
      <w:r w:rsidDel="00000000" w:rsidR="00000000" w:rsidRPr="00000000">
        <w:rPr>
          <w:rtl w:val="0"/>
        </w:rPr>
      </w:r>
    </w:p>
    <w:p w:rsidR="00000000" w:rsidDel="00000000" w:rsidP="00000000" w:rsidRDefault="00000000" w:rsidRPr="00000000" w14:paraId="0000002D">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This literature review has examined the effectiveness of current accountability procedures in ensuring the lawful and proportionate use of firearms by police officers in England and Wales. The research I have evidenced shows that the firearms policing accountability procedures are very extensive, incorporating acts of parliament, ECHR obligations, standards of professional behaviour, independent review bodies such as the IOPC and HMICFRS, post-incident and deployment procedures, organisational learning and recent policy debates and legislation changes. Policing with consent of the public is the overarching theme of policing within England and Wales;  the extensive intent to investigate and make the police accountable for their actions reflects this. The College of Policing APP, along with the test for article 2 of the ECHR, as informed by </w:t>
      </w:r>
      <w:r w:rsidDel="00000000" w:rsidR="00000000" w:rsidRPr="00000000">
        <w:rPr>
          <w:rFonts w:ascii="Times New Roman" w:cs="Times New Roman" w:eastAsia="Times New Roman" w:hAnsi="Times New Roman"/>
          <w:i w:val="1"/>
          <w:iCs w:val="1"/>
          <w:color w:val="0e101a"/>
          <w:sz w:val="24"/>
          <w:szCs w:val="24"/>
          <w:rtl w:val="0"/>
        </w:rPr>
        <w:t xml:space="preserve">McCann and Others v United Kingdom, </w:t>
      </w:r>
      <w:r w:rsidDel="00000000" w:rsidR="00000000" w:rsidRPr="00000000">
        <w:rPr>
          <w:rFonts w:ascii="Times New Roman" w:cs="Times New Roman" w:eastAsia="Times New Roman" w:hAnsi="Times New Roman"/>
          <w:color w:val="0e101a"/>
          <w:sz w:val="24"/>
          <w:szCs w:val="24"/>
          <w:rtl w:val="0"/>
        </w:rPr>
        <w:t xml:space="preserve">provides a robust test for lethal force being absolutely necessary, lawful and proportionate in the circumstances. Both the IOPC and the HMICFRS play a significant part in scrutinising police firearm deployments and firearm discharges across England and Wales. However, the literature reviewed has shown that there are challenges in practice, with the balance of keeping public confidence in the police service and investigating an incident thoroughly often creating lengthy investigations with prolonged outcomes affecting officer welfare and competence.  </w:t>
      </w:r>
    </w:p>
    <w:p w:rsidR="00000000" w:rsidDel="00000000" w:rsidP="00000000" w:rsidRDefault="00000000" w:rsidRPr="00000000" w14:paraId="0000002E">
      <w:pPr>
        <w:spacing w:line="480" w:lineRule="auto"/>
        <w:rPr>
          <w:rFonts w:ascii="Times New Roman" w:cs="Times New Roman" w:eastAsia="Times New Roman" w:hAnsi="Times New Roman"/>
          <w:color w:val="0e101a"/>
          <w:sz w:val="24"/>
          <w:szCs w:val="24"/>
        </w:rPr>
      </w:pPr>
      <w:r w:rsidDel="00000000" w:rsidR="00000000" w:rsidRPr="00000000">
        <w:rPr>
          <w:rtl w:val="0"/>
        </w:rPr>
      </w:r>
    </w:p>
    <w:p w:rsidR="00000000" w:rsidDel="00000000" w:rsidP="00000000" w:rsidRDefault="00000000" w:rsidRPr="00000000" w14:paraId="0000002F">
      <w:pPr>
        <w:spacing w:line="480" w:lineRule="auto"/>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Furthermore, the review of literature has shown that the public's trust in police firearms accountability is affected more by the transparency and fairness of the investigation as opposed to the discharge itself. Whilst it has been argued that police morale is so low, especially among firearms officers following recent criminal and misconduct proceedings, excessive scrutiny may discourage firearms officers from working and policing proactively in future, in fear that they may be blamed for their actions. Overall, the literature that has been reviewed has shown that the current accountability procedures in principle were effective; however, the execution in practice is not.  There is a strong legal framework in place with a strong range of statory law to ensure that a firearms officer is accountable, lawful and proportionate with their use of force, yet the effectiveness to investigate these officers following a death or serious injury incident remains a conterversy among most, without an effective balance between accountability and criminal / misconduct investigations this risks to continue to undermine both the public and a firearms officer’s confidence in the future of firearms policing in England and Wales.</w:t>
      </w:r>
    </w:p>
    <w:p w:rsidR="00000000" w:rsidDel="00000000" w:rsidP="00000000" w:rsidRDefault="00000000" w:rsidRPr="00000000" w14:paraId="00000030">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31">
      <w:pPr>
        <w:spacing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2">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3">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4">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5">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6">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7">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8">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9">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A">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B">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C">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D">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E">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F">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0">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1">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2">
      <w:pPr>
        <w:keepNext w:val="0"/>
        <w:keepLines w:val="0"/>
        <w:spacing w:after="8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3">
      <w:pPr>
        <w:keepNext w:val="0"/>
        <w:keepLines w:val="0"/>
        <w:spacing w:after="80" w:line="480"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Reference List</w:t>
      </w:r>
    </w:p>
    <w:p w:rsidR="00000000" w:rsidDel="00000000" w:rsidP="00000000" w:rsidRDefault="00000000" w:rsidRPr="00000000" w14:paraId="0000004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Bradford, B. (2024) </w:t>
      </w:r>
      <w:r w:rsidDel="00000000" w:rsidR="00000000" w:rsidRPr="00000000">
        <w:rPr>
          <w:rFonts w:ascii="Times New Roman" w:cs="Times New Roman" w:eastAsia="Times New Roman" w:hAnsi="Times New Roman"/>
          <w:i w:val="1"/>
          <w:iCs w:val="1"/>
          <w:sz w:val="24"/>
          <w:szCs w:val="24"/>
          <w:rtl w:val="0"/>
        </w:rPr>
        <w:t xml:space="preserve">What goes up must come down? 25 years of public trust in the police</w:t>
      </w:r>
      <w:r w:rsidDel="00000000" w:rsidR="00000000" w:rsidRPr="00000000">
        <w:rPr>
          <w:rFonts w:ascii="Times New Roman" w:cs="Times New Roman" w:eastAsia="Times New Roman" w:hAnsi="Times New Roman"/>
          <w:sz w:val="24"/>
          <w:szCs w:val="24"/>
          <w:rtl w:val="0"/>
        </w:rPr>
        <w:t xml:space="preserve">. Available at:</w:t>
      </w:r>
      <w:hyperlink r:id="rId6">
        <w:r w:rsidDel="00000000" w:rsidR="00000000" w:rsidRPr="00000000">
          <w:rPr>
            <w:rFonts w:ascii="Times New Roman" w:cs="Times New Roman" w:eastAsia="Times New Roman" w:hAnsi="Times New Roman"/>
            <w:sz w:val="24"/>
            <w:szCs w:val="24"/>
            <w:rtl w:val="0"/>
          </w:rPr>
          <w:t xml:space="preserve"> </w:t>
        </w:r>
      </w:hyperlink>
      <w:hyperlink r:id="rId7">
        <w:r w:rsidDel="00000000" w:rsidR="00000000" w:rsidRPr="00000000">
          <w:rPr>
            <w:rFonts w:ascii="Times New Roman" w:cs="Times New Roman" w:eastAsia="Times New Roman" w:hAnsi="Times New Roman"/>
            <w:color w:val="1155cc"/>
            <w:sz w:val="24"/>
            <w:szCs w:val="24"/>
            <w:u w:val="single"/>
            <w:rtl w:val="0"/>
          </w:rPr>
          <w:t xml:space="preserve">https://discovery.ucl.ac.uk/id/eprint/10203174/1/Bradford-2024-what-goes-up-must-come-down-25-years-of-public-trust-in-the-police.pdf</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45">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Chapman, C. (2014) </w:t>
      </w:r>
      <w:r w:rsidDel="00000000" w:rsidR="00000000" w:rsidRPr="00000000">
        <w:rPr>
          <w:rFonts w:ascii="Times New Roman" w:cs="Times New Roman" w:eastAsia="Times New Roman" w:hAnsi="Times New Roman"/>
          <w:i w:val="1"/>
          <w:iCs w:val="1"/>
          <w:sz w:val="24"/>
          <w:szCs w:val="24"/>
          <w:rtl w:val="0"/>
        </w:rPr>
        <w:t xml:space="preserve">An Independent Review of the Police Disciplinary System – Final Report</w:t>
      </w:r>
      <w:r w:rsidDel="00000000" w:rsidR="00000000" w:rsidRPr="00000000">
        <w:rPr>
          <w:rFonts w:ascii="Times New Roman" w:cs="Times New Roman" w:eastAsia="Times New Roman" w:hAnsi="Times New Roman"/>
          <w:sz w:val="24"/>
          <w:szCs w:val="24"/>
          <w:rtl w:val="0"/>
        </w:rPr>
        <w:t xml:space="preserve">. London: Home Office. Available at:</w:t>
      </w:r>
      <w:hyperlink r:id="rId8">
        <w:r w:rsidDel="00000000" w:rsidR="00000000" w:rsidRPr="00000000">
          <w:rPr>
            <w:rFonts w:ascii="Times New Roman" w:cs="Times New Roman" w:eastAsia="Times New Roman" w:hAnsi="Times New Roman"/>
            <w:sz w:val="24"/>
            <w:szCs w:val="24"/>
            <w:rtl w:val="0"/>
          </w:rPr>
          <w:t xml:space="preserve"> </w:t>
        </w:r>
      </w:hyperlink>
      <w:hyperlink r:id="rId9">
        <w:r w:rsidDel="00000000" w:rsidR="00000000" w:rsidRPr="00000000">
          <w:rPr>
            <w:rFonts w:ascii="Times New Roman" w:cs="Times New Roman" w:eastAsia="Times New Roman" w:hAnsi="Times New Roman"/>
            <w:color w:val="1155cc"/>
            <w:sz w:val="24"/>
            <w:szCs w:val="24"/>
            <w:u w:val="single"/>
            <w:rtl w:val="0"/>
          </w:rPr>
          <w:t xml:space="preserve">https://assets.publishing.service.gov.uk/media/5a7cf830e5274a2af0ae293e/An_Independent_Review_of_the_Police_Disciplinary_System_-_Report_-_Final.pdf</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46">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College of Policing (2024) </w:t>
      </w:r>
      <w:r w:rsidDel="00000000" w:rsidR="00000000" w:rsidRPr="00000000">
        <w:rPr>
          <w:rFonts w:ascii="Times New Roman" w:cs="Times New Roman" w:eastAsia="Times New Roman" w:hAnsi="Times New Roman"/>
          <w:i w:val="1"/>
          <w:iCs w:val="1"/>
          <w:sz w:val="24"/>
          <w:szCs w:val="24"/>
          <w:rtl w:val="0"/>
        </w:rPr>
        <w:t xml:space="preserve">Post-deployment</w:t>
      </w:r>
      <w:r w:rsidDel="00000000" w:rsidR="00000000" w:rsidRPr="00000000">
        <w:rPr>
          <w:rFonts w:ascii="Times New Roman" w:cs="Times New Roman" w:eastAsia="Times New Roman" w:hAnsi="Times New Roman"/>
          <w:sz w:val="24"/>
          <w:szCs w:val="24"/>
          <w:rtl w:val="0"/>
        </w:rPr>
        <w:t xml:space="preserve">. Available at:</w:t>
      </w:r>
      <w:hyperlink r:id="rId10">
        <w:r w:rsidDel="00000000" w:rsidR="00000000" w:rsidRPr="00000000">
          <w:rPr>
            <w:rFonts w:ascii="Times New Roman" w:cs="Times New Roman" w:eastAsia="Times New Roman" w:hAnsi="Times New Roman"/>
            <w:sz w:val="24"/>
            <w:szCs w:val="24"/>
            <w:rtl w:val="0"/>
          </w:rPr>
          <w:t xml:space="preserve"> </w:t>
        </w:r>
      </w:hyperlink>
      <w:hyperlink r:id="rId11">
        <w:r w:rsidDel="00000000" w:rsidR="00000000" w:rsidRPr="00000000">
          <w:rPr>
            <w:rFonts w:ascii="Times New Roman" w:cs="Times New Roman" w:eastAsia="Times New Roman" w:hAnsi="Times New Roman"/>
            <w:color w:val="1155cc"/>
            <w:sz w:val="24"/>
            <w:szCs w:val="24"/>
            <w:u w:val="single"/>
            <w:rtl w:val="0"/>
          </w:rPr>
          <w:t xml:space="preserve">https://www.college.police.uk/app/armed-policing/post-deployment</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47">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College of Policing (n.d.) </w:t>
      </w:r>
      <w:r w:rsidDel="00000000" w:rsidR="00000000" w:rsidRPr="00000000">
        <w:rPr>
          <w:rFonts w:ascii="Times New Roman" w:cs="Times New Roman" w:eastAsia="Times New Roman" w:hAnsi="Times New Roman"/>
          <w:i w:val="1"/>
          <w:iCs w:val="1"/>
          <w:sz w:val="24"/>
          <w:szCs w:val="24"/>
          <w:rtl w:val="0"/>
        </w:rPr>
        <w:t xml:space="preserve">Armed policing: Legal framework</w:t>
      </w:r>
      <w:r w:rsidDel="00000000" w:rsidR="00000000" w:rsidRPr="00000000">
        <w:rPr>
          <w:rFonts w:ascii="Times New Roman" w:cs="Times New Roman" w:eastAsia="Times New Roman" w:hAnsi="Times New Roman"/>
          <w:sz w:val="24"/>
          <w:szCs w:val="24"/>
          <w:rtl w:val="0"/>
        </w:rPr>
        <w:t xml:space="preserve">. Available at:</w:t>
      </w:r>
      <w:hyperlink r:id="rId12">
        <w:r w:rsidDel="00000000" w:rsidR="00000000" w:rsidRPr="00000000">
          <w:rPr>
            <w:rFonts w:ascii="Times New Roman" w:cs="Times New Roman" w:eastAsia="Times New Roman" w:hAnsi="Times New Roman"/>
            <w:sz w:val="24"/>
            <w:szCs w:val="24"/>
            <w:rtl w:val="0"/>
          </w:rPr>
          <w:t xml:space="preserve"> </w:t>
        </w:r>
      </w:hyperlink>
      <w:hyperlink r:id="rId13">
        <w:r w:rsidDel="00000000" w:rsidR="00000000" w:rsidRPr="00000000">
          <w:rPr>
            <w:rFonts w:ascii="Times New Roman" w:cs="Times New Roman" w:eastAsia="Times New Roman" w:hAnsi="Times New Roman"/>
            <w:color w:val="1155cc"/>
            <w:sz w:val="24"/>
            <w:szCs w:val="24"/>
            <w:u w:val="single"/>
            <w:rtl w:val="0"/>
          </w:rPr>
          <w:t xml:space="preserve">https://www.college.police.uk/app/armed-policing/legal-framework</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48">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European Court of Human Rights (ECHR) (2025) </w:t>
      </w:r>
      <w:r w:rsidDel="00000000" w:rsidR="00000000" w:rsidRPr="00000000">
        <w:rPr>
          <w:rFonts w:ascii="Times New Roman" w:cs="Times New Roman" w:eastAsia="Times New Roman" w:hAnsi="Times New Roman"/>
          <w:i w:val="1"/>
          <w:iCs w:val="1"/>
          <w:sz w:val="24"/>
          <w:szCs w:val="24"/>
          <w:rtl w:val="0"/>
        </w:rPr>
        <w:t xml:space="preserve">Guide on Article 2 of the European Convention on Human Rights: Right to life</w:t>
      </w:r>
      <w:r w:rsidDel="00000000" w:rsidR="00000000" w:rsidRPr="00000000">
        <w:rPr>
          <w:rFonts w:ascii="Times New Roman" w:cs="Times New Roman" w:eastAsia="Times New Roman" w:hAnsi="Times New Roman"/>
          <w:sz w:val="24"/>
          <w:szCs w:val="24"/>
          <w:rtl w:val="0"/>
        </w:rPr>
        <w:t xml:space="preserve">. Available at:</w:t>
      </w:r>
      <w:hyperlink r:id="rId14">
        <w:r w:rsidDel="00000000" w:rsidR="00000000" w:rsidRPr="00000000">
          <w:rPr>
            <w:rFonts w:ascii="Times New Roman" w:cs="Times New Roman" w:eastAsia="Times New Roman" w:hAnsi="Times New Roman"/>
            <w:sz w:val="24"/>
            <w:szCs w:val="24"/>
            <w:rtl w:val="0"/>
          </w:rPr>
          <w:t xml:space="preserve"> </w:t>
        </w:r>
      </w:hyperlink>
      <w:hyperlink r:id="rId15">
        <w:r w:rsidDel="00000000" w:rsidR="00000000" w:rsidRPr="00000000">
          <w:rPr>
            <w:rFonts w:ascii="Times New Roman" w:cs="Times New Roman" w:eastAsia="Times New Roman" w:hAnsi="Times New Roman"/>
            <w:color w:val="1155cc"/>
            <w:sz w:val="24"/>
            <w:szCs w:val="24"/>
            <w:u w:val="single"/>
            <w:rtl w:val="0"/>
          </w:rPr>
          <w:t xml:space="preserve">https://ks.echr.coe.int/documents/d/echr-ks/guide_art_2_eng</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49">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Fairfield, G. (2023) </w:t>
      </w:r>
      <w:r w:rsidDel="00000000" w:rsidR="00000000" w:rsidRPr="00000000">
        <w:rPr>
          <w:rFonts w:ascii="Times New Roman" w:cs="Times New Roman" w:eastAsia="Times New Roman" w:hAnsi="Times New Roman"/>
          <w:i w:val="1"/>
          <w:iCs w:val="1"/>
          <w:sz w:val="24"/>
          <w:szCs w:val="24"/>
          <w:rtl w:val="0"/>
        </w:rPr>
        <w:t xml:space="preserve">Independent review of the Independent Office for Police Conduct (IOPC)</w:t>
      </w:r>
      <w:r w:rsidDel="00000000" w:rsidR="00000000" w:rsidRPr="00000000">
        <w:rPr>
          <w:rFonts w:ascii="Times New Roman" w:cs="Times New Roman" w:eastAsia="Times New Roman" w:hAnsi="Times New Roman"/>
          <w:sz w:val="24"/>
          <w:szCs w:val="24"/>
          <w:rtl w:val="0"/>
        </w:rPr>
        <w:t xml:space="preserve">. London: Home Office. Available at:</w:t>
      </w:r>
      <w:hyperlink r:id="rId16">
        <w:r w:rsidDel="00000000" w:rsidR="00000000" w:rsidRPr="00000000">
          <w:rPr>
            <w:rFonts w:ascii="Times New Roman" w:cs="Times New Roman" w:eastAsia="Times New Roman" w:hAnsi="Times New Roman"/>
            <w:sz w:val="24"/>
            <w:szCs w:val="24"/>
            <w:rtl w:val="0"/>
          </w:rPr>
          <w:t xml:space="preserve"> </w:t>
        </w:r>
      </w:hyperlink>
      <w:hyperlink r:id="rId17">
        <w:r w:rsidDel="00000000" w:rsidR="00000000" w:rsidRPr="00000000">
          <w:rPr>
            <w:rFonts w:ascii="Times New Roman" w:cs="Times New Roman" w:eastAsia="Times New Roman" w:hAnsi="Times New Roman"/>
            <w:color w:val="1155cc"/>
            <w:sz w:val="24"/>
            <w:szCs w:val="24"/>
            <w:u w:val="single"/>
            <w:rtl w:val="0"/>
          </w:rPr>
          <w:t xml:space="preserve">https://www.gov.uk/government/publications/independent-office-for-police-conduct-public-body-review-2024/independent-review-of-the-independent-office-for-police-conduct-iopc-accessible-version</w:t>
        </w:r>
      </w:hyperlink>
      <w:r w:rsidDel="00000000" w:rsidR="00000000" w:rsidRPr="00000000">
        <w:rPr>
          <w:rFonts w:ascii="Times New Roman" w:cs="Times New Roman" w:eastAsia="Times New Roman" w:hAnsi="Times New Roman"/>
          <w:sz w:val="24"/>
          <w:szCs w:val="24"/>
          <w:rtl w:val="0"/>
        </w:rPr>
        <w:t xml:space="preserve"> (Accessed: 20 January 2026).</w:t>
      </w:r>
    </w:p>
    <w:p w:rsidR="00000000" w:rsidDel="00000000" w:rsidP="00000000" w:rsidRDefault="00000000" w:rsidRPr="00000000" w14:paraId="0000004A">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Hanway, P. (2024) </w:t>
      </w:r>
      <w:r w:rsidDel="00000000" w:rsidR="00000000" w:rsidRPr="00000000">
        <w:rPr>
          <w:rFonts w:ascii="Times New Roman" w:cs="Times New Roman" w:eastAsia="Times New Roman" w:hAnsi="Times New Roman"/>
          <w:i w:val="1"/>
          <w:iCs w:val="1"/>
          <w:sz w:val="24"/>
          <w:szCs w:val="24"/>
          <w:rtl w:val="0"/>
        </w:rPr>
        <w:t xml:space="preserve">Public perceptions of policing: A review of research and literature</w:t>
      </w:r>
      <w:r w:rsidDel="00000000" w:rsidR="00000000" w:rsidRPr="00000000">
        <w:rPr>
          <w:rFonts w:ascii="Times New Roman" w:cs="Times New Roman" w:eastAsia="Times New Roman" w:hAnsi="Times New Roman"/>
          <w:sz w:val="24"/>
          <w:szCs w:val="24"/>
          <w:rtl w:val="0"/>
        </w:rPr>
        <w:t xml:space="preserve">. London: Home Office. Available at:</w:t>
      </w:r>
      <w:hyperlink r:id="rId18">
        <w:r w:rsidDel="00000000" w:rsidR="00000000" w:rsidRPr="00000000">
          <w:rPr>
            <w:rFonts w:ascii="Times New Roman" w:cs="Times New Roman" w:eastAsia="Times New Roman" w:hAnsi="Times New Roman"/>
            <w:sz w:val="24"/>
            <w:szCs w:val="24"/>
            <w:rtl w:val="0"/>
          </w:rPr>
          <w:t xml:space="preserve"> </w:t>
        </w:r>
      </w:hyperlink>
      <w:hyperlink r:id="rId19">
        <w:r w:rsidDel="00000000" w:rsidR="00000000" w:rsidRPr="00000000">
          <w:rPr>
            <w:rFonts w:ascii="Times New Roman" w:cs="Times New Roman" w:eastAsia="Times New Roman" w:hAnsi="Times New Roman"/>
            <w:color w:val="1155cc"/>
            <w:sz w:val="24"/>
            <w:szCs w:val="24"/>
            <w:u w:val="single"/>
            <w:rtl w:val="0"/>
          </w:rPr>
          <w:t xml:space="preserve">https://www.gov.uk/government/publications/public-perceptions-of-policing-a-review-of-research-and-literature/public-perceptions-of-policing-a-review-of-research-and-literature</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4B">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HM Inspectorate of Constabulary and Fire &amp; Rescue Services (HMICFRS) (2023) </w:t>
      </w:r>
      <w:r w:rsidDel="00000000" w:rsidR="00000000" w:rsidRPr="00000000">
        <w:rPr>
          <w:rFonts w:ascii="Times New Roman" w:cs="Times New Roman" w:eastAsia="Times New Roman" w:hAnsi="Times New Roman"/>
          <w:i w:val="1"/>
          <w:iCs w:val="1"/>
          <w:sz w:val="24"/>
          <w:szCs w:val="24"/>
          <w:rtl w:val="0"/>
        </w:rPr>
        <w:t xml:space="preserve">How effective police forces are in the deployment of firearms</w:t>
      </w:r>
      <w:r w:rsidDel="00000000" w:rsidR="00000000" w:rsidRPr="00000000">
        <w:rPr>
          <w:rFonts w:ascii="Times New Roman" w:cs="Times New Roman" w:eastAsia="Times New Roman" w:hAnsi="Times New Roman"/>
          <w:sz w:val="24"/>
          <w:szCs w:val="24"/>
          <w:rtl w:val="0"/>
        </w:rPr>
        <w:t xml:space="preserve">. Available at:</w:t>
      </w:r>
      <w:hyperlink r:id="rId20">
        <w:r w:rsidDel="00000000" w:rsidR="00000000" w:rsidRPr="00000000">
          <w:rPr>
            <w:rFonts w:ascii="Times New Roman" w:cs="Times New Roman" w:eastAsia="Times New Roman" w:hAnsi="Times New Roman"/>
            <w:sz w:val="24"/>
            <w:szCs w:val="24"/>
            <w:rtl w:val="0"/>
          </w:rPr>
          <w:t xml:space="preserve"> </w:t>
        </w:r>
      </w:hyperlink>
      <w:hyperlink r:id="rId21">
        <w:r w:rsidDel="00000000" w:rsidR="00000000" w:rsidRPr="00000000">
          <w:rPr>
            <w:rFonts w:ascii="Times New Roman" w:cs="Times New Roman" w:eastAsia="Times New Roman" w:hAnsi="Times New Roman"/>
            <w:color w:val="1155cc"/>
            <w:sz w:val="24"/>
            <w:szCs w:val="24"/>
            <w:u w:val="single"/>
            <w:rtl w:val="0"/>
          </w:rPr>
          <w:t xml:space="preserve">https://hmicfrs.justiceinspectorates.gov.uk/publication-html/how-effective-police-forces-are-in-the-deployment-of-firearms/</w:t>
        </w:r>
      </w:hyperlink>
      <w:r w:rsidDel="00000000" w:rsidR="00000000" w:rsidRPr="00000000">
        <w:rPr>
          <w:rFonts w:ascii="Times New Roman" w:cs="Times New Roman" w:eastAsia="Times New Roman" w:hAnsi="Times New Roman"/>
          <w:sz w:val="24"/>
          <w:szCs w:val="24"/>
          <w:rtl w:val="0"/>
        </w:rPr>
        <w:t xml:space="preserve"> (Accessed: 20 January 2026).</w:t>
      </w:r>
    </w:p>
    <w:p w:rsidR="00000000" w:rsidDel="00000000" w:rsidP="00000000" w:rsidRDefault="00000000" w:rsidRPr="00000000" w14:paraId="0000004C">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HM Inspectorate of Constabulary and Fire &amp; Rescue Services (HMICFRS) (2025) </w:t>
      </w:r>
      <w:r w:rsidDel="00000000" w:rsidR="00000000" w:rsidRPr="00000000">
        <w:rPr>
          <w:rFonts w:ascii="Times New Roman" w:cs="Times New Roman" w:eastAsia="Times New Roman" w:hAnsi="Times New Roman"/>
          <w:i w:val="1"/>
          <w:iCs w:val="1"/>
          <w:sz w:val="24"/>
          <w:szCs w:val="24"/>
          <w:rtl w:val="0"/>
        </w:rPr>
        <w:t xml:space="preserve">Who we inspect</w:t>
      </w:r>
      <w:r w:rsidDel="00000000" w:rsidR="00000000" w:rsidRPr="00000000">
        <w:rPr>
          <w:rFonts w:ascii="Times New Roman" w:cs="Times New Roman" w:eastAsia="Times New Roman" w:hAnsi="Times New Roman"/>
          <w:sz w:val="24"/>
          <w:szCs w:val="24"/>
          <w:rtl w:val="0"/>
        </w:rPr>
        <w:t xml:space="preserve">. Available at:</w:t>
      </w:r>
      <w:hyperlink r:id="rId22">
        <w:r w:rsidDel="00000000" w:rsidR="00000000" w:rsidRPr="00000000">
          <w:rPr>
            <w:rFonts w:ascii="Times New Roman" w:cs="Times New Roman" w:eastAsia="Times New Roman" w:hAnsi="Times New Roman"/>
            <w:sz w:val="24"/>
            <w:szCs w:val="24"/>
            <w:rtl w:val="0"/>
          </w:rPr>
          <w:t xml:space="preserve"> </w:t>
        </w:r>
      </w:hyperlink>
      <w:hyperlink r:id="rId23">
        <w:r w:rsidDel="00000000" w:rsidR="00000000" w:rsidRPr="00000000">
          <w:rPr>
            <w:rFonts w:ascii="Times New Roman" w:cs="Times New Roman" w:eastAsia="Times New Roman" w:hAnsi="Times New Roman"/>
            <w:color w:val="1155cc"/>
            <w:sz w:val="24"/>
            <w:szCs w:val="24"/>
            <w:u w:val="single"/>
            <w:rtl w:val="0"/>
          </w:rPr>
          <w:t xml:space="preserve">https://hmicfrs.justiceinspectorates.gov.uk/about-us/who-we-inspect/</w:t>
        </w:r>
      </w:hyperlink>
      <w:r w:rsidDel="00000000" w:rsidR="00000000" w:rsidRPr="00000000">
        <w:rPr>
          <w:rFonts w:ascii="Times New Roman" w:cs="Times New Roman" w:eastAsia="Times New Roman" w:hAnsi="Times New Roman"/>
          <w:sz w:val="24"/>
          <w:szCs w:val="24"/>
          <w:rtl w:val="0"/>
        </w:rPr>
        <w:t xml:space="preserve"> (Accessed: 20 January 2026).</w:t>
      </w:r>
    </w:p>
    <w:p w:rsidR="00000000" w:rsidDel="00000000" w:rsidP="00000000" w:rsidRDefault="00000000" w:rsidRPr="00000000" w14:paraId="0000004D">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Home Office (2025) </w:t>
      </w:r>
      <w:r w:rsidDel="00000000" w:rsidR="00000000" w:rsidRPr="00000000">
        <w:rPr>
          <w:rFonts w:ascii="Times New Roman" w:cs="Times New Roman" w:eastAsia="Times New Roman" w:hAnsi="Times New Roman"/>
          <w:i w:val="1"/>
          <w:iCs w:val="1"/>
          <w:sz w:val="24"/>
          <w:szCs w:val="24"/>
          <w:rtl w:val="0"/>
        </w:rPr>
        <w:t xml:space="preserve">Police use of firearms statistics, England and Wales: April 2024 to March 2025</w:t>
      </w:r>
      <w:r w:rsidDel="00000000" w:rsidR="00000000" w:rsidRPr="00000000">
        <w:rPr>
          <w:rFonts w:ascii="Times New Roman" w:cs="Times New Roman" w:eastAsia="Times New Roman" w:hAnsi="Times New Roman"/>
          <w:sz w:val="24"/>
          <w:szCs w:val="24"/>
          <w:rtl w:val="0"/>
        </w:rPr>
        <w:t xml:space="preserve">. Available at:</w:t>
      </w:r>
      <w:hyperlink r:id="rId24">
        <w:r w:rsidDel="00000000" w:rsidR="00000000" w:rsidRPr="00000000">
          <w:rPr>
            <w:rFonts w:ascii="Times New Roman" w:cs="Times New Roman" w:eastAsia="Times New Roman" w:hAnsi="Times New Roman"/>
            <w:sz w:val="24"/>
            <w:szCs w:val="24"/>
            <w:rtl w:val="0"/>
          </w:rPr>
          <w:t xml:space="preserve"> </w:t>
        </w:r>
      </w:hyperlink>
      <w:hyperlink r:id="rId25">
        <w:r w:rsidDel="00000000" w:rsidR="00000000" w:rsidRPr="00000000">
          <w:rPr>
            <w:rFonts w:ascii="Times New Roman" w:cs="Times New Roman" w:eastAsia="Times New Roman" w:hAnsi="Times New Roman"/>
            <w:color w:val="1155cc"/>
            <w:sz w:val="24"/>
            <w:szCs w:val="24"/>
            <w:u w:val="single"/>
            <w:rtl w:val="0"/>
          </w:rPr>
          <w:t xml:space="preserve">https://www.gov.uk/government/statistics/police-use-of-firearms-statistics-april-2024-to-march-2025/police-use-of-firearms-statistics-april-2024-to-march-2025</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4E">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Home Office (2025) </w:t>
      </w:r>
      <w:r w:rsidDel="00000000" w:rsidR="00000000" w:rsidRPr="00000000">
        <w:rPr>
          <w:rFonts w:ascii="Times New Roman" w:cs="Times New Roman" w:eastAsia="Times New Roman" w:hAnsi="Times New Roman"/>
          <w:i w:val="1"/>
          <w:iCs w:val="1"/>
          <w:sz w:val="24"/>
          <w:szCs w:val="24"/>
          <w:rtl w:val="0"/>
        </w:rPr>
        <w:t xml:space="preserve">Police use of force statistics, England and Wales: April 2024 to March 2025</w:t>
      </w:r>
      <w:r w:rsidDel="00000000" w:rsidR="00000000" w:rsidRPr="00000000">
        <w:rPr>
          <w:rFonts w:ascii="Times New Roman" w:cs="Times New Roman" w:eastAsia="Times New Roman" w:hAnsi="Times New Roman"/>
          <w:sz w:val="24"/>
          <w:szCs w:val="24"/>
          <w:rtl w:val="0"/>
        </w:rPr>
        <w:t xml:space="preserve">. Available at:</w:t>
      </w:r>
      <w:hyperlink r:id="rId26">
        <w:r w:rsidDel="00000000" w:rsidR="00000000" w:rsidRPr="00000000">
          <w:rPr>
            <w:rFonts w:ascii="Times New Roman" w:cs="Times New Roman" w:eastAsia="Times New Roman" w:hAnsi="Times New Roman"/>
            <w:sz w:val="24"/>
            <w:szCs w:val="24"/>
            <w:rtl w:val="0"/>
          </w:rPr>
          <w:t xml:space="preserve"> </w:t>
        </w:r>
      </w:hyperlink>
      <w:hyperlink r:id="rId27">
        <w:r w:rsidDel="00000000" w:rsidR="00000000" w:rsidRPr="00000000">
          <w:rPr>
            <w:rFonts w:ascii="Times New Roman" w:cs="Times New Roman" w:eastAsia="Times New Roman" w:hAnsi="Times New Roman"/>
            <w:color w:val="1155cc"/>
            <w:sz w:val="24"/>
            <w:szCs w:val="24"/>
            <w:u w:val="single"/>
            <w:rtl w:val="0"/>
          </w:rPr>
          <w:t xml:space="preserve">https://www.gov.uk/government/statistics/police-use-of-force-statistics-april-2024-to-march-2025/police-use-of-force-statistics-england-and-wales-april-2024-to-march-2025</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4F">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Independent Office for Police Conduct (IOPC) (2025) </w:t>
      </w:r>
      <w:r w:rsidDel="00000000" w:rsidR="00000000" w:rsidRPr="00000000">
        <w:rPr>
          <w:rFonts w:ascii="Times New Roman" w:cs="Times New Roman" w:eastAsia="Times New Roman" w:hAnsi="Times New Roman"/>
          <w:i w:val="1"/>
          <w:iCs w:val="1"/>
          <w:sz w:val="24"/>
          <w:szCs w:val="24"/>
          <w:rtl w:val="0"/>
        </w:rPr>
        <w:t xml:space="preserve">Learning the lessons</w:t>
      </w:r>
      <w:r w:rsidDel="00000000" w:rsidR="00000000" w:rsidRPr="00000000">
        <w:rPr>
          <w:rFonts w:ascii="Times New Roman" w:cs="Times New Roman" w:eastAsia="Times New Roman" w:hAnsi="Times New Roman"/>
          <w:sz w:val="24"/>
          <w:szCs w:val="24"/>
          <w:rtl w:val="0"/>
        </w:rPr>
        <w:t xml:space="preserve">. Available at:</w:t>
      </w:r>
      <w:hyperlink r:id="rId28">
        <w:r w:rsidDel="00000000" w:rsidR="00000000" w:rsidRPr="00000000">
          <w:rPr>
            <w:rFonts w:ascii="Times New Roman" w:cs="Times New Roman" w:eastAsia="Times New Roman" w:hAnsi="Times New Roman"/>
            <w:sz w:val="24"/>
            <w:szCs w:val="24"/>
            <w:rtl w:val="0"/>
          </w:rPr>
          <w:t xml:space="preserve"> </w:t>
        </w:r>
      </w:hyperlink>
      <w:hyperlink r:id="rId29">
        <w:r w:rsidDel="00000000" w:rsidR="00000000" w:rsidRPr="00000000">
          <w:rPr>
            <w:rFonts w:ascii="Times New Roman" w:cs="Times New Roman" w:eastAsia="Times New Roman" w:hAnsi="Times New Roman"/>
            <w:color w:val="1155cc"/>
            <w:sz w:val="24"/>
            <w:szCs w:val="24"/>
            <w:u w:val="single"/>
            <w:rtl w:val="0"/>
          </w:rPr>
          <w:t xml:space="preserve">https://www.policeconduct.gov.uk/our-work/learning/learning-the-lessons</w:t>
        </w:r>
      </w:hyperlink>
      <w:r w:rsidDel="00000000" w:rsidR="00000000" w:rsidRPr="00000000">
        <w:rPr>
          <w:rFonts w:ascii="Times New Roman" w:cs="Times New Roman" w:eastAsia="Times New Roman" w:hAnsi="Times New Roman"/>
          <w:sz w:val="24"/>
          <w:szCs w:val="24"/>
          <w:rtl w:val="0"/>
        </w:rPr>
        <w:t xml:space="preserve"> (Accessed: 20 January 2026).</w:t>
      </w:r>
    </w:p>
    <w:p w:rsidR="00000000" w:rsidDel="00000000" w:rsidP="00000000" w:rsidRDefault="00000000" w:rsidRPr="00000000" w14:paraId="00000050">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Independent Office for Police Conduct (IOPC) (2024) </w:t>
      </w:r>
      <w:r w:rsidDel="00000000" w:rsidR="00000000" w:rsidRPr="00000000">
        <w:rPr>
          <w:rFonts w:ascii="Times New Roman" w:cs="Times New Roman" w:eastAsia="Times New Roman" w:hAnsi="Times New Roman"/>
          <w:i w:val="1"/>
          <w:iCs w:val="1"/>
          <w:sz w:val="24"/>
          <w:szCs w:val="24"/>
          <w:rtl w:val="0"/>
        </w:rPr>
        <w:t xml:space="preserve">Minimum standards for handling complaints</w:t>
      </w:r>
      <w:r w:rsidDel="00000000" w:rsidR="00000000" w:rsidRPr="00000000">
        <w:rPr>
          <w:rFonts w:ascii="Times New Roman" w:cs="Times New Roman" w:eastAsia="Times New Roman" w:hAnsi="Times New Roman"/>
          <w:sz w:val="24"/>
          <w:szCs w:val="24"/>
          <w:rtl w:val="0"/>
        </w:rPr>
        <w:t xml:space="preserve">. Available at:</w:t>
      </w:r>
      <w:hyperlink r:id="rId30">
        <w:r w:rsidDel="00000000" w:rsidR="00000000" w:rsidRPr="00000000">
          <w:rPr>
            <w:rFonts w:ascii="Times New Roman" w:cs="Times New Roman" w:eastAsia="Times New Roman" w:hAnsi="Times New Roman"/>
            <w:sz w:val="24"/>
            <w:szCs w:val="24"/>
            <w:rtl w:val="0"/>
          </w:rPr>
          <w:t xml:space="preserve"> </w:t>
        </w:r>
      </w:hyperlink>
      <w:hyperlink r:id="rId31">
        <w:r w:rsidDel="00000000" w:rsidR="00000000" w:rsidRPr="00000000">
          <w:rPr>
            <w:rFonts w:ascii="Times New Roman" w:cs="Times New Roman" w:eastAsia="Times New Roman" w:hAnsi="Times New Roman"/>
            <w:color w:val="1155cc"/>
            <w:sz w:val="24"/>
            <w:szCs w:val="24"/>
            <w:u w:val="single"/>
            <w:rtl w:val="0"/>
          </w:rPr>
          <w:t xml:space="preserve">https://www.policeconduct.gov.uk/sites/default/files/documents/IOPC-minimum-standards-guidance-March2024.pdf</w:t>
        </w:r>
      </w:hyperlink>
      <w:r w:rsidDel="00000000" w:rsidR="00000000" w:rsidRPr="00000000">
        <w:rPr>
          <w:rFonts w:ascii="Times New Roman" w:cs="Times New Roman" w:eastAsia="Times New Roman" w:hAnsi="Times New Roman"/>
          <w:sz w:val="24"/>
          <w:szCs w:val="24"/>
          <w:rtl w:val="0"/>
        </w:rPr>
        <w:t xml:space="preserve"> (Accessed: 20 January 2026).</w:t>
      </w:r>
    </w:p>
    <w:p w:rsidR="00000000" w:rsidDel="00000000" w:rsidP="00000000" w:rsidRDefault="00000000" w:rsidRPr="00000000" w14:paraId="00000051">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Independent Police Complaints Commission (IPCC) (2016) </w:t>
      </w:r>
      <w:r w:rsidDel="00000000" w:rsidR="00000000" w:rsidRPr="00000000">
        <w:rPr>
          <w:rFonts w:ascii="Times New Roman" w:cs="Times New Roman" w:eastAsia="Times New Roman" w:hAnsi="Times New Roman"/>
          <w:i w:val="1"/>
          <w:iCs w:val="1"/>
          <w:sz w:val="24"/>
          <w:szCs w:val="24"/>
          <w:rtl w:val="0"/>
        </w:rPr>
        <w:t xml:space="preserve">Use of force by the police</w:t>
      </w:r>
      <w:r w:rsidDel="00000000" w:rsidR="00000000" w:rsidRPr="00000000">
        <w:rPr>
          <w:rFonts w:ascii="Times New Roman" w:cs="Times New Roman" w:eastAsia="Times New Roman" w:hAnsi="Times New Roman"/>
          <w:sz w:val="24"/>
          <w:szCs w:val="24"/>
          <w:rtl w:val="0"/>
        </w:rPr>
        <w:t xml:space="preserve">. Available at:</w:t>
      </w:r>
      <w:hyperlink r:id="rId32">
        <w:r w:rsidDel="00000000" w:rsidR="00000000" w:rsidRPr="00000000">
          <w:rPr>
            <w:rFonts w:ascii="Times New Roman" w:cs="Times New Roman" w:eastAsia="Times New Roman" w:hAnsi="Times New Roman"/>
            <w:sz w:val="24"/>
            <w:szCs w:val="24"/>
            <w:rtl w:val="0"/>
          </w:rPr>
          <w:t xml:space="preserve"> </w:t>
        </w:r>
      </w:hyperlink>
      <w:hyperlink r:id="rId33">
        <w:r w:rsidDel="00000000" w:rsidR="00000000" w:rsidRPr="00000000">
          <w:rPr>
            <w:rFonts w:ascii="Times New Roman" w:cs="Times New Roman" w:eastAsia="Times New Roman" w:hAnsi="Times New Roman"/>
            <w:color w:val="1155cc"/>
            <w:sz w:val="24"/>
            <w:szCs w:val="24"/>
            <w:u w:val="single"/>
            <w:rtl w:val="0"/>
          </w:rPr>
          <w:t xml:space="preserve">https://www.policeconduct.gov.uk/sites/default/files/documents/IPCC_Use_Of_Force_Report.pdf</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52">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Lord Hanson (2025) </w:t>
      </w:r>
      <w:r w:rsidDel="00000000" w:rsidR="00000000" w:rsidRPr="00000000">
        <w:rPr>
          <w:rFonts w:ascii="Times New Roman" w:cs="Times New Roman" w:eastAsia="Times New Roman" w:hAnsi="Times New Roman"/>
          <w:i w:val="1"/>
          <w:iCs w:val="1"/>
          <w:sz w:val="24"/>
          <w:szCs w:val="24"/>
          <w:rtl w:val="0"/>
        </w:rPr>
        <w:t xml:space="preserve">Police accountability: Written ministerial statement</w:t>
      </w:r>
      <w:r w:rsidDel="00000000" w:rsidR="00000000" w:rsidRPr="00000000">
        <w:rPr>
          <w:rFonts w:ascii="Times New Roman" w:cs="Times New Roman" w:eastAsia="Times New Roman" w:hAnsi="Times New Roman"/>
          <w:sz w:val="24"/>
          <w:szCs w:val="24"/>
          <w:rtl w:val="0"/>
        </w:rPr>
        <w:t xml:space="preserve">. Available at:</w:t>
      </w:r>
      <w:hyperlink r:id="rId34">
        <w:r w:rsidDel="00000000" w:rsidR="00000000" w:rsidRPr="00000000">
          <w:rPr>
            <w:rFonts w:ascii="Times New Roman" w:cs="Times New Roman" w:eastAsia="Times New Roman" w:hAnsi="Times New Roman"/>
            <w:sz w:val="24"/>
            <w:szCs w:val="24"/>
            <w:rtl w:val="0"/>
          </w:rPr>
          <w:t xml:space="preserve"> </w:t>
        </w:r>
      </w:hyperlink>
      <w:hyperlink r:id="rId35">
        <w:r w:rsidDel="00000000" w:rsidR="00000000" w:rsidRPr="00000000">
          <w:rPr>
            <w:rFonts w:ascii="Times New Roman" w:cs="Times New Roman" w:eastAsia="Times New Roman" w:hAnsi="Times New Roman"/>
            <w:color w:val="1155cc"/>
            <w:sz w:val="24"/>
            <w:szCs w:val="24"/>
            <w:u w:val="single"/>
            <w:rtl w:val="0"/>
          </w:rPr>
          <w:t xml:space="preserve">https://questions-statements.parliament.uk/written-statements/detail/2025-10-23/hlws985</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53">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Martin, R. (2021) </w:t>
      </w:r>
      <w:r w:rsidDel="00000000" w:rsidR="00000000" w:rsidRPr="00000000">
        <w:rPr>
          <w:rFonts w:ascii="Times New Roman" w:cs="Times New Roman" w:eastAsia="Times New Roman" w:hAnsi="Times New Roman"/>
          <w:i w:val="1"/>
          <w:iCs w:val="1"/>
          <w:sz w:val="24"/>
          <w:szCs w:val="24"/>
          <w:rtl w:val="0"/>
        </w:rPr>
        <w:t xml:space="preserve">When police kill in the line of duty: mistaken belief, professional misconduct and ethical duties after R. (W80)</w:t>
      </w:r>
      <w:r w:rsidDel="00000000" w:rsidR="00000000" w:rsidRPr="00000000">
        <w:rPr>
          <w:rFonts w:ascii="Times New Roman" w:cs="Times New Roman" w:eastAsia="Times New Roman" w:hAnsi="Times New Roman"/>
          <w:sz w:val="24"/>
          <w:szCs w:val="24"/>
          <w:rtl w:val="0"/>
        </w:rPr>
        <w:t xml:space="preserve">. Available at:</w:t>
      </w:r>
      <w:hyperlink r:id="rId36">
        <w:r w:rsidDel="00000000" w:rsidR="00000000" w:rsidRPr="00000000">
          <w:rPr>
            <w:rFonts w:ascii="Times New Roman" w:cs="Times New Roman" w:eastAsia="Times New Roman" w:hAnsi="Times New Roman"/>
            <w:sz w:val="24"/>
            <w:szCs w:val="24"/>
            <w:rtl w:val="0"/>
          </w:rPr>
          <w:t xml:space="preserve"> </w:t>
        </w:r>
      </w:hyperlink>
      <w:hyperlink r:id="rId37">
        <w:r w:rsidDel="00000000" w:rsidR="00000000" w:rsidRPr="00000000">
          <w:rPr>
            <w:rFonts w:ascii="Times New Roman" w:cs="Times New Roman" w:eastAsia="Times New Roman" w:hAnsi="Times New Roman"/>
            <w:color w:val="1155cc"/>
            <w:sz w:val="24"/>
            <w:szCs w:val="24"/>
            <w:u w:val="single"/>
            <w:rtl w:val="0"/>
          </w:rPr>
          <w:t xml:space="preserve">https://eprints.lse.ac.uk/113672/1/When_police_kill_in_the_line_of_duty.pdf</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5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McFarlane, P. and Amin, A. (2021) ‘Investigating fatal police shootings using the Human Factors Analysis and Classification System (HFACS)’, </w:t>
      </w:r>
      <w:r w:rsidDel="00000000" w:rsidR="00000000" w:rsidRPr="00000000">
        <w:rPr>
          <w:rFonts w:ascii="Times New Roman" w:cs="Times New Roman" w:eastAsia="Times New Roman" w:hAnsi="Times New Roman"/>
          <w:i w:val="1"/>
          <w:iCs w:val="1"/>
          <w:sz w:val="24"/>
          <w:szCs w:val="24"/>
          <w:rtl w:val="0"/>
        </w:rPr>
        <w:t xml:space="preserve">Police Practice and Research</w:t>
      </w:r>
      <w:r w:rsidDel="00000000" w:rsidR="00000000" w:rsidRPr="00000000">
        <w:rPr>
          <w:rFonts w:ascii="Times New Roman" w:cs="Times New Roman" w:eastAsia="Times New Roman" w:hAnsi="Times New Roman"/>
          <w:sz w:val="24"/>
          <w:szCs w:val="24"/>
          <w:rtl w:val="0"/>
        </w:rPr>
        <w:t xml:space="preserve">, 22(7), pp. 1777–1791. Available at:</w:t>
      </w:r>
      <w:hyperlink r:id="rId38">
        <w:r w:rsidDel="00000000" w:rsidR="00000000" w:rsidRPr="00000000">
          <w:rPr>
            <w:rFonts w:ascii="Times New Roman" w:cs="Times New Roman" w:eastAsia="Times New Roman" w:hAnsi="Times New Roman"/>
            <w:sz w:val="24"/>
            <w:szCs w:val="24"/>
            <w:rtl w:val="0"/>
          </w:rPr>
          <w:t xml:space="preserve"> </w:t>
        </w:r>
      </w:hyperlink>
      <w:hyperlink r:id="rId39">
        <w:r w:rsidDel="00000000" w:rsidR="00000000" w:rsidRPr="00000000">
          <w:rPr>
            <w:rFonts w:ascii="Times New Roman" w:cs="Times New Roman" w:eastAsia="Times New Roman" w:hAnsi="Times New Roman"/>
            <w:color w:val="1155cc"/>
            <w:sz w:val="24"/>
            <w:szCs w:val="24"/>
            <w:u w:val="single"/>
            <w:rtl w:val="0"/>
          </w:rPr>
          <w:t xml:space="preserve">https://discovery.ucl.ac.uk/10120020/1/McFarlane_Investigating%20fatal%20police%20shootings%20using%20the%20human%20factors%20analysis%20and%20classification%20framework%20HFACS.pdf</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55">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Porter, L.E. (2012) </w:t>
      </w:r>
      <w:r w:rsidDel="00000000" w:rsidR="00000000" w:rsidRPr="00000000">
        <w:rPr>
          <w:rFonts w:ascii="Times New Roman" w:cs="Times New Roman" w:eastAsia="Times New Roman" w:hAnsi="Times New Roman"/>
          <w:i w:val="1"/>
          <w:iCs w:val="1"/>
          <w:sz w:val="24"/>
          <w:szCs w:val="24"/>
          <w:rtl w:val="0"/>
        </w:rPr>
        <w:t xml:space="preserve">Police oversight in the United Kingdom: The balance of responsibility and the role of independent oversight agencies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6">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Squires, P. and Kennison, P. (2010) </w:t>
      </w:r>
      <w:r w:rsidDel="00000000" w:rsidR="00000000" w:rsidRPr="00000000">
        <w:rPr>
          <w:rFonts w:ascii="Times New Roman" w:cs="Times New Roman" w:eastAsia="Times New Roman" w:hAnsi="Times New Roman"/>
          <w:i w:val="1"/>
          <w:iCs w:val="1"/>
          <w:sz w:val="24"/>
          <w:szCs w:val="24"/>
          <w:rtl w:val="0"/>
        </w:rPr>
        <w:t xml:space="preserve">Shooting to Kill? Policing, Firearms and Armed Response</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7">
      <w:pPr>
        <w:spacing w:after="240" w:before="240" w:line="48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Torrible, C.N. (2021) ‘Police complaints and discipline: integrity, lesson learning, independence and accountability: some implications of the reforms under the Policing and Crime Act 2017’, </w:t>
      </w:r>
      <w:r w:rsidDel="00000000" w:rsidR="00000000" w:rsidRPr="00000000">
        <w:rPr>
          <w:rFonts w:ascii="Times New Roman" w:cs="Times New Roman" w:eastAsia="Times New Roman" w:hAnsi="Times New Roman"/>
          <w:i w:val="1"/>
          <w:iCs w:val="1"/>
          <w:sz w:val="24"/>
          <w:szCs w:val="24"/>
          <w:rtl w:val="0"/>
        </w:rPr>
        <w:t xml:space="preserve">Policing and Society</w:t>
      </w:r>
      <w:r w:rsidDel="00000000" w:rsidR="00000000" w:rsidRPr="00000000">
        <w:rPr>
          <w:rFonts w:ascii="Times New Roman" w:cs="Times New Roman" w:eastAsia="Times New Roman" w:hAnsi="Times New Roman"/>
          <w:sz w:val="24"/>
          <w:szCs w:val="24"/>
          <w:rtl w:val="0"/>
        </w:rPr>
        <w:t xml:space="preserve">, 31(9), pp. 1–16.</w:t>
      </w:r>
      <w:r w:rsidDel="00000000" w:rsidR="00000000" w:rsidRPr="00000000">
        <w:rPr>
          <w:rtl w:val="0"/>
        </w:rPr>
      </w:r>
    </w:p>
    <w:p w:rsidR="00000000" w:rsidDel="00000000" w:rsidP="00000000" w:rsidRDefault="00000000" w:rsidRPr="00000000" w14:paraId="00000058">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Waring, S. (2011) </w:t>
      </w:r>
      <w:r w:rsidDel="00000000" w:rsidR="00000000" w:rsidRPr="00000000">
        <w:rPr>
          <w:rFonts w:ascii="Times New Roman" w:cs="Times New Roman" w:eastAsia="Times New Roman" w:hAnsi="Times New Roman"/>
          <w:i w:val="1"/>
          <w:iCs w:val="1"/>
          <w:sz w:val="24"/>
          <w:szCs w:val="24"/>
          <w:rtl w:val="0"/>
        </w:rPr>
        <w:t xml:space="preserve">An examination of the impact of accountability and blame on police judgments and decisions in critical incidents</w:t>
      </w:r>
      <w:r w:rsidDel="00000000" w:rsidR="00000000" w:rsidRPr="00000000">
        <w:rPr>
          <w:rFonts w:ascii="Times New Roman" w:cs="Times New Roman" w:eastAsia="Times New Roman" w:hAnsi="Times New Roman"/>
          <w:sz w:val="24"/>
          <w:szCs w:val="24"/>
          <w:rtl w:val="0"/>
        </w:rPr>
        <w:t xml:space="preserve">. University of Liverpool. Available at:</w:t>
      </w:r>
      <w:hyperlink r:id="rId40">
        <w:r w:rsidDel="00000000" w:rsidR="00000000" w:rsidRPr="00000000">
          <w:rPr>
            <w:rFonts w:ascii="Times New Roman" w:cs="Times New Roman" w:eastAsia="Times New Roman" w:hAnsi="Times New Roman"/>
            <w:sz w:val="24"/>
            <w:szCs w:val="24"/>
            <w:rtl w:val="0"/>
          </w:rPr>
          <w:t xml:space="preserve"> </w:t>
        </w:r>
      </w:hyperlink>
      <w:hyperlink r:id="rId41">
        <w:r w:rsidDel="00000000" w:rsidR="00000000" w:rsidRPr="00000000">
          <w:rPr>
            <w:rFonts w:ascii="Times New Roman" w:cs="Times New Roman" w:eastAsia="Times New Roman" w:hAnsi="Times New Roman"/>
            <w:color w:val="1155cc"/>
            <w:sz w:val="24"/>
            <w:szCs w:val="24"/>
            <w:u w:val="single"/>
            <w:rtl w:val="0"/>
          </w:rPr>
          <w:t xml:space="preserve">https://livrepository.liverpool.ac.uk/5275/3/WaringSar_Sept2011_5275.pdf</w:t>
        </w:r>
      </w:hyperlink>
      <w:r w:rsidDel="00000000" w:rsidR="00000000" w:rsidRPr="00000000">
        <w:rPr>
          <w:rFonts w:ascii="Times New Roman" w:cs="Times New Roman" w:eastAsia="Times New Roman" w:hAnsi="Times New Roman"/>
          <w:sz w:val="24"/>
          <w:szCs w:val="24"/>
          <w:rtl w:val="0"/>
        </w:rPr>
        <w:t xml:space="preserve"> (Accessed: 19 January 2026).</w:t>
      </w:r>
    </w:p>
    <w:p w:rsidR="00000000" w:rsidDel="00000000" w:rsidP="00000000" w:rsidRDefault="00000000" w:rsidRPr="00000000" w14:paraId="00000059">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Winchester, J. (2020) </w:t>
      </w:r>
      <w:r w:rsidDel="00000000" w:rsidR="00000000" w:rsidRPr="00000000">
        <w:rPr>
          <w:rFonts w:ascii="Times New Roman" w:cs="Times New Roman" w:eastAsia="Times New Roman" w:hAnsi="Times New Roman"/>
          <w:i w:val="1"/>
          <w:iCs w:val="1"/>
          <w:sz w:val="24"/>
          <w:szCs w:val="24"/>
          <w:rtl w:val="0"/>
        </w:rPr>
        <w:t xml:space="preserve">Police accountability</w:t>
      </w:r>
      <w:r w:rsidDel="00000000" w:rsidR="00000000" w:rsidRPr="00000000">
        <w:rPr>
          <w:rFonts w:ascii="Times New Roman" w:cs="Times New Roman" w:eastAsia="Times New Roman" w:hAnsi="Times New Roman"/>
          <w:sz w:val="24"/>
          <w:szCs w:val="24"/>
          <w:rtl w:val="0"/>
        </w:rPr>
        <w:t xml:space="preserve">. House of Lords Library. Available at:</w:t>
      </w:r>
      <w:hyperlink r:id="rId42">
        <w:r w:rsidDel="00000000" w:rsidR="00000000" w:rsidRPr="00000000">
          <w:rPr>
            <w:rFonts w:ascii="Times New Roman" w:cs="Times New Roman" w:eastAsia="Times New Roman" w:hAnsi="Times New Roman"/>
            <w:sz w:val="24"/>
            <w:szCs w:val="24"/>
            <w:rtl w:val="0"/>
          </w:rPr>
          <w:t xml:space="preserve"> </w:t>
        </w:r>
      </w:hyperlink>
      <w:hyperlink r:id="rId43">
        <w:r w:rsidDel="00000000" w:rsidR="00000000" w:rsidRPr="00000000">
          <w:rPr>
            <w:rFonts w:ascii="Times New Roman" w:cs="Times New Roman" w:eastAsia="Times New Roman" w:hAnsi="Times New Roman"/>
            <w:color w:val="1155cc"/>
            <w:sz w:val="24"/>
            <w:szCs w:val="24"/>
            <w:u w:val="single"/>
            <w:rtl w:val="0"/>
          </w:rPr>
          <w:t xml:space="preserve">https://lordslibrary.parliament.uk/research-briefings/lln-2020-0013/</w:t>
        </w:r>
      </w:hyperlink>
      <w:r w:rsidDel="00000000" w:rsidR="00000000" w:rsidRPr="00000000">
        <w:rPr>
          <w:rFonts w:ascii="Times New Roman" w:cs="Times New Roman" w:eastAsia="Times New Roman" w:hAnsi="Times New Roman"/>
          <w:sz w:val="24"/>
          <w:szCs w:val="24"/>
          <w:rtl w:val="0"/>
        </w:rPr>
        <w:t xml:space="preserve"> (Accessed: 20 January 2026).</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livrepository.liverpool.ac.uk/5275/3/WaringSar_Sept2011_5275.pdf?utm_source=chatgpt.com" TargetMode="External"/><Relationship Id="rId20" Type="http://schemas.openxmlformats.org/officeDocument/2006/relationships/hyperlink" Target="https://hmicfrs.justiceinspectorates.gov.uk/publication-html/how-effective-police-forces-are-in-the-deployment-of-firearms/?utm_source=chatgpt.com" TargetMode="External"/><Relationship Id="rId42" Type="http://schemas.openxmlformats.org/officeDocument/2006/relationships/hyperlink" Target="https://lordslibrary.parliament.uk/research-briefings/lln-2020-0013/" TargetMode="External"/><Relationship Id="rId41" Type="http://schemas.openxmlformats.org/officeDocument/2006/relationships/hyperlink" Target="https://livrepository.liverpool.ac.uk/5275/3/WaringSar_Sept2011_5275.pdf?utm_source=chatgpt.com" TargetMode="External"/><Relationship Id="rId22" Type="http://schemas.openxmlformats.org/officeDocument/2006/relationships/hyperlink" Target="https://hmicfrs.justiceinspectorates.gov.uk/about-us/who-we-inspect/" TargetMode="External"/><Relationship Id="rId21" Type="http://schemas.openxmlformats.org/officeDocument/2006/relationships/hyperlink" Target="https://hmicfrs.justiceinspectorates.gov.uk/publication-html/how-effective-police-forces-are-in-the-deployment-of-firearms/?utm_source=chatgpt.com" TargetMode="External"/><Relationship Id="rId43" Type="http://schemas.openxmlformats.org/officeDocument/2006/relationships/hyperlink" Target="https://lordslibrary.parliament.uk/research-briefings/lln-2020-0013/" TargetMode="External"/><Relationship Id="rId24" Type="http://schemas.openxmlformats.org/officeDocument/2006/relationships/hyperlink" Target="https://www.gov.uk/government/statistics/police-use-of-firearms-statistics-april-2024-to-march-2025/police-use-of-firearms-statistics-april-2024-to-march-2025?utm_source=chatgpt.com" TargetMode="External"/><Relationship Id="rId23" Type="http://schemas.openxmlformats.org/officeDocument/2006/relationships/hyperlink" Target="https://hmicfrs.justiceinspectorates.gov.uk/about-us/who-we-inspec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ssets.publishing.service.gov.uk/media/5a7cf830e5274a2af0ae293e/An_Independent_Review_of_the_Police_Disciplinary_System_-_Report_-_Final.pdf" TargetMode="External"/><Relationship Id="rId26" Type="http://schemas.openxmlformats.org/officeDocument/2006/relationships/hyperlink" Target="https://www.gov.uk/government/statistics/police-use-of-force-statistics-april-2024-to-march-2025/police-use-of-force-statistics-england-and-wales-april-2024-to-march-2025?utm_source=chatgpt.com" TargetMode="External"/><Relationship Id="rId25" Type="http://schemas.openxmlformats.org/officeDocument/2006/relationships/hyperlink" Target="https://www.gov.uk/government/statistics/police-use-of-firearms-statistics-april-2024-to-march-2025/police-use-of-firearms-statistics-april-2024-to-march-2025?utm_source=chatgpt.com" TargetMode="External"/><Relationship Id="rId28" Type="http://schemas.openxmlformats.org/officeDocument/2006/relationships/hyperlink" Target="https://www.policeconduct.gov.uk/our-work/learning/learning-the-lessons" TargetMode="External"/><Relationship Id="rId27" Type="http://schemas.openxmlformats.org/officeDocument/2006/relationships/hyperlink" Target="https://www.gov.uk/government/statistics/police-use-of-force-statistics-april-2024-to-march-2025/police-use-of-force-statistics-england-and-wales-april-2024-to-march-2025?utm_source=chatgpt.com" TargetMode="External"/><Relationship Id="rId5" Type="http://schemas.openxmlformats.org/officeDocument/2006/relationships/styles" Target="styles.xml"/><Relationship Id="rId6" Type="http://schemas.openxmlformats.org/officeDocument/2006/relationships/hyperlink" Target="https://discovery.ucl.ac.uk/id/eprint/10203174/1/Bradford-2024-what-goes-up-must-come-down-25-years-of-public-trust-in-the-police.pdf?utm_source=chatgpt.com" TargetMode="External"/><Relationship Id="rId29" Type="http://schemas.openxmlformats.org/officeDocument/2006/relationships/hyperlink" Target="https://www.policeconduct.gov.uk/our-work/learning/learning-the-lessons" TargetMode="External"/><Relationship Id="rId7" Type="http://schemas.openxmlformats.org/officeDocument/2006/relationships/hyperlink" Target="https://discovery.ucl.ac.uk/id/eprint/10203174/1/Bradford-2024-what-goes-up-must-come-down-25-years-of-public-trust-in-the-police.pdf?utm_source=chatgpt.com" TargetMode="External"/><Relationship Id="rId8" Type="http://schemas.openxmlformats.org/officeDocument/2006/relationships/hyperlink" Target="https://assets.publishing.service.gov.uk/media/5a7cf830e5274a2af0ae293e/An_Independent_Review_of_the_Police_Disciplinary_System_-_Report_-_Final.pdf" TargetMode="External"/><Relationship Id="rId31" Type="http://schemas.openxmlformats.org/officeDocument/2006/relationships/hyperlink" Target="https://www.policeconduct.gov.uk/sites/default/files/documents/IOPC-minimum-standards-guidance-March2024.pdf" TargetMode="External"/><Relationship Id="rId30" Type="http://schemas.openxmlformats.org/officeDocument/2006/relationships/hyperlink" Target="https://www.policeconduct.gov.uk/sites/default/files/documents/IOPC-minimum-standards-guidance-March2024.pdf" TargetMode="External"/><Relationship Id="rId11" Type="http://schemas.openxmlformats.org/officeDocument/2006/relationships/hyperlink" Target="https://www.college.police.uk/app/armed-policing/post-deployment?utm_source=chatgpt.com" TargetMode="External"/><Relationship Id="rId33" Type="http://schemas.openxmlformats.org/officeDocument/2006/relationships/hyperlink" Target="https://www.policeconduct.gov.uk/sites/default/files/documents/IPCC_Use_Of_Force_Report.pdf?utm_source=chatgpt.com" TargetMode="External"/><Relationship Id="rId10" Type="http://schemas.openxmlformats.org/officeDocument/2006/relationships/hyperlink" Target="https://www.college.police.uk/app/armed-policing/post-deployment?utm_source=chatgpt.com" TargetMode="External"/><Relationship Id="rId32" Type="http://schemas.openxmlformats.org/officeDocument/2006/relationships/hyperlink" Target="https://www.policeconduct.gov.uk/sites/default/files/documents/IPCC_Use_Of_Force_Report.pdf?utm_source=chatgpt.com" TargetMode="External"/><Relationship Id="rId13" Type="http://schemas.openxmlformats.org/officeDocument/2006/relationships/hyperlink" Target="https://www.college.police.uk/app/armed-policing/legal-framework?utm_source=chatgpt.com" TargetMode="External"/><Relationship Id="rId35" Type="http://schemas.openxmlformats.org/officeDocument/2006/relationships/hyperlink" Target="https://questions-statements.parliament.uk/written-statements/detail/2025-10-23/hlws985?utm_source=chatgpt.com" TargetMode="External"/><Relationship Id="rId12" Type="http://schemas.openxmlformats.org/officeDocument/2006/relationships/hyperlink" Target="https://www.college.police.uk/app/armed-policing/legal-framework?utm_source=chatgpt.com" TargetMode="External"/><Relationship Id="rId34" Type="http://schemas.openxmlformats.org/officeDocument/2006/relationships/hyperlink" Target="https://questions-statements.parliament.uk/written-statements/detail/2025-10-23/hlws985?utm_source=chatgpt.com" TargetMode="External"/><Relationship Id="rId15" Type="http://schemas.openxmlformats.org/officeDocument/2006/relationships/hyperlink" Target="https://ks.echr.coe.int/documents/d/echr-ks/guide_art_2_eng" TargetMode="External"/><Relationship Id="rId37" Type="http://schemas.openxmlformats.org/officeDocument/2006/relationships/hyperlink" Target="https://eprints.lse.ac.uk/113672/1/When_police_kill_in_the_line_of_duty.pdf?utm_source=chatgpt.com" TargetMode="External"/><Relationship Id="rId14" Type="http://schemas.openxmlformats.org/officeDocument/2006/relationships/hyperlink" Target="https://ks.echr.coe.int/documents/d/echr-ks/guide_art_2_eng" TargetMode="External"/><Relationship Id="rId36" Type="http://schemas.openxmlformats.org/officeDocument/2006/relationships/hyperlink" Target="https://eprints.lse.ac.uk/113672/1/When_police_kill_in_the_line_of_duty.pdf?utm_source=chatgpt.com" TargetMode="External"/><Relationship Id="rId17" Type="http://schemas.openxmlformats.org/officeDocument/2006/relationships/hyperlink" Target="https://www.gov.uk/government/publications/independent-office-for-police-conduct-public-body-review-2024/independent-review-of-the-independent-office-for-police-conduct-iopc-accessible-version?utm_source=chatgpt.com" TargetMode="External"/><Relationship Id="rId39" Type="http://schemas.openxmlformats.org/officeDocument/2006/relationships/hyperlink" Target="https://discovery.ucl.ac.uk/10120020/1/McFarlane_Investigating%20fatal%20police%20shootings%20using%20the%20human%20factors%20analysis%20and%20classification%20framework%20HFACS.pdf?utm_source=chatgpt.com" TargetMode="External"/><Relationship Id="rId16" Type="http://schemas.openxmlformats.org/officeDocument/2006/relationships/hyperlink" Target="https://www.gov.uk/government/publications/independent-office-for-police-conduct-public-body-review-2024/independent-review-of-the-independent-office-for-police-conduct-iopc-accessible-version?utm_source=chatgpt.com" TargetMode="External"/><Relationship Id="rId38" Type="http://schemas.openxmlformats.org/officeDocument/2006/relationships/hyperlink" Target="https://discovery.ucl.ac.uk/10120020/1/McFarlane_Investigating%20fatal%20police%20shootings%20using%20the%20human%20factors%20analysis%20and%20classification%20framework%20HFACS.pdf?utm_source=chatgpt.com" TargetMode="External"/><Relationship Id="rId19" Type="http://schemas.openxmlformats.org/officeDocument/2006/relationships/hyperlink" Target="https://www.gov.uk/government/publications/public-perceptions-of-policing-a-review-of-research-and-literature/public-perceptions-of-policing-a-review-of-research-and-literature?utm_source=chatgpt.com" TargetMode="External"/><Relationship Id="rId18" Type="http://schemas.openxmlformats.org/officeDocument/2006/relationships/hyperlink" Target="https://www.gov.uk/government/publications/public-perceptions-of-policing-a-review-of-research-and-literature/public-perceptions-of-policing-a-review-of-research-and-literatur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