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C6E54" w14:textId="4B4121A1" w:rsidR="00107FC1" w:rsidRPr="00107FC1" w:rsidRDefault="00107FC1" w:rsidP="00107FC1">
      <w:pPr>
        <w:spacing w:after="60" w:line="240" w:lineRule="auto"/>
        <w:rPr>
          <w:rFonts w:ascii="Arial" w:hAnsi="Arial" w:cs="Arial"/>
          <w:kern w:val="0"/>
          <w:sz w:val="22"/>
          <w:szCs w:val="22"/>
          <w14:ligatures w14:val="none"/>
        </w:rPr>
      </w:pPr>
      <w:r w:rsidRPr="00107FC1">
        <w:rPr>
          <w:rFonts w:ascii="Arial" w:hAnsi="Arial" w:cs="Arial"/>
          <w:kern w:val="0"/>
          <w:sz w:val="22"/>
          <w:szCs w:val="22"/>
          <w14:ligatures w14:val="none"/>
        </w:rPr>
        <w:t>Harmony Reid                                                                                                              2</w:t>
      </w:r>
      <w:r w:rsidR="001700EC">
        <w:rPr>
          <w:rFonts w:ascii="Arial" w:hAnsi="Arial" w:cs="Arial"/>
          <w:kern w:val="0"/>
          <w:sz w:val="22"/>
          <w:szCs w:val="22"/>
          <w14:ligatures w14:val="none"/>
        </w:rPr>
        <w:t>308897</w:t>
      </w:r>
    </w:p>
    <w:p w14:paraId="48816A1A" w14:textId="77777777" w:rsidR="00107FC1" w:rsidRPr="00107FC1" w:rsidRDefault="00107FC1" w:rsidP="00107FC1">
      <w:pPr>
        <w:spacing w:after="60" w:line="240" w:lineRule="auto"/>
        <w:rPr>
          <w:rFonts w:ascii="Arial" w:hAnsi="Arial" w:cs="Arial"/>
          <w:kern w:val="0"/>
          <w:sz w:val="22"/>
          <w:szCs w:val="22"/>
          <w14:ligatures w14:val="none"/>
        </w:rPr>
      </w:pPr>
    </w:p>
    <w:p w14:paraId="27D03C44" w14:textId="77777777" w:rsidR="00107FC1" w:rsidRPr="00107FC1" w:rsidRDefault="00107FC1" w:rsidP="00107FC1">
      <w:pPr>
        <w:spacing w:after="60" w:line="240" w:lineRule="auto"/>
        <w:rPr>
          <w:rFonts w:ascii="Arial" w:hAnsi="Arial" w:cs="Arial"/>
          <w:kern w:val="0"/>
          <w:sz w:val="22"/>
          <w:szCs w:val="22"/>
          <w14:ligatures w14:val="none"/>
        </w:rPr>
      </w:pPr>
    </w:p>
    <w:p w14:paraId="7AA4C7DA" w14:textId="77777777" w:rsidR="00107FC1" w:rsidRPr="00107FC1" w:rsidRDefault="00107FC1" w:rsidP="00107FC1">
      <w:pPr>
        <w:spacing w:after="60" w:line="240" w:lineRule="auto"/>
        <w:rPr>
          <w:rFonts w:ascii="Arial" w:hAnsi="Arial" w:cs="Arial"/>
          <w:kern w:val="0"/>
          <w:sz w:val="22"/>
          <w:szCs w:val="22"/>
          <w14:ligatures w14:val="none"/>
        </w:rPr>
      </w:pPr>
    </w:p>
    <w:p w14:paraId="1E93FD85" w14:textId="77777777" w:rsidR="00107FC1" w:rsidRPr="00107FC1" w:rsidRDefault="00107FC1" w:rsidP="00107FC1">
      <w:pPr>
        <w:spacing w:after="60" w:line="240" w:lineRule="auto"/>
        <w:rPr>
          <w:rFonts w:ascii="Arial" w:hAnsi="Arial" w:cs="Arial"/>
          <w:kern w:val="0"/>
          <w:sz w:val="22"/>
          <w:szCs w:val="22"/>
          <w14:ligatures w14:val="none"/>
        </w:rPr>
      </w:pPr>
    </w:p>
    <w:p w14:paraId="2E718C71" w14:textId="77777777" w:rsidR="00107FC1" w:rsidRPr="00107FC1" w:rsidRDefault="00107FC1" w:rsidP="00107FC1">
      <w:pPr>
        <w:spacing w:after="60" w:line="240" w:lineRule="auto"/>
        <w:rPr>
          <w:rFonts w:ascii="Arial" w:hAnsi="Arial" w:cs="Arial"/>
          <w:kern w:val="0"/>
          <w:sz w:val="22"/>
          <w:szCs w:val="22"/>
          <w14:ligatures w14:val="none"/>
        </w:rPr>
      </w:pPr>
    </w:p>
    <w:p w14:paraId="55259C92" w14:textId="77777777" w:rsidR="00107FC1" w:rsidRPr="00107FC1" w:rsidRDefault="00107FC1" w:rsidP="00107FC1">
      <w:pPr>
        <w:spacing w:after="60" w:line="240" w:lineRule="auto"/>
        <w:rPr>
          <w:rFonts w:ascii="Arial" w:hAnsi="Arial" w:cs="Arial"/>
          <w:kern w:val="0"/>
          <w:sz w:val="22"/>
          <w:szCs w:val="22"/>
          <w14:ligatures w14:val="none"/>
        </w:rPr>
      </w:pPr>
    </w:p>
    <w:p w14:paraId="1EF47EDC" w14:textId="77777777" w:rsidR="00107FC1" w:rsidRPr="00107FC1" w:rsidRDefault="00107FC1" w:rsidP="00107FC1">
      <w:pPr>
        <w:spacing w:after="60" w:line="240" w:lineRule="auto"/>
        <w:rPr>
          <w:rFonts w:ascii="Arial" w:hAnsi="Arial" w:cs="Arial"/>
          <w:kern w:val="0"/>
          <w:sz w:val="22"/>
          <w:szCs w:val="22"/>
          <w14:ligatures w14:val="none"/>
        </w:rPr>
      </w:pPr>
    </w:p>
    <w:p w14:paraId="24B36E07" w14:textId="77777777" w:rsidR="00107FC1" w:rsidRPr="00107FC1" w:rsidRDefault="00107FC1" w:rsidP="00107FC1">
      <w:pPr>
        <w:spacing w:after="60" w:line="240" w:lineRule="auto"/>
        <w:rPr>
          <w:rFonts w:ascii="Arial" w:hAnsi="Arial" w:cs="Arial"/>
          <w:kern w:val="0"/>
          <w:sz w:val="22"/>
          <w:szCs w:val="22"/>
          <w14:ligatures w14:val="none"/>
        </w:rPr>
      </w:pPr>
    </w:p>
    <w:p w14:paraId="1290CD8D" w14:textId="77777777" w:rsidR="00107FC1" w:rsidRPr="00107FC1" w:rsidRDefault="00107FC1" w:rsidP="00107FC1">
      <w:pPr>
        <w:spacing w:after="60" w:line="240" w:lineRule="auto"/>
        <w:rPr>
          <w:rFonts w:ascii="Arial" w:hAnsi="Arial" w:cs="Arial"/>
          <w:kern w:val="0"/>
          <w:sz w:val="22"/>
          <w:szCs w:val="22"/>
          <w14:ligatures w14:val="none"/>
        </w:rPr>
      </w:pPr>
    </w:p>
    <w:p w14:paraId="582A46E1" w14:textId="77777777" w:rsidR="00107FC1" w:rsidRPr="00107FC1" w:rsidRDefault="00107FC1" w:rsidP="00107FC1">
      <w:pPr>
        <w:spacing w:after="60" w:line="240" w:lineRule="auto"/>
        <w:rPr>
          <w:rFonts w:ascii="Arial" w:hAnsi="Arial" w:cs="Arial"/>
          <w:kern w:val="0"/>
          <w:sz w:val="22"/>
          <w:szCs w:val="22"/>
          <w14:ligatures w14:val="none"/>
        </w:rPr>
      </w:pPr>
    </w:p>
    <w:p w14:paraId="68EE0977" w14:textId="77777777" w:rsidR="00107FC1" w:rsidRPr="00107FC1" w:rsidRDefault="00107FC1" w:rsidP="00107FC1">
      <w:pPr>
        <w:spacing w:after="60" w:line="240" w:lineRule="auto"/>
        <w:rPr>
          <w:rFonts w:ascii="Arial" w:hAnsi="Arial" w:cs="Arial"/>
          <w:kern w:val="0"/>
          <w:sz w:val="22"/>
          <w:szCs w:val="22"/>
          <w14:ligatures w14:val="none"/>
        </w:rPr>
      </w:pPr>
    </w:p>
    <w:p w14:paraId="0EEE115F" w14:textId="77777777" w:rsidR="00107FC1" w:rsidRPr="00107FC1" w:rsidRDefault="00107FC1" w:rsidP="00107FC1">
      <w:pPr>
        <w:spacing w:after="60" w:line="240" w:lineRule="auto"/>
        <w:rPr>
          <w:rFonts w:ascii="Arial" w:hAnsi="Arial" w:cs="Arial"/>
          <w:kern w:val="0"/>
          <w:sz w:val="22"/>
          <w:szCs w:val="22"/>
          <w14:ligatures w14:val="none"/>
        </w:rPr>
      </w:pPr>
    </w:p>
    <w:p w14:paraId="5E1D15A5" w14:textId="77777777" w:rsidR="00107FC1" w:rsidRPr="00107FC1" w:rsidRDefault="00107FC1" w:rsidP="00107FC1">
      <w:pPr>
        <w:spacing w:after="60" w:line="240" w:lineRule="auto"/>
        <w:rPr>
          <w:rFonts w:ascii="Arial" w:hAnsi="Arial" w:cs="Arial"/>
          <w:kern w:val="0"/>
          <w:sz w:val="22"/>
          <w:szCs w:val="22"/>
          <w14:ligatures w14:val="none"/>
        </w:rPr>
      </w:pPr>
    </w:p>
    <w:p w14:paraId="1CD43442" w14:textId="77777777" w:rsidR="00107FC1" w:rsidRPr="00107FC1" w:rsidRDefault="00107FC1" w:rsidP="00107FC1">
      <w:pPr>
        <w:spacing w:after="60" w:line="240" w:lineRule="auto"/>
        <w:rPr>
          <w:rFonts w:ascii="Arial" w:hAnsi="Arial" w:cs="Arial"/>
          <w:kern w:val="0"/>
          <w:sz w:val="22"/>
          <w:szCs w:val="22"/>
          <w14:ligatures w14:val="none"/>
        </w:rPr>
      </w:pPr>
    </w:p>
    <w:p w14:paraId="13E58F3D" w14:textId="77777777" w:rsidR="00107FC1" w:rsidRPr="00107FC1" w:rsidRDefault="00107FC1" w:rsidP="00107FC1">
      <w:pPr>
        <w:spacing w:after="60" w:line="240" w:lineRule="auto"/>
        <w:rPr>
          <w:rFonts w:ascii="Arial" w:hAnsi="Arial" w:cs="Arial"/>
          <w:kern w:val="0"/>
          <w:sz w:val="22"/>
          <w:szCs w:val="22"/>
          <w14:ligatures w14:val="none"/>
        </w:rPr>
      </w:pPr>
    </w:p>
    <w:p w14:paraId="68B4C0AB" w14:textId="77777777" w:rsidR="00107FC1" w:rsidRPr="00107FC1" w:rsidRDefault="00107FC1" w:rsidP="00107FC1">
      <w:pPr>
        <w:spacing w:after="60" w:line="240" w:lineRule="auto"/>
        <w:ind w:left="2160"/>
        <w:rPr>
          <w:rFonts w:ascii="Arial" w:hAnsi="Arial" w:cs="Arial"/>
          <w:kern w:val="0"/>
          <w:sz w:val="22"/>
          <w:szCs w:val="22"/>
          <w14:ligatures w14:val="none"/>
        </w:rPr>
      </w:pPr>
    </w:p>
    <w:p w14:paraId="79505215" w14:textId="77777777" w:rsidR="00107FC1" w:rsidRPr="00107FC1" w:rsidRDefault="00107FC1" w:rsidP="00107FC1">
      <w:pPr>
        <w:spacing w:after="60" w:line="240" w:lineRule="auto"/>
        <w:ind w:left="2160"/>
        <w:rPr>
          <w:rFonts w:ascii="Arial" w:hAnsi="Arial" w:cs="Arial"/>
          <w:kern w:val="0"/>
          <w:sz w:val="22"/>
          <w:szCs w:val="22"/>
          <w14:ligatures w14:val="none"/>
        </w:rPr>
      </w:pPr>
    </w:p>
    <w:p w14:paraId="1969FA66" w14:textId="77777777" w:rsidR="00107FC1" w:rsidRPr="00107FC1" w:rsidRDefault="00107FC1" w:rsidP="00107FC1">
      <w:pPr>
        <w:spacing w:after="60" w:line="240" w:lineRule="auto"/>
        <w:ind w:left="2160"/>
        <w:rPr>
          <w:rFonts w:ascii="Arial" w:hAnsi="Arial" w:cs="Arial"/>
          <w:kern w:val="0"/>
          <w:sz w:val="22"/>
          <w:szCs w:val="22"/>
          <w14:ligatures w14:val="none"/>
        </w:rPr>
      </w:pPr>
    </w:p>
    <w:p w14:paraId="11B7DDD2" w14:textId="77777777" w:rsidR="00107FC1" w:rsidRPr="00107FC1" w:rsidRDefault="00107FC1" w:rsidP="00107FC1">
      <w:pPr>
        <w:spacing w:after="60" w:line="240" w:lineRule="auto"/>
        <w:ind w:left="2160"/>
        <w:rPr>
          <w:rFonts w:ascii="Arial" w:hAnsi="Arial" w:cs="Arial"/>
          <w:kern w:val="0"/>
          <w:sz w:val="22"/>
          <w:szCs w:val="22"/>
          <w14:ligatures w14:val="none"/>
        </w:rPr>
      </w:pPr>
    </w:p>
    <w:p w14:paraId="55C56EB2" w14:textId="77777777" w:rsidR="00107FC1" w:rsidRPr="00107FC1" w:rsidRDefault="00107FC1" w:rsidP="00107FC1">
      <w:pPr>
        <w:spacing w:after="60" w:line="240" w:lineRule="auto"/>
        <w:ind w:left="2160"/>
        <w:rPr>
          <w:rFonts w:ascii="Arial" w:hAnsi="Arial" w:cs="Arial"/>
          <w:kern w:val="0"/>
          <w:sz w:val="22"/>
          <w:szCs w:val="22"/>
          <w14:ligatures w14:val="none"/>
        </w:rPr>
      </w:pPr>
    </w:p>
    <w:p w14:paraId="12347F5A" w14:textId="77777777" w:rsidR="00107FC1" w:rsidRPr="00107FC1" w:rsidRDefault="00107FC1" w:rsidP="00107FC1">
      <w:pPr>
        <w:spacing w:after="60" w:line="240" w:lineRule="auto"/>
        <w:ind w:left="2160"/>
        <w:rPr>
          <w:rFonts w:ascii="Arial" w:hAnsi="Arial" w:cs="Arial"/>
          <w:kern w:val="0"/>
          <w:sz w:val="22"/>
          <w:szCs w:val="22"/>
          <w14:ligatures w14:val="none"/>
        </w:rPr>
      </w:pPr>
    </w:p>
    <w:p w14:paraId="03066DA0" w14:textId="77777777" w:rsidR="00107FC1" w:rsidRPr="00107FC1" w:rsidRDefault="00107FC1" w:rsidP="00107FC1">
      <w:pPr>
        <w:spacing w:after="60" w:line="240" w:lineRule="auto"/>
        <w:ind w:left="2160"/>
        <w:rPr>
          <w:rFonts w:ascii="Arial" w:hAnsi="Arial" w:cs="Arial"/>
          <w:kern w:val="0"/>
          <w:sz w:val="22"/>
          <w:szCs w:val="22"/>
          <w14:ligatures w14:val="none"/>
        </w:rPr>
      </w:pPr>
      <w:r w:rsidRPr="00107FC1">
        <w:rPr>
          <w:rFonts w:ascii="Arial" w:hAnsi="Arial" w:cs="Arial"/>
          <w:kern w:val="0"/>
          <w:sz w:val="22"/>
          <w:szCs w:val="22"/>
          <w14:ligatures w14:val="none"/>
        </w:rPr>
        <w:t xml:space="preserve">Component 2 – Bibliography &amp; short report </w:t>
      </w:r>
    </w:p>
    <w:p w14:paraId="28A84302" w14:textId="77777777" w:rsidR="00107FC1" w:rsidRPr="00107FC1" w:rsidRDefault="00107FC1" w:rsidP="00107FC1">
      <w:pPr>
        <w:spacing w:after="60" w:line="240" w:lineRule="auto"/>
        <w:ind w:left="1440"/>
        <w:rPr>
          <w:rFonts w:ascii="Arial" w:hAnsi="Arial" w:cs="Arial"/>
          <w:kern w:val="0"/>
          <w:sz w:val="22"/>
          <w:szCs w:val="22"/>
          <w14:ligatures w14:val="none"/>
        </w:rPr>
      </w:pPr>
    </w:p>
    <w:p w14:paraId="5A1F59D3" w14:textId="77777777" w:rsidR="00107FC1" w:rsidRPr="00107FC1" w:rsidRDefault="00107FC1" w:rsidP="00107FC1">
      <w:pPr>
        <w:spacing w:after="60" w:line="240" w:lineRule="auto"/>
        <w:rPr>
          <w:rFonts w:ascii="Arial" w:hAnsi="Arial" w:cs="Arial"/>
          <w:kern w:val="0"/>
          <w:sz w:val="22"/>
          <w:szCs w:val="22"/>
          <w14:ligatures w14:val="none"/>
        </w:rPr>
      </w:pPr>
    </w:p>
    <w:p w14:paraId="7FC5EA09" w14:textId="77777777" w:rsidR="00107FC1" w:rsidRPr="00107FC1" w:rsidRDefault="00107FC1" w:rsidP="00107FC1">
      <w:pPr>
        <w:spacing w:after="60" w:line="240" w:lineRule="auto"/>
        <w:rPr>
          <w:rFonts w:ascii="Arial" w:hAnsi="Arial" w:cs="Arial"/>
          <w:kern w:val="0"/>
          <w:sz w:val="22"/>
          <w:szCs w:val="22"/>
          <w14:ligatures w14:val="none"/>
        </w:rPr>
      </w:pPr>
    </w:p>
    <w:p w14:paraId="66B05B2C" w14:textId="77777777" w:rsidR="00107FC1" w:rsidRPr="00107FC1" w:rsidRDefault="00107FC1" w:rsidP="00107FC1">
      <w:pPr>
        <w:spacing w:after="60" w:line="240" w:lineRule="auto"/>
        <w:rPr>
          <w:rFonts w:ascii="Arial" w:hAnsi="Arial" w:cs="Arial"/>
          <w:kern w:val="0"/>
          <w:sz w:val="22"/>
          <w:szCs w:val="22"/>
          <w14:ligatures w14:val="none"/>
        </w:rPr>
      </w:pPr>
    </w:p>
    <w:p w14:paraId="16A68339" w14:textId="77777777" w:rsidR="00107FC1" w:rsidRPr="00107FC1" w:rsidRDefault="00107FC1" w:rsidP="00107FC1">
      <w:pPr>
        <w:spacing w:after="60" w:line="240" w:lineRule="auto"/>
        <w:rPr>
          <w:rFonts w:ascii="Arial" w:hAnsi="Arial" w:cs="Arial"/>
          <w:kern w:val="0"/>
          <w:sz w:val="22"/>
          <w:szCs w:val="22"/>
          <w14:ligatures w14:val="none"/>
        </w:rPr>
      </w:pPr>
    </w:p>
    <w:p w14:paraId="0D04EC30" w14:textId="77777777" w:rsidR="00107FC1" w:rsidRPr="00107FC1" w:rsidRDefault="00107FC1" w:rsidP="00107FC1">
      <w:pPr>
        <w:spacing w:after="60" w:line="240" w:lineRule="auto"/>
        <w:rPr>
          <w:rFonts w:ascii="Arial" w:hAnsi="Arial" w:cs="Arial"/>
          <w:kern w:val="0"/>
          <w:sz w:val="22"/>
          <w:szCs w:val="22"/>
          <w14:ligatures w14:val="none"/>
        </w:rPr>
      </w:pPr>
    </w:p>
    <w:p w14:paraId="10E5B60C" w14:textId="77777777" w:rsidR="00107FC1" w:rsidRPr="00107FC1" w:rsidRDefault="00107FC1" w:rsidP="00107FC1">
      <w:pPr>
        <w:spacing w:after="60" w:line="240" w:lineRule="auto"/>
        <w:rPr>
          <w:rFonts w:ascii="Arial" w:hAnsi="Arial" w:cs="Arial"/>
          <w:kern w:val="0"/>
          <w:sz w:val="22"/>
          <w:szCs w:val="22"/>
          <w14:ligatures w14:val="none"/>
        </w:rPr>
      </w:pPr>
    </w:p>
    <w:p w14:paraId="57859E35" w14:textId="77777777" w:rsidR="00107FC1" w:rsidRPr="00107FC1" w:rsidRDefault="00107FC1" w:rsidP="00107FC1">
      <w:pPr>
        <w:spacing w:after="60" w:line="240" w:lineRule="auto"/>
        <w:rPr>
          <w:rFonts w:ascii="Arial" w:hAnsi="Arial" w:cs="Arial"/>
          <w:kern w:val="0"/>
          <w:sz w:val="22"/>
          <w:szCs w:val="22"/>
          <w14:ligatures w14:val="none"/>
        </w:rPr>
      </w:pPr>
    </w:p>
    <w:p w14:paraId="3C134BC5" w14:textId="77777777" w:rsidR="00107FC1" w:rsidRPr="00107FC1" w:rsidRDefault="00107FC1" w:rsidP="00107FC1">
      <w:pPr>
        <w:spacing w:after="60" w:line="240" w:lineRule="auto"/>
        <w:rPr>
          <w:rFonts w:ascii="Arial" w:hAnsi="Arial" w:cs="Arial"/>
          <w:kern w:val="0"/>
          <w:sz w:val="22"/>
          <w:szCs w:val="22"/>
          <w14:ligatures w14:val="none"/>
        </w:rPr>
      </w:pPr>
    </w:p>
    <w:p w14:paraId="4B4E895A" w14:textId="77777777" w:rsidR="00107FC1" w:rsidRPr="00107FC1" w:rsidRDefault="00107FC1" w:rsidP="00107FC1">
      <w:pPr>
        <w:spacing w:after="60" w:line="240" w:lineRule="auto"/>
        <w:rPr>
          <w:rFonts w:ascii="Arial" w:hAnsi="Arial" w:cs="Arial"/>
          <w:kern w:val="0"/>
          <w:sz w:val="22"/>
          <w:szCs w:val="22"/>
          <w14:ligatures w14:val="none"/>
        </w:rPr>
      </w:pPr>
    </w:p>
    <w:p w14:paraId="1EF811CC" w14:textId="77777777" w:rsidR="00107FC1" w:rsidRPr="00107FC1" w:rsidRDefault="00107FC1" w:rsidP="00107FC1">
      <w:pPr>
        <w:spacing w:after="60" w:line="240" w:lineRule="auto"/>
        <w:rPr>
          <w:rFonts w:ascii="Arial" w:hAnsi="Arial" w:cs="Arial"/>
          <w:kern w:val="0"/>
          <w:sz w:val="22"/>
          <w:szCs w:val="22"/>
          <w14:ligatures w14:val="none"/>
        </w:rPr>
      </w:pPr>
    </w:p>
    <w:p w14:paraId="2DCF7941" w14:textId="77777777" w:rsidR="00107FC1" w:rsidRPr="00107FC1" w:rsidRDefault="00107FC1" w:rsidP="00107FC1">
      <w:pPr>
        <w:spacing w:after="60" w:line="240" w:lineRule="auto"/>
        <w:rPr>
          <w:rFonts w:ascii="Arial" w:hAnsi="Arial" w:cs="Arial"/>
          <w:kern w:val="0"/>
          <w:sz w:val="22"/>
          <w:szCs w:val="22"/>
          <w14:ligatures w14:val="none"/>
        </w:rPr>
      </w:pPr>
    </w:p>
    <w:p w14:paraId="0B6B8AA8" w14:textId="77777777" w:rsidR="00107FC1" w:rsidRPr="00107FC1" w:rsidRDefault="00107FC1" w:rsidP="00107FC1">
      <w:pPr>
        <w:spacing w:after="60" w:line="240" w:lineRule="auto"/>
        <w:rPr>
          <w:rFonts w:ascii="Arial" w:hAnsi="Arial" w:cs="Arial"/>
          <w:kern w:val="0"/>
          <w:sz w:val="22"/>
          <w:szCs w:val="22"/>
          <w14:ligatures w14:val="none"/>
        </w:rPr>
      </w:pPr>
    </w:p>
    <w:p w14:paraId="37B312EB" w14:textId="77777777" w:rsidR="00107FC1" w:rsidRPr="00107FC1" w:rsidRDefault="00107FC1" w:rsidP="00107FC1">
      <w:pPr>
        <w:spacing w:after="60" w:line="240" w:lineRule="auto"/>
        <w:rPr>
          <w:rFonts w:ascii="Arial" w:hAnsi="Arial" w:cs="Arial"/>
          <w:kern w:val="0"/>
          <w:sz w:val="22"/>
          <w:szCs w:val="22"/>
          <w14:ligatures w14:val="none"/>
        </w:rPr>
      </w:pPr>
    </w:p>
    <w:p w14:paraId="6BE98A93" w14:textId="77777777" w:rsidR="00107FC1" w:rsidRPr="00107FC1" w:rsidRDefault="00107FC1" w:rsidP="00107FC1">
      <w:pPr>
        <w:spacing w:after="60" w:line="240" w:lineRule="auto"/>
        <w:rPr>
          <w:rFonts w:ascii="Arial" w:hAnsi="Arial" w:cs="Arial"/>
          <w:kern w:val="0"/>
          <w:sz w:val="22"/>
          <w:szCs w:val="22"/>
          <w14:ligatures w14:val="none"/>
        </w:rPr>
      </w:pPr>
    </w:p>
    <w:p w14:paraId="797614FF" w14:textId="77777777" w:rsidR="00107FC1" w:rsidRPr="00107FC1" w:rsidRDefault="00107FC1" w:rsidP="00107FC1">
      <w:pPr>
        <w:spacing w:after="60" w:line="240" w:lineRule="auto"/>
        <w:rPr>
          <w:rFonts w:ascii="Arial" w:hAnsi="Arial" w:cs="Arial"/>
          <w:kern w:val="0"/>
          <w:sz w:val="22"/>
          <w:szCs w:val="22"/>
          <w14:ligatures w14:val="none"/>
        </w:rPr>
      </w:pPr>
    </w:p>
    <w:p w14:paraId="4210748C" w14:textId="77777777" w:rsidR="00107FC1" w:rsidRPr="00107FC1" w:rsidRDefault="00107FC1" w:rsidP="00107FC1">
      <w:pPr>
        <w:spacing w:after="60" w:line="240" w:lineRule="auto"/>
        <w:rPr>
          <w:rFonts w:ascii="Arial" w:hAnsi="Arial" w:cs="Arial"/>
          <w:kern w:val="0"/>
          <w:sz w:val="22"/>
          <w:szCs w:val="22"/>
          <w14:ligatures w14:val="none"/>
        </w:rPr>
      </w:pPr>
    </w:p>
    <w:p w14:paraId="0C53E6B8" w14:textId="77777777" w:rsidR="00107FC1" w:rsidRPr="00107FC1" w:rsidRDefault="00107FC1" w:rsidP="00107FC1">
      <w:pPr>
        <w:spacing w:after="60" w:line="240" w:lineRule="auto"/>
        <w:rPr>
          <w:rFonts w:ascii="Arial" w:hAnsi="Arial" w:cs="Arial"/>
          <w:kern w:val="0"/>
          <w:sz w:val="22"/>
          <w:szCs w:val="22"/>
          <w14:ligatures w14:val="none"/>
        </w:rPr>
      </w:pPr>
    </w:p>
    <w:p w14:paraId="09C6DBBE" w14:textId="77777777" w:rsidR="00107FC1" w:rsidRPr="00107FC1" w:rsidRDefault="00107FC1" w:rsidP="00107FC1">
      <w:pPr>
        <w:spacing w:after="60" w:line="240" w:lineRule="auto"/>
        <w:rPr>
          <w:rFonts w:ascii="Arial" w:hAnsi="Arial" w:cs="Arial"/>
          <w:kern w:val="0"/>
          <w:sz w:val="22"/>
          <w:szCs w:val="22"/>
          <w14:ligatures w14:val="none"/>
        </w:rPr>
      </w:pPr>
    </w:p>
    <w:p w14:paraId="1023B5BF" w14:textId="355B661D" w:rsidR="008236FA" w:rsidRPr="00107E29" w:rsidRDefault="00107FC1" w:rsidP="00107E29">
      <w:pPr>
        <w:keepNext/>
        <w:keepLines/>
        <w:shd w:val="clear" w:color="auto" w:fill="FFFFFF"/>
        <w:spacing w:after="80"/>
        <w:outlineLvl w:val="2"/>
        <w:rPr>
          <w:rStyle w:val="s1"/>
          <w:rFonts w:ascii="Segoe UI" w:eastAsia="Times New Roman" w:hAnsi="Segoe UI" w:cs="Segoe UI"/>
          <w:color w:val="000000" w:themeColor="text1"/>
          <w:kern w:val="0"/>
          <w:sz w:val="27"/>
          <w:szCs w:val="27"/>
          <w14:ligatures w14:val="none"/>
        </w:rPr>
      </w:pPr>
      <w:r w:rsidRPr="00107FC1">
        <w:rPr>
          <w:rFonts w:ascii="Arial" w:eastAsiaTheme="majorEastAsia" w:hAnsi="Arial" w:cs="Arial"/>
          <w:color w:val="000000" w:themeColor="text1"/>
          <w:sz w:val="22"/>
          <w:szCs w:val="22"/>
        </w:rPr>
        <w:t xml:space="preserve">Alice Clayton                                                                                                             </w:t>
      </w:r>
      <w:r w:rsidRPr="00107FC1">
        <w:rPr>
          <w:rFonts w:ascii="Arial" w:eastAsia="Times New Roman" w:hAnsi="Arial" w:cs="Arial"/>
          <w:color w:val="000000" w:themeColor="text1"/>
          <w:kern w:val="0"/>
          <w:sz w:val="22"/>
          <w:szCs w:val="22"/>
          <w14:ligatures w14:val="none"/>
        </w:rPr>
        <w:t>LCHS401</w:t>
      </w:r>
      <w:r w:rsidR="005305DD">
        <w:rPr>
          <w:rFonts w:ascii="Arial" w:eastAsia="Times New Roman" w:hAnsi="Arial" w:cs="Arial"/>
          <w:color w:val="000000" w:themeColor="text1"/>
          <w:kern w:val="0"/>
          <w:sz w:val="22"/>
          <w:szCs w:val="22"/>
          <w14:ligatures w14:val="none"/>
        </w:rPr>
        <w:t>0</w:t>
      </w:r>
    </w:p>
    <w:p w14:paraId="255B1F51" w14:textId="77777777" w:rsidR="00107E29" w:rsidRDefault="00107E29">
      <w:pPr>
        <w:pStyle w:val="p1"/>
        <w:rPr>
          <w:rStyle w:val="s1"/>
          <w:rFonts w:ascii="Arial" w:hAnsi="Arial" w:cs="Arial"/>
          <w:sz w:val="22"/>
          <w:szCs w:val="22"/>
        </w:rPr>
      </w:pPr>
    </w:p>
    <w:p w14:paraId="6C63BDD2" w14:textId="4C925887" w:rsidR="00C416C3" w:rsidRPr="00630490" w:rsidRDefault="00C416C3">
      <w:pPr>
        <w:pStyle w:val="p1"/>
        <w:rPr>
          <w:rFonts w:ascii="Arial" w:hAnsi="Arial" w:cs="Arial"/>
          <w:b/>
          <w:bCs/>
          <w:sz w:val="22"/>
          <w:szCs w:val="22"/>
        </w:rPr>
      </w:pPr>
      <w:r w:rsidRPr="00630490">
        <w:rPr>
          <w:rStyle w:val="s1"/>
          <w:rFonts w:ascii="Arial" w:hAnsi="Arial" w:cs="Arial"/>
          <w:sz w:val="22"/>
          <w:szCs w:val="22"/>
        </w:rPr>
        <w:t>PART A: BIBLIOGRAPHY</w:t>
      </w:r>
      <w:r w:rsidRPr="00630490">
        <w:rPr>
          <w:rStyle w:val="apple-converted-space"/>
          <w:rFonts w:ascii="Arial" w:hAnsi="Arial" w:cs="Arial"/>
          <w:b/>
          <w:bCs/>
          <w:sz w:val="22"/>
          <w:szCs w:val="22"/>
        </w:rPr>
        <w:t> </w:t>
      </w:r>
    </w:p>
    <w:p w14:paraId="49761607" w14:textId="77777777" w:rsidR="00C416C3" w:rsidRPr="00630490" w:rsidRDefault="00C416C3">
      <w:pPr>
        <w:pStyle w:val="p2"/>
        <w:rPr>
          <w:rFonts w:ascii="Arial" w:hAnsi="Arial" w:cs="Arial"/>
          <w:b/>
          <w:bCs/>
          <w:sz w:val="22"/>
          <w:szCs w:val="22"/>
        </w:rPr>
      </w:pPr>
    </w:p>
    <w:p w14:paraId="5237E43B" w14:textId="77777777" w:rsidR="00C416C3" w:rsidRPr="00630490" w:rsidRDefault="00C416C3">
      <w:pPr>
        <w:pStyle w:val="p1"/>
        <w:rPr>
          <w:rFonts w:ascii="Arial" w:hAnsi="Arial" w:cs="Arial"/>
          <w:sz w:val="22"/>
          <w:szCs w:val="22"/>
        </w:rPr>
      </w:pPr>
      <w:proofErr w:type="spellStart"/>
      <w:r w:rsidRPr="00630490">
        <w:rPr>
          <w:rStyle w:val="s1"/>
          <w:rFonts w:ascii="Arial" w:hAnsi="Arial" w:cs="Arial"/>
          <w:sz w:val="22"/>
          <w:szCs w:val="22"/>
        </w:rPr>
        <w:t>Erikson</w:t>
      </w:r>
      <w:proofErr w:type="spellEnd"/>
      <w:r w:rsidRPr="00630490">
        <w:rPr>
          <w:rStyle w:val="s1"/>
          <w:rFonts w:ascii="Arial" w:hAnsi="Arial" w:cs="Arial"/>
          <w:sz w:val="22"/>
          <w:szCs w:val="22"/>
        </w:rPr>
        <w:t>, E.H. (1982) The Life Cycle Completed. New York: W.W. Norton.</w:t>
      </w:r>
    </w:p>
    <w:p w14:paraId="453B9588" w14:textId="77777777" w:rsidR="00C416C3" w:rsidRPr="00FF789E" w:rsidRDefault="00C416C3">
      <w:pPr>
        <w:pStyle w:val="p2"/>
        <w:rPr>
          <w:rFonts w:ascii="Arial" w:hAnsi="Arial" w:cs="Arial"/>
          <w:sz w:val="22"/>
          <w:szCs w:val="22"/>
        </w:rPr>
      </w:pPr>
    </w:p>
    <w:p w14:paraId="19E4640A"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 xml:space="preserve">Erik </w:t>
      </w:r>
      <w:proofErr w:type="spellStart"/>
      <w:r w:rsidRPr="00FF789E">
        <w:rPr>
          <w:rStyle w:val="s1"/>
          <w:rFonts w:ascii="Arial" w:hAnsi="Arial" w:cs="Arial"/>
          <w:b w:val="0"/>
          <w:bCs w:val="0"/>
          <w:sz w:val="22"/>
          <w:szCs w:val="22"/>
        </w:rPr>
        <w:t>Erikson’s</w:t>
      </w:r>
      <w:proofErr w:type="spellEnd"/>
      <w:r w:rsidRPr="00FF789E">
        <w:rPr>
          <w:rStyle w:val="s1"/>
          <w:rFonts w:ascii="Arial" w:hAnsi="Arial" w:cs="Arial"/>
          <w:b w:val="0"/>
          <w:bCs w:val="0"/>
          <w:sz w:val="22"/>
          <w:szCs w:val="22"/>
        </w:rPr>
        <w:t xml:space="preserve"> psychosocial framework describes eight stages of human development, each involving a central conflict that influences emotional growth. In older adulthood, the final phase—integrity versus despair—focuses on reflection. At this point, individuals assess their life experiences, relationships, and accomplishments. A positive evaluation promotes a sense of fulfilment and acceptance, whereas dissatisfaction may lead to regret and emotional distress (</w:t>
      </w:r>
      <w:proofErr w:type="spellStart"/>
      <w:r w:rsidRPr="00FF789E">
        <w:rPr>
          <w:rStyle w:val="s1"/>
          <w:rFonts w:ascii="Arial" w:hAnsi="Arial" w:cs="Arial"/>
          <w:b w:val="0"/>
          <w:bCs w:val="0"/>
          <w:sz w:val="22"/>
          <w:szCs w:val="22"/>
        </w:rPr>
        <w:t>Erikson</w:t>
      </w:r>
      <w:proofErr w:type="spellEnd"/>
      <w:r w:rsidRPr="00FF789E">
        <w:rPr>
          <w:rStyle w:val="s1"/>
          <w:rFonts w:ascii="Arial" w:hAnsi="Arial" w:cs="Arial"/>
          <w:b w:val="0"/>
          <w:bCs w:val="0"/>
          <w:sz w:val="22"/>
          <w:szCs w:val="22"/>
        </w:rPr>
        <w:t>, 1982).</w:t>
      </w:r>
    </w:p>
    <w:p w14:paraId="69DEA11B" w14:textId="77777777" w:rsidR="00C416C3" w:rsidRDefault="00C416C3">
      <w:pPr>
        <w:pStyle w:val="p2"/>
      </w:pPr>
    </w:p>
    <w:p w14:paraId="1CD781F8"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This theory is particularly valuable in health and social care, especially when supporting elderly individuals in residential environments. It highlights the importance of reflection in maintaining emotional stability. Approaches such as reminiscence therapy and life story activities allow individuals to revisit meaningful experiences, helping to strengthen identity and self-esteem. Encouraging positive reflection can also reduce symptoms linked to depression, anxiety, and isolation.</w:t>
      </w:r>
    </w:p>
    <w:p w14:paraId="12A1D5EC" w14:textId="77777777" w:rsidR="00C416C3" w:rsidRPr="00FF789E" w:rsidRDefault="00C416C3">
      <w:pPr>
        <w:pStyle w:val="p2"/>
        <w:rPr>
          <w:rFonts w:ascii="Arial" w:hAnsi="Arial" w:cs="Arial"/>
          <w:sz w:val="22"/>
          <w:szCs w:val="22"/>
        </w:rPr>
      </w:pPr>
    </w:p>
    <w:p w14:paraId="65987581"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 xml:space="preserve">In addition, </w:t>
      </w:r>
      <w:proofErr w:type="spellStart"/>
      <w:r w:rsidRPr="00FF789E">
        <w:rPr>
          <w:rStyle w:val="s1"/>
          <w:rFonts w:ascii="Arial" w:hAnsi="Arial" w:cs="Arial"/>
          <w:b w:val="0"/>
          <w:bCs w:val="0"/>
          <w:sz w:val="22"/>
          <w:szCs w:val="22"/>
        </w:rPr>
        <w:t>Erikson’s</w:t>
      </w:r>
      <w:proofErr w:type="spellEnd"/>
      <w:r w:rsidRPr="00FF789E">
        <w:rPr>
          <w:rStyle w:val="s1"/>
          <w:rFonts w:ascii="Arial" w:hAnsi="Arial" w:cs="Arial"/>
          <w:b w:val="0"/>
          <w:bCs w:val="0"/>
          <w:sz w:val="22"/>
          <w:szCs w:val="22"/>
        </w:rPr>
        <w:t xml:space="preserve"> ideas reinforce the principles of person-centred care by recognising the significance of each individual’s personal history. Understanding a resident’s background enables professionals to build stronger relationships and deliver tailored support. However, one limitation is that the theory adopts a broad perspective and may not fully reflect cultural or individual differences in ageing. Despite this, it remains a key model for understanding emotional wellbeing in later life.</w:t>
      </w:r>
    </w:p>
    <w:p w14:paraId="24E0CD9A" w14:textId="77777777" w:rsidR="00C416C3" w:rsidRPr="00FF789E" w:rsidRDefault="00C416C3">
      <w:pPr>
        <w:pStyle w:val="p2"/>
        <w:rPr>
          <w:rFonts w:ascii="Arial" w:hAnsi="Arial" w:cs="Arial"/>
          <w:sz w:val="22"/>
          <w:szCs w:val="22"/>
        </w:rPr>
      </w:pPr>
    </w:p>
    <w:p w14:paraId="5F3C4A76" w14:textId="77777777" w:rsidR="00C416C3" w:rsidRDefault="00C416C3">
      <w:pPr>
        <w:pStyle w:val="p2"/>
      </w:pPr>
    </w:p>
    <w:p w14:paraId="27016F94" w14:textId="77777777" w:rsidR="00C416C3" w:rsidRDefault="00C416C3">
      <w:pPr>
        <w:pStyle w:val="p2"/>
      </w:pPr>
    </w:p>
    <w:p w14:paraId="7D224B04" w14:textId="77777777" w:rsidR="00C416C3" w:rsidRPr="00C9104C" w:rsidRDefault="00C416C3">
      <w:pPr>
        <w:pStyle w:val="p1"/>
        <w:rPr>
          <w:rFonts w:ascii="Arial" w:hAnsi="Arial" w:cs="Arial"/>
          <w:sz w:val="22"/>
          <w:szCs w:val="22"/>
        </w:rPr>
      </w:pPr>
      <w:proofErr w:type="spellStart"/>
      <w:r w:rsidRPr="00C9104C">
        <w:rPr>
          <w:rStyle w:val="s1"/>
          <w:rFonts w:ascii="Arial" w:hAnsi="Arial" w:cs="Arial"/>
          <w:sz w:val="22"/>
          <w:szCs w:val="22"/>
        </w:rPr>
        <w:t>Vygotsky</w:t>
      </w:r>
      <w:proofErr w:type="spellEnd"/>
      <w:r w:rsidRPr="00C9104C">
        <w:rPr>
          <w:rStyle w:val="s1"/>
          <w:rFonts w:ascii="Arial" w:hAnsi="Arial" w:cs="Arial"/>
          <w:sz w:val="22"/>
          <w:szCs w:val="22"/>
        </w:rPr>
        <w:t>, L.S. (1978) Mind in Society: The Development of Higher Psychological Processes. Cambridge, MA: Harvard University Press.</w:t>
      </w:r>
    </w:p>
    <w:p w14:paraId="27A4D8E2" w14:textId="77777777" w:rsidR="00C416C3" w:rsidRPr="00FF789E" w:rsidRDefault="00C416C3">
      <w:pPr>
        <w:pStyle w:val="p2"/>
        <w:rPr>
          <w:rFonts w:ascii="Arial" w:hAnsi="Arial" w:cs="Arial"/>
          <w:sz w:val="22"/>
          <w:szCs w:val="22"/>
        </w:rPr>
      </w:pPr>
    </w:p>
    <w:p w14:paraId="7A211650"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 xml:space="preserve">Lev </w:t>
      </w:r>
      <w:proofErr w:type="spellStart"/>
      <w:r w:rsidRPr="00FF789E">
        <w:rPr>
          <w:rStyle w:val="s1"/>
          <w:rFonts w:ascii="Arial" w:hAnsi="Arial" w:cs="Arial"/>
          <w:b w:val="0"/>
          <w:bCs w:val="0"/>
          <w:sz w:val="22"/>
          <w:szCs w:val="22"/>
        </w:rPr>
        <w:t>Vygotsky’s</w:t>
      </w:r>
      <w:proofErr w:type="spellEnd"/>
      <w:r w:rsidRPr="00FF789E">
        <w:rPr>
          <w:rStyle w:val="s1"/>
          <w:rFonts w:ascii="Arial" w:hAnsi="Arial" w:cs="Arial"/>
          <w:b w:val="0"/>
          <w:bCs w:val="0"/>
          <w:sz w:val="22"/>
          <w:szCs w:val="22"/>
        </w:rPr>
        <w:t xml:space="preserve"> theory emphasises the role of social interaction in shaping cognitive development. A central concept is the zone of proximal development (ZPD), which represents the difference between what a person can achieve independently and what they can accomplish with guidance. The idea of scaffolding supports this, as assistance is gradually reduced as confidence and ability improve (</w:t>
      </w:r>
      <w:proofErr w:type="spellStart"/>
      <w:r w:rsidRPr="00FF789E">
        <w:rPr>
          <w:rStyle w:val="s1"/>
          <w:rFonts w:ascii="Arial" w:hAnsi="Arial" w:cs="Arial"/>
          <w:b w:val="0"/>
          <w:bCs w:val="0"/>
          <w:sz w:val="22"/>
          <w:szCs w:val="22"/>
        </w:rPr>
        <w:t>Vygotsky</w:t>
      </w:r>
      <w:proofErr w:type="spellEnd"/>
      <w:r w:rsidRPr="00FF789E">
        <w:rPr>
          <w:rStyle w:val="s1"/>
          <w:rFonts w:ascii="Arial" w:hAnsi="Arial" w:cs="Arial"/>
          <w:b w:val="0"/>
          <w:bCs w:val="0"/>
          <w:sz w:val="22"/>
          <w:szCs w:val="22"/>
        </w:rPr>
        <w:t>, 1978).</w:t>
      </w:r>
    </w:p>
    <w:p w14:paraId="6261EE73" w14:textId="77777777" w:rsidR="00C416C3" w:rsidRPr="00FF789E" w:rsidRDefault="00C416C3">
      <w:pPr>
        <w:pStyle w:val="p2"/>
        <w:rPr>
          <w:rFonts w:ascii="Arial" w:hAnsi="Arial" w:cs="Arial"/>
          <w:sz w:val="22"/>
          <w:szCs w:val="22"/>
        </w:rPr>
      </w:pPr>
    </w:p>
    <w:p w14:paraId="6205A77D"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Although originally focused on children, this theory can be adapted to adult care settings. It highlights how support from care professionals can help maintain independence and cognitive ability in older individuals. Rather than completing tasks for residents, staff can offer guidance that encourages participation, helping individuals retain skills and confidence.</w:t>
      </w:r>
    </w:p>
    <w:p w14:paraId="0DF74DF7" w14:textId="77777777" w:rsidR="00C416C3" w:rsidRPr="00FF789E" w:rsidRDefault="00C416C3">
      <w:pPr>
        <w:pStyle w:val="p2"/>
        <w:rPr>
          <w:rFonts w:ascii="Arial" w:hAnsi="Arial" w:cs="Arial"/>
          <w:sz w:val="22"/>
          <w:szCs w:val="22"/>
        </w:rPr>
      </w:pPr>
    </w:p>
    <w:p w14:paraId="6376B141" w14:textId="77777777" w:rsidR="00C416C3" w:rsidRPr="00FF789E" w:rsidRDefault="00C416C3">
      <w:pPr>
        <w:pStyle w:val="p1"/>
        <w:rPr>
          <w:rFonts w:ascii="Arial" w:hAnsi="Arial" w:cs="Arial"/>
          <w:sz w:val="22"/>
          <w:szCs w:val="22"/>
        </w:rPr>
      </w:pPr>
      <w:proofErr w:type="spellStart"/>
      <w:r w:rsidRPr="00FF789E">
        <w:rPr>
          <w:rStyle w:val="s1"/>
          <w:rFonts w:ascii="Arial" w:hAnsi="Arial" w:cs="Arial"/>
          <w:b w:val="0"/>
          <w:bCs w:val="0"/>
          <w:sz w:val="22"/>
          <w:szCs w:val="22"/>
        </w:rPr>
        <w:t>Vygotsky’s</w:t>
      </w:r>
      <w:proofErr w:type="spellEnd"/>
      <w:r w:rsidRPr="00FF789E">
        <w:rPr>
          <w:rStyle w:val="s1"/>
          <w:rFonts w:ascii="Arial" w:hAnsi="Arial" w:cs="Arial"/>
          <w:b w:val="0"/>
          <w:bCs w:val="0"/>
          <w:sz w:val="22"/>
          <w:szCs w:val="22"/>
        </w:rPr>
        <w:t xml:space="preserve"> emphasis on interaction is also important in addressing loneliness in residential care. Activities that involve communication and shared participation can stimulate thinking and improve emotional wellbeing. However, the theory does not specifically consider ageing or conditions such as dementia, meaning adaptations are necessary in practice. Even so, its focus on guided support and engagement makes it highly relevant in care environments.</w:t>
      </w:r>
    </w:p>
    <w:p w14:paraId="3E3F2ACA" w14:textId="77777777" w:rsidR="00A03D58" w:rsidRDefault="00A03D58">
      <w:pPr>
        <w:pStyle w:val="p2"/>
      </w:pPr>
    </w:p>
    <w:p w14:paraId="67037779" w14:textId="77777777" w:rsidR="00C416C3" w:rsidRDefault="00C416C3">
      <w:pPr>
        <w:pStyle w:val="p2"/>
      </w:pPr>
    </w:p>
    <w:p w14:paraId="364E8426" w14:textId="77777777" w:rsidR="00B8401A" w:rsidRDefault="00B8401A">
      <w:pPr>
        <w:pStyle w:val="p2"/>
      </w:pPr>
    </w:p>
    <w:p w14:paraId="0B0B4423" w14:textId="77777777" w:rsidR="00C416C3" w:rsidRPr="00C9104C" w:rsidRDefault="00C416C3">
      <w:pPr>
        <w:pStyle w:val="p1"/>
        <w:rPr>
          <w:rFonts w:ascii="Arial" w:hAnsi="Arial" w:cs="Arial"/>
          <w:b/>
          <w:bCs/>
          <w:sz w:val="22"/>
          <w:szCs w:val="22"/>
        </w:rPr>
      </w:pPr>
      <w:r w:rsidRPr="00C9104C">
        <w:rPr>
          <w:rStyle w:val="s1"/>
          <w:rFonts w:ascii="Arial" w:hAnsi="Arial" w:cs="Arial"/>
          <w:sz w:val="22"/>
          <w:szCs w:val="22"/>
        </w:rPr>
        <w:t>Woods, B. et al. (2005) ‘Reminiscence therapy for dementia’, Cochrane Database of Systematic Reviews, 2, CD001120.</w:t>
      </w:r>
    </w:p>
    <w:p w14:paraId="4A41AAC3" w14:textId="77777777" w:rsidR="00C416C3" w:rsidRPr="00C9104C" w:rsidRDefault="00C416C3">
      <w:pPr>
        <w:pStyle w:val="p2"/>
        <w:rPr>
          <w:rFonts w:ascii="Arial" w:hAnsi="Arial" w:cs="Arial"/>
          <w:b/>
          <w:bCs/>
          <w:sz w:val="22"/>
          <w:szCs w:val="22"/>
        </w:rPr>
      </w:pPr>
    </w:p>
    <w:p w14:paraId="5440CF95"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Woods and colleagues (2005) explored the impact of reminiscence therapy on individuals with dementia. Their research indicates that revisiting past experiences—using prompts like photographs, music, or familiar objects—can enhance mood, communication, and overall quality of life. This method allows individuals to reconnect with their identity despite cognitive decline.</w:t>
      </w:r>
    </w:p>
    <w:p w14:paraId="556871AD" w14:textId="77777777" w:rsidR="00C416C3" w:rsidRPr="00FF789E" w:rsidRDefault="00C416C3">
      <w:pPr>
        <w:pStyle w:val="p2"/>
        <w:rPr>
          <w:rFonts w:ascii="Arial" w:hAnsi="Arial" w:cs="Arial"/>
          <w:sz w:val="22"/>
          <w:szCs w:val="22"/>
        </w:rPr>
      </w:pPr>
    </w:p>
    <w:p w14:paraId="22DDDEEE"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 xml:space="preserve">The findings strongly support the practical use of </w:t>
      </w:r>
      <w:proofErr w:type="spellStart"/>
      <w:r w:rsidRPr="00FF789E">
        <w:rPr>
          <w:rStyle w:val="s1"/>
          <w:rFonts w:ascii="Arial" w:hAnsi="Arial" w:cs="Arial"/>
          <w:b w:val="0"/>
          <w:bCs w:val="0"/>
          <w:sz w:val="22"/>
          <w:szCs w:val="22"/>
        </w:rPr>
        <w:t>Erikson’s</w:t>
      </w:r>
      <w:proofErr w:type="spellEnd"/>
      <w:r w:rsidRPr="00FF789E">
        <w:rPr>
          <w:rStyle w:val="s1"/>
          <w:rFonts w:ascii="Arial" w:hAnsi="Arial" w:cs="Arial"/>
          <w:b w:val="0"/>
          <w:bCs w:val="0"/>
          <w:sz w:val="22"/>
          <w:szCs w:val="22"/>
        </w:rPr>
        <w:t xml:space="preserve"> theory. By encouraging reflection, reminiscence therapy helps individuals move towards a sense of fulfilment rather than regret. It also supports person-centred care by valuing personal experiences and life histories.</w:t>
      </w:r>
    </w:p>
    <w:p w14:paraId="34BE0536" w14:textId="77777777" w:rsidR="00C416C3" w:rsidRDefault="00C416C3">
      <w:pPr>
        <w:pStyle w:val="p2"/>
      </w:pPr>
    </w:p>
    <w:p w14:paraId="78DABDA8" w14:textId="77777777" w:rsidR="00C416C3" w:rsidRPr="00FF789E" w:rsidRDefault="00C416C3">
      <w:pPr>
        <w:pStyle w:val="p1"/>
        <w:rPr>
          <w:rFonts w:ascii="Arial" w:hAnsi="Arial" w:cs="Arial"/>
          <w:sz w:val="22"/>
          <w:szCs w:val="22"/>
        </w:rPr>
      </w:pPr>
      <w:r w:rsidRPr="00FF789E">
        <w:rPr>
          <w:rStyle w:val="s1"/>
          <w:rFonts w:ascii="Arial" w:hAnsi="Arial" w:cs="Arial"/>
          <w:b w:val="0"/>
          <w:bCs w:val="0"/>
          <w:sz w:val="22"/>
          <w:szCs w:val="22"/>
        </w:rPr>
        <w:t xml:space="preserve">Furthermore, this approach reflects </w:t>
      </w:r>
      <w:proofErr w:type="spellStart"/>
      <w:r w:rsidRPr="00FF789E">
        <w:rPr>
          <w:rStyle w:val="s1"/>
          <w:rFonts w:ascii="Arial" w:hAnsi="Arial" w:cs="Arial"/>
          <w:b w:val="0"/>
          <w:bCs w:val="0"/>
          <w:sz w:val="22"/>
          <w:szCs w:val="22"/>
        </w:rPr>
        <w:t>Vygotsky’s</w:t>
      </w:r>
      <w:proofErr w:type="spellEnd"/>
      <w:r w:rsidRPr="00FF789E">
        <w:rPr>
          <w:rStyle w:val="s1"/>
          <w:rFonts w:ascii="Arial" w:hAnsi="Arial" w:cs="Arial"/>
          <w:b w:val="0"/>
          <w:bCs w:val="0"/>
          <w:sz w:val="22"/>
          <w:szCs w:val="22"/>
        </w:rPr>
        <w:t xml:space="preserve"> focus on interaction, as it often involves meaningful communication between residents and care staff. These exchanges can strengthen</w:t>
      </w:r>
      <w:r>
        <w:rPr>
          <w:rStyle w:val="s1"/>
        </w:rPr>
        <w:t xml:space="preserve"> </w:t>
      </w:r>
      <w:r w:rsidRPr="00FF789E">
        <w:rPr>
          <w:rStyle w:val="s1"/>
          <w:rFonts w:ascii="Arial" w:hAnsi="Arial" w:cs="Arial"/>
          <w:b w:val="0"/>
          <w:bCs w:val="0"/>
          <w:sz w:val="22"/>
          <w:szCs w:val="22"/>
        </w:rPr>
        <w:t>relationships and reduce feelings of isolation. However, its effectiveness may depend on the stage of dementia, as some individuals may struggle with recall. Overall, the study demonstrates how psychological theories can be translated into practical strategies that enhance wellbeing in care settings.</w:t>
      </w:r>
    </w:p>
    <w:p w14:paraId="7AAADC73" w14:textId="77777777" w:rsidR="00C416C3" w:rsidRPr="00FF789E" w:rsidRDefault="00C416C3">
      <w:pPr>
        <w:pStyle w:val="p2"/>
        <w:rPr>
          <w:rFonts w:ascii="Arial" w:hAnsi="Arial" w:cs="Arial"/>
          <w:sz w:val="22"/>
          <w:szCs w:val="22"/>
        </w:rPr>
      </w:pPr>
    </w:p>
    <w:p w14:paraId="07D822BD" w14:textId="77777777" w:rsidR="00C416C3" w:rsidRDefault="00C416C3">
      <w:pPr>
        <w:pStyle w:val="p2"/>
      </w:pPr>
    </w:p>
    <w:p w14:paraId="09B962FD" w14:textId="77777777" w:rsidR="00C416C3" w:rsidRPr="009A0407" w:rsidRDefault="00C416C3">
      <w:pPr>
        <w:pStyle w:val="p1"/>
        <w:rPr>
          <w:rFonts w:ascii="Arial" w:hAnsi="Arial" w:cs="Arial"/>
          <w:sz w:val="22"/>
          <w:szCs w:val="22"/>
        </w:rPr>
      </w:pPr>
      <w:r w:rsidRPr="009A0407">
        <w:rPr>
          <w:rStyle w:val="s1"/>
          <w:rFonts w:ascii="Arial" w:hAnsi="Arial" w:cs="Arial"/>
          <w:sz w:val="22"/>
          <w:szCs w:val="22"/>
        </w:rPr>
        <w:t>PART B: SHORT REPORT</w:t>
      </w:r>
    </w:p>
    <w:p w14:paraId="28172B79" w14:textId="77777777" w:rsidR="00C416C3" w:rsidRDefault="00C416C3">
      <w:pPr>
        <w:pStyle w:val="p2"/>
      </w:pPr>
    </w:p>
    <w:p w14:paraId="1BEB9734" w14:textId="77777777" w:rsidR="00C416C3" w:rsidRPr="009A0407" w:rsidRDefault="00C416C3">
      <w:pPr>
        <w:pStyle w:val="p1"/>
        <w:rPr>
          <w:rFonts w:ascii="Arial" w:hAnsi="Arial" w:cs="Arial"/>
          <w:sz w:val="22"/>
          <w:szCs w:val="22"/>
        </w:rPr>
      </w:pPr>
      <w:r w:rsidRPr="009A0407">
        <w:rPr>
          <w:rStyle w:val="s1"/>
          <w:rFonts w:ascii="Arial" w:hAnsi="Arial" w:cs="Arial"/>
          <w:sz w:val="22"/>
          <w:szCs w:val="22"/>
        </w:rPr>
        <w:t xml:space="preserve">Improving Psychological Wellbeing in Older Adults Using </w:t>
      </w:r>
      <w:proofErr w:type="spellStart"/>
      <w:r w:rsidRPr="009A0407">
        <w:rPr>
          <w:rStyle w:val="s1"/>
          <w:rFonts w:ascii="Arial" w:hAnsi="Arial" w:cs="Arial"/>
          <w:sz w:val="22"/>
          <w:szCs w:val="22"/>
        </w:rPr>
        <w:t>Erikson’s</w:t>
      </w:r>
      <w:proofErr w:type="spellEnd"/>
      <w:r w:rsidRPr="009A0407">
        <w:rPr>
          <w:rStyle w:val="s1"/>
          <w:rFonts w:ascii="Arial" w:hAnsi="Arial" w:cs="Arial"/>
          <w:sz w:val="22"/>
          <w:szCs w:val="22"/>
        </w:rPr>
        <w:t xml:space="preserve"> Theory</w:t>
      </w:r>
    </w:p>
    <w:p w14:paraId="38145BFD" w14:textId="77777777" w:rsidR="00C416C3" w:rsidRDefault="00C416C3">
      <w:pPr>
        <w:pStyle w:val="p2"/>
      </w:pPr>
    </w:p>
    <w:p w14:paraId="0019D84C" w14:textId="77777777" w:rsidR="00C416C3" w:rsidRPr="006F2C79" w:rsidRDefault="00C416C3">
      <w:pPr>
        <w:pStyle w:val="p1"/>
        <w:rPr>
          <w:rFonts w:ascii="Arial" w:hAnsi="Arial" w:cs="Arial"/>
          <w:b/>
          <w:bCs/>
          <w:sz w:val="22"/>
          <w:szCs w:val="22"/>
        </w:rPr>
      </w:pPr>
      <w:r w:rsidRPr="006F2C79">
        <w:rPr>
          <w:rStyle w:val="s1"/>
          <w:rFonts w:ascii="Arial" w:hAnsi="Arial" w:cs="Arial"/>
          <w:b w:val="0"/>
          <w:bCs w:val="0"/>
          <w:sz w:val="22"/>
          <w:szCs w:val="22"/>
        </w:rPr>
        <w:t xml:space="preserve">Psychological wellbeing is an essential part of effective health and social care, particularly for older adults living in residential settings. Individuals in later life often experience challenges such as loss of independence, declining physical health, bereavement, and social isolation, all of which can negatively affect emotional wellbeing. Erik </w:t>
      </w:r>
      <w:proofErr w:type="spellStart"/>
      <w:r w:rsidRPr="006F2C79">
        <w:rPr>
          <w:rStyle w:val="s1"/>
          <w:rFonts w:ascii="Arial" w:hAnsi="Arial" w:cs="Arial"/>
          <w:b w:val="0"/>
          <w:bCs w:val="0"/>
          <w:sz w:val="22"/>
          <w:szCs w:val="22"/>
        </w:rPr>
        <w:t>Erikson’s</w:t>
      </w:r>
      <w:proofErr w:type="spellEnd"/>
      <w:r w:rsidRPr="006F2C79">
        <w:rPr>
          <w:rStyle w:val="s1"/>
          <w:rFonts w:ascii="Arial" w:hAnsi="Arial" w:cs="Arial"/>
          <w:b w:val="0"/>
          <w:bCs w:val="0"/>
          <w:sz w:val="22"/>
          <w:szCs w:val="22"/>
        </w:rPr>
        <w:t xml:space="preserve"> psychosocial theory provides a useful framework for understanding these experiences. His model outlines eight stages of development, with the final stage—integrity versus despair—focusing on reflection in older adulthood. This report explores how </w:t>
      </w:r>
      <w:proofErr w:type="spellStart"/>
      <w:r w:rsidRPr="006F2C79">
        <w:rPr>
          <w:rStyle w:val="s1"/>
          <w:rFonts w:ascii="Arial" w:hAnsi="Arial" w:cs="Arial"/>
          <w:b w:val="0"/>
          <w:bCs w:val="0"/>
          <w:sz w:val="22"/>
          <w:szCs w:val="22"/>
        </w:rPr>
        <w:t>Erikson’s</w:t>
      </w:r>
      <w:proofErr w:type="spellEnd"/>
      <w:r w:rsidRPr="006F2C79">
        <w:rPr>
          <w:rStyle w:val="s1"/>
          <w:rFonts w:ascii="Arial" w:hAnsi="Arial" w:cs="Arial"/>
          <w:b w:val="0"/>
          <w:bCs w:val="0"/>
          <w:sz w:val="22"/>
          <w:szCs w:val="22"/>
        </w:rPr>
        <w:t xml:space="preserve"> theory can be applied in care settings to improve psychological wellbeing, supported by practical strategies, a real-life example, and consideration of challenges (</w:t>
      </w:r>
      <w:proofErr w:type="spellStart"/>
      <w:r w:rsidRPr="006F2C79">
        <w:rPr>
          <w:rStyle w:val="s1"/>
          <w:rFonts w:ascii="Arial" w:hAnsi="Arial" w:cs="Arial"/>
          <w:b w:val="0"/>
          <w:bCs w:val="0"/>
          <w:sz w:val="22"/>
          <w:szCs w:val="22"/>
        </w:rPr>
        <w:t>Erikson</w:t>
      </w:r>
      <w:proofErr w:type="spellEnd"/>
      <w:r w:rsidRPr="006F2C79">
        <w:rPr>
          <w:rStyle w:val="s1"/>
          <w:rFonts w:ascii="Arial" w:hAnsi="Arial" w:cs="Arial"/>
          <w:b w:val="0"/>
          <w:bCs w:val="0"/>
          <w:sz w:val="22"/>
          <w:szCs w:val="22"/>
        </w:rPr>
        <w:t>, 1982).</w:t>
      </w:r>
    </w:p>
    <w:p w14:paraId="7A8B97D9" w14:textId="77777777" w:rsidR="00C416C3" w:rsidRDefault="00C416C3">
      <w:pPr>
        <w:pStyle w:val="p2"/>
      </w:pPr>
    </w:p>
    <w:p w14:paraId="584D6188" w14:textId="77777777" w:rsidR="00C416C3" w:rsidRDefault="00C416C3">
      <w:pPr>
        <w:pStyle w:val="p2"/>
      </w:pPr>
    </w:p>
    <w:p w14:paraId="2BA39611" w14:textId="77777777" w:rsidR="00C416C3" w:rsidRPr="006F2C79" w:rsidRDefault="00C416C3">
      <w:pPr>
        <w:pStyle w:val="p1"/>
        <w:rPr>
          <w:rFonts w:ascii="Arial" w:hAnsi="Arial" w:cs="Arial"/>
          <w:sz w:val="22"/>
          <w:szCs w:val="22"/>
        </w:rPr>
      </w:pPr>
      <w:r w:rsidRPr="006F2C79">
        <w:rPr>
          <w:rStyle w:val="s1"/>
          <w:rFonts w:ascii="Arial" w:hAnsi="Arial" w:cs="Arial"/>
          <w:sz w:val="22"/>
          <w:szCs w:val="22"/>
        </w:rPr>
        <w:t xml:space="preserve">Application of </w:t>
      </w:r>
      <w:proofErr w:type="spellStart"/>
      <w:r w:rsidRPr="006F2C79">
        <w:rPr>
          <w:rStyle w:val="s1"/>
          <w:rFonts w:ascii="Arial" w:hAnsi="Arial" w:cs="Arial"/>
          <w:sz w:val="22"/>
          <w:szCs w:val="22"/>
        </w:rPr>
        <w:t>Erikson’s</w:t>
      </w:r>
      <w:proofErr w:type="spellEnd"/>
      <w:r w:rsidRPr="006F2C79">
        <w:rPr>
          <w:rStyle w:val="s1"/>
          <w:rFonts w:ascii="Arial" w:hAnsi="Arial" w:cs="Arial"/>
          <w:sz w:val="22"/>
          <w:szCs w:val="22"/>
        </w:rPr>
        <w:t xml:space="preserve"> Theory in Residential Care</w:t>
      </w:r>
    </w:p>
    <w:p w14:paraId="3DC0E716" w14:textId="77777777" w:rsidR="00C416C3" w:rsidRDefault="00C416C3">
      <w:pPr>
        <w:pStyle w:val="p2"/>
      </w:pPr>
    </w:p>
    <w:p w14:paraId="2C6E19D3" w14:textId="77777777" w:rsidR="00C416C3" w:rsidRPr="006F2C79" w:rsidRDefault="00C416C3">
      <w:pPr>
        <w:pStyle w:val="p1"/>
        <w:rPr>
          <w:rFonts w:ascii="Arial" w:hAnsi="Arial" w:cs="Arial"/>
          <w:sz w:val="22"/>
          <w:szCs w:val="22"/>
        </w:rPr>
      </w:pPr>
      <w:proofErr w:type="spellStart"/>
      <w:r w:rsidRPr="006F2C79">
        <w:rPr>
          <w:rStyle w:val="s1"/>
          <w:rFonts w:ascii="Arial" w:hAnsi="Arial" w:cs="Arial"/>
          <w:b w:val="0"/>
          <w:bCs w:val="0"/>
          <w:sz w:val="22"/>
          <w:szCs w:val="22"/>
        </w:rPr>
        <w:t>Erikson</w:t>
      </w:r>
      <w:proofErr w:type="spellEnd"/>
      <w:r w:rsidRPr="006F2C79">
        <w:rPr>
          <w:rStyle w:val="s1"/>
          <w:rFonts w:ascii="Arial" w:hAnsi="Arial" w:cs="Arial"/>
          <w:b w:val="0"/>
          <w:bCs w:val="0"/>
          <w:sz w:val="22"/>
          <w:szCs w:val="22"/>
        </w:rPr>
        <w:t xml:space="preserve"> suggested that, during later life, individuals reflect on their past, including relationships, achievements, and personal decisions. When individuals feel satisfied with their lives, they develop a sense of integrity, which promotes acceptance and emotional stability. In contrast, unresolved regrets may lead to despair, increasing the risk of depression and anxiety.</w:t>
      </w:r>
    </w:p>
    <w:p w14:paraId="16E17D89" w14:textId="77777777" w:rsidR="00C416C3" w:rsidRPr="006F2C79" w:rsidRDefault="00C416C3">
      <w:pPr>
        <w:pStyle w:val="p2"/>
        <w:rPr>
          <w:rFonts w:ascii="Arial" w:hAnsi="Arial" w:cs="Arial"/>
          <w:sz w:val="22"/>
          <w:szCs w:val="22"/>
        </w:rPr>
      </w:pPr>
    </w:p>
    <w:p w14:paraId="6399A7FD" w14:textId="77777777" w:rsidR="00C416C3" w:rsidRPr="006F2C79" w:rsidRDefault="00C416C3">
      <w:pPr>
        <w:pStyle w:val="p1"/>
        <w:rPr>
          <w:rFonts w:ascii="Arial" w:hAnsi="Arial" w:cs="Arial"/>
          <w:sz w:val="22"/>
          <w:szCs w:val="22"/>
        </w:rPr>
      </w:pPr>
      <w:r w:rsidRPr="006F2C79">
        <w:rPr>
          <w:rStyle w:val="s1"/>
          <w:rFonts w:ascii="Arial" w:hAnsi="Arial" w:cs="Arial"/>
          <w:b w:val="0"/>
          <w:bCs w:val="0"/>
          <w:sz w:val="22"/>
          <w:szCs w:val="22"/>
        </w:rPr>
        <w:t>Health and social care professionals can support positive reflection by using structured activities that encourage individuals to revisit meaningful experiences. For example, life review sessions, storytelling, and memory books using photographs and personal items can help individuals reconnect with important moments in their lives.</w:t>
      </w:r>
    </w:p>
    <w:p w14:paraId="18CE9018" w14:textId="77777777" w:rsidR="00C416C3" w:rsidRPr="00F127FE" w:rsidRDefault="00C416C3">
      <w:pPr>
        <w:pStyle w:val="p2"/>
        <w:rPr>
          <w:rFonts w:ascii="Arial" w:hAnsi="Arial" w:cs="Arial"/>
          <w:sz w:val="22"/>
          <w:szCs w:val="22"/>
        </w:rPr>
      </w:pPr>
    </w:p>
    <w:p w14:paraId="477AB3DF"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Reminiscence therapy is another effective approach used in residential care. This involves discussing past experiences, often in group settings, which promotes both reflection and social interaction. Evidence suggests this approach can improve mood, communication, and overall quality of life, particularly for individuals living with dementia (Woods et al., 2005).</w:t>
      </w:r>
    </w:p>
    <w:p w14:paraId="495352F8" w14:textId="77777777" w:rsidR="00C416C3" w:rsidRPr="00F127FE" w:rsidRDefault="00C416C3">
      <w:pPr>
        <w:pStyle w:val="p2"/>
        <w:rPr>
          <w:rFonts w:ascii="Arial" w:hAnsi="Arial" w:cs="Arial"/>
          <w:sz w:val="22"/>
          <w:szCs w:val="22"/>
        </w:rPr>
      </w:pPr>
    </w:p>
    <w:p w14:paraId="1CA2CF95"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By focusing on personal experiences, care professionals can help residents maintain a sense of identity and self-worth. This supports person-centred care, as it values each individual’s life story and emotional needs. As a result, individuals are more likely to feel respected, engaged, and emotionally supported.</w:t>
      </w:r>
    </w:p>
    <w:p w14:paraId="2D0258A7" w14:textId="77777777" w:rsidR="00C416C3" w:rsidRDefault="00C416C3">
      <w:pPr>
        <w:pStyle w:val="p2"/>
      </w:pPr>
    </w:p>
    <w:p w14:paraId="4E0FCA1F" w14:textId="77777777" w:rsidR="00C416C3" w:rsidRDefault="00C416C3">
      <w:pPr>
        <w:pStyle w:val="p2"/>
      </w:pPr>
    </w:p>
    <w:p w14:paraId="4EC9DDBA" w14:textId="77777777" w:rsidR="00C416C3" w:rsidRPr="00F127FE" w:rsidRDefault="00C416C3">
      <w:pPr>
        <w:pStyle w:val="p1"/>
        <w:rPr>
          <w:rFonts w:ascii="Arial" w:hAnsi="Arial" w:cs="Arial"/>
          <w:sz w:val="22"/>
          <w:szCs w:val="22"/>
        </w:rPr>
      </w:pPr>
      <w:r w:rsidRPr="00F127FE">
        <w:rPr>
          <w:rStyle w:val="s1"/>
          <w:rFonts w:ascii="Arial" w:hAnsi="Arial" w:cs="Arial"/>
          <w:sz w:val="22"/>
          <w:szCs w:val="22"/>
        </w:rPr>
        <w:t>Practical Example</w:t>
      </w:r>
    </w:p>
    <w:p w14:paraId="314C19F0" w14:textId="77777777" w:rsidR="00C416C3" w:rsidRPr="00F127FE" w:rsidRDefault="00C416C3">
      <w:pPr>
        <w:pStyle w:val="p2"/>
        <w:rPr>
          <w:rFonts w:ascii="Arial" w:hAnsi="Arial" w:cs="Arial"/>
          <w:sz w:val="22"/>
          <w:szCs w:val="22"/>
        </w:rPr>
      </w:pPr>
    </w:p>
    <w:p w14:paraId="4F8BDF35"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 xml:space="preserve">A relevant example can be drawn from personal experience with my grandad while he was living in a residential care home. During this time, he appeared withdrawn, had low mood, and showed little interest in interacting with others. This behaviour reflected signs of despair, as described in </w:t>
      </w:r>
      <w:proofErr w:type="spellStart"/>
      <w:r w:rsidRPr="00F127FE">
        <w:rPr>
          <w:rStyle w:val="s1"/>
          <w:rFonts w:ascii="Arial" w:hAnsi="Arial" w:cs="Arial"/>
          <w:b w:val="0"/>
          <w:bCs w:val="0"/>
          <w:sz w:val="22"/>
          <w:szCs w:val="22"/>
        </w:rPr>
        <w:t>Erikson’s</w:t>
      </w:r>
      <w:proofErr w:type="spellEnd"/>
      <w:r w:rsidRPr="00F127FE">
        <w:rPr>
          <w:rStyle w:val="s1"/>
          <w:rFonts w:ascii="Arial" w:hAnsi="Arial" w:cs="Arial"/>
          <w:b w:val="0"/>
          <w:bCs w:val="0"/>
          <w:sz w:val="22"/>
          <w:szCs w:val="22"/>
        </w:rPr>
        <w:t xml:space="preserve"> theory.</w:t>
      </w:r>
    </w:p>
    <w:p w14:paraId="43FED7FC" w14:textId="77777777" w:rsidR="00C416C3" w:rsidRPr="00F127FE" w:rsidRDefault="00C416C3">
      <w:pPr>
        <w:pStyle w:val="p2"/>
        <w:rPr>
          <w:rFonts w:ascii="Arial" w:hAnsi="Arial" w:cs="Arial"/>
          <w:sz w:val="22"/>
          <w:szCs w:val="22"/>
        </w:rPr>
      </w:pPr>
    </w:p>
    <w:p w14:paraId="22B0AF52"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To support his wellbeing, our family increased visits and began bringing my young son. This had a noticeable positive impact on his mood and behaviour. My grandad became more engaged, smiled more often, and was more willing to communicate. He interacted positively with my son, talking and playing with him, which showed a clear improvement compared to his earlier withdrawal.</w:t>
      </w:r>
    </w:p>
    <w:p w14:paraId="6F42AF48" w14:textId="77777777" w:rsidR="00C416C3" w:rsidRPr="00F127FE" w:rsidRDefault="00C416C3">
      <w:pPr>
        <w:pStyle w:val="p2"/>
        <w:rPr>
          <w:rFonts w:ascii="Arial" w:hAnsi="Arial" w:cs="Arial"/>
          <w:sz w:val="22"/>
          <w:szCs w:val="22"/>
        </w:rPr>
      </w:pPr>
    </w:p>
    <w:p w14:paraId="6C4B5CD5"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 xml:space="preserve">This example highlights the importance of meaningful relationships in promoting emotional wellbeing. Interaction with family helped him reconnect with positive feelings, contributing to a greater sense of fulfilment. It also reflects the importance of social interaction, linking to both </w:t>
      </w:r>
      <w:proofErr w:type="spellStart"/>
      <w:r w:rsidRPr="00F127FE">
        <w:rPr>
          <w:rStyle w:val="s1"/>
          <w:rFonts w:ascii="Arial" w:hAnsi="Arial" w:cs="Arial"/>
          <w:b w:val="0"/>
          <w:bCs w:val="0"/>
          <w:sz w:val="22"/>
          <w:szCs w:val="22"/>
        </w:rPr>
        <w:t>Erikson’s</w:t>
      </w:r>
      <w:proofErr w:type="spellEnd"/>
      <w:r w:rsidRPr="00F127FE">
        <w:rPr>
          <w:rStyle w:val="s1"/>
          <w:rFonts w:ascii="Arial" w:hAnsi="Arial" w:cs="Arial"/>
          <w:b w:val="0"/>
          <w:bCs w:val="0"/>
          <w:sz w:val="22"/>
          <w:szCs w:val="22"/>
        </w:rPr>
        <w:t xml:space="preserve"> theory and </w:t>
      </w:r>
      <w:proofErr w:type="spellStart"/>
      <w:r w:rsidRPr="00F127FE">
        <w:rPr>
          <w:rStyle w:val="s1"/>
          <w:rFonts w:ascii="Arial" w:hAnsi="Arial" w:cs="Arial"/>
          <w:b w:val="0"/>
          <w:bCs w:val="0"/>
          <w:sz w:val="22"/>
          <w:szCs w:val="22"/>
        </w:rPr>
        <w:t>Vygotsky’s</w:t>
      </w:r>
      <w:proofErr w:type="spellEnd"/>
      <w:r w:rsidRPr="00F127FE">
        <w:rPr>
          <w:rStyle w:val="s1"/>
          <w:rFonts w:ascii="Arial" w:hAnsi="Arial" w:cs="Arial"/>
          <w:b w:val="0"/>
          <w:bCs w:val="0"/>
          <w:sz w:val="22"/>
          <w:szCs w:val="22"/>
        </w:rPr>
        <w:t xml:space="preserve"> ideas. Overall, this demonstrates how simple, person-centred approaches, such as involving family members, can improve mood and encourage engagement.</w:t>
      </w:r>
    </w:p>
    <w:p w14:paraId="22354500" w14:textId="77777777" w:rsidR="00C416C3" w:rsidRDefault="00C416C3">
      <w:pPr>
        <w:pStyle w:val="p2"/>
      </w:pPr>
    </w:p>
    <w:p w14:paraId="70A4E0F2" w14:textId="77777777" w:rsidR="00C416C3" w:rsidRDefault="00C416C3">
      <w:pPr>
        <w:pStyle w:val="p2"/>
      </w:pPr>
    </w:p>
    <w:p w14:paraId="00569CDA" w14:textId="77777777" w:rsidR="00C416C3" w:rsidRPr="00F127FE" w:rsidRDefault="00C416C3">
      <w:pPr>
        <w:pStyle w:val="p1"/>
        <w:rPr>
          <w:rFonts w:ascii="Arial" w:hAnsi="Arial" w:cs="Arial"/>
          <w:b/>
          <w:bCs/>
          <w:sz w:val="22"/>
          <w:szCs w:val="22"/>
        </w:rPr>
      </w:pPr>
      <w:r w:rsidRPr="00F127FE">
        <w:rPr>
          <w:rStyle w:val="s1"/>
          <w:rFonts w:ascii="Arial" w:hAnsi="Arial" w:cs="Arial"/>
          <w:sz w:val="22"/>
          <w:szCs w:val="22"/>
        </w:rPr>
        <w:t>Challenges and Strategies to Overcome Them</w:t>
      </w:r>
    </w:p>
    <w:p w14:paraId="15CC111E" w14:textId="77777777" w:rsidR="00C416C3" w:rsidRPr="00F127FE" w:rsidRDefault="00C416C3">
      <w:pPr>
        <w:pStyle w:val="p2"/>
        <w:rPr>
          <w:rFonts w:ascii="Arial" w:hAnsi="Arial" w:cs="Arial"/>
          <w:b/>
          <w:bCs/>
          <w:sz w:val="22"/>
          <w:szCs w:val="22"/>
        </w:rPr>
      </w:pPr>
    </w:p>
    <w:p w14:paraId="50B96F09"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 xml:space="preserve">Applying </w:t>
      </w:r>
      <w:proofErr w:type="spellStart"/>
      <w:r w:rsidRPr="00F127FE">
        <w:rPr>
          <w:rStyle w:val="s1"/>
          <w:rFonts w:ascii="Arial" w:hAnsi="Arial" w:cs="Arial"/>
          <w:b w:val="0"/>
          <w:bCs w:val="0"/>
          <w:sz w:val="22"/>
          <w:szCs w:val="22"/>
        </w:rPr>
        <w:t>Erikson’s</w:t>
      </w:r>
      <w:proofErr w:type="spellEnd"/>
      <w:r w:rsidRPr="00F127FE">
        <w:rPr>
          <w:rStyle w:val="s1"/>
          <w:rFonts w:ascii="Arial" w:hAnsi="Arial" w:cs="Arial"/>
          <w:b w:val="0"/>
          <w:bCs w:val="0"/>
          <w:sz w:val="22"/>
          <w:szCs w:val="22"/>
        </w:rPr>
        <w:t xml:space="preserve"> theory in practice can present challenges. One key issue is cognitive decline, particularly in individuals with dementia, which may limit their ability to recall past experiences or engage in reflective activities. This can lead to frustration or reduced participation.</w:t>
      </w:r>
    </w:p>
    <w:p w14:paraId="74E58AE2" w14:textId="77777777" w:rsidR="00C416C3" w:rsidRPr="00F127FE" w:rsidRDefault="00C416C3">
      <w:pPr>
        <w:pStyle w:val="p2"/>
        <w:rPr>
          <w:rFonts w:ascii="Arial" w:hAnsi="Arial" w:cs="Arial"/>
          <w:sz w:val="22"/>
          <w:szCs w:val="22"/>
        </w:rPr>
      </w:pPr>
    </w:p>
    <w:p w14:paraId="250DF19F"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To address this, care professionals can adapt their approach by using visual and sensory prompts, such as photographs, music, and familiar objects, to support memory recall. Involving family members can also provide additional support and make activities more meaningful. Shorter and more structured sessions may be more suitable for individuals with limited concentration (Woods et al., 2005).</w:t>
      </w:r>
    </w:p>
    <w:p w14:paraId="22FB1B6F" w14:textId="77777777" w:rsidR="00C416C3" w:rsidRPr="00F127FE" w:rsidRDefault="00C416C3">
      <w:pPr>
        <w:pStyle w:val="p2"/>
        <w:rPr>
          <w:rFonts w:ascii="Arial" w:hAnsi="Arial" w:cs="Arial"/>
          <w:sz w:val="22"/>
          <w:szCs w:val="22"/>
        </w:rPr>
      </w:pPr>
    </w:p>
    <w:p w14:paraId="16582D6B" w14:textId="77777777" w:rsidR="00C416C3" w:rsidRPr="00F127FE" w:rsidRDefault="00C416C3">
      <w:pPr>
        <w:pStyle w:val="p1"/>
        <w:rPr>
          <w:rFonts w:ascii="Arial" w:hAnsi="Arial" w:cs="Arial"/>
          <w:sz w:val="22"/>
          <w:szCs w:val="22"/>
        </w:rPr>
      </w:pPr>
      <w:r w:rsidRPr="00F127FE">
        <w:rPr>
          <w:rStyle w:val="s1"/>
          <w:rFonts w:ascii="Arial" w:hAnsi="Arial" w:cs="Arial"/>
          <w:b w:val="0"/>
          <w:bCs w:val="0"/>
          <w:sz w:val="22"/>
          <w:szCs w:val="22"/>
        </w:rPr>
        <w:t>Another challenge is that some individuals may focus on negative experiences, reinforcing feelings of regret. In these situations, care workers should use empathy and communication skills to guide discussions towards more positive or meaningful aspects of life. Staff training is also important to ensure these approaches are delivered sensitively.</w:t>
      </w:r>
    </w:p>
    <w:p w14:paraId="73C95C41" w14:textId="77777777" w:rsidR="00C416C3" w:rsidRDefault="00C416C3">
      <w:pPr>
        <w:pStyle w:val="p2"/>
        <w:rPr>
          <w:rFonts w:ascii="Arial" w:hAnsi="Arial" w:cs="Arial"/>
          <w:sz w:val="22"/>
          <w:szCs w:val="22"/>
        </w:rPr>
      </w:pPr>
    </w:p>
    <w:p w14:paraId="0BFAE77A" w14:textId="77777777" w:rsidR="00C9104C" w:rsidRPr="00F127FE" w:rsidRDefault="00C9104C">
      <w:pPr>
        <w:pStyle w:val="p2"/>
        <w:rPr>
          <w:rFonts w:ascii="Arial" w:hAnsi="Arial" w:cs="Arial"/>
          <w:sz w:val="22"/>
          <w:szCs w:val="22"/>
        </w:rPr>
      </w:pPr>
    </w:p>
    <w:p w14:paraId="0EE522ED" w14:textId="77777777" w:rsidR="00C416C3" w:rsidRPr="00F127FE" w:rsidRDefault="00C416C3">
      <w:pPr>
        <w:pStyle w:val="p1"/>
        <w:rPr>
          <w:rFonts w:ascii="Arial" w:hAnsi="Arial" w:cs="Arial"/>
          <w:sz w:val="22"/>
          <w:szCs w:val="22"/>
        </w:rPr>
      </w:pPr>
      <w:proofErr w:type="spellStart"/>
      <w:r w:rsidRPr="00F127FE">
        <w:rPr>
          <w:rStyle w:val="s1"/>
          <w:rFonts w:ascii="Arial" w:hAnsi="Arial" w:cs="Arial"/>
          <w:b w:val="0"/>
          <w:bCs w:val="0"/>
          <w:sz w:val="22"/>
          <w:szCs w:val="22"/>
        </w:rPr>
        <w:t>Erikson’s</w:t>
      </w:r>
      <w:proofErr w:type="spellEnd"/>
      <w:r w:rsidRPr="00F127FE">
        <w:rPr>
          <w:rStyle w:val="s1"/>
          <w:rFonts w:ascii="Arial" w:hAnsi="Arial" w:cs="Arial"/>
          <w:b w:val="0"/>
          <w:bCs w:val="0"/>
          <w:sz w:val="22"/>
          <w:szCs w:val="22"/>
        </w:rPr>
        <w:t xml:space="preserve"> psychosocial theory provides a valuable framework for understanding the emotional needs of older adults. By focusing on the stage of integrity versus despair, care professionals can use strategies that promote reflection, strengthen identity, and improve psychological wellbeing. Although challenges such as cognitive decline may affect implementation, these can be managed through adapted, person-centred approaches. The inclusion of meaningful relationships, as shown in the practical example, further highlights the importance of emotional connection in later life. Overall, applying </w:t>
      </w:r>
      <w:proofErr w:type="spellStart"/>
      <w:r w:rsidRPr="00F127FE">
        <w:rPr>
          <w:rStyle w:val="s1"/>
          <w:rFonts w:ascii="Arial" w:hAnsi="Arial" w:cs="Arial"/>
          <w:b w:val="0"/>
          <w:bCs w:val="0"/>
          <w:sz w:val="22"/>
          <w:szCs w:val="22"/>
        </w:rPr>
        <w:t>Erikson’s</w:t>
      </w:r>
      <w:proofErr w:type="spellEnd"/>
      <w:r w:rsidRPr="00F127FE">
        <w:rPr>
          <w:rStyle w:val="s1"/>
          <w:rFonts w:ascii="Arial" w:hAnsi="Arial" w:cs="Arial"/>
          <w:b w:val="0"/>
          <w:bCs w:val="0"/>
          <w:sz w:val="22"/>
          <w:szCs w:val="22"/>
        </w:rPr>
        <w:t xml:space="preserve"> theory in residential care can enhance quality of life and support positive ageing (</w:t>
      </w:r>
      <w:proofErr w:type="spellStart"/>
      <w:r w:rsidRPr="00F127FE">
        <w:rPr>
          <w:rStyle w:val="s1"/>
          <w:rFonts w:ascii="Arial" w:hAnsi="Arial" w:cs="Arial"/>
          <w:b w:val="0"/>
          <w:bCs w:val="0"/>
          <w:sz w:val="22"/>
          <w:szCs w:val="22"/>
        </w:rPr>
        <w:t>Erikson</w:t>
      </w:r>
      <w:proofErr w:type="spellEnd"/>
      <w:r w:rsidRPr="00F127FE">
        <w:rPr>
          <w:rStyle w:val="s1"/>
          <w:rFonts w:ascii="Arial" w:hAnsi="Arial" w:cs="Arial"/>
          <w:b w:val="0"/>
          <w:bCs w:val="0"/>
          <w:sz w:val="22"/>
          <w:szCs w:val="22"/>
        </w:rPr>
        <w:t>, 1982).</w:t>
      </w:r>
    </w:p>
    <w:p w14:paraId="07799493" w14:textId="77777777" w:rsidR="00C416C3" w:rsidRDefault="00C416C3">
      <w:pPr>
        <w:pStyle w:val="p2"/>
      </w:pPr>
    </w:p>
    <w:p w14:paraId="5E4580E6" w14:textId="77777777" w:rsidR="00C416C3" w:rsidRDefault="00C416C3">
      <w:pPr>
        <w:pStyle w:val="p2"/>
      </w:pPr>
    </w:p>
    <w:p w14:paraId="2B6EEBEB" w14:textId="77777777" w:rsidR="00C416C3" w:rsidRDefault="00C416C3">
      <w:pPr>
        <w:pStyle w:val="p2"/>
      </w:pPr>
    </w:p>
    <w:p w14:paraId="6ADA90D1" w14:textId="77777777" w:rsidR="00C416C3" w:rsidRDefault="00C416C3">
      <w:pPr>
        <w:pStyle w:val="p2"/>
      </w:pPr>
    </w:p>
    <w:p w14:paraId="35CBB236" w14:textId="77777777" w:rsidR="00A03D58" w:rsidRDefault="00A03D58">
      <w:pPr>
        <w:pStyle w:val="p2"/>
      </w:pPr>
    </w:p>
    <w:p w14:paraId="789F82C7" w14:textId="77777777" w:rsidR="00A03D58" w:rsidRDefault="00A03D58">
      <w:pPr>
        <w:pStyle w:val="p2"/>
      </w:pPr>
    </w:p>
    <w:p w14:paraId="4C8CA4D0" w14:textId="77777777" w:rsidR="00A03D58" w:rsidRDefault="00A03D58">
      <w:pPr>
        <w:pStyle w:val="p2"/>
      </w:pPr>
    </w:p>
    <w:p w14:paraId="4E4A76BC" w14:textId="77777777" w:rsidR="00A03D58" w:rsidRDefault="00A03D58">
      <w:pPr>
        <w:pStyle w:val="p2"/>
      </w:pPr>
    </w:p>
    <w:p w14:paraId="0E77219A" w14:textId="77777777" w:rsidR="00A03D58" w:rsidRDefault="00A03D58">
      <w:pPr>
        <w:pStyle w:val="p2"/>
      </w:pPr>
    </w:p>
    <w:p w14:paraId="35134ED4" w14:textId="77777777" w:rsidR="00A03D58" w:rsidRDefault="00A03D58">
      <w:pPr>
        <w:pStyle w:val="p2"/>
      </w:pPr>
    </w:p>
    <w:p w14:paraId="383C2B3E" w14:textId="77777777" w:rsidR="00A03D58" w:rsidRDefault="00A03D58">
      <w:pPr>
        <w:pStyle w:val="p2"/>
      </w:pPr>
    </w:p>
    <w:p w14:paraId="5F8F6597" w14:textId="77777777" w:rsidR="00A03D58" w:rsidRDefault="00A03D58">
      <w:pPr>
        <w:pStyle w:val="p2"/>
      </w:pPr>
    </w:p>
    <w:p w14:paraId="7E113D85" w14:textId="77777777" w:rsidR="00A03D58" w:rsidRDefault="00A03D58">
      <w:pPr>
        <w:pStyle w:val="p2"/>
      </w:pPr>
    </w:p>
    <w:p w14:paraId="0F793809" w14:textId="77777777" w:rsidR="00A03D58" w:rsidRDefault="00A03D58">
      <w:pPr>
        <w:pStyle w:val="p2"/>
      </w:pPr>
    </w:p>
    <w:p w14:paraId="72E9B589" w14:textId="77777777" w:rsidR="00A03D58" w:rsidRDefault="00A03D58">
      <w:pPr>
        <w:pStyle w:val="p2"/>
      </w:pPr>
    </w:p>
    <w:p w14:paraId="401A03BD" w14:textId="77777777" w:rsidR="00A03D58" w:rsidRDefault="00A03D58">
      <w:pPr>
        <w:pStyle w:val="p2"/>
      </w:pPr>
    </w:p>
    <w:p w14:paraId="5A18447E" w14:textId="77777777" w:rsidR="00A03D58" w:rsidRDefault="00A03D58">
      <w:pPr>
        <w:pStyle w:val="p2"/>
      </w:pPr>
    </w:p>
    <w:p w14:paraId="0EFC4838" w14:textId="77777777" w:rsidR="00A03D58" w:rsidRDefault="00A03D58">
      <w:pPr>
        <w:pStyle w:val="p2"/>
      </w:pPr>
    </w:p>
    <w:p w14:paraId="51006703" w14:textId="77777777" w:rsidR="00A03D58" w:rsidRDefault="00A03D58">
      <w:pPr>
        <w:pStyle w:val="p2"/>
      </w:pPr>
    </w:p>
    <w:p w14:paraId="26EDF408" w14:textId="77777777" w:rsidR="00A03D58" w:rsidRDefault="00A03D58">
      <w:pPr>
        <w:pStyle w:val="p2"/>
      </w:pPr>
    </w:p>
    <w:p w14:paraId="4BA0481D" w14:textId="77777777" w:rsidR="00A03D58" w:rsidRDefault="00A03D58">
      <w:pPr>
        <w:pStyle w:val="p2"/>
      </w:pPr>
    </w:p>
    <w:p w14:paraId="6E3F4A18" w14:textId="77777777" w:rsidR="00A03D58" w:rsidRDefault="00A03D58">
      <w:pPr>
        <w:pStyle w:val="p2"/>
      </w:pPr>
    </w:p>
    <w:p w14:paraId="6265EC28" w14:textId="77777777" w:rsidR="00A03D58" w:rsidRDefault="00A03D58">
      <w:pPr>
        <w:pStyle w:val="p2"/>
      </w:pPr>
    </w:p>
    <w:p w14:paraId="55D50930" w14:textId="77777777" w:rsidR="00A03D58" w:rsidRDefault="00A03D58">
      <w:pPr>
        <w:pStyle w:val="p2"/>
      </w:pPr>
    </w:p>
    <w:p w14:paraId="4D8E899A" w14:textId="77777777" w:rsidR="00A03D58" w:rsidRDefault="00A03D58">
      <w:pPr>
        <w:pStyle w:val="p2"/>
      </w:pPr>
    </w:p>
    <w:p w14:paraId="25E73E80" w14:textId="77777777" w:rsidR="00A03D58" w:rsidRDefault="00A03D58">
      <w:pPr>
        <w:pStyle w:val="p2"/>
      </w:pPr>
    </w:p>
    <w:p w14:paraId="71CA0DBA" w14:textId="77777777" w:rsidR="00A03D58" w:rsidRDefault="00A03D58">
      <w:pPr>
        <w:pStyle w:val="p2"/>
      </w:pPr>
    </w:p>
    <w:p w14:paraId="3E2D0EC4" w14:textId="77777777" w:rsidR="00A03D58" w:rsidRDefault="00A03D58">
      <w:pPr>
        <w:pStyle w:val="p2"/>
      </w:pPr>
    </w:p>
    <w:p w14:paraId="44A269E4" w14:textId="77777777" w:rsidR="00A03D58" w:rsidRDefault="00A03D58">
      <w:pPr>
        <w:pStyle w:val="p2"/>
      </w:pPr>
    </w:p>
    <w:p w14:paraId="19D64009" w14:textId="77777777" w:rsidR="00A03D58" w:rsidRDefault="00A03D58">
      <w:pPr>
        <w:pStyle w:val="p2"/>
      </w:pPr>
    </w:p>
    <w:p w14:paraId="3BFCC7A1" w14:textId="77777777" w:rsidR="00A03D58" w:rsidRDefault="00A03D58">
      <w:pPr>
        <w:pStyle w:val="p2"/>
      </w:pPr>
    </w:p>
    <w:p w14:paraId="23051BD9" w14:textId="77777777" w:rsidR="00A03D58" w:rsidRDefault="00A03D58">
      <w:pPr>
        <w:pStyle w:val="p2"/>
      </w:pPr>
    </w:p>
    <w:p w14:paraId="1E3F3FE7" w14:textId="77777777" w:rsidR="00A03D58" w:rsidRDefault="00A03D58">
      <w:pPr>
        <w:pStyle w:val="p2"/>
      </w:pPr>
    </w:p>
    <w:p w14:paraId="74D6C8D7" w14:textId="77777777" w:rsidR="00A03D58" w:rsidRDefault="00A03D58">
      <w:pPr>
        <w:pStyle w:val="p2"/>
      </w:pPr>
    </w:p>
    <w:p w14:paraId="37B0C1FB" w14:textId="77777777" w:rsidR="00A03D58" w:rsidRDefault="00A03D58">
      <w:pPr>
        <w:pStyle w:val="p2"/>
      </w:pPr>
    </w:p>
    <w:p w14:paraId="302C490B" w14:textId="77777777" w:rsidR="00A03D58" w:rsidRDefault="00A03D58">
      <w:pPr>
        <w:pStyle w:val="p2"/>
      </w:pPr>
    </w:p>
    <w:p w14:paraId="11A4DB0A" w14:textId="77777777" w:rsidR="00A03D58" w:rsidRDefault="00A03D58">
      <w:pPr>
        <w:pStyle w:val="p2"/>
      </w:pPr>
    </w:p>
    <w:p w14:paraId="3B7FD492" w14:textId="77777777" w:rsidR="00C416C3" w:rsidRDefault="00C416C3">
      <w:pPr>
        <w:pStyle w:val="p2"/>
      </w:pPr>
    </w:p>
    <w:p w14:paraId="595D7395" w14:textId="77777777" w:rsidR="00C416C3" w:rsidRDefault="00C416C3" w:rsidP="00C416C3">
      <w:pPr>
        <w:pStyle w:val="p1"/>
        <w:ind w:left="3600"/>
        <w:rPr>
          <w:rStyle w:val="apple-converted-space"/>
          <w:rFonts w:ascii="Arial" w:hAnsi="Arial" w:cs="Arial"/>
          <w:sz w:val="22"/>
          <w:szCs w:val="22"/>
          <w:u w:val="single"/>
        </w:rPr>
      </w:pPr>
      <w:r w:rsidRPr="00F127FE">
        <w:rPr>
          <w:rStyle w:val="s1"/>
          <w:rFonts w:ascii="Arial" w:hAnsi="Arial" w:cs="Arial"/>
          <w:sz w:val="22"/>
          <w:szCs w:val="22"/>
          <w:u w:val="single"/>
        </w:rPr>
        <w:t>References</w:t>
      </w:r>
      <w:r w:rsidRPr="00F127FE">
        <w:rPr>
          <w:rStyle w:val="apple-converted-space"/>
          <w:rFonts w:ascii="Arial" w:hAnsi="Arial" w:cs="Arial"/>
          <w:sz w:val="22"/>
          <w:szCs w:val="22"/>
          <w:u w:val="single"/>
        </w:rPr>
        <w:t> </w:t>
      </w:r>
    </w:p>
    <w:p w14:paraId="11CE0841" w14:textId="77777777" w:rsidR="00F127FE" w:rsidRDefault="00F127FE" w:rsidP="00C416C3">
      <w:pPr>
        <w:pStyle w:val="p1"/>
        <w:ind w:left="3600"/>
        <w:rPr>
          <w:rStyle w:val="apple-converted-space"/>
          <w:rFonts w:ascii="Arial" w:hAnsi="Arial" w:cs="Arial"/>
          <w:sz w:val="22"/>
          <w:szCs w:val="22"/>
          <w:u w:val="single"/>
        </w:rPr>
      </w:pPr>
    </w:p>
    <w:p w14:paraId="56A68DA5" w14:textId="77777777" w:rsidR="00F127FE" w:rsidRDefault="00F127FE" w:rsidP="00C416C3">
      <w:pPr>
        <w:pStyle w:val="p1"/>
        <w:ind w:left="3600"/>
        <w:rPr>
          <w:rStyle w:val="apple-converted-space"/>
          <w:rFonts w:ascii="Arial" w:hAnsi="Arial" w:cs="Arial"/>
          <w:sz w:val="22"/>
          <w:szCs w:val="22"/>
          <w:u w:val="single"/>
        </w:rPr>
      </w:pPr>
    </w:p>
    <w:p w14:paraId="409482E5" w14:textId="77777777" w:rsidR="00F127FE" w:rsidRPr="00F127FE" w:rsidRDefault="00F127FE" w:rsidP="00C416C3">
      <w:pPr>
        <w:pStyle w:val="p1"/>
        <w:ind w:left="3600"/>
        <w:rPr>
          <w:rStyle w:val="apple-converted-space"/>
          <w:rFonts w:ascii="Arial" w:hAnsi="Arial" w:cs="Arial"/>
          <w:sz w:val="22"/>
          <w:szCs w:val="22"/>
          <w:u w:val="single"/>
        </w:rPr>
      </w:pPr>
    </w:p>
    <w:p w14:paraId="5FA8C229" w14:textId="77777777" w:rsidR="00C416C3" w:rsidRDefault="00C416C3" w:rsidP="00C416C3">
      <w:pPr>
        <w:pStyle w:val="p1"/>
        <w:ind w:left="3600"/>
        <w:rPr>
          <w:rStyle w:val="apple-converted-space"/>
          <w:rFonts w:ascii="Arial" w:hAnsi="Arial" w:cs="Arial"/>
          <w:sz w:val="22"/>
          <w:szCs w:val="22"/>
        </w:rPr>
      </w:pPr>
    </w:p>
    <w:p w14:paraId="36BC5098" w14:textId="45E939B7" w:rsidR="00C416C3" w:rsidRPr="00DA1663" w:rsidRDefault="00DA1663" w:rsidP="00DA1663">
      <w:pPr>
        <w:pStyle w:val="p1"/>
        <w:rPr>
          <w:rStyle w:val="apple-converted-space"/>
          <w:rFonts w:ascii="Arial" w:hAnsi="Arial" w:cs="Arial"/>
          <w:b/>
          <w:bCs/>
          <w:sz w:val="22"/>
          <w:szCs w:val="22"/>
        </w:rPr>
      </w:pPr>
      <w:r w:rsidRPr="00DA1663">
        <w:rPr>
          <w:rStyle w:val="apple-converted-space"/>
          <w:rFonts w:ascii="Arial" w:hAnsi="Arial" w:cs="Arial"/>
          <w:b/>
          <w:bCs/>
          <w:sz w:val="22"/>
          <w:szCs w:val="22"/>
        </w:rPr>
        <w:t>Part A</w:t>
      </w:r>
    </w:p>
    <w:p w14:paraId="717E01DE" w14:textId="77777777" w:rsidR="00C416C3" w:rsidRPr="00C416C3" w:rsidRDefault="00C416C3" w:rsidP="00C416C3">
      <w:pPr>
        <w:pStyle w:val="p1"/>
        <w:ind w:left="3600"/>
        <w:rPr>
          <w:rFonts w:ascii="Arial" w:hAnsi="Arial" w:cs="Arial"/>
          <w:sz w:val="22"/>
          <w:szCs w:val="22"/>
        </w:rPr>
      </w:pPr>
    </w:p>
    <w:p w14:paraId="7127F377" w14:textId="77777777" w:rsidR="00C416C3" w:rsidRPr="00C416C3" w:rsidRDefault="00C416C3">
      <w:pPr>
        <w:pStyle w:val="p2"/>
        <w:rPr>
          <w:rFonts w:ascii="Arial" w:hAnsi="Arial" w:cs="Arial"/>
          <w:sz w:val="22"/>
          <w:szCs w:val="22"/>
        </w:rPr>
      </w:pPr>
    </w:p>
    <w:p w14:paraId="24B4225B" w14:textId="77777777" w:rsidR="00C416C3" w:rsidRPr="00C416C3" w:rsidRDefault="00C416C3" w:rsidP="00C416C3">
      <w:pPr>
        <w:pStyle w:val="p1"/>
        <w:numPr>
          <w:ilvl w:val="0"/>
          <w:numId w:val="1"/>
        </w:numPr>
        <w:rPr>
          <w:rFonts w:ascii="Arial" w:hAnsi="Arial" w:cs="Arial"/>
          <w:sz w:val="22"/>
          <w:szCs w:val="22"/>
        </w:rPr>
      </w:pPr>
      <w:proofErr w:type="spellStart"/>
      <w:r w:rsidRPr="00C416C3">
        <w:rPr>
          <w:rStyle w:val="s1"/>
          <w:rFonts w:ascii="Arial" w:hAnsi="Arial" w:cs="Arial"/>
          <w:b w:val="0"/>
          <w:bCs w:val="0"/>
          <w:sz w:val="22"/>
          <w:szCs w:val="22"/>
        </w:rPr>
        <w:t>Erikson</w:t>
      </w:r>
      <w:proofErr w:type="spellEnd"/>
      <w:r w:rsidRPr="00C416C3">
        <w:rPr>
          <w:rStyle w:val="s1"/>
          <w:rFonts w:ascii="Arial" w:hAnsi="Arial" w:cs="Arial"/>
          <w:b w:val="0"/>
          <w:bCs w:val="0"/>
          <w:sz w:val="22"/>
          <w:szCs w:val="22"/>
        </w:rPr>
        <w:t xml:space="preserve">, E.H. (1982) </w:t>
      </w:r>
      <w:r w:rsidRPr="00C416C3">
        <w:rPr>
          <w:rStyle w:val="s3"/>
          <w:rFonts w:ascii="Arial" w:hAnsi="Arial" w:cs="Arial"/>
          <w:b w:val="0"/>
          <w:bCs w:val="0"/>
          <w:sz w:val="22"/>
          <w:szCs w:val="22"/>
        </w:rPr>
        <w:t>The life cycle completed</w:t>
      </w:r>
      <w:r w:rsidRPr="00C416C3">
        <w:rPr>
          <w:rStyle w:val="s1"/>
          <w:rFonts w:ascii="Arial" w:hAnsi="Arial" w:cs="Arial"/>
          <w:b w:val="0"/>
          <w:bCs w:val="0"/>
          <w:sz w:val="22"/>
          <w:szCs w:val="22"/>
        </w:rPr>
        <w:t>. New York: W.W. Norton. Available at:</w:t>
      </w:r>
    </w:p>
    <w:p w14:paraId="2D96B5C8" w14:textId="75AEF385" w:rsidR="00C416C3" w:rsidRDefault="00774E98">
      <w:pPr>
        <w:pStyle w:val="p1"/>
        <w:rPr>
          <w:rStyle w:val="s1"/>
          <w:rFonts w:ascii="Arial" w:hAnsi="Arial" w:cs="Arial"/>
          <w:b w:val="0"/>
          <w:bCs w:val="0"/>
          <w:sz w:val="22"/>
          <w:szCs w:val="22"/>
        </w:rPr>
      </w:pPr>
      <w:hyperlink r:id="rId7" w:history="1">
        <w:r w:rsidRPr="00263935">
          <w:rPr>
            <w:rStyle w:val="Hyperlink"/>
            <w:rFonts w:ascii="Arial" w:hAnsi="Arial" w:cs="Arial"/>
            <w:sz w:val="22"/>
            <w:szCs w:val="22"/>
          </w:rPr>
          <w:t>https://archive.org/details/lifecyclecomplet00erik</w:t>
        </w:r>
      </w:hyperlink>
    </w:p>
    <w:p w14:paraId="306F0489" w14:textId="77777777" w:rsidR="00774E98" w:rsidRPr="00C416C3" w:rsidRDefault="00774E98">
      <w:pPr>
        <w:pStyle w:val="p1"/>
        <w:rPr>
          <w:rFonts w:ascii="Arial" w:hAnsi="Arial" w:cs="Arial"/>
          <w:sz w:val="22"/>
          <w:szCs w:val="22"/>
        </w:rPr>
      </w:pPr>
    </w:p>
    <w:p w14:paraId="09C88064" w14:textId="77777777" w:rsidR="00C416C3" w:rsidRPr="00C416C3" w:rsidRDefault="00C416C3">
      <w:pPr>
        <w:pStyle w:val="p1"/>
        <w:rPr>
          <w:rFonts w:ascii="Arial" w:hAnsi="Arial" w:cs="Arial"/>
          <w:sz w:val="22"/>
          <w:szCs w:val="22"/>
        </w:rPr>
      </w:pPr>
      <w:r w:rsidRPr="00C416C3">
        <w:rPr>
          <w:rStyle w:val="s1"/>
          <w:rFonts w:ascii="Arial" w:hAnsi="Arial" w:cs="Arial"/>
          <w:b w:val="0"/>
          <w:bCs w:val="0"/>
          <w:sz w:val="22"/>
          <w:szCs w:val="22"/>
        </w:rPr>
        <w:t>(Accessed: 20 March 2026).</w:t>
      </w:r>
    </w:p>
    <w:p w14:paraId="6BF241C9" w14:textId="77777777" w:rsidR="00C416C3" w:rsidRPr="00C416C3" w:rsidRDefault="00C416C3">
      <w:pPr>
        <w:pStyle w:val="p2"/>
        <w:rPr>
          <w:rFonts w:ascii="Arial" w:hAnsi="Arial" w:cs="Arial"/>
          <w:sz w:val="22"/>
          <w:szCs w:val="22"/>
        </w:rPr>
      </w:pPr>
    </w:p>
    <w:p w14:paraId="47D2A478" w14:textId="77777777" w:rsidR="00C416C3" w:rsidRPr="00C416C3" w:rsidRDefault="00C416C3" w:rsidP="00C416C3">
      <w:pPr>
        <w:pStyle w:val="p1"/>
        <w:numPr>
          <w:ilvl w:val="0"/>
          <w:numId w:val="1"/>
        </w:numPr>
        <w:rPr>
          <w:rFonts w:ascii="Arial" w:hAnsi="Arial" w:cs="Arial"/>
          <w:sz w:val="22"/>
          <w:szCs w:val="22"/>
        </w:rPr>
      </w:pPr>
      <w:proofErr w:type="spellStart"/>
      <w:r w:rsidRPr="00C416C3">
        <w:rPr>
          <w:rStyle w:val="s1"/>
          <w:rFonts w:ascii="Arial" w:hAnsi="Arial" w:cs="Arial"/>
          <w:b w:val="0"/>
          <w:bCs w:val="0"/>
          <w:sz w:val="22"/>
          <w:szCs w:val="22"/>
        </w:rPr>
        <w:t>Vygotsky</w:t>
      </w:r>
      <w:proofErr w:type="spellEnd"/>
      <w:r w:rsidRPr="00C416C3">
        <w:rPr>
          <w:rStyle w:val="s1"/>
          <w:rFonts w:ascii="Arial" w:hAnsi="Arial" w:cs="Arial"/>
          <w:b w:val="0"/>
          <w:bCs w:val="0"/>
          <w:sz w:val="22"/>
          <w:szCs w:val="22"/>
        </w:rPr>
        <w:t xml:space="preserve">, L.S. (1978) </w:t>
      </w:r>
      <w:r w:rsidRPr="00C416C3">
        <w:rPr>
          <w:rStyle w:val="s3"/>
          <w:rFonts w:ascii="Arial" w:hAnsi="Arial" w:cs="Arial"/>
          <w:b w:val="0"/>
          <w:bCs w:val="0"/>
          <w:sz w:val="22"/>
          <w:szCs w:val="22"/>
        </w:rPr>
        <w:t>Mind in society: The development of higher psychological processes</w:t>
      </w:r>
      <w:r w:rsidRPr="00C416C3">
        <w:rPr>
          <w:rStyle w:val="s1"/>
          <w:rFonts w:ascii="Arial" w:hAnsi="Arial" w:cs="Arial"/>
          <w:b w:val="0"/>
          <w:bCs w:val="0"/>
          <w:sz w:val="22"/>
          <w:szCs w:val="22"/>
        </w:rPr>
        <w:t>. Cambridge, MA: Harvard University Press. Available at:</w:t>
      </w:r>
    </w:p>
    <w:p w14:paraId="76FC715F" w14:textId="706676CA" w:rsidR="00C416C3" w:rsidRDefault="00774E98">
      <w:pPr>
        <w:pStyle w:val="p1"/>
        <w:rPr>
          <w:rStyle w:val="s1"/>
          <w:rFonts w:ascii="Arial" w:hAnsi="Arial" w:cs="Arial"/>
          <w:b w:val="0"/>
          <w:bCs w:val="0"/>
          <w:sz w:val="22"/>
          <w:szCs w:val="22"/>
        </w:rPr>
      </w:pPr>
      <w:hyperlink r:id="rId8" w:history="1">
        <w:r w:rsidRPr="00263935">
          <w:rPr>
            <w:rStyle w:val="Hyperlink"/>
            <w:rFonts w:ascii="Arial" w:hAnsi="Arial" w:cs="Arial"/>
            <w:sz w:val="22"/>
            <w:szCs w:val="22"/>
          </w:rPr>
          <w:t>https://www.hup.harvard.edu/catalog.php?isbn=9780674576292</w:t>
        </w:r>
      </w:hyperlink>
    </w:p>
    <w:p w14:paraId="7661BA7D" w14:textId="77777777" w:rsidR="00774E98" w:rsidRPr="00C416C3" w:rsidRDefault="00774E98">
      <w:pPr>
        <w:pStyle w:val="p1"/>
        <w:rPr>
          <w:rFonts w:ascii="Arial" w:hAnsi="Arial" w:cs="Arial"/>
          <w:sz w:val="22"/>
          <w:szCs w:val="22"/>
        </w:rPr>
      </w:pPr>
    </w:p>
    <w:p w14:paraId="4D964B49" w14:textId="77777777" w:rsidR="00C416C3" w:rsidRPr="00C416C3" w:rsidRDefault="00C416C3">
      <w:pPr>
        <w:pStyle w:val="p1"/>
        <w:rPr>
          <w:rFonts w:ascii="Arial" w:hAnsi="Arial" w:cs="Arial"/>
          <w:sz w:val="22"/>
          <w:szCs w:val="22"/>
        </w:rPr>
      </w:pPr>
      <w:r w:rsidRPr="00C416C3">
        <w:rPr>
          <w:rStyle w:val="s1"/>
          <w:rFonts w:ascii="Arial" w:hAnsi="Arial" w:cs="Arial"/>
          <w:b w:val="0"/>
          <w:bCs w:val="0"/>
          <w:sz w:val="22"/>
          <w:szCs w:val="22"/>
        </w:rPr>
        <w:t>(Accessed: 20 March 2026).</w:t>
      </w:r>
    </w:p>
    <w:p w14:paraId="19D32070" w14:textId="77777777" w:rsidR="00C416C3" w:rsidRPr="00C416C3" w:rsidRDefault="00C416C3">
      <w:pPr>
        <w:pStyle w:val="p2"/>
        <w:rPr>
          <w:rFonts w:ascii="Arial" w:hAnsi="Arial" w:cs="Arial"/>
          <w:sz w:val="22"/>
          <w:szCs w:val="22"/>
        </w:rPr>
      </w:pPr>
    </w:p>
    <w:p w14:paraId="203EF382" w14:textId="1721712F" w:rsidR="00C416C3" w:rsidRPr="00C416C3" w:rsidRDefault="00C416C3" w:rsidP="00C416C3">
      <w:pPr>
        <w:pStyle w:val="p1"/>
        <w:numPr>
          <w:ilvl w:val="0"/>
          <w:numId w:val="1"/>
        </w:numPr>
        <w:rPr>
          <w:rFonts w:ascii="Arial" w:hAnsi="Arial" w:cs="Arial"/>
          <w:sz w:val="22"/>
          <w:szCs w:val="22"/>
        </w:rPr>
      </w:pPr>
      <w:r w:rsidRPr="00C416C3">
        <w:rPr>
          <w:rStyle w:val="s1"/>
          <w:rFonts w:ascii="Arial" w:hAnsi="Arial" w:cs="Arial"/>
          <w:b w:val="0"/>
          <w:bCs w:val="0"/>
          <w:sz w:val="22"/>
          <w:szCs w:val="22"/>
        </w:rPr>
        <w:t xml:space="preserve">Woods, B., Spector, A., Jones, C., </w:t>
      </w:r>
      <w:proofErr w:type="spellStart"/>
      <w:r w:rsidRPr="00C416C3">
        <w:rPr>
          <w:rStyle w:val="s1"/>
          <w:rFonts w:ascii="Arial" w:hAnsi="Arial" w:cs="Arial"/>
          <w:b w:val="0"/>
          <w:bCs w:val="0"/>
          <w:sz w:val="22"/>
          <w:szCs w:val="22"/>
        </w:rPr>
        <w:t>Orrell</w:t>
      </w:r>
      <w:proofErr w:type="spellEnd"/>
      <w:r w:rsidRPr="00C416C3">
        <w:rPr>
          <w:rStyle w:val="s1"/>
          <w:rFonts w:ascii="Arial" w:hAnsi="Arial" w:cs="Arial"/>
          <w:b w:val="0"/>
          <w:bCs w:val="0"/>
          <w:sz w:val="22"/>
          <w:szCs w:val="22"/>
        </w:rPr>
        <w:t xml:space="preserve">, M. and Davies, S. (2005) ‘Reminiscence therapy for dementia’, </w:t>
      </w:r>
      <w:r w:rsidRPr="00C416C3">
        <w:rPr>
          <w:rStyle w:val="s3"/>
          <w:rFonts w:ascii="Arial" w:hAnsi="Arial" w:cs="Arial"/>
          <w:b w:val="0"/>
          <w:bCs w:val="0"/>
          <w:sz w:val="22"/>
          <w:szCs w:val="22"/>
        </w:rPr>
        <w:t>Cochrane Database of Systematic Reviews</w:t>
      </w:r>
      <w:r w:rsidRPr="00C416C3">
        <w:rPr>
          <w:rStyle w:val="s1"/>
          <w:rFonts w:ascii="Arial" w:hAnsi="Arial" w:cs="Arial"/>
          <w:b w:val="0"/>
          <w:bCs w:val="0"/>
          <w:sz w:val="22"/>
          <w:szCs w:val="22"/>
        </w:rPr>
        <w:t>, 2, CD001120. Available at:</w:t>
      </w:r>
    </w:p>
    <w:p w14:paraId="31FE0D9E" w14:textId="3C58533D" w:rsidR="00774E98" w:rsidRDefault="00774E98">
      <w:pPr>
        <w:pStyle w:val="p1"/>
        <w:rPr>
          <w:rStyle w:val="s1"/>
          <w:rFonts w:ascii="Arial" w:hAnsi="Arial" w:cs="Arial"/>
          <w:b w:val="0"/>
          <w:bCs w:val="0"/>
          <w:sz w:val="22"/>
          <w:szCs w:val="22"/>
        </w:rPr>
      </w:pPr>
      <w:hyperlink r:id="rId9" w:history="1">
        <w:r w:rsidRPr="00263935">
          <w:rPr>
            <w:rStyle w:val="Hyperlink"/>
            <w:rFonts w:ascii="Arial" w:hAnsi="Arial" w:cs="Arial"/>
            <w:sz w:val="22"/>
            <w:szCs w:val="22"/>
          </w:rPr>
          <w:t>https://doi.org/10.1002/14651858.CD001120.pub2</w:t>
        </w:r>
      </w:hyperlink>
    </w:p>
    <w:p w14:paraId="4DEBCAB0" w14:textId="77777777" w:rsidR="00774E98" w:rsidRPr="00C416C3" w:rsidRDefault="00774E98">
      <w:pPr>
        <w:pStyle w:val="p1"/>
        <w:rPr>
          <w:rFonts w:ascii="Arial" w:hAnsi="Arial" w:cs="Arial"/>
          <w:sz w:val="22"/>
          <w:szCs w:val="22"/>
        </w:rPr>
      </w:pPr>
    </w:p>
    <w:p w14:paraId="3540C8DA" w14:textId="77777777" w:rsidR="00C416C3" w:rsidRPr="00C416C3" w:rsidRDefault="00C416C3">
      <w:pPr>
        <w:pStyle w:val="p1"/>
        <w:rPr>
          <w:rFonts w:ascii="Arial" w:hAnsi="Arial" w:cs="Arial"/>
          <w:sz w:val="22"/>
          <w:szCs w:val="22"/>
        </w:rPr>
      </w:pPr>
      <w:r w:rsidRPr="00C416C3">
        <w:rPr>
          <w:rStyle w:val="s1"/>
          <w:rFonts w:ascii="Arial" w:hAnsi="Arial" w:cs="Arial"/>
          <w:b w:val="0"/>
          <w:bCs w:val="0"/>
          <w:sz w:val="22"/>
          <w:szCs w:val="22"/>
        </w:rPr>
        <w:t>(Accessed: 20 March 2026).</w:t>
      </w:r>
    </w:p>
    <w:p w14:paraId="142BAE5D" w14:textId="6ED94483" w:rsidR="00C416C3" w:rsidRPr="00C416C3" w:rsidRDefault="00C416C3">
      <w:pPr>
        <w:pStyle w:val="p1"/>
        <w:rPr>
          <w:rFonts w:ascii="Arial" w:hAnsi="Arial" w:cs="Arial"/>
          <w:sz w:val="22"/>
          <w:szCs w:val="22"/>
        </w:rPr>
      </w:pPr>
    </w:p>
    <w:p w14:paraId="6ACCE1CD" w14:textId="77777777" w:rsidR="00C416C3" w:rsidRPr="00C416C3" w:rsidRDefault="00C416C3">
      <w:pPr>
        <w:pStyle w:val="p2"/>
        <w:rPr>
          <w:rFonts w:ascii="Arial" w:hAnsi="Arial" w:cs="Arial"/>
          <w:sz w:val="22"/>
          <w:szCs w:val="22"/>
        </w:rPr>
      </w:pPr>
    </w:p>
    <w:p w14:paraId="50FF6245" w14:textId="77777777" w:rsidR="00C416C3" w:rsidRPr="00DA1663" w:rsidRDefault="00C416C3">
      <w:pPr>
        <w:pStyle w:val="p1"/>
        <w:rPr>
          <w:rFonts w:ascii="Arial" w:hAnsi="Arial" w:cs="Arial"/>
          <w:sz w:val="22"/>
          <w:szCs w:val="22"/>
        </w:rPr>
      </w:pPr>
      <w:r w:rsidRPr="00DA1663">
        <w:rPr>
          <w:rStyle w:val="s1"/>
          <w:rFonts w:ascii="Arial" w:hAnsi="Arial" w:cs="Arial"/>
          <w:sz w:val="22"/>
          <w:szCs w:val="22"/>
        </w:rPr>
        <w:t>Part B</w:t>
      </w:r>
    </w:p>
    <w:p w14:paraId="7069C103" w14:textId="77777777" w:rsidR="00C416C3" w:rsidRPr="00C416C3" w:rsidRDefault="00C416C3">
      <w:pPr>
        <w:pStyle w:val="p2"/>
        <w:rPr>
          <w:rFonts w:ascii="Arial" w:hAnsi="Arial" w:cs="Arial"/>
          <w:sz w:val="22"/>
          <w:szCs w:val="22"/>
        </w:rPr>
      </w:pPr>
    </w:p>
    <w:p w14:paraId="241E8907" w14:textId="77777777" w:rsidR="00C416C3" w:rsidRPr="00C416C3" w:rsidRDefault="00C416C3" w:rsidP="00C416C3">
      <w:pPr>
        <w:pStyle w:val="p1"/>
        <w:numPr>
          <w:ilvl w:val="0"/>
          <w:numId w:val="1"/>
        </w:numPr>
        <w:rPr>
          <w:rFonts w:ascii="Arial" w:hAnsi="Arial" w:cs="Arial"/>
          <w:sz w:val="22"/>
          <w:szCs w:val="22"/>
        </w:rPr>
      </w:pPr>
      <w:proofErr w:type="spellStart"/>
      <w:r w:rsidRPr="00C416C3">
        <w:rPr>
          <w:rStyle w:val="s1"/>
          <w:rFonts w:ascii="Arial" w:hAnsi="Arial" w:cs="Arial"/>
          <w:b w:val="0"/>
          <w:bCs w:val="0"/>
          <w:sz w:val="22"/>
          <w:szCs w:val="22"/>
        </w:rPr>
        <w:t>Erikson</w:t>
      </w:r>
      <w:proofErr w:type="spellEnd"/>
      <w:r w:rsidRPr="00C416C3">
        <w:rPr>
          <w:rStyle w:val="s1"/>
          <w:rFonts w:ascii="Arial" w:hAnsi="Arial" w:cs="Arial"/>
          <w:b w:val="0"/>
          <w:bCs w:val="0"/>
          <w:sz w:val="22"/>
          <w:szCs w:val="22"/>
        </w:rPr>
        <w:t xml:space="preserve">, E.H. (1982) </w:t>
      </w:r>
      <w:r w:rsidRPr="00C416C3">
        <w:rPr>
          <w:rStyle w:val="s3"/>
          <w:rFonts w:ascii="Arial" w:hAnsi="Arial" w:cs="Arial"/>
          <w:b w:val="0"/>
          <w:bCs w:val="0"/>
          <w:sz w:val="22"/>
          <w:szCs w:val="22"/>
        </w:rPr>
        <w:t>The life cycle completed</w:t>
      </w:r>
      <w:r w:rsidRPr="00C416C3">
        <w:rPr>
          <w:rStyle w:val="s1"/>
          <w:rFonts w:ascii="Arial" w:hAnsi="Arial" w:cs="Arial"/>
          <w:b w:val="0"/>
          <w:bCs w:val="0"/>
          <w:sz w:val="22"/>
          <w:szCs w:val="22"/>
        </w:rPr>
        <w:t>. New York: W.W. Norton. Available at:</w:t>
      </w:r>
    </w:p>
    <w:p w14:paraId="427B8B76" w14:textId="0E2FFEE5" w:rsidR="00C416C3" w:rsidRDefault="00774E98">
      <w:pPr>
        <w:pStyle w:val="p1"/>
        <w:rPr>
          <w:rStyle w:val="s1"/>
          <w:rFonts w:ascii="Arial" w:hAnsi="Arial" w:cs="Arial"/>
          <w:b w:val="0"/>
          <w:bCs w:val="0"/>
          <w:sz w:val="22"/>
          <w:szCs w:val="22"/>
        </w:rPr>
      </w:pPr>
      <w:hyperlink r:id="rId10" w:history="1">
        <w:r w:rsidRPr="00263935">
          <w:rPr>
            <w:rStyle w:val="Hyperlink"/>
            <w:rFonts w:ascii="Arial" w:hAnsi="Arial" w:cs="Arial"/>
            <w:sz w:val="22"/>
            <w:szCs w:val="22"/>
          </w:rPr>
          <w:t>https://archive.org/details/lifecyclecomplet00erik</w:t>
        </w:r>
      </w:hyperlink>
    </w:p>
    <w:p w14:paraId="5F18338F" w14:textId="77777777" w:rsidR="00774E98" w:rsidRPr="00C416C3" w:rsidRDefault="00774E98">
      <w:pPr>
        <w:pStyle w:val="p1"/>
        <w:rPr>
          <w:rFonts w:ascii="Arial" w:hAnsi="Arial" w:cs="Arial"/>
          <w:sz w:val="22"/>
          <w:szCs w:val="22"/>
        </w:rPr>
      </w:pPr>
    </w:p>
    <w:p w14:paraId="18A2175E" w14:textId="77777777" w:rsidR="00C416C3" w:rsidRPr="00C416C3" w:rsidRDefault="00C416C3">
      <w:pPr>
        <w:pStyle w:val="p1"/>
        <w:rPr>
          <w:rFonts w:ascii="Arial" w:hAnsi="Arial" w:cs="Arial"/>
          <w:sz w:val="22"/>
          <w:szCs w:val="22"/>
        </w:rPr>
      </w:pPr>
      <w:r w:rsidRPr="00C416C3">
        <w:rPr>
          <w:rStyle w:val="s1"/>
          <w:rFonts w:ascii="Arial" w:hAnsi="Arial" w:cs="Arial"/>
          <w:b w:val="0"/>
          <w:bCs w:val="0"/>
          <w:sz w:val="22"/>
          <w:szCs w:val="22"/>
        </w:rPr>
        <w:t>(Accessed: 20 March 2026).</w:t>
      </w:r>
    </w:p>
    <w:p w14:paraId="1D674166" w14:textId="77777777" w:rsidR="00C416C3" w:rsidRPr="00C416C3" w:rsidRDefault="00C416C3">
      <w:pPr>
        <w:pStyle w:val="p2"/>
        <w:rPr>
          <w:rFonts w:ascii="Arial" w:hAnsi="Arial" w:cs="Arial"/>
          <w:sz w:val="22"/>
          <w:szCs w:val="22"/>
        </w:rPr>
      </w:pPr>
    </w:p>
    <w:p w14:paraId="60270663" w14:textId="77777777" w:rsidR="006060A8" w:rsidRPr="004E5766" w:rsidRDefault="00C416C3">
      <w:pPr>
        <w:pStyle w:val="p1"/>
        <w:rPr>
          <w:rFonts w:ascii="Arial" w:hAnsi="Arial" w:cs="Arial"/>
          <w:sz w:val="22"/>
          <w:szCs w:val="22"/>
        </w:rPr>
      </w:pPr>
      <w:r w:rsidRPr="00C416C3">
        <w:rPr>
          <w:rStyle w:val="s1"/>
          <w:rFonts w:ascii="Arial" w:hAnsi="Arial" w:cs="Arial"/>
          <w:b w:val="0"/>
          <w:bCs w:val="0"/>
          <w:sz w:val="22"/>
          <w:szCs w:val="22"/>
        </w:rPr>
        <w:t xml:space="preserve">Woods, B., Spector, A., Jones, C., </w:t>
      </w:r>
      <w:proofErr w:type="spellStart"/>
      <w:r w:rsidRPr="00C416C3">
        <w:rPr>
          <w:rStyle w:val="s1"/>
          <w:rFonts w:ascii="Arial" w:hAnsi="Arial" w:cs="Arial"/>
          <w:b w:val="0"/>
          <w:bCs w:val="0"/>
          <w:sz w:val="22"/>
          <w:szCs w:val="22"/>
        </w:rPr>
        <w:t>Orrell</w:t>
      </w:r>
      <w:proofErr w:type="spellEnd"/>
      <w:r w:rsidRPr="00C416C3">
        <w:rPr>
          <w:rStyle w:val="s1"/>
          <w:rFonts w:ascii="Arial" w:hAnsi="Arial" w:cs="Arial"/>
          <w:b w:val="0"/>
          <w:bCs w:val="0"/>
          <w:sz w:val="22"/>
          <w:szCs w:val="22"/>
        </w:rPr>
        <w:t xml:space="preserve">, M. and Davies, S. (2005) ‘Reminiscence therapy for dementia’, </w:t>
      </w:r>
      <w:r w:rsidRPr="00C416C3">
        <w:rPr>
          <w:rStyle w:val="s3"/>
          <w:rFonts w:ascii="Arial" w:hAnsi="Arial" w:cs="Arial"/>
          <w:b w:val="0"/>
          <w:bCs w:val="0"/>
          <w:sz w:val="22"/>
          <w:szCs w:val="22"/>
        </w:rPr>
        <w:t xml:space="preserve">Cochrane Database of </w:t>
      </w:r>
      <w:r w:rsidRPr="004E5766">
        <w:rPr>
          <w:rStyle w:val="s3"/>
          <w:rFonts w:ascii="Arial" w:hAnsi="Arial" w:cs="Arial"/>
          <w:b w:val="0"/>
          <w:bCs w:val="0"/>
          <w:sz w:val="22"/>
          <w:szCs w:val="22"/>
        </w:rPr>
        <w:t>Systema</w:t>
      </w:r>
      <w:r w:rsidR="006060A8" w:rsidRPr="004E5766">
        <w:rPr>
          <w:rStyle w:val="s3"/>
          <w:rFonts w:ascii="Arial" w:hAnsi="Arial" w:cs="Arial"/>
          <w:b w:val="0"/>
          <w:bCs w:val="0"/>
          <w:sz w:val="22"/>
          <w:szCs w:val="22"/>
        </w:rPr>
        <w:t xml:space="preserve">tic </w:t>
      </w:r>
      <w:r w:rsidR="006060A8" w:rsidRPr="004E5766">
        <w:rPr>
          <w:rFonts w:ascii="Arial" w:hAnsi="Arial" w:cs="Arial"/>
          <w:sz w:val="22"/>
          <w:szCs w:val="22"/>
        </w:rPr>
        <w:t>Reviews, 2, CD001120. Available at:</w:t>
      </w:r>
    </w:p>
    <w:p w14:paraId="2EBE7DFE" w14:textId="77777777" w:rsidR="00DA1663" w:rsidRDefault="004E5766" w:rsidP="006060A8">
      <w:pPr>
        <w:spacing w:before="100" w:beforeAutospacing="1" w:after="100" w:afterAutospacing="1" w:line="240" w:lineRule="auto"/>
        <w:rPr>
          <w:rFonts w:ascii="Arial" w:hAnsi="Arial" w:cs="Arial"/>
          <w:kern w:val="0"/>
          <w:sz w:val="22"/>
          <w:szCs w:val="22"/>
          <w14:ligatures w14:val="none"/>
        </w:rPr>
      </w:pPr>
      <w:hyperlink r:id="rId11" w:history="1">
        <w:r w:rsidRPr="00263935">
          <w:rPr>
            <w:rStyle w:val="Hyperlink"/>
            <w:rFonts w:ascii="Arial" w:hAnsi="Arial" w:cs="Arial"/>
            <w:kern w:val="0"/>
            <w:sz w:val="22"/>
            <w:szCs w:val="22"/>
            <w14:ligatures w14:val="none"/>
          </w:rPr>
          <w:t>https://doi.org/10.1002/14651858.CD001120.pub2</w:t>
        </w:r>
      </w:hyperlink>
    </w:p>
    <w:p w14:paraId="57D5DE8D" w14:textId="794D8A45" w:rsidR="006060A8" w:rsidRPr="004E5766" w:rsidRDefault="006060A8" w:rsidP="006060A8">
      <w:pPr>
        <w:spacing w:before="100" w:beforeAutospacing="1" w:after="100" w:afterAutospacing="1" w:line="240" w:lineRule="auto"/>
        <w:rPr>
          <w:rFonts w:ascii="Arial" w:hAnsi="Arial" w:cs="Arial"/>
          <w:kern w:val="0"/>
          <w:sz w:val="22"/>
          <w:szCs w:val="22"/>
          <w14:ligatures w14:val="none"/>
        </w:rPr>
      </w:pPr>
      <w:r w:rsidRPr="004E5766">
        <w:rPr>
          <w:rFonts w:ascii="Arial" w:hAnsi="Arial" w:cs="Arial"/>
          <w:kern w:val="0"/>
          <w:sz w:val="22"/>
          <w:szCs w:val="22"/>
          <w14:ligatures w14:val="none"/>
        </w:rPr>
        <w:t>(Accessed: 20 March 2026).</w:t>
      </w:r>
    </w:p>
    <w:p w14:paraId="1D44AE23" w14:textId="3D34D524" w:rsidR="00C416C3" w:rsidRPr="004E5766" w:rsidRDefault="00C416C3" w:rsidP="004E5766">
      <w:pPr>
        <w:pStyle w:val="p1"/>
        <w:ind w:left="720"/>
        <w:rPr>
          <w:rFonts w:ascii="Arial" w:hAnsi="Arial" w:cs="Arial"/>
          <w:sz w:val="22"/>
          <w:szCs w:val="22"/>
        </w:rPr>
      </w:pPr>
    </w:p>
    <w:p w14:paraId="76FA6EF7" w14:textId="77777777" w:rsidR="00C416C3" w:rsidRPr="004E5766" w:rsidRDefault="00C416C3">
      <w:pPr>
        <w:rPr>
          <w:rFonts w:ascii="Arial" w:hAnsi="Arial" w:cs="Arial"/>
          <w:sz w:val="22"/>
          <w:szCs w:val="22"/>
        </w:rPr>
      </w:pPr>
    </w:p>
    <w:sectPr w:rsidR="00C416C3" w:rsidRPr="004E57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D9BDC" w14:textId="77777777" w:rsidR="00983B1B" w:rsidRDefault="00983B1B" w:rsidP="00F127FE">
      <w:pPr>
        <w:spacing w:after="0" w:line="240" w:lineRule="auto"/>
      </w:pPr>
      <w:r>
        <w:separator/>
      </w:r>
    </w:p>
  </w:endnote>
  <w:endnote w:type="continuationSeparator" w:id="0">
    <w:p w14:paraId="3E512092" w14:textId="77777777" w:rsidR="00983B1B" w:rsidRDefault="00983B1B" w:rsidP="00F12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6BB66" w14:textId="77777777" w:rsidR="00983B1B" w:rsidRDefault="00983B1B" w:rsidP="00F127FE">
      <w:pPr>
        <w:spacing w:after="0" w:line="240" w:lineRule="auto"/>
      </w:pPr>
      <w:r>
        <w:separator/>
      </w:r>
    </w:p>
  </w:footnote>
  <w:footnote w:type="continuationSeparator" w:id="0">
    <w:p w14:paraId="3D2A10A4" w14:textId="77777777" w:rsidR="00983B1B" w:rsidRDefault="00983B1B" w:rsidP="00F127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A6F3D"/>
    <w:multiLevelType w:val="hybridMultilevel"/>
    <w:tmpl w:val="97228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4872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6C3"/>
    <w:rsid w:val="00107E29"/>
    <w:rsid w:val="00107FC1"/>
    <w:rsid w:val="001700EC"/>
    <w:rsid w:val="001A2117"/>
    <w:rsid w:val="001A7047"/>
    <w:rsid w:val="004E5766"/>
    <w:rsid w:val="005305DD"/>
    <w:rsid w:val="006060A8"/>
    <w:rsid w:val="00630490"/>
    <w:rsid w:val="006F2C79"/>
    <w:rsid w:val="00774E98"/>
    <w:rsid w:val="008236FA"/>
    <w:rsid w:val="00983B1B"/>
    <w:rsid w:val="009A0407"/>
    <w:rsid w:val="00A03D58"/>
    <w:rsid w:val="00B8401A"/>
    <w:rsid w:val="00C416C3"/>
    <w:rsid w:val="00C9104C"/>
    <w:rsid w:val="00D111C2"/>
    <w:rsid w:val="00DA1663"/>
    <w:rsid w:val="00F127FE"/>
    <w:rsid w:val="00FF7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928BB3"/>
  <w15:chartTrackingRefBased/>
  <w15:docId w15:val="{75535CC2-0C4D-D64C-A58D-839B74972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6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6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16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6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6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6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6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6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6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6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6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16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6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6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6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6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6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6C3"/>
    <w:rPr>
      <w:rFonts w:eastAsiaTheme="majorEastAsia" w:cstheme="majorBidi"/>
      <w:color w:val="272727" w:themeColor="text1" w:themeTint="D8"/>
    </w:rPr>
  </w:style>
  <w:style w:type="paragraph" w:styleId="Title">
    <w:name w:val="Title"/>
    <w:basedOn w:val="Normal"/>
    <w:next w:val="Normal"/>
    <w:link w:val="TitleChar"/>
    <w:uiPriority w:val="10"/>
    <w:qFormat/>
    <w:rsid w:val="00C416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6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6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6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6C3"/>
    <w:pPr>
      <w:spacing w:before="160"/>
      <w:jc w:val="center"/>
    </w:pPr>
    <w:rPr>
      <w:i/>
      <w:iCs/>
      <w:color w:val="404040" w:themeColor="text1" w:themeTint="BF"/>
    </w:rPr>
  </w:style>
  <w:style w:type="character" w:customStyle="1" w:styleId="QuoteChar">
    <w:name w:val="Quote Char"/>
    <w:basedOn w:val="DefaultParagraphFont"/>
    <w:link w:val="Quote"/>
    <w:uiPriority w:val="29"/>
    <w:rsid w:val="00C416C3"/>
    <w:rPr>
      <w:i/>
      <w:iCs/>
      <w:color w:val="404040" w:themeColor="text1" w:themeTint="BF"/>
    </w:rPr>
  </w:style>
  <w:style w:type="paragraph" w:styleId="ListParagraph">
    <w:name w:val="List Paragraph"/>
    <w:basedOn w:val="Normal"/>
    <w:uiPriority w:val="34"/>
    <w:qFormat/>
    <w:rsid w:val="00C416C3"/>
    <w:pPr>
      <w:ind w:left="720"/>
      <w:contextualSpacing/>
    </w:pPr>
  </w:style>
  <w:style w:type="character" w:styleId="IntenseEmphasis">
    <w:name w:val="Intense Emphasis"/>
    <w:basedOn w:val="DefaultParagraphFont"/>
    <w:uiPriority w:val="21"/>
    <w:qFormat/>
    <w:rsid w:val="00C416C3"/>
    <w:rPr>
      <w:i/>
      <w:iCs/>
      <w:color w:val="0F4761" w:themeColor="accent1" w:themeShade="BF"/>
    </w:rPr>
  </w:style>
  <w:style w:type="paragraph" w:styleId="IntenseQuote">
    <w:name w:val="Intense Quote"/>
    <w:basedOn w:val="Normal"/>
    <w:next w:val="Normal"/>
    <w:link w:val="IntenseQuoteChar"/>
    <w:uiPriority w:val="30"/>
    <w:qFormat/>
    <w:rsid w:val="00C416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6C3"/>
    <w:rPr>
      <w:i/>
      <w:iCs/>
      <w:color w:val="0F4761" w:themeColor="accent1" w:themeShade="BF"/>
    </w:rPr>
  </w:style>
  <w:style w:type="character" w:styleId="IntenseReference">
    <w:name w:val="Intense Reference"/>
    <w:basedOn w:val="DefaultParagraphFont"/>
    <w:uiPriority w:val="32"/>
    <w:qFormat/>
    <w:rsid w:val="00C416C3"/>
    <w:rPr>
      <w:b/>
      <w:bCs/>
      <w:smallCaps/>
      <w:color w:val="0F4761" w:themeColor="accent1" w:themeShade="BF"/>
      <w:spacing w:val="5"/>
    </w:rPr>
  </w:style>
  <w:style w:type="paragraph" w:customStyle="1" w:styleId="p1">
    <w:name w:val="p1"/>
    <w:basedOn w:val="Normal"/>
    <w:rsid w:val="00C416C3"/>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C416C3"/>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C416C3"/>
    <w:rPr>
      <w:rFonts w:ascii="UICTFontTextStyleEmphasizedBody" w:hAnsi="UICTFontTextStyleEmphasizedBody" w:hint="default"/>
      <w:b/>
      <w:bCs/>
      <w:i w:val="0"/>
      <w:iCs w:val="0"/>
      <w:sz w:val="29"/>
      <w:szCs w:val="29"/>
    </w:rPr>
  </w:style>
  <w:style w:type="character" w:customStyle="1" w:styleId="s2">
    <w:name w:val="s2"/>
    <w:basedOn w:val="DefaultParagraphFont"/>
    <w:rsid w:val="00C416C3"/>
    <w:rPr>
      <w:rFonts w:ascii="UICTFontTextStyleBody" w:hAnsi="UICTFontTextStyleBody" w:hint="default"/>
      <w:b w:val="0"/>
      <w:bCs w:val="0"/>
      <w:i w:val="0"/>
      <w:iCs w:val="0"/>
      <w:sz w:val="29"/>
      <w:szCs w:val="29"/>
    </w:rPr>
  </w:style>
  <w:style w:type="character" w:customStyle="1" w:styleId="s3">
    <w:name w:val="s3"/>
    <w:basedOn w:val="DefaultParagraphFont"/>
    <w:rsid w:val="00C416C3"/>
    <w:rPr>
      <w:b/>
      <w:bCs/>
      <w:i/>
      <w:iCs/>
      <w:sz w:val="29"/>
      <w:szCs w:val="29"/>
    </w:rPr>
  </w:style>
  <w:style w:type="character" w:customStyle="1" w:styleId="apple-converted-space">
    <w:name w:val="apple-converted-space"/>
    <w:basedOn w:val="DefaultParagraphFont"/>
    <w:rsid w:val="00C416C3"/>
  </w:style>
  <w:style w:type="character" w:styleId="Hyperlink">
    <w:name w:val="Hyperlink"/>
    <w:basedOn w:val="DefaultParagraphFont"/>
    <w:uiPriority w:val="99"/>
    <w:unhideWhenUsed/>
    <w:rsid w:val="00774E98"/>
    <w:rPr>
      <w:color w:val="467886" w:themeColor="hyperlink"/>
      <w:u w:val="single"/>
    </w:rPr>
  </w:style>
  <w:style w:type="character" w:styleId="UnresolvedMention">
    <w:name w:val="Unresolved Mention"/>
    <w:basedOn w:val="DefaultParagraphFont"/>
    <w:uiPriority w:val="99"/>
    <w:semiHidden/>
    <w:unhideWhenUsed/>
    <w:rsid w:val="00774E98"/>
    <w:rPr>
      <w:color w:val="605E5C"/>
      <w:shd w:val="clear" w:color="auto" w:fill="E1DFDD"/>
    </w:rPr>
  </w:style>
  <w:style w:type="paragraph" w:styleId="Header">
    <w:name w:val="header"/>
    <w:basedOn w:val="Normal"/>
    <w:link w:val="HeaderChar"/>
    <w:uiPriority w:val="99"/>
    <w:unhideWhenUsed/>
    <w:rsid w:val="00F127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7FE"/>
  </w:style>
  <w:style w:type="paragraph" w:styleId="Footer">
    <w:name w:val="footer"/>
    <w:basedOn w:val="Normal"/>
    <w:link w:val="FooterChar"/>
    <w:uiPriority w:val="99"/>
    <w:unhideWhenUsed/>
    <w:rsid w:val="00F127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p.harvard.edu/catalog.php?isbn=978067457629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chive.org/details/lifecyclecomplet00eri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14651858.CD001120.pub2" TargetMode="External"/><Relationship Id="rId5" Type="http://schemas.openxmlformats.org/officeDocument/2006/relationships/footnotes" Target="footnotes.xml"/><Relationship Id="rId10" Type="http://schemas.openxmlformats.org/officeDocument/2006/relationships/hyperlink" Target="https://archive.org/details/lifecyclecomplet00erik" TargetMode="External"/><Relationship Id="rId4" Type="http://schemas.openxmlformats.org/officeDocument/2006/relationships/webSettings" Target="webSettings.xml"/><Relationship Id="rId9" Type="http://schemas.openxmlformats.org/officeDocument/2006/relationships/hyperlink" Target="https://doi.org/10.1002/14651858.CD001120.pub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1687</Words>
  <Characters>9622</Characters>
  <Application>Microsoft Office Word</Application>
  <DocSecurity>0</DocSecurity>
  <Lines>80</Lines>
  <Paragraphs>22</Paragraphs>
  <ScaleCrop>false</ScaleCrop>
  <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Harmony Reid</dc:creator>
  <cp:keywords/>
  <dc:description/>
  <cp:lastModifiedBy>Harmony Reid</cp:lastModifiedBy>
  <cp:revision>3</cp:revision>
  <dcterms:created xsi:type="dcterms:W3CDTF">2026-03-31T15:03:00Z</dcterms:created>
  <dcterms:modified xsi:type="dcterms:W3CDTF">2026-04-02T11:38:00Z</dcterms:modified>
</cp:coreProperties>
</file>