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2931053" w14:textId="2EE5F55A" w:rsidR="000D5657" w:rsidRPr="00F80937" w:rsidRDefault="000D5657" w:rsidP="00F80937">
      <w:pPr>
        <w:jc w:val="center"/>
        <w:rPr>
          <w:rFonts w:cs="Arial"/>
          <w:b/>
          <w:bCs/>
          <w:noProof/>
          <w:sz w:val="36"/>
          <w:szCs w:val="36"/>
        </w:rPr>
      </w:pPr>
      <w:bookmarkStart w:id="0" w:name="_Hlk180153652"/>
      <w:r w:rsidRPr="00F80937">
        <w:rPr>
          <w:rFonts w:cs="Arial"/>
          <w:b/>
          <w:bCs/>
          <w:noProof/>
          <w:u w:val="single"/>
        </w:rPr>
        <w:drawing>
          <wp:inline distT="0" distB="0" distL="0" distR="0" wp14:anchorId="4702562F" wp14:editId="3FB136C5">
            <wp:extent cx="2880000" cy="9552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880000" cy="955200"/>
                    </a:xfrm>
                    <a:prstGeom prst="rect">
                      <a:avLst/>
                    </a:prstGeom>
                  </pic:spPr>
                </pic:pic>
              </a:graphicData>
            </a:graphic>
          </wp:inline>
        </w:drawing>
      </w:r>
    </w:p>
    <w:p w14:paraId="03BCE686" w14:textId="77777777" w:rsidR="000D5657" w:rsidRPr="00F80937" w:rsidRDefault="000D5657" w:rsidP="00F80937">
      <w:pPr>
        <w:jc w:val="center"/>
        <w:rPr>
          <w:rFonts w:cs="Arial"/>
          <w:b/>
          <w:bCs/>
          <w:noProof/>
          <w:sz w:val="36"/>
          <w:szCs w:val="36"/>
        </w:rPr>
      </w:pPr>
    </w:p>
    <w:p w14:paraId="307C2CC4" w14:textId="77777777" w:rsidR="000D5657" w:rsidRPr="00F80937" w:rsidRDefault="000D5657" w:rsidP="00F80937">
      <w:pPr>
        <w:jc w:val="center"/>
        <w:rPr>
          <w:rFonts w:cs="Arial"/>
          <w:noProof/>
          <w:sz w:val="32"/>
          <w:szCs w:val="32"/>
        </w:rPr>
      </w:pPr>
      <w:r w:rsidRPr="00F80937">
        <w:rPr>
          <w:rFonts w:cs="Arial"/>
          <w:b/>
          <w:bCs/>
          <w:noProof/>
          <w:sz w:val="32"/>
          <w:szCs w:val="32"/>
        </w:rPr>
        <w:t>Essay Title:</w:t>
      </w:r>
      <w:r w:rsidRPr="00F80937">
        <w:rPr>
          <w:rFonts w:cs="Arial"/>
          <w:noProof/>
          <w:sz w:val="32"/>
          <w:szCs w:val="32"/>
        </w:rPr>
        <w:t xml:space="preserve"> “Corporate Social Responsibility (CSR) and Sustainability at Premier Inn”</w:t>
      </w:r>
    </w:p>
    <w:p w14:paraId="4B9CE94B" w14:textId="77777777" w:rsidR="000D5657" w:rsidRPr="00F80937" w:rsidRDefault="000D5657" w:rsidP="00F80937">
      <w:pPr>
        <w:jc w:val="center"/>
        <w:rPr>
          <w:rFonts w:cs="Arial"/>
          <w:b/>
          <w:bCs/>
          <w:noProof/>
          <w:sz w:val="32"/>
          <w:szCs w:val="32"/>
        </w:rPr>
      </w:pPr>
    </w:p>
    <w:p w14:paraId="1D9B26B7" w14:textId="26CE18DF" w:rsidR="000D5657" w:rsidRPr="00F80937" w:rsidRDefault="000D5657" w:rsidP="00F80937">
      <w:pPr>
        <w:jc w:val="center"/>
        <w:rPr>
          <w:rFonts w:cs="Arial"/>
          <w:noProof/>
          <w:sz w:val="32"/>
          <w:szCs w:val="32"/>
        </w:rPr>
      </w:pPr>
      <w:r w:rsidRPr="00F80937">
        <w:rPr>
          <w:rFonts w:cs="Arial"/>
          <w:b/>
          <w:bCs/>
          <w:noProof/>
          <w:sz w:val="32"/>
          <w:szCs w:val="32"/>
        </w:rPr>
        <w:t>Module:</w:t>
      </w:r>
      <w:r w:rsidRPr="00F80937">
        <w:rPr>
          <w:rFonts w:cs="Arial"/>
          <w:noProof/>
          <w:sz w:val="32"/>
          <w:szCs w:val="32"/>
        </w:rPr>
        <w:t xml:space="preserve"> Sustainable Hospitality &amp; Tourism Management</w:t>
      </w:r>
    </w:p>
    <w:p w14:paraId="6428F945" w14:textId="77777777" w:rsidR="000D5657" w:rsidRPr="00F80937" w:rsidRDefault="000D5657" w:rsidP="00F80937">
      <w:pPr>
        <w:jc w:val="center"/>
        <w:rPr>
          <w:rFonts w:cs="Arial"/>
          <w:noProof/>
          <w:sz w:val="32"/>
          <w:szCs w:val="32"/>
        </w:rPr>
      </w:pPr>
      <w:r w:rsidRPr="00F80937">
        <w:rPr>
          <w:rFonts w:cs="Arial"/>
          <w:b/>
          <w:bCs/>
          <w:noProof/>
          <w:sz w:val="32"/>
          <w:szCs w:val="32"/>
        </w:rPr>
        <w:t>Module code:</w:t>
      </w:r>
      <w:r w:rsidRPr="00F80937">
        <w:rPr>
          <w:rFonts w:cs="Arial"/>
          <w:noProof/>
          <w:sz w:val="32"/>
          <w:szCs w:val="32"/>
        </w:rPr>
        <w:t xml:space="preserve"> BMIH5006</w:t>
      </w:r>
    </w:p>
    <w:p w14:paraId="12EFAE27" w14:textId="77777777" w:rsidR="000D5657" w:rsidRPr="00F80937" w:rsidRDefault="000D5657" w:rsidP="00F80937">
      <w:pPr>
        <w:jc w:val="center"/>
        <w:rPr>
          <w:rFonts w:cs="Arial"/>
          <w:noProof/>
          <w:sz w:val="32"/>
          <w:szCs w:val="32"/>
        </w:rPr>
      </w:pPr>
    </w:p>
    <w:p w14:paraId="3AC8E8D8" w14:textId="50395DD7" w:rsidR="00CF04E4" w:rsidRPr="00F80937" w:rsidRDefault="000D5657" w:rsidP="00F80937">
      <w:pPr>
        <w:jc w:val="center"/>
        <w:rPr>
          <w:rFonts w:cs="Arial"/>
          <w:noProof/>
          <w:sz w:val="32"/>
          <w:szCs w:val="32"/>
          <w:lang w:val="it-IT"/>
        </w:rPr>
      </w:pPr>
      <w:r w:rsidRPr="00F80937">
        <w:rPr>
          <w:rFonts w:cs="Arial"/>
          <w:b/>
          <w:bCs/>
          <w:noProof/>
          <w:sz w:val="32"/>
          <w:szCs w:val="32"/>
          <w:lang w:val="it-IT"/>
        </w:rPr>
        <w:t>Lecturer:</w:t>
      </w:r>
      <w:r w:rsidRPr="00F80937">
        <w:rPr>
          <w:rFonts w:cs="Arial"/>
          <w:noProof/>
          <w:sz w:val="32"/>
          <w:szCs w:val="32"/>
          <w:lang w:val="it-IT"/>
        </w:rPr>
        <w:t xml:space="preserve"> Lisa Knight</w:t>
      </w:r>
    </w:p>
    <w:p w14:paraId="01246416" w14:textId="77777777" w:rsidR="000D5657" w:rsidRPr="00F80937" w:rsidRDefault="000D5657" w:rsidP="00F80937">
      <w:pPr>
        <w:jc w:val="center"/>
        <w:rPr>
          <w:rFonts w:cs="Arial"/>
          <w:noProof/>
          <w:sz w:val="32"/>
          <w:szCs w:val="32"/>
          <w:lang w:val="it-IT"/>
        </w:rPr>
      </w:pPr>
    </w:p>
    <w:p w14:paraId="3CB98D90" w14:textId="77777777" w:rsidR="000D5657" w:rsidRPr="00F80937" w:rsidRDefault="000D5657" w:rsidP="00F80937">
      <w:pPr>
        <w:jc w:val="center"/>
        <w:rPr>
          <w:rFonts w:cs="Arial"/>
          <w:b/>
          <w:noProof/>
          <w:sz w:val="32"/>
          <w:szCs w:val="32"/>
        </w:rPr>
      </w:pPr>
      <w:r w:rsidRPr="00F80937">
        <w:rPr>
          <w:rFonts w:cs="Arial"/>
          <w:b/>
          <w:noProof/>
          <w:sz w:val="32"/>
          <w:szCs w:val="32"/>
        </w:rPr>
        <w:t>Prepared by</w:t>
      </w:r>
    </w:p>
    <w:p w14:paraId="3578A3C8" w14:textId="77777777" w:rsidR="000D5657" w:rsidRPr="00F80937" w:rsidRDefault="000D5657" w:rsidP="00F80937">
      <w:pPr>
        <w:jc w:val="center"/>
        <w:rPr>
          <w:rFonts w:cs="Arial"/>
          <w:bCs/>
          <w:noProof/>
          <w:sz w:val="28"/>
          <w:szCs w:val="28"/>
        </w:rPr>
      </w:pPr>
      <w:r w:rsidRPr="00F80937">
        <w:rPr>
          <w:rFonts w:cs="Arial"/>
          <w:bCs/>
          <w:noProof/>
          <w:sz w:val="28"/>
          <w:szCs w:val="28"/>
        </w:rPr>
        <w:t>Zakia Sultana Rahman</w:t>
      </w:r>
    </w:p>
    <w:p w14:paraId="702FFAA8" w14:textId="77777777" w:rsidR="000D5657" w:rsidRPr="00F80937" w:rsidRDefault="000D5657" w:rsidP="00F80937">
      <w:pPr>
        <w:jc w:val="center"/>
        <w:rPr>
          <w:rFonts w:cs="Arial"/>
          <w:bCs/>
          <w:noProof/>
          <w:sz w:val="28"/>
          <w:szCs w:val="28"/>
        </w:rPr>
      </w:pPr>
      <w:r w:rsidRPr="00F80937">
        <w:rPr>
          <w:rFonts w:cs="Arial"/>
          <w:bCs/>
          <w:noProof/>
          <w:sz w:val="28"/>
          <w:szCs w:val="28"/>
        </w:rPr>
        <w:t>Student ID: 2211724</w:t>
      </w:r>
    </w:p>
    <w:p w14:paraId="7BAFF869" w14:textId="77777777" w:rsidR="000D5657" w:rsidRPr="00F80937" w:rsidRDefault="000D5657" w:rsidP="00F80937">
      <w:pPr>
        <w:jc w:val="center"/>
        <w:rPr>
          <w:rFonts w:cs="Arial"/>
          <w:noProof/>
          <w:sz w:val="28"/>
          <w:szCs w:val="28"/>
        </w:rPr>
      </w:pPr>
    </w:p>
    <w:p w14:paraId="28D9DE3D" w14:textId="54F163BF" w:rsidR="000D5657" w:rsidRPr="00F80937" w:rsidRDefault="000D5657" w:rsidP="00F80937">
      <w:pPr>
        <w:jc w:val="center"/>
        <w:rPr>
          <w:rFonts w:cs="Arial"/>
          <w:noProof/>
          <w:sz w:val="32"/>
          <w:szCs w:val="32"/>
        </w:rPr>
      </w:pPr>
      <w:r w:rsidRPr="00F80937">
        <w:rPr>
          <w:rFonts w:cs="Arial"/>
          <w:b/>
          <w:bCs/>
          <w:noProof/>
          <w:sz w:val="28"/>
          <w:szCs w:val="28"/>
        </w:rPr>
        <w:t xml:space="preserve">Word Count: </w:t>
      </w:r>
      <w:r w:rsidRPr="00F80937">
        <w:rPr>
          <w:rFonts w:cs="Arial"/>
          <w:noProof/>
          <w:sz w:val="28"/>
          <w:szCs w:val="28"/>
        </w:rPr>
        <w:t>2</w:t>
      </w:r>
      <w:r w:rsidR="00D00DB3" w:rsidRPr="00F80937">
        <w:rPr>
          <w:rFonts w:cs="Arial"/>
          <w:noProof/>
          <w:sz w:val="28"/>
          <w:szCs w:val="28"/>
        </w:rPr>
        <w:t>076</w:t>
      </w:r>
      <w:r w:rsidRPr="00F80937">
        <w:rPr>
          <w:rFonts w:cs="Arial"/>
          <w:noProof/>
          <w:sz w:val="28"/>
          <w:szCs w:val="28"/>
        </w:rPr>
        <w:t xml:space="preserve"> words</w:t>
      </w:r>
    </w:p>
    <w:p w14:paraId="2CD34F6D" w14:textId="77777777" w:rsidR="000D5657" w:rsidRPr="00F80937" w:rsidRDefault="000D5657" w:rsidP="00F80937">
      <w:pPr>
        <w:jc w:val="center"/>
        <w:rPr>
          <w:rFonts w:cs="Arial"/>
          <w:noProof/>
          <w:sz w:val="32"/>
          <w:szCs w:val="32"/>
        </w:rPr>
      </w:pPr>
    </w:p>
    <w:p w14:paraId="42A2D678" w14:textId="77777777" w:rsidR="00CF04E4" w:rsidRPr="00F80937" w:rsidRDefault="00CF04E4" w:rsidP="00F80937">
      <w:pPr>
        <w:jc w:val="center"/>
        <w:rPr>
          <w:rFonts w:cs="Arial"/>
          <w:noProof/>
          <w:sz w:val="36"/>
          <w:szCs w:val="36"/>
        </w:rPr>
      </w:pPr>
    </w:p>
    <w:p w14:paraId="456C54C7" w14:textId="77777777" w:rsidR="00857859" w:rsidRPr="00F80937" w:rsidRDefault="00857859" w:rsidP="00F80937">
      <w:pPr>
        <w:jc w:val="left"/>
        <w:rPr>
          <w:rFonts w:cs="Arial"/>
          <w:noProof/>
        </w:rPr>
      </w:pPr>
      <w:r w:rsidRPr="00F80937">
        <w:rPr>
          <w:rFonts w:cs="Arial"/>
          <w:noProof/>
        </w:rPr>
        <w:br w:type="page"/>
      </w:r>
    </w:p>
    <w:p w14:paraId="720D4788" w14:textId="77777777" w:rsidR="00857859" w:rsidRPr="00F80937" w:rsidRDefault="00857859" w:rsidP="00F80937">
      <w:pPr>
        <w:pStyle w:val="Heading1"/>
        <w:rPr>
          <w:rFonts w:cs="Arial"/>
          <w:noProof/>
        </w:rPr>
      </w:pPr>
      <w:r w:rsidRPr="00F80937">
        <w:rPr>
          <w:rFonts w:cs="Arial"/>
          <w:noProof/>
        </w:rPr>
        <w:lastRenderedPageBreak/>
        <w:t>Declaration</w:t>
      </w:r>
    </w:p>
    <w:p w14:paraId="3F4D2372" w14:textId="6941785F" w:rsidR="009B1629" w:rsidRPr="00F80937" w:rsidRDefault="00857859" w:rsidP="00F80937">
      <w:pPr>
        <w:rPr>
          <w:rFonts w:cs="Arial"/>
          <w:noProof/>
        </w:rPr>
      </w:pPr>
      <w:r w:rsidRPr="00F80937">
        <w:rPr>
          <w:rFonts w:cs="Arial"/>
          <w:noProof/>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9B1629" w:rsidRPr="00F80937">
        <w:rPr>
          <w:rFonts w:cs="Arial"/>
          <w:noProof/>
        </w:rPr>
        <w:br w:type="page"/>
      </w:r>
    </w:p>
    <w:p w14:paraId="33E1B5EC" w14:textId="41281FC9" w:rsidR="001451F4" w:rsidRPr="00F80937" w:rsidRDefault="001451F4" w:rsidP="00F80937">
      <w:pPr>
        <w:rPr>
          <w:rFonts w:cs="Arial"/>
          <w:noProof/>
        </w:rPr>
      </w:pPr>
      <w:r w:rsidRPr="00F80937">
        <w:rPr>
          <w:rFonts w:cs="Arial"/>
          <w:noProof/>
        </w:rPr>
        <w:lastRenderedPageBreak/>
        <w:t>As companies realise their part in world sustainability, the hotel sector has grown more and more reliant on corporate social responsibility (CSR</w:t>
      </w:r>
      <w:r w:rsidR="008900FC" w:rsidRPr="00F80937">
        <w:rPr>
          <w:rFonts w:cs="Arial"/>
          <w:noProof/>
        </w:rPr>
        <w:t>)</w:t>
      </w:r>
      <w:r w:rsidRPr="00F80937">
        <w:rPr>
          <w:rFonts w:cs="Arial"/>
          <w:noProof/>
        </w:rPr>
        <w:t xml:space="preserve"> (Haski-Leventhal, 2018). Apart from profit maximising, CSR demands that companies act in an ethical, socially, and environmentally conscious way (Nicolaides, 20</w:t>
      </w:r>
      <w:r w:rsidR="000A7AD7" w:rsidRPr="00F80937">
        <w:rPr>
          <w:rFonts w:cs="Arial"/>
          <w:noProof/>
        </w:rPr>
        <w:t>2</w:t>
      </w:r>
      <w:r w:rsidRPr="00F80937">
        <w:rPr>
          <w:rFonts w:cs="Arial"/>
          <w:noProof/>
        </w:rPr>
        <w:t>1). Given the dependency of the hotel sector on natural resources and its effects on the environment and local inhabitants, CSR is absolutely vital.</w:t>
      </w:r>
    </w:p>
    <w:p w14:paraId="750CFE1D" w14:textId="6BB879C0" w:rsidR="001451F4" w:rsidRPr="00F80937" w:rsidRDefault="001451F4" w:rsidP="00F80937">
      <w:pPr>
        <w:rPr>
          <w:rFonts w:cs="Arial"/>
          <w:noProof/>
        </w:rPr>
      </w:pPr>
      <w:r w:rsidRPr="00F80937">
        <w:rPr>
          <w:rFonts w:cs="Arial"/>
          <w:noProof/>
        </w:rPr>
        <w:t>Renowned budget hotel company Premier Inn in the United Kingdom provides a shining example of how CSR supports sustainability (Premier Inn, 2024). Environmental sustainability, community assistance, and a conscientious company approach—all of which Premier Inn highly values—all of which This paper looks at the sustainability and corporate social responsibility goals of Premier Inn. This essay will examine the environmental protection, social responsibility, sustainable practices issues and potential of the hotel. Using relevant scholarly ideas and models, the essay will also explore Premier Inn's circular economy projects—sustainable sourcing and the reduction of food waste.</w:t>
      </w:r>
    </w:p>
    <w:p w14:paraId="058FDB34" w14:textId="22325F40" w:rsidR="001451F4" w:rsidRPr="00F80937" w:rsidRDefault="001451F4" w:rsidP="00F80937">
      <w:pPr>
        <w:rPr>
          <w:rFonts w:cs="Arial"/>
          <w:noProof/>
        </w:rPr>
      </w:pPr>
      <w:r w:rsidRPr="00F80937">
        <w:rPr>
          <w:rFonts w:cs="Arial"/>
          <w:noProof/>
        </w:rPr>
        <w:t>Premier Inn's CSR approach underlines the need of effective businesses helping the environment and society to flourish (George, 2021). Consistent with Elkington's Triple Bottom Line philosophy, the "Force for Good" program gives economic, social, and environmental sustainability top priority (Clark, 2023). Though it can be difficult to balance profitability with sustainability, Premier Inn gives financial sustainability, social welfare top priority.</w:t>
      </w:r>
    </w:p>
    <w:p w14:paraId="7AD91D79" w14:textId="5B5F2530" w:rsidR="001451F4" w:rsidRPr="00F80937" w:rsidRDefault="001451F4" w:rsidP="00F80937">
      <w:pPr>
        <w:rPr>
          <w:rFonts w:cs="Arial"/>
          <w:noProof/>
        </w:rPr>
      </w:pPr>
      <w:r w:rsidRPr="00F80937">
        <w:rPr>
          <w:rFonts w:cs="Arial"/>
          <w:noProof/>
        </w:rPr>
        <w:t>The corporate social responsibility (CSR) approach of the corporation is in line with SDGs 13 (Climate Action) and 12 (Responsible Consumption and Production) (George, 2021). Using energy-efficient solutions helps Premier Inn try to reduce energy use and carbon emissions. Reducing the intensity of carbon emissions by 28% from 2016 by 2020 shows its environmental sustainability</w:t>
      </w:r>
      <w:r w:rsidR="000A7AD7" w:rsidRPr="00F80937">
        <w:rPr>
          <w:rFonts w:cs="Arial"/>
          <w:noProof/>
        </w:rPr>
        <w:t xml:space="preserve"> (Premier Inn, 2018)</w:t>
      </w:r>
      <w:r w:rsidRPr="00F80937">
        <w:rPr>
          <w:rFonts w:cs="Arial"/>
          <w:noProof/>
        </w:rPr>
        <w:t>.</w:t>
      </w:r>
    </w:p>
    <w:p w14:paraId="764CA503" w14:textId="77777777" w:rsidR="001451F4" w:rsidRPr="00F80937" w:rsidRDefault="001451F4" w:rsidP="00F80937">
      <w:pPr>
        <w:rPr>
          <w:rFonts w:cs="Arial"/>
          <w:noProof/>
        </w:rPr>
      </w:pPr>
      <w:r w:rsidRPr="00F80937">
        <w:rPr>
          <w:rFonts w:cs="Arial"/>
          <w:noProof/>
        </w:rPr>
        <w:t>Carroll's (1991) CSR Pyramid, which consists of four pillars—economic, legal, ethical, and philanthropic—helps Premier Inn's CSR projects to be clear. Promoting fair work and following environmental laws, such the Carbon Reduction Commitment (CRC), the "Force for Good" project follows ethical and legal duties (Premier Inn, 2023). Apart with helping companies like Great Ormond Street Hospital (Premier Inn, 2024), Premier Inn offers underprivileged young people apprenticeships.</w:t>
      </w:r>
    </w:p>
    <w:p w14:paraId="7563603E" w14:textId="1098F61E" w:rsidR="001451F4" w:rsidRPr="00F80937" w:rsidRDefault="001451F4" w:rsidP="00F80937">
      <w:pPr>
        <w:rPr>
          <w:rFonts w:cs="Arial"/>
          <w:noProof/>
        </w:rPr>
      </w:pPr>
      <w:r w:rsidRPr="00F80937">
        <w:rPr>
          <w:rFonts w:cs="Arial"/>
          <w:noProof/>
        </w:rPr>
        <w:lastRenderedPageBreak/>
        <w:t>Maintaining a sustainable and reasonably priced approach in a market that values cost becomes difficult for the company (Inkson and Minnaert, 2018). Cooper (2021) shows worry about the long-term financial feasibility of energy-saving technology, which demand large expenditures of money. Furthermore, in conflict with competitive pricing and environmental limits are sustainability and profitability (Batabyal, 2018).</w:t>
      </w:r>
    </w:p>
    <w:p w14:paraId="007029FB" w14:textId="77777777" w:rsidR="001451F4" w:rsidRPr="00F80937" w:rsidRDefault="001451F4" w:rsidP="00F80937">
      <w:pPr>
        <w:rPr>
          <w:rFonts w:cs="Arial"/>
          <w:noProof/>
        </w:rPr>
      </w:pPr>
      <w:r w:rsidRPr="00F80937">
        <w:rPr>
          <w:rFonts w:cs="Arial"/>
          <w:noProof/>
        </w:rPr>
        <w:t>By its efforts to cut energy, carbon, and waste, Premier Inn has lessened its environmental effect (Premier Inn, 2018). These initiatives follow UK environmental rules, including the Carbon Reduction Commitment (CRC), which mandates big businesses track and disclose their carbon emissions (GOV.UK, 2015). Porter and van der Linde's (1995) thesis that rigorous environmental limitations inspire creativity, efficiency, and competitiveness informs the company's approach. Following CRC guidelines has helped Premier Inn to fulfil legal responsibilities and apply operational efficiency improvements.</w:t>
      </w:r>
    </w:p>
    <w:p w14:paraId="317A27E1" w14:textId="02A52519" w:rsidR="001451F4" w:rsidRPr="00F80937" w:rsidRDefault="001451F4" w:rsidP="00F80937">
      <w:pPr>
        <w:rPr>
          <w:rFonts w:cs="Arial"/>
          <w:noProof/>
        </w:rPr>
      </w:pPr>
      <w:r w:rsidRPr="00F80937">
        <w:rPr>
          <w:rFonts w:cs="Arial"/>
          <w:noProof/>
        </w:rPr>
        <w:t>Energy economy is quite important to Premier Inn. The company has installed smart thermostats and LED lighting to cut energy use. Real-time energy monitoring maximises usage. These initiatives starting in 2016 have produced a 28% drop in carbon emissions' intensity (Whitbread, 2020). This supports the claim of Porter and van der Linde that regulatory pressure drives innovation. Premier Inn is a member of the Energy Savings Opportunity Scheme (ESOS), which helps companies cut their energy consumption; it has solar panels installed at several sites (Whitbread, 2020). Premier Inn showed its dedication to lowering its carbon footprint in 2020 by cutting its emissions by 11%</w:t>
      </w:r>
      <w:r w:rsidR="000A7AD7" w:rsidRPr="00F80937">
        <w:rPr>
          <w:rFonts w:cs="Arial"/>
          <w:noProof/>
        </w:rPr>
        <w:t xml:space="preserve"> as shown in the corporate governance report 2020 of the company (Whitbread, 2020)</w:t>
      </w:r>
      <w:r w:rsidRPr="00F80937">
        <w:rPr>
          <w:rFonts w:cs="Arial"/>
          <w:noProof/>
        </w:rPr>
        <w:t>.</w:t>
      </w:r>
    </w:p>
    <w:p w14:paraId="3658B490" w14:textId="7FF341FA" w:rsidR="001451F4" w:rsidRPr="00F80937" w:rsidRDefault="001451F4" w:rsidP="00F80937">
      <w:pPr>
        <w:rPr>
          <w:rFonts w:cs="Arial"/>
          <w:noProof/>
        </w:rPr>
      </w:pPr>
      <w:r w:rsidRPr="00F80937">
        <w:rPr>
          <w:rFonts w:cs="Arial"/>
          <w:noProof/>
        </w:rPr>
        <w:t>One other element of Premier Inn's environmental approach is waste management. Maintaining a "zero waste to landfill" strategy—that is, converting all garbage into electricity—</w:t>
      </w:r>
      <w:r w:rsidR="000A7AD7" w:rsidRPr="00F80937">
        <w:rPr>
          <w:rFonts w:cs="Arial"/>
          <w:noProof/>
        </w:rPr>
        <w:t xml:space="preserve"> (</w:t>
      </w:r>
      <w:r w:rsidRPr="00F80937">
        <w:rPr>
          <w:rFonts w:cs="Arial"/>
          <w:noProof/>
        </w:rPr>
        <w:t>Whitbread PLC</w:t>
      </w:r>
      <w:r w:rsidR="000A7AD7" w:rsidRPr="00F80937">
        <w:rPr>
          <w:rFonts w:cs="Arial"/>
          <w:noProof/>
        </w:rPr>
        <w:t xml:space="preserve">, </w:t>
      </w:r>
      <w:r w:rsidRPr="00F80937">
        <w:rPr>
          <w:rFonts w:cs="Arial"/>
          <w:noProof/>
        </w:rPr>
        <w:t>2023). By separating 97% of its trash from landfills, Premier Inn met its goals in sustainability and circular economy in 2020 (Whitbread, 2020). Although Premier Inn's environmental projects require a significant initial outlay, they have produced cost savings and regulatory compliance (Batabyal, 2018).</w:t>
      </w:r>
    </w:p>
    <w:p w14:paraId="0413B948" w14:textId="4481C316" w:rsidR="001451F4" w:rsidRPr="00F80937" w:rsidRDefault="001451F4" w:rsidP="00F80937">
      <w:pPr>
        <w:rPr>
          <w:rFonts w:cs="Arial"/>
          <w:noProof/>
        </w:rPr>
      </w:pPr>
      <w:r w:rsidRPr="00F80937">
        <w:rPr>
          <w:rFonts w:cs="Arial"/>
          <w:noProof/>
        </w:rPr>
        <w:t>Using Freeman's Stakeholder Theory, which underlines the requirement of meeting the needs of employees, consumers, and communities</w:t>
      </w:r>
      <w:r w:rsidR="000A7AD7" w:rsidRPr="00F80937">
        <w:rPr>
          <w:rFonts w:cs="Arial"/>
          <w:noProof/>
        </w:rPr>
        <w:t xml:space="preserve"> (Barnett, Henriques, and Husted, 2020)</w:t>
      </w:r>
      <w:r w:rsidRPr="00F80937">
        <w:rPr>
          <w:rFonts w:cs="Arial"/>
          <w:noProof/>
        </w:rPr>
        <w:t xml:space="preserve">, Premier Inn gives social responsibility first priority in line with Though </w:t>
      </w:r>
      <w:r w:rsidRPr="00F80937">
        <w:rPr>
          <w:rFonts w:cs="Arial"/>
          <w:noProof/>
        </w:rPr>
        <w:lastRenderedPageBreak/>
        <w:t>intention is important, the actual assessment of a company's social responsibility is based on observable results. By means of vocational training and apprenticeships, Premier Inn is dedicated to promoting social sustainability (Whitbread PLC, 2023). The company works with training companies and schools to teach young people hospitality skills</w:t>
      </w:r>
      <w:r w:rsidR="00F615FD" w:rsidRPr="00F80937">
        <w:rPr>
          <w:rFonts w:cs="Arial"/>
          <w:noProof/>
        </w:rPr>
        <w:t xml:space="preserve"> (Hutton, 2024)</w:t>
      </w:r>
      <w:r w:rsidRPr="00F80937">
        <w:rPr>
          <w:rFonts w:cs="Arial"/>
          <w:noProof/>
        </w:rPr>
        <w:t>. Premier Inn offered about 1,000 apprenticeships in 2020; 85% of the learners found permanent job (Whitbread, 2020).</w:t>
      </w:r>
    </w:p>
    <w:p w14:paraId="365304CC" w14:textId="7A964DB3" w:rsidR="001451F4" w:rsidRPr="00F80937" w:rsidRDefault="001451F4" w:rsidP="00F80937">
      <w:pPr>
        <w:rPr>
          <w:rFonts w:cs="Arial"/>
          <w:noProof/>
        </w:rPr>
      </w:pPr>
      <w:r w:rsidRPr="00F80937">
        <w:rPr>
          <w:rFonts w:cs="Arial"/>
          <w:noProof/>
        </w:rPr>
        <w:t>Part of its social responsibility approach, Premier Inn gives employee wellbeing top priority. Human Capital Theory holds that long-term productivity and success follow from investments in people (Inkson and Minnaert, 2018). The company offers just wages, benefits, and career progression opportunities. Premier Inn's job happiness has risen, and its staff retention rate is now 78%. Since 2012, Premier Inn has worked with Great Ormond Street Hospital to generate about £20 million for children's health from (Whitbread, 2020). Although Premier Inn supports employee fundraising and community involvement, further knowledge about their long-term effects could prove beneficial (Premier Inn, 2023).</w:t>
      </w:r>
    </w:p>
    <w:p w14:paraId="29EBCB0C" w14:textId="232F492C" w:rsidR="001451F4" w:rsidRPr="00F80937" w:rsidRDefault="001451F4" w:rsidP="00F80937">
      <w:pPr>
        <w:rPr>
          <w:rFonts w:cs="Arial"/>
          <w:noProof/>
        </w:rPr>
      </w:pPr>
      <w:r w:rsidRPr="00F80937">
        <w:rPr>
          <w:rFonts w:cs="Arial"/>
          <w:noProof/>
        </w:rPr>
        <w:t>Though successful, Premier Inn strives to strike a balance between its low-cost business approach and social responsibility. Maintaining cheap room rates while providing competitive pay and training</w:t>
      </w:r>
      <w:r w:rsidR="000A7AD7" w:rsidRPr="00F80937">
        <w:rPr>
          <w:rFonts w:cs="Arial"/>
          <w:noProof/>
        </w:rPr>
        <w:t xml:space="preserve"> </w:t>
      </w:r>
      <w:r w:rsidRPr="00F80937">
        <w:rPr>
          <w:rFonts w:cs="Arial"/>
          <w:noProof/>
        </w:rPr>
        <w:t>is difficult for the low-cost hotel sector</w:t>
      </w:r>
      <w:r w:rsidR="000A7AD7" w:rsidRPr="00F80937">
        <w:rPr>
          <w:rFonts w:cs="Arial"/>
          <w:noProof/>
        </w:rPr>
        <w:t xml:space="preserve"> (Ushakov et al., 2020).</w:t>
      </w:r>
      <w:r w:rsidRPr="00F80937">
        <w:rPr>
          <w:rFonts w:cs="Arial"/>
          <w:noProof/>
        </w:rPr>
        <w:t xml:space="preserve"> Still, Premier Inn stands out in the field of corporate philanthropy and worker development thanks in large part to its significant training courses and charitable donations (Whitbread PLC, 2023).</w:t>
      </w:r>
    </w:p>
    <w:p w14:paraId="55D94308" w14:textId="0DE6FAF9" w:rsidR="001451F4" w:rsidRPr="00F80937" w:rsidRDefault="001451F4" w:rsidP="00F80937">
      <w:pPr>
        <w:rPr>
          <w:rFonts w:cs="Arial"/>
          <w:noProof/>
        </w:rPr>
      </w:pPr>
      <w:r w:rsidRPr="00F80937">
        <w:rPr>
          <w:rFonts w:cs="Arial"/>
          <w:noProof/>
        </w:rPr>
        <w:t>Although the CSR approach of Premier Inn has improved, sustainability and cost-effectiveness still provide difficulties. This is a major problem since sustainable technologies and methods need large financial commitment</w:t>
      </w:r>
      <w:r w:rsidR="000A7AD7" w:rsidRPr="00F80937">
        <w:rPr>
          <w:rFonts w:cs="Arial"/>
          <w:noProof/>
        </w:rPr>
        <w:t xml:space="preserve"> (Ashaal et al., 2024)</w:t>
      </w:r>
      <w:r w:rsidRPr="00F80937">
        <w:rPr>
          <w:rFonts w:cs="Arial"/>
          <w:noProof/>
        </w:rPr>
        <w:t>. Installations of waste management infrastructure, renewable energy sources, and energy-efficient systems are too costly for a budget hotel chain like Premier Inn (Korstanje, George and Nedelea, 2020; Semwal et al., 2024). Because of the significant upfront costs related to these upgrades, Premier Inn must strike a compromise between sustainability and competitive price (Inkson and Minnaert, 2018).</w:t>
      </w:r>
    </w:p>
    <w:p w14:paraId="0AED622D" w14:textId="5A392585" w:rsidR="001451F4" w:rsidRPr="00F80937" w:rsidRDefault="001451F4" w:rsidP="00F80937">
      <w:pPr>
        <w:rPr>
          <w:rFonts w:cs="Arial"/>
          <w:noProof/>
        </w:rPr>
      </w:pPr>
      <w:r w:rsidRPr="00F80937">
        <w:rPr>
          <w:rFonts w:cs="Arial"/>
          <w:noProof/>
        </w:rPr>
        <w:t>The philosophy of the Resource-Based View (RBV) emphasises the need of using unique resources to create a competitive edge</w:t>
      </w:r>
      <w:r w:rsidR="000A7AD7" w:rsidRPr="00F80937">
        <w:rPr>
          <w:rFonts w:cs="Arial"/>
          <w:noProof/>
        </w:rPr>
        <w:t xml:space="preserve"> (Ashaal et al., 2024)</w:t>
      </w:r>
      <w:r w:rsidRPr="00F80937">
        <w:rPr>
          <w:rFonts w:cs="Arial"/>
          <w:noProof/>
        </w:rPr>
        <w:t xml:space="preserve">. This suggests </w:t>
      </w:r>
      <w:r w:rsidRPr="00F80937">
        <w:rPr>
          <w:rFonts w:cs="Arial"/>
          <w:noProof/>
        </w:rPr>
        <w:lastRenderedPageBreak/>
        <w:t>that even maintaining reasonable hotel rates, Premier Inn has to carefully allocate financial resources to sustainability since consumer loyalty depends much on price sensitivity (Korstanje, George, and Nedelea, 2020). Ignoring this balance could lead to higher rates and operating costs, therefore compromising its competitiveness in the budget hotel market.</w:t>
      </w:r>
    </w:p>
    <w:p w14:paraId="4FDC0AC6" w14:textId="77777777" w:rsidR="001451F4" w:rsidRPr="00F80937" w:rsidRDefault="001451F4" w:rsidP="00F80937">
      <w:pPr>
        <w:rPr>
          <w:rFonts w:cs="Arial"/>
          <w:noProof/>
        </w:rPr>
      </w:pPr>
      <w:r w:rsidRPr="00F80937">
        <w:rPr>
          <w:rFonts w:cs="Arial"/>
          <w:noProof/>
        </w:rPr>
        <w:t>The gratification of consumers who are ecologically conscientious and price-sensitive presents still another problem. Not all customers are ready to pay more for reasonably priced environmentally friendly lodging (Ushakov et al., 2020). Premier Inn has to strike a compromise between the affordability of its lodging and the increasing need for environmentally friendly lodging (Ashaal et al., 2024). Premier Inn is obliged to keep its dedication to teaching consumers on the benefits of sustainability projects including waste and carbon emissions reduction as well as their effects on the surroundings (Premier Inn, 2023).</w:t>
      </w:r>
    </w:p>
    <w:p w14:paraId="67E7D212" w14:textId="2CDC42B1" w:rsidR="001451F4" w:rsidRPr="00F80937" w:rsidRDefault="001451F4" w:rsidP="00F80937">
      <w:pPr>
        <w:rPr>
          <w:rFonts w:cs="Arial"/>
          <w:noProof/>
        </w:rPr>
      </w:pPr>
      <w:r w:rsidRPr="00F80937">
        <w:rPr>
          <w:rFonts w:cs="Arial"/>
          <w:noProof/>
        </w:rPr>
        <w:t xml:space="preserve">Notwithstanding these challenges, Premier Inn might be a low-cost pioneer in the field of sustainable hospitality. It has an advantage as the growing need for environmentally friendly homes drives </w:t>
      </w:r>
      <w:r w:rsidR="000A7AD7" w:rsidRPr="00F80937">
        <w:rPr>
          <w:rFonts w:cs="Arial"/>
          <w:noProof/>
        </w:rPr>
        <w:t>(</w:t>
      </w:r>
      <w:r w:rsidRPr="00F80937">
        <w:rPr>
          <w:rFonts w:cs="Arial"/>
          <w:noProof/>
        </w:rPr>
        <w:t>Korstanje, George, and Nedelea, 2020</w:t>
      </w:r>
      <w:r w:rsidR="000A7AD7" w:rsidRPr="00F80937">
        <w:rPr>
          <w:rFonts w:cs="Arial"/>
          <w:noProof/>
        </w:rPr>
        <w:t>)</w:t>
      </w:r>
      <w:r w:rsidRPr="00F80937">
        <w:rPr>
          <w:rFonts w:cs="Arial"/>
          <w:noProof/>
        </w:rPr>
        <w:t>. By offering reasonable rates and proving environmental sustainability, Premier Inn may draw environmentally aware guests (Batabyal, 2018). Through long-term sustainability projects, brand reputation can be strengthened and sustainable consumers drawn in (Ashaal et al., 2024). Initiatives aimed at sustainability can eventually save money. While trash reduction projects lower disposal costs, smart lighting and heating systems help to lower operating expenses and energy consumption (Bardukova, 2023; Barnett, Henriques, and Husted, 2020). These cost-cutting measures line up with Porter and Kramer's Shared Value thesis, which holds that ethical business behaviour can benefit society and the economy (Roszkowska-Menkes, 2023).</w:t>
      </w:r>
    </w:p>
    <w:p w14:paraId="4372EBE2" w14:textId="628B96ED" w:rsidR="001451F4" w:rsidRPr="00F80937" w:rsidRDefault="001451F4" w:rsidP="00F80937">
      <w:pPr>
        <w:rPr>
          <w:rFonts w:cs="Arial"/>
          <w:noProof/>
        </w:rPr>
      </w:pPr>
      <w:r w:rsidRPr="00F80937">
        <w:rPr>
          <w:rFonts w:cs="Arial"/>
          <w:noProof/>
        </w:rPr>
        <w:t xml:space="preserve">By means of creativity, Premier Inn can save costs and improve sustainability. Energy-efficient building designs and green energy alliances investments might help to further reduce environmental effects (Zhao et al., 2022). By looking at green certifications or carbon offset programs, it might also strengthen its sustainability leadership in the cheap hotel market. In the end, Premier Inn has to satisfy its workers, investors, and patrons by finding a mix between environmentally friendly policies and budget-conscious patrons. While Korstanje, George, and Nedelea (2020) have noted that </w:t>
      </w:r>
      <w:r w:rsidRPr="00F80937">
        <w:rPr>
          <w:rFonts w:cs="Arial"/>
          <w:noProof/>
        </w:rPr>
        <w:lastRenderedPageBreak/>
        <w:t>sustainability projects may run against investor opposition, said the long-term benefits of CSR can help to garner support.</w:t>
      </w:r>
    </w:p>
    <w:p w14:paraId="2AD013CC" w14:textId="48C957A9" w:rsidR="001451F4" w:rsidRPr="00F80937" w:rsidRDefault="001451F4" w:rsidP="00F80937">
      <w:pPr>
        <w:rPr>
          <w:rFonts w:cs="Arial"/>
          <w:noProof/>
        </w:rPr>
      </w:pPr>
      <w:r w:rsidRPr="00F80937">
        <w:rPr>
          <w:rFonts w:cs="Arial"/>
          <w:noProof/>
        </w:rPr>
        <w:t>Premier Inn implements sustainable procurement policies and reduces food waste, therefore following the circular economy (Whitbread, 2020). Following the circular economy idea, which gives resource reuse top priority and helps to lower waste</w:t>
      </w:r>
      <w:r w:rsidR="000A7AD7" w:rsidRPr="00F80937">
        <w:rPr>
          <w:rFonts w:cs="Arial"/>
          <w:noProof/>
        </w:rPr>
        <w:t xml:space="preserve"> (Nedelea, George, and Korstanje, 2020)</w:t>
      </w:r>
      <w:r w:rsidRPr="00F80937">
        <w:rPr>
          <w:rFonts w:cs="Arial"/>
          <w:noProof/>
        </w:rPr>
        <w:t xml:space="preserve">, Premier Inn uses </w:t>
      </w:r>
      <w:r w:rsidR="000A7AD7" w:rsidRPr="00F80937">
        <w:rPr>
          <w:rFonts w:cs="Arial"/>
          <w:noProof/>
        </w:rPr>
        <w:t>t</w:t>
      </w:r>
      <w:r w:rsidRPr="00F80937">
        <w:rPr>
          <w:rFonts w:cs="Arial"/>
          <w:noProof/>
        </w:rPr>
        <w:t>he cradle-to-cradle method</w:t>
      </w:r>
      <w:r w:rsidR="000A7AD7" w:rsidRPr="00F80937">
        <w:rPr>
          <w:rFonts w:cs="Arial"/>
          <w:noProof/>
        </w:rPr>
        <w:t xml:space="preserve"> which</w:t>
      </w:r>
      <w:r w:rsidRPr="00F80937">
        <w:rPr>
          <w:rFonts w:cs="Arial"/>
          <w:noProof/>
        </w:rPr>
        <w:t xml:space="preserve"> promotes the creation of regenerative systems capable of renewing resources and lowering dependence on fundamental materials (Dehvari </w:t>
      </w:r>
      <w:r w:rsidR="006861A4" w:rsidRPr="00F80937">
        <w:rPr>
          <w:rFonts w:cs="Arial"/>
          <w:noProof/>
        </w:rPr>
        <w:t>and</w:t>
      </w:r>
      <w:r w:rsidRPr="00F80937">
        <w:rPr>
          <w:rFonts w:cs="Arial"/>
          <w:noProof/>
        </w:rPr>
        <w:t xml:space="preserve"> Sahamiyan Moghaddam, 2023). Examining the outcomes and challenges of these efforts will help one evaluate their effectiveness.</w:t>
      </w:r>
    </w:p>
    <w:p w14:paraId="0B9432A8" w14:textId="77777777" w:rsidR="001451F4" w:rsidRPr="00F80937" w:rsidRDefault="001451F4" w:rsidP="00F80937">
      <w:pPr>
        <w:rPr>
          <w:rFonts w:cs="Arial"/>
          <w:noProof/>
        </w:rPr>
      </w:pPr>
      <w:r w:rsidRPr="00F80937">
        <w:rPr>
          <w:rFonts w:cs="Arial"/>
          <w:noProof/>
        </w:rPr>
        <w:t>Reduction of food waste comes first in Premier Inn's circular economy projects. The hotel operator works with vendors to get extra food in order to help to reduce food waste. These actions helped Premier Inn cut 17% of its UK food waste by 2020 (Whitbread, 2020). Premier Inn creates a regenerative system by giving extra meals to a nearby charity, therefore matching the ideas of cradle-to--cradle (Korstanje, George, and Nedelea, 2020). Still, the logistics of obtaining extra food undermine the stability of the supply chain (Dehvari and Sahamiyan Moghaddam, 2023).</w:t>
      </w:r>
    </w:p>
    <w:p w14:paraId="4F681DB0" w14:textId="6BD1FEDA" w:rsidR="001451F4" w:rsidRPr="00F80937" w:rsidRDefault="001451F4" w:rsidP="00F80937">
      <w:pPr>
        <w:rPr>
          <w:rFonts w:cs="Arial"/>
          <w:noProof/>
        </w:rPr>
      </w:pPr>
      <w:r w:rsidRPr="00F80937">
        <w:rPr>
          <w:rFonts w:cs="Arial"/>
          <w:noProof/>
        </w:rPr>
        <w:t>Premier Inn reduces food waste (Whitbread, 2020) and gives ethical and local suppliers top importance. By buying locally the business lowers transportation emissions and boosts local businesses (Dehvari and Sahamiyan Moghaddam, 2023). Following sustainable supply chain management ideas that take ethical and environmental issues into account during the procurement process, this approach guarantees (Sloan, Legrand and Chen, 2017). By procuring 80% of its items locally by 2025, Premier Inn hopes to build relationships with local suppliers and encourage sustainability (Whitbread, 2020). Local procurement may prove difficult given the paucity or rising cost of local goods.</w:t>
      </w:r>
    </w:p>
    <w:p w14:paraId="6847CDCA" w14:textId="1C857AEA" w:rsidR="001451F4" w:rsidRPr="00F80937" w:rsidRDefault="001451F4" w:rsidP="00F80937">
      <w:pPr>
        <w:rPr>
          <w:rFonts w:cs="Arial"/>
          <w:noProof/>
        </w:rPr>
      </w:pPr>
      <w:r w:rsidRPr="00F80937">
        <w:rPr>
          <w:rFonts w:cs="Arial"/>
          <w:noProof/>
        </w:rPr>
        <w:t>The way Premier Inn manages its garbage shows clearly its dedication to the circular economy. Using a "zero waste to landfill" approach—that is, converting or recycling all trash into electricity</w:t>
      </w:r>
      <w:r w:rsidR="000A7AD7" w:rsidRPr="00F80937">
        <w:rPr>
          <w:rFonts w:cs="Arial"/>
          <w:noProof/>
        </w:rPr>
        <w:t xml:space="preserve"> (</w:t>
      </w:r>
      <w:r w:rsidRPr="00F80937">
        <w:rPr>
          <w:rFonts w:cs="Arial"/>
          <w:noProof/>
        </w:rPr>
        <w:t>Premier Inn</w:t>
      </w:r>
      <w:r w:rsidR="000A7AD7" w:rsidRPr="00F80937">
        <w:rPr>
          <w:rFonts w:cs="Arial"/>
          <w:noProof/>
        </w:rPr>
        <w:t xml:space="preserve">, </w:t>
      </w:r>
      <w:r w:rsidRPr="00F80937">
        <w:rPr>
          <w:rFonts w:cs="Arial"/>
          <w:noProof/>
        </w:rPr>
        <w:t xml:space="preserve">2023). Premier Inn redirected 97% of its waste from landfills in 2020 (Whitbread, 2020). Following the closed-loop supply chain idea, which supports the reuse and recycling of resources, Premier Inn is dedicated to limiting its environmental impact (Dehvari and Sahamiyan Moghaddam, 2023). Still, it is difficult </w:t>
      </w:r>
      <w:r w:rsidRPr="00F80937">
        <w:rPr>
          <w:rFonts w:cs="Arial"/>
          <w:noProof/>
        </w:rPr>
        <w:lastRenderedPageBreak/>
        <w:t>to keep high diversion rates throughout all hotels, especially in areas with inadequate recycling facilities.</w:t>
      </w:r>
    </w:p>
    <w:p w14:paraId="38E1340C" w14:textId="3BA78CDE" w:rsidR="001451F4" w:rsidRPr="00F80937" w:rsidRDefault="001451F4" w:rsidP="00F80937">
      <w:pPr>
        <w:rPr>
          <w:rFonts w:cs="Arial"/>
          <w:noProof/>
        </w:rPr>
      </w:pPr>
      <w:r w:rsidRPr="00F80937">
        <w:rPr>
          <w:rFonts w:cs="Arial"/>
          <w:noProof/>
        </w:rPr>
        <w:t xml:space="preserve">Notwithstanding these successes, Premier Inn should improve its circular economy programs. The company can look into organic waste-to-energy or composting technologies. By including furnishings and cleaning supplies in addition to food, </w:t>
      </w:r>
      <w:r w:rsidR="000A7AD7" w:rsidRPr="00F80937">
        <w:rPr>
          <w:rFonts w:cs="Arial"/>
          <w:noProof/>
        </w:rPr>
        <w:t xml:space="preserve">companies like </w:t>
      </w:r>
      <w:r w:rsidRPr="00F80937">
        <w:rPr>
          <w:rFonts w:cs="Arial"/>
          <w:noProof/>
        </w:rPr>
        <w:t>Premier Inn would also follow ideas of the circular economy</w:t>
      </w:r>
      <w:r w:rsidR="000A7AD7" w:rsidRPr="00F80937">
        <w:rPr>
          <w:rFonts w:cs="Arial"/>
          <w:noProof/>
        </w:rPr>
        <w:t xml:space="preserve"> (</w:t>
      </w:r>
      <w:r w:rsidR="000A7AD7" w:rsidRPr="00F80937">
        <w:rPr>
          <w:rFonts w:eastAsia="Times New Roman" w:cs="Arial"/>
          <w:noProof/>
          <w:lang w:eastAsia="en-GB"/>
        </w:rPr>
        <w:t>Dehvari and Sahamiyan Moghaddam, 2023)</w:t>
      </w:r>
      <w:r w:rsidRPr="00F80937">
        <w:rPr>
          <w:rFonts w:cs="Arial"/>
          <w:noProof/>
        </w:rPr>
        <w:t xml:space="preserve">. These tactics would lower waste and improve the brand of sustainable hospitality for the business. With an especially focus on SDG 12 on responsible consumption and resource management, Premier Inn's circular economy practices line up with the Sustainable Development Goals (SDGs) of the United Nations (Premier Inn, 2023). Because of their resource-intensive character and the great collaboration needed with suppliers and communities, the company struggles to reach its waste management and sustainable procurement targets (Whitbread PLC, 2023). The circular economy projects of Premier Inn must remain creative and flexible if </w:t>
      </w:r>
      <w:r w:rsidR="006861A4" w:rsidRPr="00F80937">
        <w:rPr>
          <w:rFonts w:cs="Arial"/>
          <w:noProof/>
        </w:rPr>
        <w:t>the company is</w:t>
      </w:r>
      <w:r w:rsidRPr="00F80937">
        <w:rPr>
          <w:rFonts w:cs="Arial"/>
          <w:noProof/>
        </w:rPr>
        <w:t xml:space="preserve"> to overcome these challenges.</w:t>
      </w:r>
    </w:p>
    <w:p w14:paraId="55040F67" w14:textId="16AA562E" w:rsidR="001451F4" w:rsidRPr="00F80937" w:rsidRDefault="001451F4" w:rsidP="00F80937">
      <w:pPr>
        <w:rPr>
          <w:rFonts w:cs="Arial"/>
          <w:noProof/>
        </w:rPr>
      </w:pPr>
      <w:r w:rsidRPr="00F80937">
        <w:rPr>
          <w:rFonts w:cs="Arial"/>
          <w:noProof/>
        </w:rPr>
        <w:t>In their corporate social projects, Premier Inn gives environmental stewardship, social responsibility, and circular economy ideas top priority. By means of its "Force for Good" initiative, Premier Inn has included CSR into its main activities, therefore attesting to its dedication to ethical business, community support, and environmental sustainability</w:t>
      </w:r>
      <w:r w:rsidR="000A7AD7" w:rsidRPr="00F80937">
        <w:rPr>
          <w:rFonts w:cs="Arial"/>
          <w:noProof/>
        </w:rPr>
        <w:t xml:space="preserve"> (Premier Inn, 2023)</w:t>
      </w:r>
      <w:r w:rsidRPr="00F80937">
        <w:rPr>
          <w:rFonts w:cs="Arial"/>
          <w:noProof/>
        </w:rPr>
        <w:t>. The company's projects in waste management, carbon reduction, and energy efficiency line UK legislation and international sustainability guidelines. The employment and charitable activities of Premier Inn improve its corporate citizenship and help nearby areas as well.</w:t>
      </w:r>
    </w:p>
    <w:p w14:paraId="19536145" w14:textId="368A4D1B" w:rsidR="009717FA" w:rsidRPr="00F80937" w:rsidRDefault="001451F4" w:rsidP="00F80937">
      <w:pPr>
        <w:rPr>
          <w:rFonts w:cs="Arial"/>
          <w:noProof/>
        </w:rPr>
      </w:pPr>
      <w:r w:rsidRPr="00F80937">
        <w:rPr>
          <w:rFonts w:cs="Arial"/>
          <w:noProof/>
        </w:rPr>
        <w:t>Though it will be difficult to balance cost-effectiveness and sustainability, Premier Inn has the potential to dominate in the market for reasonably priced, environmentally friendly hotels. Investing in sustainability projects and circular economy ideas can help Premier Inn stand out from its rivals, draw environmentally minded guests, and ensure long-term viability. All things considered, Premier Inn's CSR approach shows that sustainability and profitability can coexist since it improves the long-term financial performance of the business and benefits the surroundings.</w:t>
      </w:r>
      <w:r w:rsidR="009717FA" w:rsidRPr="00F80937">
        <w:rPr>
          <w:rFonts w:cs="Arial"/>
          <w:noProof/>
        </w:rPr>
        <w:br w:type="page"/>
      </w:r>
    </w:p>
    <w:p w14:paraId="3813F4F2" w14:textId="34E03B65" w:rsidR="009B1629" w:rsidRPr="00F80937" w:rsidRDefault="009B1629" w:rsidP="00F80937">
      <w:pPr>
        <w:pStyle w:val="Heading1"/>
        <w:rPr>
          <w:rFonts w:cs="Arial"/>
          <w:noProof/>
        </w:rPr>
      </w:pPr>
      <w:r w:rsidRPr="00F80937">
        <w:rPr>
          <w:rFonts w:cs="Arial"/>
          <w:noProof/>
        </w:rPr>
        <w:lastRenderedPageBreak/>
        <w:t>Reference List</w:t>
      </w:r>
    </w:p>
    <w:p w14:paraId="0AC71FCB" w14:textId="77777777" w:rsidR="002B42CC" w:rsidRPr="00F80937" w:rsidRDefault="002B42CC" w:rsidP="00F80937">
      <w:pPr>
        <w:rPr>
          <w:rFonts w:cs="Arial"/>
          <w:noProof/>
        </w:rPr>
      </w:pPr>
      <w:r w:rsidRPr="00F80937">
        <w:rPr>
          <w:rFonts w:eastAsia="Times New Roman" w:cs="Arial"/>
          <w:noProof/>
          <w:lang w:eastAsia="en-GB"/>
        </w:rPr>
        <w:t xml:space="preserve">Ashaal, A., Bakri, A., AlKhatib, N., Chreif, M. and Zakhem, N.B. (2024). Harvesting sustainability: Navigating green practices and barriers in Lebanon's hospitality sector. </w:t>
      </w:r>
      <w:r w:rsidRPr="00F80937">
        <w:rPr>
          <w:rFonts w:eastAsia="Times New Roman" w:cs="Arial"/>
          <w:i/>
          <w:iCs/>
          <w:noProof/>
          <w:lang w:eastAsia="en-GB"/>
        </w:rPr>
        <w:t>Business Strategy &amp; Development</w:t>
      </w:r>
      <w:r w:rsidRPr="00F80937">
        <w:rPr>
          <w:rFonts w:eastAsia="Times New Roman" w:cs="Arial"/>
          <w:noProof/>
          <w:lang w:eastAsia="en-GB"/>
        </w:rPr>
        <w:t xml:space="preserve">, </w:t>
      </w:r>
      <w:r w:rsidRPr="00F80937">
        <w:rPr>
          <w:rFonts w:eastAsia="Times New Roman" w:cs="Arial"/>
          <w:i/>
          <w:iCs/>
          <w:noProof/>
          <w:lang w:eastAsia="en-GB"/>
        </w:rPr>
        <w:t>7</w:t>
      </w:r>
      <w:r w:rsidRPr="00F80937">
        <w:rPr>
          <w:rFonts w:eastAsia="Times New Roman" w:cs="Arial"/>
          <w:noProof/>
          <w:lang w:eastAsia="en-GB"/>
        </w:rPr>
        <w:t>(2), p.e369.</w:t>
      </w:r>
    </w:p>
    <w:p w14:paraId="141B76FB" w14:textId="77777777" w:rsidR="002B42CC" w:rsidRPr="00F80937" w:rsidRDefault="002B42CC" w:rsidP="00F80937">
      <w:pPr>
        <w:rPr>
          <w:rFonts w:cs="Arial"/>
          <w:noProof/>
        </w:rPr>
      </w:pPr>
      <w:r w:rsidRPr="00F80937">
        <w:rPr>
          <w:rFonts w:eastAsia="Times New Roman" w:cs="Arial"/>
          <w:noProof/>
          <w:lang w:eastAsia="en-GB"/>
        </w:rPr>
        <w:t xml:space="preserve">Bardukova, L. (2023). Navigating the Hospitality Horizon: Current Trends and Strategies for Customer Attraction and Retention in the Hotel Industry. </w:t>
      </w:r>
      <w:r w:rsidRPr="00F80937">
        <w:rPr>
          <w:rFonts w:eastAsia="Times New Roman" w:cs="Arial"/>
          <w:i/>
          <w:iCs/>
          <w:noProof/>
          <w:lang w:eastAsia="en-GB"/>
        </w:rPr>
        <w:t>Economics and computer science</w:t>
      </w:r>
      <w:r w:rsidRPr="00F80937">
        <w:rPr>
          <w:rFonts w:eastAsia="Times New Roman" w:cs="Arial"/>
          <w:noProof/>
          <w:lang w:eastAsia="en-GB"/>
        </w:rPr>
        <w:t xml:space="preserve">, </w:t>
      </w:r>
      <w:r w:rsidRPr="00F80937">
        <w:rPr>
          <w:rFonts w:eastAsia="Times New Roman" w:cs="Arial"/>
          <w:i/>
          <w:iCs/>
          <w:noProof/>
          <w:lang w:eastAsia="en-GB"/>
        </w:rPr>
        <w:t>2</w:t>
      </w:r>
      <w:r w:rsidRPr="00F80937">
        <w:rPr>
          <w:rFonts w:eastAsia="Times New Roman" w:cs="Arial"/>
          <w:noProof/>
          <w:lang w:eastAsia="en-GB"/>
        </w:rPr>
        <w:t>, pp.88-103.</w:t>
      </w:r>
    </w:p>
    <w:p w14:paraId="7CB0328D" w14:textId="77777777" w:rsidR="002B42CC" w:rsidRPr="00F80937" w:rsidRDefault="002B42CC" w:rsidP="00F80937">
      <w:pPr>
        <w:rPr>
          <w:rFonts w:cs="Arial"/>
          <w:noProof/>
        </w:rPr>
      </w:pPr>
      <w:r w:rsidRPr="00F80937">
        <w:rPr>
          <w:rFonts w:eastAsia="Times New Roman" w:cs="Arial"/>
          <w:noProof/>
          <w:lang w:eastAsia="en-GB"/>
        </w:rPr>
        <w:t xml:space="preserve">Barnett, M.L., Henriques, I. and Husted, B.W. (2020). Beyond good intentions: Designing CSR initiatives for greater social impact. </w:t>
      </w:r>
      <w:r w:rsidRPr="00F80937">
        <w:rPr>
          <w:rFonts w:eastAsia="Times New Roman" w:cs="Arial"/>
          <w:i/>
          <w:iCs/>
          <w:noProof/>
          <w:lang w:eastAsia="en-GB"/>
        </w:rPr>
        <w:t>Journal of Management</w:t>
      </w:r>
      <w:r w:rsidRPr="00F80937">
        <w:rPr>
          <w:rFonts w:eastAsia="Times New Roman" w:cs="Arial"/>
          <w:noProof/>
          <w:lang w:eastAsia="en-GB"/>
        </w:rPr>
        <w:t xml:space="preserve">, </w:t>
      </w:r>
      <w:r w:rsidRPr="00F80937">
        <w:rPr>
          <w:rFonts w:eastAsia="Times New Roman" w:cs="Arial"/>
          <w:i/>
          <w:iCs/>
          <w:noProof/>
          <w:lang w:eastAsia="en-GB"/>
        </w:rPr>
        <w:t>46</w:t>
      </w:r>
      <w:r w:rsidRPr="00F80937">
        <w:rPr>
          <w:rFonts w:eastAsia="Times New Roman" w:cs="Arial"/>
          <w:noProof/>
          <w:lang w:eastAsia="en-GB"/>
        </w:rPr>
        <w:t>(6), pp.937-964.</w:t>
      </w:r>
    </w:p>
    <w:p w14:paraId="0E905458" w14:textId="77777777" w:rsidR="002B42CC" w:rsidRPr="00F80937" w:rsidRDefault="002B42CC" w:rsidP="00F80937">
      <w:pPr>
        <w:rPr>
          <w:rFonts w:cs="Arial"/>
          <w:noProof/>
        </w:rPr>
      </w:pPr>
      <w:r w:rsidRPr="00F80937">
        <w:rPr>
          <w:rFonts w:cs="Arial"/>
          <w:noProof/>
        </w:rPr>
        <w:t xml:space="preserve">Batabyal. (2018). </w:t>
      </w:r>
      <w:r w:rsidRPr="00F80937">
        <w:rPr>
          <w:rFonts w:cs="Arial"/>
          <w:i/>
          <w:iCs/>
          <w:noProof/>
        </w:rPr>
        <w:t>Managing Sustainable Tourism Resources</w:t>
      </w:r>
      <w:r w:rsidRPr="00F80937">
        <w:rPr>
          <w:rFonts w:cs="Arial"/>
          <w:noProof/>
        </w:rPr>
        <w:t>. IGI Global.</w:t>
      </w:r>
    </w:p>
    <w:p w14:paraId="52007707" w14:textId="77777777" w:rsidR="002B42CC" w:rsidRPr="00F80937" w:rsidRDefault="002B42CC" w:rsidP="00F80937">
      <w:pPr>
        <w:rPr>
          <w:rFonts w:cs="Arial"/>
          <w:noProof/>
        </w:rPr>
      </w:pPr>
      <w:r w:rsidRPr="00F80937">
        <w:rPr>
          <w:rFonts w:eastAsia="Times New Roman" w:cs="Arial"/>
          <w:noProof/>
          <w:lang w:eastAsia="en-GB"/>
        </w:rPr>
        <w:t xml:space="preserve">Carroll, A.B. (1991). The pyramid of corporate social responsibility: Toward the moral management of organizational stakeholders. </w:t>
      </w:r>
      <w:r w:rsidRPr="00F80937">
        <w:rPr>
          <w:rFonts w:eastAsia="Times New Roman" w:cs="Arial"/>
          <w:i/>
          <w:iCs/>
          <w:noProof/>
          <w:lang w:eastAsia="en-GB"/>
        </w:rPr>
        <w:t>Business horizons</w:t>
      </w:r>
      <w:r w:rsidRPr="00F80937">
        <w:rPr>
          <w:rFonts w:eastAsia="Times New Roman" w:cs="Arial"/>
          <w:noProof/>
          <w:lang w:eastAsia="en-GB"/>
        </w:rPr>
        <w:t xml:space="preserve">, </w:t>
      </w:r>
      <w:r w:rsidRPr="00F80937">
        <w:rPr>
          <w:rFonts w:eastAsia="Times New Roman" w:cs="Arial"/>
          <w:i/>
          <w:iCs/>
          <w:noProof/>
          <w:lang w:eastAsia="en-GB"/>
        </w:rPr>
        <w:t>34</w:t>
      </w:r>
      <w:r w:rsidRPr="00F80937">
        <w:rPr>
          <w:rFonts w:eastAsia="Times New Roman" w:cs="Arial"/>
          <w:noProof/>
          <w:lang w:eastAsia="en-GB"/>
        </w:rPr>
        <w:t>(4), pp.39-48.</w:t>
      </w:r>
    </w:p>
    <w:p w14:paraId="76E3372F"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Clark, T. (2023). </w:t>
      </w:r>
      <w:r w:rsidRPr="00F80937">
        <w:rPr>
          <w:rFonts w:cs="Arial"/>
          <w:i/>
          <w:iCs/>
          <w:noProof/>
        </w:rPr>
        <w:t>Premier Inn Middle East Embarks on a Sustainable Journey with ‘Force For Good’ Initiative - Hospitality and Leisure News</w:t>
      </w:r>
      <w:r w:rsidRPr="00F80937">
        <w:rPr>
          <w:rFonts w:cs="Arial"/>
          <w:noProof/>
        </w:rPr>
        <w:t>. [online] Hospitality &amp; Leisure News. Available at: https://hal.news/news/premier-inn-middle-east-embarks-on-a-sustainable-journey-with-force-for-good-initiative/ [Accessed 18 Oct. 2024].</w:t>
      </w:r>
    </w:p>
    <w:p w14:paraId="05C8F8A5" w14:textId="3934EF3D" w:rsidR="002B42CC" w:rsidRPr="00F80937" w:rsidRDefault="002B42CC" w:rsidP="00F80937">
      <w:pPr>
        <w:rPr>
          <w:rFonts w:cs="Arial"/>
          <w:noProof/>
        </w:rPr>
      </w:pPr>
      <w:r w:rsidRPr="00F80937">
        <w:rPr>
          <w:rFonts w:cs="Arial"/>
          <w:noProof/>
        </w:rPr>
        <w:t>Cooper, C. (2021)</w:t>
      </w:r>
      <w:r w:rsidR="00E75EF2" w:rsidRPr="00F80937">
        <w:rPr>
          <w:rFonts w:cs="Arial"/>
          <w:noProof/>
        </w:rPr>
        <w:t xml:space="preserve">. </w:t>
      </w:r>
      <w:r w:rsidRPr="00F80937">
        <w:rPr>
          <w:rFonts w:cs="Arial"/>
          <w:i/>
          <w:iCs/>
          <w:noProof/>
        </w:rPr>
        <w:t>Essentials of tourism</w:t>
      </w:r>
      <w:r w:rsidRPr="00F80937">
        <w:rPr>
          <w:rFonts w:cs="Arial"/>
          <w:noProof/>
        </w:rPr>
        <w:t>. Third edition. London: SAGE.</w:t>
      </w:r>
    </w:p>
    <w:p w14:paraId="09F77B15" w14:textId="77777777" w:rsidR="002B42CC" w:rsidRPr="00F80937" w:rsidRDefault="002B42CC" w:rsidP="00F80937">
      <w:pPr>
        <w:rPr>
          <w:rFonts w:cs="Arial"/>
          <w:noProof/>
        </w:rPr>
      </w:pPr>
      <w:r w:rsidRPr="00F80937">
        <w:rPr>
          <w:rFonts w:eastAsia="Times New Roman" w:cs="Arial"/>
          <w:noProof/>
          <w:lang w:eastAsia="en-GB"/>
        </w:rPr>
        <w:t xml:space="preserve">Dehvari, H. and Sahamiyan Moghaddam, M. (2023). How life cycle assessment is key to reducing carbon emissions in architectural development: Circular economy and regenerative design. </w:t>
      </w:r>
      <w:r w:rsidRPr="00F80937">
        <w:rPr>
          <w:rFonts w:eastAsia="Times New Roman" w:cs="Arial"/>
          <w:i/>
          <w:iCs/>
          <w:noProof/>
          <w:lang w:eastAsia="en-GB"/>
        </w:rPr>
        <w:t>Energy Equipment and Systems</w:t>
      </w:r>
      <w:r w:rsidRPr="00F80937">
        <w:rPr>
          <w:rFonts w:eastAsia="Times New Roman" w:cs="Arial"/>
          <w:noProof/>
          <w:lang w:eastAsia="en-GB"/>
        </w:rPr>
        <w:t xml:space="preserve">, </w:t>
      </w:r>
      <w:r w:rsidRPr="00F80937">
        <w:rPr>
          <w:rFonts w:eastAsia="Times New Roman" w:cs="Arial"/>
          <w:i/>
          <w:iCs/>
          <w:noProof/>
          <w:lang w:eastAsia="en-GB"/>
        </w:rPr>
        <w:t>11</w:t>
      </w:r>
      <w:r w:rsidRPr="00F80937">
        <w:rPr>
          <w:rFonts w:eastAsia="Times New Roman" w:cs="Arial"/>
          <w:noProof/>
          <w:lang w:eastAsia="en-GB"/>
        </w:rPr>
        <w:t>(4), pp.401-424.</w:t>
      </w:r>
    </w:p>
    <w:p w14:paraId="76397D63" w14:textId="77777777" w:rsidR="002B42CC" w:rsidRPr="00F80937" w:rsidRDefault="002B42CC" w:rsidP="00F80937">
      <w:pPr>
        <w:rPr>
          <w:rFonts w:cs="Arial"/>
          <w:noProof/>
        </w:rPr>
      </w:pPr>
      <w:r w:rsidRPr="00F80937">
        <w:rPr>
          <w:rFonts w:eastAsia="Times New Roman" w:cs="Arial"/>
          <w:noProof/>
          <w:lang w:eastAsia="en-GB"/>
        </w:rPr>
        <w:t xml:space="preserve">Elkington, J. (1997). The triple bottom line. </w:t>
      </w:r>
      <w:r w:rsidRPr="00F80937">
        <w:rPr>
          <w:rFonts w:eastAsia="Times New Roman" w:cs="Arial"/>
          <w:i/>
          <w:iCs/>
          <w:noProof/>
          <w:lang w:eastAsia="en-GB"/>
        </w:rPr>
        <w:t>Environmental management: Readings and cases</w:t>
      </w:r>
      <w:r w:rsidRPr="00F80937">
        <w:rPr>
          <w:rFonts w:eastAsia="Times New Roman" w:cs="Arial"/>
          <w:noProof/>
          <w:lang w:eastAsia="en-GB"/>
        </w:rPr>
        <w:t xml:space="preserve">, </w:t>
      </w:r>
      <w:r w:rsidRPr="00F80937">
        <w:rPr>
          <w:rFonts w:eastAsia="Times New Roman" w:cs="Arial"/>
          <w:i/>
          <w:iCs/>
          <w:noProof/>
          <w:lang w:eastAsia="en-GB"/>
        </w:rPr>
        <w:t>2</w:t>
      </w:r>
      <w:r w:rsidRPr="00F80937">
        <w:rPr>
          <w:rFonts w:eastAsia="Times New Roman" w:cs="Arial"/>
          <w:noProof/>
          <w:lang w:eastAsia="en-GB"/>
        </w:rPr>
        <w:t>, pp.49-66.</w:t>
      </w:r>
    </w:p>
    <w:p w14:paraId="168C37FA" w14:textId="77777777" w:rsidR="002B42CC" w:rsidRPr="00F80937" w:rsidRDefault="002B42CC" w:rsidP="00F80937">
      <w:pPr>
        <w:rPr>
          <w:rFonts w:cs="Arial"/>
          <w:noProof/>
        </w:rPr>
      </w:pPr>
      <w:r w:rsidRPr="00F80937">
        <w:rPr>
          <w:rFonts w:eastAsia="Times New Roman" w:cs="Arial"/>
          <w:noProof/>
          <w:lang w:eastAsia="en-GB"/>
        </w:rPr>
        <w:t xml:space="preserve">George, R. (2021). Tourism and Hospitality Marketing Principles. In </w:t>
      </w:r>
      <w:r w:rsidRPr="00F80937">
        <w:rPr>
          <w:rFonts w:eastAsia="Times New Roman" w:cs="Arial"/>
          <w:i/>
          <w:iCs/>
          <w:noProof/>
          <w:lang w:eastAsia="en-GB"/>
        </w:rPr>
        <w:t>Marketing Tourism and Hospitality: Concepts and Cases</w:t>
      </w:r>
      <w:r w:rsidRPr="00F80937">
        <w:rPr>
          <w:rFonts w:eastAsia="Times New Roman" w:cs="Arial"/>
          <w:noProof/>
          <w:lang w:eastAsia="en-GB"/>
        </w:rPr>
        <w:t xml:space="preserve"> (pp. 3-31). Cham: Springer International Publishing.</w:t>
      </w:r>
    </w:p>
    <w:p w14:paraId="1C4C32C9"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GOV.UK (2015). </w:t>
      </w:r>
      <w:r w:rsidRPr="00F80937">
        <w:rPr>
          <w:rFonts w:cs="Arial"/>
          <w:i/>
          <w:iCs/>
          <w:noProof/>
        </w:rPr>
        <w:t>CRC Energy Efficiency Scheme</w:t>
      </w:r>
      <w:r w:rsidRPr="00F80937">
        <w:rPr>
          <w:rFonts w:cs="Arial"/>
          <w:noProof/>
        </w:rPr>
        <w:t>. [online] GOV.UK. Available at: https://www.gov.uk/government/collections/crc-energy-efficiency-scheme [Accessed 18 Oct. 2024].</w:t>
      </w:r>
    </w:p>
    <w:p w14:paraId="32450F01" w14:textId="389E8523" w:rsidR="002B42CC" w:rsidRPr="00F80937" w:rsidRDefault="002B42CC" w:rsidP="00F80937">
      <w:pPr>
        <w:rPr>
          <w:rFonts w:cs="Arial"/>
          <w:noProof/>
        </w:rPr>
      </w:pPr>
      <w:r w:rsidRPr="00F80937">
        <w:rPr>
          <w:rFonts w:cs="Arial"/>
          <w:noProof/>
        </w:rPr>
        <w:lastRenderedPageBreak/>
        <w:t>Haski-Leventhal, D. (2018)</w:t>
      </w:r>
      <w:r w:rsidR="00F562E0" w:rsidRPr="00F80937">
        <w:rPr>
          <w:rFonts w:cs="Arial"/>
          <w:noProof/>
        </w:rPr>
        <w:t>.</w:t>
      </w:r>
      <w:r w:rsidRPr="00F80937">
        <w:rPr>
          <w:rFonts w:cs="Arial"/>
          <w:noProof/>
        </w:rPr>
        <w:t xml:space="preserve"> </w:t>
      </w:r>
      <w:r w:rsidRPr="00F80937">
        <w:rPr>
          <w:rFonts w:cs="Arial"/>
          <w:i/>
          <w:iCs/>
          <w:noProof/>
        </w:rPr>
        <w:t>Strategic corporate social responsibility : tools &amp; theories for responsible management</w:t>
      </w:r>
      <w:r w:rsidRPr="00F80937">
        <w:rPr>
          <w:rFonts w:cs="Arial"/>
          <w:noProof/>
        </w:rPr>
        <w:t>. London: SAGE.</w:t>
      </w:r>
    </w:p>
    <w:p w14:paraId="1E5D65DE"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Hutton, A. (2024). </w:t>
      </w:r>
      <w:r w:rsidRPr="00F80937">
        <w:rPr>
          <w:rFonts w:cs="Arial"/>
          <w:i/>
          <w:iCs/>
          <w:noProof/>
        </w:rPr>
        <w:t>Whitbread announces new national college partnerships - Whitbread PLC</w:t>
      </w:r>
      <w:r w:rsidRPr="00F80937">
        <w:rPr>
          <w:rFonts w:cs="Arial"/>
          <w:noProof/>
        </w:rPr>
        <w:t>. [online] Whitbread PLC. Available at: https://www.whitbread.co.uk/whitbread-announces-new-national-college-partnerships/ [Accessed 18 Oct. 2024].</w:t>
      </w:r>
    </w:p>
    <w:p w14:paraId="0019BA96" w14:textId="2F36B636" w:rsidR="002B42CC" w:rsidRPr="00F80937" w:rsidRDefault="002B42CC" w:rsidP="00F80937">
      <w:pPr>
        <w:rPr>
          <w:rFonts w:cs="Arial"/>
          <w:noProof/>
        </w:rPr>
      </w:pPr>
      <w:r w:rsidRPr="00F80937">
        <w:rPr>
          <w:rFonts w:cs="Arial"/>
          <w:noProof/>
        </w:rPr>
        <w:t>Inkson, C. and Minnaert, L. (2018)</w:t>
      </w:r>
      <w:r w:rsidR="00E75EF2" w:rsidRPr="00F80937">
        <w:rPr>
          <w:rFonts w:cs="Arial"/>
          <w:noProof/>
        </w:rPr>
        <w:t xml:space="preserve">. </w:t>
      </w:r>
      <w:r w:rsidRPr="00F80937">
        <w:rPr>
          <w:rFonts w:cs="Arial"/>
          <w:i/>
          <w:iCs/>
          <w:noProof/>
        </w:rPr>
        <w:t>Tourism management : an introduction</w:t>
      </w:r>
      <w:r w:rsidRPr="00F80937">
        <w:rPr>
          <w:rFonts w:cs="Arial"/>
          <w:noProof/>
        </w:rPr>
        <w:t>. 2nd ed. London: SAGE.</w:t>
      </w:r>
    </w:p>
    <w:p w14:paraId="7617C429" w14:textId="77777777" w:rsidR="002B42CC" w:rsidRPr="00F80937" w:rsidRDefault="002B42CC" w:rsidP="00F80937">
      <w:pPr>
        <w:rPr>
          <w:rFonts w:cs="Arial"/>
          <w:noProof/>
        </w:rPr>
      </w:pPr>
      <w:r w:rsidRPr="00F80937">
        <w:rPr>
          <w:rFonts w:eastAsia="Times New Roman" w:cs="Arial"/>
          <w:noProof/>
          <w:lang w:eastAsia="en-GB"/>
        </w:rPr>
        <w:t xml:space="preserve">Kivits, R., Sawang, S., Kivits, R. and Sawang, S. (2021). Stakeholder theory. </w:t>
      </w:r>
      <w:r w:rsidRPr="00F80937">
        <w:rPr>
          <w:rFonts w:eastAsia="Times New Roman" w:cs="Arial"/>
          <w:i/>
          <w:iCs/>
          <w:noProof/>
          <w:lang w:eastAsia="en-GB"/>
        </w:rPr>
        <w:t>The Dynamism of Stakeholder Engagement: A Case Study of the Aviation Industry</w:t>
      </w:r>
      <w:r w:rsidRPr="00F80937">
        <w:rPr>
          <w:rFonts w:eastAsia="Times New Roman" w:cs="Arial"/>
          <w:noProof/>
          <w:lang w:eastAsia="en-GB"/>
        </w:rPr>
        <w:t>, pp.1-8.</w:t>
      </w:r>
    </w:p>
    <w:p w14:paraId="08CD5787" w14:textId="77777777" w:rsidR="002B42CC" w:rsidRPr="00F80937" w:rsidRDefault="002B42CC" w:rsidP="00F80937">
      <w:pPr>
        <w:rPr>
          <w:rFonts w:eastAsia="Times New Roman" w:cs="Arial"/>
          <w:noProof/>
          <w:lang w:eastAsia="en-GB"/>
        </w:rPr>
      </w:pPr>
      <w:r w:rsidRPr="00F80937">
        <w:rPr>
          <w:rFonts w:eastAsia="Times New Roman" w:cs="Arial"/>
          <w:noProof/>
          <w:lang w:eastAsia="en-GB"/>
        </w:rPr>
        <w:t xml:space="preserve">Korstanje, M.E., George, B. and Nedelea, A.M. eds. (2020). </w:t>
      </w:r>
      <w:r w:rsidRPr="00F80937">
        <w:rPr>
          <w:rFonts w:eastAsia="Times New Roman" w:cs="Arial"/>
          <w:i/>
          <w:iCs/>
          <w:noProof/>
          <w:lang w:eastAsia="en-GB"/>
        </w:rPr>
        <w:t>Strategies for promoting sustainable hospitality and tourism services</w:t>
      </w:r>
      <w:r w:rsidRPr="00F80937">
        <w:rPr>
          <w:rFonts w:eastAsia="Times New Roman" w:cs="Arial"/>
          <w:noProof/>
          <w:lang w:eastAsia="en-GB"/>
        </w:rPr>
        <w:t>. IGI Global.</w:t>
      </w:r>
    </w:p>
    <w:p w14:paraId="48A39642" w14:textId="77777777" w:rsidR="002B42CC" w:rsidRPr="00F80937" w:rsidRDefault="002B42CC" w:rsidP="00F80937">
      <w:pPr>
        <w:rPr>
          <w:rFonts w:cs="Arial"/>
          <w:noProof/>
        </w:rPr>
      </w:pPr>
      <w:r w:rsidRPr="00F80937">
        <w:rPr>
          <w:rFonts w:eastAsia="Times New Roman" w:cs="Arial"/>
          <w:noProof/>
          <w:lang w:eastAsia="en-GB"/>
        </w:rPr>
        <w:t xml:space="preserve">Nicolaides, A. (2021). Corporate social responsibility and ethical business conduct on the road to sustainability: A stakeholder approach. </w:t>
      </w:r>
      <w:r w:rsidRPr="00F80937">
        <w:rPr>
          <w:rFonts w:eastAsia="Times New Roman" w:cs="Arial"/>
          <w:i/>
          <w:iCs/>
          <w:noProof/>
          <w:lang w:eastAsia="en-GB"/>
        </w:rPr>
        <w:t>International Journal of Development and Sustainability</w:t>
      </w:r>
      <w:r w:rsidRPr="00F80937">
        <w:rPr>
          <w:rFonts w:eastAsia="Times New Roman" w:cs="Arial"/>
          <w:noProof/>
          <w:lang w:eastAsia="en-GB"/>
        </w:rPr>
        <w:t xml:space="preserve">, </w:t>
      </w:r>
      <w:r w:rsidRPr="00F80937">
        <w:rPr>
          <w:rFonts w:eastAsia="Times New Roman" w:cs="Arial"/>
          <w:i/>
          <w:iCs/>
          <w:noProof/>
          <w:lang w:eastAsia="en-GB"/>
        </w:rPr>
        <w:t>10</w:t>
      </w:r>
      <w:r w:rsidRPr="00F80937">
        <w:rPr>
          <w:rFonts w:eastAsia="Times New Roman" w:cs="Arial"/>
          <w:noProof/>
          <w:lang w:eastAsia="en-GB"/>
        </w:rPr>
        <w:t>(5), pp.200-215.</w:t>
      </w:r>
    </w:p>
    <w:p w14:paraId="46C82F01" w14:textId="77777777" w:rsidR="002B42CC" w:rsidRPr="00F80937" w:rsidRDefault="002B42CC" w:rsidP="00F80937">
      <w:pPr>
        <w:rPr>
          <w:rFonts w:cs="Arial"/>
          <w:noProof/>
        </w:rPr>
      </w:pPr>
      <w:r w:rsidRPr="00F80937">
        <w:rPr>
          <w:rFonts w:eastAsia="Times New Roman" w:cs="Arial"/>
          <w:noProof/>
          <w:lang w:eastAsia="en-GB"/>
        </w:rPr>
        <w:t xml:space="preserve">Porter, M. and Van der Linde, C. (1995). Green and competitive: ending the stalemate. </w:t>
      </w:r>
      <w:r w:rsidRPr="00F80937">
        <w:rPr>
          <w:rFonts w:eastAsia="Times New Roman" w:cs="Arial"/>
          <w:i/>
          <w:iCs/>
          <w:noProof/>
          <w:lang w:eastAsia="en-GB"/>
        </w:rPr>
        <w:t>The Dynamics of the eco-efficient economy: environmental regulation and competitive advantage</w:t>
      </w:r>
      <w:r w:rsidRPr="00F80937">
        <w:rPr>
          <w:rFonts w:eastAsia="Times New Roman" w:cs="Arial"/>
          <w:noProof/>
          <w:lang w:eastAsia="en-GB"/>
        </w:rPr>
        <w:t xml:space="preserve">, </w:t>
      </w:r>
      <w:r w:rsidRPr="00F80937">
        <w:rPr>
          <w:rFonts w:eastAsia="Times New Roman" w:cs="Arial"/>
          <w:i/>
          <w:iCs/>
          <w:noProof/>
          <w:lang w:eastAsia="en-GB"/>
        </w:rPr>
        <w:t>33</w:t>
      </w:r>
      <w:r w:rsidRPr="00F80937">
        <w:rPr>
          <w:rFonts w:eastAsia="Times New Roman" w:cs="Arial"/>
          <w:noProof/>
          <w:lang w:eastAsia="en-GB"/>
        </w:rPr>
        <w:t>, pp.120-134.</w:t>
      </w:r>
    </w:p>
    <w:p w14:paraId="08C008B7"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Premier Inn (2018). </w:t>
      </w:r>
      <w:r w:rsidRPr="00F80937">
        <w:rPr>
          <w:rFonts w:cs="Arial"/>
          <w:i/>
          <w:iCs/>
          <w:noProof/>
        </w:rPr>
        <w:t xml:space="preserve">Our Earth Day Commitment to Cut Our Carbon Emissions Intensity by 50% </w:t>
      </w:r>
      <w:r w:rsidRPr="00F80937">
        <w:rPr>
          <w:rFonts w:cs="Arial"/>
          <w:noProof/>
        </w:rPr>
        <w:t>. [online] www.premierinn.com. Available at: https://www.premierinn.com/gb/en/news/2018/world-earth-day.html [Accessed 18 Oct. 2024].</w:t>
      </w:r>
    </w:p>
    <w:p w14:paraId="4A1B15AB"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Premier Inn (2021). </w:t>
      </w:r>
      <w:r w:rsidRPr="00F80937">
        <w:rPr>
          <w:rFonts w:cs="Arial"/>
          <w:i/>
          <w:iCs/>
          <w:noProof/>
        </w:rPr>
        <w:t>Net zero carbon emissions</w:t>
      </w:r>
      <w:r w:rsidRPr="00F80937">
        <w:rPr>
          <w:rFonts w:cs="Arial"/>
          <w:noProof/>
        </w:rPr>
        <w:t>. [online] www.premierinn.com. Available at: https://www.premierinn.com/gb/en/news/2021/net-zero-carbon-emissions.html [Accessed 18 Oct. 2024].</w:t>
      </w:r>
    </w:p>
    <w:p w14:paraId="0C1B1C03"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Premier Inn (2023). </w:t>
      </w:r>
      <w:r w:rsidRPr="00F80937">
        <w:rPr>
          <w:rFonts w:cs="Arial"/>
          <w:i/>
          <w:iCs/>
          <w:noProof/>
        </w:rPr>
        <w:t>Force For Good</w:t>
      </w:r>
      <w:r w:rsidRPr="00F80937">
        <w:rPr>
          <w:rFonts w:cs="Arial"/>
          <w:noProof/>
        </w:rPr>
        <w:t>. [online] Premier Inn. Available at: https://www.premierinn.com/gb/en/why/force-for-good.html [Accessed 18 Oct. 2024].</w:t>
      </w:r>
    </w:p>
    <w:p w14:paraId="070E5F3B"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lastRenderedPageBreak/>
        <w:t xml:space="preserve">Premier Inn (2023). </w:t>
      </w:r>
      <w:r w:rsidRPr="00F80937">
        <w:rPr>
          <w:rFonts w:cs="Arial"/>
          <w:i/>
          <w:iCs/>
          <w:noProof/>
        </w:rPr>
        <w:t>Our all-renewable Energy Hotel in Swindon Won the Edie Built Environment Project of the Year Award!</w:t>
      </w:r>
      <w:r w:rsidRPr="00F80937">
        <w:rPr>
          <w:rFonts w:cs="Arial"/>
          <w:noProof/>
        </w:rPr>
        <w:t xml:space="preserve"> [online] Premier Inn. Available at: https://www.premierinn.com/gb/en/news/2023/environment-project-award.html [Accessed 18 Oct. 2024].</w:t>
      </w:r>
    </w:p>
    <w:p w14:paraId="4D68207E"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Premier Inn (2024). </w:t>
      </w:r>
      <w:r w:rsidRPr="00F80937">
        <w:rPr>
          <w:rFonts w:cs="Arial"/>
          <w:i/>
          <w:iCs/>
          <w:noProof/>
        </w:rPr>
        <w:t xml:space="preserve">Supporting Great Ormond Street Hospital Children’s Charity </w:t>
      </w:r>
      <w:r w:rsidRPr="00F80937">
        <w:rPr>
          <w:rFonts w:cs="Arial"/>
          <w:noProof/>
        </w:rPr>
        <w:t>. [online] www.premierinn.com. Available at: https://www.premierinn.com/gb/en/why/gosh-childrens-charity.html [Accessed 18 Oct. 2024].</w:t>
      </w:r>
    </w:p>
    <w:p w14:paraId="2EB3553F"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Premier Inn (2024). </w:t>
      </w:r>
      <w:r w:rsidRPr="00F80937">
        <w:rPr>
          <w:rFonts w:cs="Arial"/>
          <w:i/>
          <w:iCs/>
          <w:noProof/>
        </w:rPr>
        <w:t>Why We’re Premier</w:t>
      </w:r>
      <w:r w:rsidRPr="00F80937">
        <w:rPr>
          <w:rFonts w:cs="Arial"/>
          <w:noProof/>
        </w:rPr>
        <w:t>. [online] www.premierinn.com. Available at: https://www.premierinn.com/gb/en/why.html [Accessed 18 Oct. 2024].</w:t>
      </w:r>
    </w:p>
    <w:p w14:paraId="30DA12B3" w14:textId="77777777" w:rsidR="002B42CC" w:rsidRPr="00F80937" w:rsidRDefault="002B42CC" w:rsidP="00F80937">
      <w:pPr>
        <w:rPr>
          <w:rFonts w:cs="Arial"/>
          <w:noProof/>
        </w:rPr>
      </w:pPr>
      <w:r w:rsidRPr="00F80937">
        <w:rPr>
          <w:rFonts w:eastAsia="Times New Roman" w:cs="Arial"/>
          <w:noProof/>
          <w:lang w:eastAsia="en-GB"/>
        </w:rPr>
        <w:t xml:space="preserve">Roszkowska-Menkes, M. (2023). Porter and Kramer’s (2006)“shared value”. In </w:t>
      </w:r>
      <w:r w:rsidRPr="00F80937">
        <w:rPr>
          <w:rFonts w:eastAsia="Times New Roman" w:cs="Arial"/>
          <w:i/>
          <w:iCs/>
          <w:noProof/>
          <w:lang w:eastAsia="en-GB"/>
        </w:rPr>
        <w:t>Encyclopedia of sustainable management</w:t>
      </w:r>
      <w:r w:rsidRPr="00F80937">
        <w:rPr>
          <w:rFonts w:eastAsia="Times New Roman" w:cs="Arial"/>
          <w:noProof/>
          <w:lang w:eastAsia="en-GB"/>
        </w:rPr>
        <w:t xml:space="preserve"> (pp. 2621-2626). Cham: Springer International Publishing.</w:t>
      </w:r>
    </w:p>
    <w:p w14:paraId="390C3B70" w14:textId="77777777" w:rsidR="002B42CC" w:rsidRPr="00F80937" w:rsidRDefault="002B42CC" w:rsidP="00F80937">
      <w:pPr>
        <w:rPr>
          <w:rFonts w:eastAsia="Times New Roman" w:cs="Arial"/>
          <w:noProof/>
          <w:lang w:eastAsia="en-GB"/>
        </w:rPr>
      </w:pPr>
      <w:r w:rsidRPr="00F80937">
        <w:rPr>
          <w:rFonts w:eastAsia="Times New Roman" w:cs="Arial"/>
          <w:noProof/>
          <w:lang w:eastAsia="en-GB"/>
        </w:rPr>
        <w:t xml:space="preserve">Semwal, R., Tripathi, N., Kulshrestha, R. and Tyagi, P. (2024). Innovative Approaches to Sustainable Hospitality: Leveraging AI and Technology for Energy Efficiency, Waste Reduction, and Eco-Friendly Mobility. In </w:t>
      </w:r>
      <w:r w:rsidRPr="00F80937">
        <w:rPr>
          <w:rFonts w:eastAsia="Times New Roman" w:cs="Arial"/>
          <w:i/>
          <w:iCs/>
          <w:noProof/>
          <w:lang w:eastAsia="en-GB"/>
        </w:rPr>
        <w:t>Hotel and Travel Management in the AI Era</w:t>
      </w:r>
      <w:r w:rsidRPr="00F80937">
        <w:rPr>
          <w:rFonts w:eastAsia="Times New Roman" w:cs="Arial"/>
          <w:noProof/>
          <w:lang w:eastAsia="en-GB"/>
        </w:rPr>
        <w:t xml:space="preserve"> (pp. 379-400). IGI Global.</w:t>
      </w:r>
    </w:p>
    <w:p w14:paraId="25510C6F" w14:textId="48C10D84" w:rsidR="002B42CC" w:rsidRPr="00F80937" w:rsidRDefault="002B42CC" w:rsidP="00F80937">
      <w:pPr>
        <w:rPr>
          <w:rFonts w:cs="Arial"/>
          <w:noProof/>
        </w:rPr>
      </w:pPr>
      <w:r w:rsidRPr="00F80937">
        <w:rPr>
          <w:rFonts w:cs="Arial"/>
          <w:noProof/>
        </w:rPr>
        <w:t>Sloan, P., Legrand, W. and Chen, J.S. (2017)</w:t>
      </w:r>
      <w:r w:rsidR="00E436B1" w:rsidRPr="00F80937">
        <w:rPr>
          <w:rFonts w:cs="Arial"/>
          <w:noProof/>
        </w:rPr>
        <w:t xml:space="preserve">. </w:t>
      </w:r>
      <w:r w:rsidRPr="00F80937">
        <w:rPr>
          <w:rFonts w:cs="Arial"/>
          <w:i/>
          <w:iCs/>
          <w:noProof/>
        </w:rPr>
        <w:t>Sustainability in the hospitality industry : principles of sustainable operations</w:t>
      </w:r>
      <w:r w:rsidRPr="00F80937">
        <w:rPr>
          <w:rFonts w:cs="Arial"/>
          <w:noProof/>
        </w:rPr>
        <w:t>. 3</w:t>
      </w:r>
      <w:r w:rsidRPr="00F80937">
        <w:rPr>
          <w:rFonts w:cs="Arial"/>
          <w:noProof/>
          <w:vertAlign w:val="superscript"/>
        </w:rPr>
        <w:t>rd</w:t>
      </w:r>
      <w:r w:rsidRPr="00F80937">
        <w:rPr>
          <w:rFonts w:cs="Arial"/>
          <w:noProof/>
        </w:rPr>
        <w:t xml:space="preserve"> edn. London: Butterworth-Heinemann.</w:t>
      </w:r>
    </w:p>
    <w:p w14:paraId="3156C283" w14:textId="77777777" w:rsidR="002B42CC" w:rsidRPr="00F80937" w:rsidRDefault="002B42CC" w:rsidP="00F80937">
      <w:pPr>
        <w:rPr>
          <w:rFonts w:cs="Arial"/>
          <w:noProof/>
        </w:rPr>
      </w:pPr>
      <w:r w:rsidRPr="00F80937">
        <w:rPr>
          <w:rFonts w:eastAsia="Times New Roman" w:cs="Arial"/>
          <w:noProof/>
          <w:lang w:eastAsia="en-GB"/>
        </w:rPr>
        <w:t xml:space="preserve">Ushakov, R.N., Kryukova, E.M., Khetagurova, V.S., Mukhomorova, I.V. and Zelenov, V.V. (2020). Efficiency of hotel management. Training of specialists in hotel industry field. </w:t>
      </w:r>
      <w:r w:rsidRPr="00F80937">
        <w:rPr>
          <w:rFonts w:eastAsia="Times New Roman" w:cs="Arial"/>
          <w:i/>
          <w:iCs/>
          <w:noProof/>
          <w:lang w:eastAsia="en-GB"/>
        </w:rPr>
        <w:t>Journal of Environmental Management and Tourism</w:t>
      </w:r>
      <w:r w:rsidRPr="00F80937">
        <w:rPr>
          <w:rFonts w:eastAsia="Times New Roman" w:cs="Arial"/>
          <w:noProof/>
          <w:lang w:eastAsia="en-GB"/>
        </w:rPr>
        <w:t xml:space="preserve">, </w:t>
      </w:r>
      <w:r w:rsidRPr="00F80937">
        <w:rPr>
          <w:rFonts w:eastAsia="Times New Roman" w:cs="Arial"/>
          <w:i/>
          <w:iCs/>
          <w:noProof/>
          <w:lang w:eastAsia="en-GB"/>
        </w:rPr>
        <w:t>11</w:t>
      </w:r>
      <w:r w:rsidRPr="00F80937">
        <w:rPr>
          <w:rFonts w:eastAsia="Times New Roman" w:cs="Arial"/>
          <w:noProof/>
          <w:lang w:eastAsia="en-GB"/>
        </w:rPr>
        <w:t>(2), pp.388-395.</w:t>
      </w:r>
    </w:p>
    <w:p w14:paraId="6870DA4D"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Whitbread (2020). </w:t>
      </w:r>
      <w:r w:rsidRPr="00F80937">
        <w:rPr>
          <w:rFonts w:cs="Arial"/>
          <w:i/>
          <w:iCs/>
          <w:noProof/>
        </w:rPr>
        <w:t>2020 Environmental, Social and Governance Report</w:t>
      </w:r>
      <w:r w:rsidRPr="00F80937">
        <w:rPr>
          <w:rFonts w:cs="Arial"/>
          <w:noProof/>
        </w:rPr>
        <w:t xml:space="preserve">. [online] </w:t>
      </w:r>
      <w:r w:rsidRPr="00F80937">
        <w:rPr>
          <w:rFonts w:cs="Arial"/>
          <w:i/>
          <w:iCs/>
          <w:noProof/>
        </w:rPr>
        <w:t>ResponsibilityReports.com</w:t>
      </w:r>
      <w:r w:rsidRPr="00F80937">
        <w:rPr>
          <w:rFonts w:cs="Arial"/>
          <w:noProof/>
        </w:rPr>
        <w:t>. Available at: https://www.responsibilityreports.com/HostedData/ResponsibilityReportArchive/w/LSE_WTB_2020.pdf [Accessed 18 Oct. 2024].</w:t>
      </w:r>
    </w:p>
    <w:p w14:paraId="4C73BD73"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t xml:space="preserve">Whitbread Careers (2024). </w:t>
      </w:r>
      <w:r w:rsidRPr="00F80937">
        <w:rPr>
          <w:rFonts w:cs="Arial"/>
          <w:i/>
          <w:iCs/>
          <w:noProof/>
        </w:rPr>
        <w:t>Apprenticeships | Early Careers</w:t>
      </w:r>
      <w:r w:rsidRPr="00F80937">
        <w:rPr>
          <w:rFonts w:cs="Arial"/>
          <w:noProof/>
        </w:rPr>
        <w:t>. [online] Whitbread Careers. Available at: https://www.whitbreadcareers.com/early-careers/apprenticeships/ [Accessed 18 Oct. 2024].</w:t>
      </w:r>
    </w:p>
    <w:p w14:paraId="0F37B9D3" w14:textId="77777777" w:rsidR="002B42CC" w:rsidRPr="00F80937" w:rsidRDefault="002B42CC" w:rsidP="00F80937">
      <w:pPr>
        <w:pStyle w:val="NormalWeb"/>
        <w:spacing w:before="0" w:beforeAutospacing="0" w:after="240" w:afterAutospacing="0" w:line="360" w:lineRule="auto"/>
        <w:jc w:val="both"/>
        <w:rPr>
          <w:rFonts w:cs="Arial"/>
          <w:noProof/>
        </w:rPr>
      </w:pPr>
      <w:r w:rsidRPr="00F80937">
        <w:rPr>
          <w:rFonts w:cs="Arial"/>
          <w:noProof/>
        </w:rPr>
        <w:lastRenderedPageBreak/>
        <w:t xml:space="preserve">Whitbread PLC (2023). </w:t>
      </w:r>
      <w:r w:rsidRPr="00F80937">
        <w:rPr>
          <w:rFonts w:cs="Arial"/>
          <w:i/>
          <w:iCs/>
          <w:noProof/>
        </w:rPr>
        <w:t>Environmental, Social and Governance Report 2022/23</w:t>
      </w:r>
      <w:r w:rsidRPr="00F80937">
        <w:rPr>
          <w:rFonts w:cs="Arial"/>
          <w:noProof/>
        </w:rPr>
        <w:t xml:space="preserve">. [online] </w:t>
      </w:r>
      <w:r w:rsidRPr="00F80937">
        <w:rPr>
          <w:rFonts w:cs="Arial"/>
          <w:i/>
          <w:iCs/>
          <w:noProof/>
        </w:rPr>
        <w:t>Whitbread PLC</w:t>
      </w:r>
      <w:r w:rsidRPr="00F80937">
        <w:rPr>
          <w:rFonts w:cs="Arial"/>
          <w:noProof/>
        </w:rPr>
        <w:t>. Available at: https://cdn.whitbread.co.uk/media/2023/05/Whitbread_ESG_Report_FY22_23-1.pdf [Accessed 18 Oct. 2024].</w:t>
      </w:r>
    </w:p>
    <w:p w14:paraId="67E08D58" w14:textId="77777777" w:rsidR="002B42CC" w:rsidRPr="00F80937" w:rsidRDefault="002B42CC" w:rsidP="00F80937">
      <w:pPr>
        <w:rPr>
          <w:rFonts w:cs="Arial"/>
          <w:noProof/>
        </w:rPr>
      </w:pPr>
      <w:r w:rsidRPr="00F80937">
        <w:rPr>
          <w:rFonts w:eastAsia="Times New Roman" w:cs="Arial"/>
          <w:noProof/>
          <w:lang w:eastAsia="en-GB"/>
        </w:rPr>
        <w:t xml:space="preserve">Zhao, L., Chau, K.Y., Tran, T.K., Sadiq, M., Xuyen, N.T.M. and Phan, T.T.H. (2022). Enhancing green economic recovery through green bonds financing and energy efficiency investments. </w:t>
      </w:r>
      <w:r w:rsidRPr="00F80937">
        <w:rPr>
          <w:rFonts w:eastAsia="Times New Roman" w:cs="Arial"/>
          <w:i/>
          <w:iCs/>
          <w:noProof/>
          <w:lang w:eastAsia="en-GB"/>
        </w:rPr>
        <w:t>Economic Analysis and Policy</w:t>
      </w:r>
      <w:r w:rsidRPr="00F80937">
        <w:rPr>
          <w:rFonts w:eastAsia="Times New Roman" w:cs="Arial"/>
          <w:noProof/>
          <w:lang w:eastAsia="en-GB"/>
        </w:rPr>
        <w:t xml:space="preserve">, </w:t>
      </w:r>
      <w:r w:rsidRPr="00F80937">
        <w:rPr>
          <w:rFonts w:eastAsia="Times New Roman" w:cs="Arial"/>
          <w:i/>
          <w:iCs/>
          <w:noProof/>
          <w:lang w:eastAsia="en-GB"/>
        </w:rPr>
        <w:t>76</w:t>
      </w:r>
      <w:r w:rsidRPr="00F80937">
        <w:rPr>
          <w:rFonts w:eastAsia="Times New Roman" w:cs="Arial"/>
          <w:noProof/>
          <w:lang w:eastAsia="en-GB"/>
        </w:rPr>
        <w:t>, pp.488-501.</w:t>
      </w:r>
    </w:p>
    <w:bookmarkEnd w:id="0"/>
    <w:p w14:paraId="35FC9EA2" w14:textId="77777777" w:rsidR="009B1629" w:rsidRPr="00F80937" w:rsidRDefault="009B1629" w:rsidP="00F80937">
      <w:pPr>
        <w:rPr>
          <w:rFonts w:cs="Arial"/>
          <w:noProof/>
        </w:rPr>
      </w:pPr>
    </w:p>
    <w:sectPr w:rsidR="009B1629" w:rsidRPr="00F80937" w:rsidSect="000D436B">
      <w:footerReference w:type="default" r:id="rId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F6CBC9" w14:textId="77777777" w:rsidR="002D1EF1" w:rsidRDefault="002D1EF1" w:rsidP="00963F3F">
      <w:pPr>
        <w:spacing w:after="0" w:line="240" w:lineRule="auto"/>
      </w:pPr>
      <w:r>
        <w:separator/>
      </w:r>
    </w:p>
  </w:endnote>
  <w:endnote w:type="continuationSeparator" w:id="0">
    <w:p w14:paraId="4D821112" w14:textId="77777777" w:rsidR="002D1EF1" w:rsidRDefault="002D1EF1" w:rsidP="00963F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52132310"/>
      <w:docPartObj>
        <w:docPartGallery w:val="Page Numbers (Bottom of Page)"/>
        <w:docPartUnique/>
      </w:docPartObj>
    </w:sdtPr>
    <w:sdtContent>
      <w:p w14:paraId="576A144A" w14:textId="63654264" w:rsidR="00182EEC" w:rsidRDefault="00182EEC">
        <w:pPr>
          <w:pStyle w:val="Footer"/>
          <w:jc w:val="right"/>
        </w:pPr>
        <w:r>
          <w:fldChar w:fldCharType="begin"/>
        </w:r>
        <w:r>
          <w:instrText>PAGE   \* MERGEFORMAT</w:instrText>
        </w:r>
        <w:r>
          <w:fldChar w:fldCharType="separate"/>
        </w:r>
        <w:r>
          <w:t>2</w:t>
        </w:r>
        <w:r>
          <w:fldChar w:fldCharType="end"/>
        </w:r>
      </w:p>
    </w:sdtContent>
  </w:sdt>
  <w:p w14:paraId="76789BDE" w14:textId="77777777" w:rsidR="00182EEC" w:rsidRDefault="00182E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439CCD" w14:textId="77777777" w:rsidR="002D1EF1" w:rsidRDefault="002D1EF1" w:rsidP="00963F3F">
      <w:pPr>
        <w:spacing w:after="0" w:line="240" w:lineRule="auto"/>
      </w:pPr>
      <w:r>
        <w:separator/>
      </w:r>
    </w:p>
  </w:footnote>
  <w:footnote w:type="continuationSeparator" w:id="0">
    <w:p w14:paraId="6D8FC39B" w14:textId="77777777" w:rsidR="002D1EF1" w:rsidRDefault="002D1EF1" w:rsidP="00963F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D3E1007"/>
    <w:multiLevelType w:val="hybridMultilevel"/>
    <w:tmpl w:val="0A7A31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02740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zY3MDYwMjCztDS0NDZT0lEKTi0uzszPAykwrQUAfzJo7CwAAAA="/>
  </w:docVars>
  <w:rsids>
    <w:rsidRoot w:val="00A77ED0"/>
    <w:rsid w:val="000126C1"/>
    <w:rsid w:val="00023664"/>
    <w:rsid w:val="00031492"/>
    <w:rsid w:val="000345A9"/>
    <w:rsid w:val="00062ED8"/>
    <w:rsid w:val="000A5EEE"/>
    <w:rsid w:val="000A7AD7"/>
    <w:rsid w:val="000D436B"/>
    <w:rsid w:val="000D5657"/>
    <w:rsid w:val="000E4457"/>
    <w:rsid w:val="000E5953"/>
    <w:rsid w:val="000F67CA"/>
    <w:rsid w:val="0011341F"/>
    <w:rsid w:val="001451F4"/>
    <w:rsid w:val="00151172"/>
    <w:rsid w:val="00162895"/>
    <w:rsid w:val="001747A4"/>
    <w:rsid w:val="00177D24"/>
    <w:rsid w:val="00182EEC"/>
    <w:rsid w:val="001D6733"/>
    <w:rsid w:val="001D76C6"/>
    <w:rsid w:val="001E2935"/>
    <w:rsid w:val="001F497F"/>
    <w:rsid w:val="002075FB"/>
    <w:rsid w:val="00214C52"/>
    <w:rsid w:val="002211DD"/>
    <w:rsid w:val="00256913"/>
    <w:rsid w:val="00273B39"/>
    <w:rsid w:val="00275722"/>
    <w:rsid w:val="0029739B"/>
    <w:rsid w:val="002A0C92"/>
    <w:rsid w:val="002A3081"/>
    <w:rsid w:val="002B42CC"/>
    <w:rsid w:val="002D1EF1"/>
    <w:rsid w:val="002D2820"/>
    <w:rsid w:val="002E73F9"/>
    <w:rsid w:val="002F3BEE"/>
    <w:rsid w:val="00302487"/>
    <w:rsid w:val="00302FC8"/>
    <w:rsid w:val="00304CB5"/>
    <w:rsid w:val="00305480"/>
    <w:rsid w:val="00384F76"/>
    <w:rsid w:val="003A1AFE"/>
    <w:rsid w:val="003C3AC7"/>
    <w:rsid w:val="003C4525"/>
    <w:rsid w:val="003D2E3E"/>
    <w:rsid w:val="003E1195"/>
    <w:rsid w:val="003E19C5"/>
    <w:rsid w:val="003E6F5F"/>
    <w:rsid w:val="0042520F"/>
    <w:rsid w:val="00436E95"/>
    <w:rsid w:val="00456BBF"/>
    <w:rsid w:val="00457823"/>
    <w:rsid w:val="00483E85"/>
    <w:rsid w:val="004A19D4"/>
    <w:rsid w:val="004C660A"/>
    <w:rsid w:val="004D099F"/>
    <w:rsid w:val="004F0BB3"/>
    <w:rsid w:val="00501953"/>
    <w:rsid w:val="00506E49"/>
    <w:rsid w:val="00567470"/>
    <w:rsid w:val="0057689B"/>
    <w:rsid w:val="00580126"/>
    <w:rsid w:val="00584E87"/>
    <w:rsid w:val="00586580"/>
    <w:rsid w:val="005A3D2B"/>
    <w:rsid w:val="005E163D"/>
    <w:rsid w:val="005E20B7"/>
    <w:rsid w:val="00600C00"/>
    <w:rsid w:val="00614381"/>
    <w:rsid w:val="006452E7"/>
    <w:rsid w:val="00645DA3"/>
    <w:rsid w:val="0065507C"/>
    <w:rsid w:val="006861A4"/>
    <w:rsid w:val="00697569"/>
    <w:rsid w:val="006A0D28"/>
    <w:rsid w:val="006E1720"/>
    <w:rsid w:val="006E6EDB"/>
    <w:rsid w:val="006F6B1D"/>
    <w:rsid w:val="00730A50"/>
    <w:rsid w:val="007429D6"/>
    <w:rsid w:val="00761944"/>
    <w:rsid w:val="007B0062"/>
    <w:rsid w:val="007B0621"/>
    <w:rsid w:val="007D10BB"/>
    <w:rsid w:val="007E62ED"/>
    <w:rsid w:val="007F4992"/>
    <w:rsid w:val="007F763E"/>
    <w:rsid w:val="00857859"/>
    <w:rsid w:val="00865794"/>
    <w:rsid w:val="00865DD8"/>
    <w:rsid w:val="008900FC"/>
    <w:rsid w:val="008A2730"/>
    <w:rsid w:val="008A4CE7"/>
    <w:rsid w:val="008B31C4"/>
    <w:rsid w:val="008B63CE"/>
    <w:rsid w:val="008E011E"/>
    <w:rsid w:val="008E5A65"/>
    <w:rsid w:val="008F57FD"/>
    <w:rsid w:val="00912AA3"/>
    <w:rsid w:val="009323C9"/>
    <w:rsid w:val="00936203"/>
    <w:rsid w:val="00951701"/>
    <w:rsid w:val="00963F3F"/>
    <w:rsid w:val="009717FA"/>
    <w:rsid w:val="00971A42"/>
    <w:rsid w:val="00974C71"/>
    <w:rsid w:val="00996A89"/>
    <w:rsid w:val="009A6756"/>
    <w:rsid w:val="009B1629"/>
    <w:rsid w:val="009E0F70"/>
    <w:rsid w:val="00A17A6A"/>
    <w:rsid w:val="00A26AA9"/>
    <w:rsid w:val="00A341A3"/>
    <w:rsid w:val="00A3518A"/>
    <w:rsid w:val="00A41D77"/>
    <w:rsid w:val="00A47FC8"/>
    <w:rsid w:val="00A527EA"/>
    <w:rsid w:val="00A543C7"/>
    <w:rsid w:val="00A60A01"/>
    <w:rsid w:val="00A77ED0"/>
    <w:rsid w:val="00A95FBE"/>
    <w:rsid w:val="00AA17CA"/>
    <w:rsid w:val="00AC5C0A"/>
    <w:rsid w:val="00AD1B3B"/>
    <w:rsid w:val="00AD3B81"/>
    <w:rsid w:val="00AD65AB"/>
    <w:rsid w:val="00B00B94"/>
    <w:rsid w:val="00B10F98"/>
    <w:rsid w:val="00B11B11"/>
    <w:rsid w:val="00B137A7"/>
    <w:rsid w:val="00B31D4C"/>
    <w:rsid w:val="00B72894"/>
    <w:rsid w:val="00B846E0"/>
    <w:rsid w:val="00B9299C"/>
    <w:rsid w:val="00BE473F"/>
    <w:rsid w:val="00BE7421"/>
    <w:rsid w:val="00BF051A"/>
    <w:rsid w:val="00C35D50"/>
    <w:rsid w:val="00C4792E"/>
    <w:rsid w:val="00C72D24"/>
    <w:rsid w:val="00C835FE"/>
    <w:rsid w:val="00C87761"/>
    <w:rsid w:val="00CA65DC"/>
    <w:rsid w:val="00CA76F7"/>
    <w:rsid w:val="00CB5141"/>
    <w:rsid w:val="00CC1D1E"/>
    <w:rsid w:val="00CE0CA3"/>
    <w:rsid w:val="00CE7D0F"/>
    <w:rsid w:val="00CF04E4"/>
    <w:rsid w:val="00D00DB3"/>
    <w:rsid w:val="00D124A6"/>
    <w:rsid w:val="00D421C6"/>
    <w:rsid w:val="00D95C52"/>
    <w:rsid w:val="00D97012"/>
    <w:rsid w:val="00DB0174"/>
    <w:rsid w:val="00DE1F4B"/>
    <w:rsid w:val="00DF13A4"/>
    <w:rsid w:val="00E11F52"/>
    <w:rsid w:val="00E27AE6"/>
    <w:rsid w:val="00E436B1"/>
    <w:rsid w:val="00E75EF2"/>
    <w:rsid w:val="00EA67AC"/>
    <w:rsid w:val="00EA7AED"/>
    <w:rsid w:val="00EB43F3"/>
    <w:rsid w:val="00EB5433"/>
    <w:rsid w:val="00F011CF"/>
    <w:rsid w:val="00F162EC"/>
    <w:rsid w:val="00F27A55"/>
    <w:rsid w:val="00F35FD5"/>
    <w:rsid w:val="00F562E0"/>
    <w:rsid w:val="00F615FD"/>
    <w:rsid w:val="00F63CE6"/>
    <w:rsid w:val="00F80937"/>
    <w:rsid w:val="00FA34B2"/>
    <w:rsid w:val="00FB6238"/>
    <w:rsid w:val="00FD2A99"/>
    <w:rsid w:val="00FD36EE"/>
    <w:rsid w:val="00FE089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D54C67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F04E4"/>
    <w:pPr>
      <w:spacing w:line="360" w:lineRule="auto"/>
      <w:jc w:val="both"/>
    </w:pPr>
    <w:rPr>
      <w:rFonts w:ascii="Arial" w:hAnsi="Arial"/>
      <w:sz w:val="24"/>
      <w:szCs w:val="24"/>
      <w14:ligatures w14:val="none"/>
    </w:rPr>
  </w:style>
  <w:style w:type="paragraph" w:styleId="Heading1">
    <w:name w:val="heading 1"/>
    <w:basedOn w:val="Normal"/>
    <w:next w:val="Normal"/>
    <w:link w:val="Heading1Char"/>
    <w:autoRedefine/>
    <w:uiPriority w:val="9"/>
    <w:qFormat/>
    <w:rsid w:val="00C835FE"/>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A341A3"/>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autoRedefine/>
    <w:uiPriority w:val="9"/>
    <w:semiHidden/>
    <w:unhideWhenUsed/>
    <w:qFormat/>
    <w:rsid w:val="001D6733"/>
    <w:pPr>
      <w:keepNext/>
      <w:keepLines/>
      <w:spacing w:before="40" w:after="0"/>
      <w:outlineLvl w:val="2"/>
    </w:pPr>
    <w:rPr>
      <w:rFonts w:eastAsiaTheme="majorEastAsia" w:cstheme="majorBidi"/>
      <w:b/>
      <w:i/>
      <w:color w:val="0A2F40" w:themeColor="accent1" w:themeShade="7F"/>
    </w:rPr>
  </w:style>
  <w:style w:type="paragraph" w:styleId="Heading4">
    <w:name w:val="heading 4"/>
    <w:basedOn w:val="Normal"/>
    <w:next w:val="Normal"/>
    <w:link w:val="Heading4Char"/>
    <w:uiPriority w:val="9"/>
    <w:semiHidden/>
    <w:unhideWhenUsed/>
    <w:qFormat/>
    <w:rsid w:val="00A77ED0"/>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A77ED0"/>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A77ED0"/>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77ED0"/>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77ED0"/>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77ED0"/>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A341A3"/>
    <w:rPr>
      <w:rFonts w:ascii="Times New Roman" w:eastAsiaTheme="majorEastAsia" w:hAnsi="Times New Roman" w:cstheme="majorBidi"/>
      <w:b/>
      <w:sz w:val="28"/>
      <w:szCs w:val="26"/>
      <w14:ligatures w14:val="none"/>
    </w:rPr>
  </w:style>
  <w:style w:type="character" w:customStyle="1" w:styleId="Heading1Char">
    <w:name w:val="Heading 1 Char"/>
    <w:basedOn w:val="DefaultParagraphFont"/>
    <w:link w:val="Heading1"/>
    <w:uiPriority w:val="9"/>
    <w:rsid w:val="00C835FE"/>
    <w:rPr>
      <w:rFonts w:ascii="Times New Roman" w:eastAsiaTheme="majorEastAsia" w:hAnsi="Times New Roman" w:cstheme="majorBidi"/>
      <w:b/>
      <w:sz w:val="32"/>
      <w:szCs w:val="32"/>
    </w:rPr>
  </w:style>
  <w:style w:type="character" w:customStyle="1" w:styleId="Heading3Char">
    <w:name w:val="Heading 3 Char"/>
    <w:basedOn w:val="DefaultParagraphFont"/>
    <w:link w:val="Heading3"/>
    <w:uiPriority w:val="9"/>
    <w:semiHidden/>
    <w:rsid w:val="001D6733"/>
    <w:rPr>
      <w:rFonts w:ascii="Times New Roman" w:eastAsiaTheme="majorEastAsia" w:hAnsi="Times New Roman" w:cstheme="majorBidi"/>
      <w:b/>
      <w:i/>
      <w:color w:val="0A2F40" w:themeColor="accent1" w:themeShade="7F"/>
      <w:sz w:val="24"/>
      <w:szCs w:val="24"/>
    </w:rPr>
  </w:style>
  <w:style w:type="character" w:customStyle="1" w:styleId="Heading4Char">
    <w:name w:val="Heading 4 Char"/>
    <w:basedOn w:val="DefaultParagraphFont"/>
    <w:link w:val="Heading4"/>
    <w:uiPriority w:val="9"/>
    <w:semiHidden/>
    <w:rsid w:val="00A77ED0"/>
    <w:rPr>
      <w:rFonts w:eastAsiaTheme="majorEastAsia" w:cstheme="majorBidi"/>
      <w:i/>
      <w:iCs/>
      <w:color w:val="0F4761" w:themeColor="accent1" w:themeShade="BF"/>
      <w:sz w:val="24"/>
      <w:szCs w:val="24"/>
      <w14:ligatures w14:val="none"/>
    </w:rPr>
  </w:style>
  <w:style w:type="character" w:customStyle="1" w:styleId="Heading5Char">
    <w:name w:val="Heading 5 Char"/>
    <w:basedOn w:val="DefaultParagraphFont"/>
    <w:link w:val="Heading5"/>
    <w:uiPriority w:val="9"/>
    <w:semiHidden/>
    <w:rsid w:val="00A77ED0"/>
    <w:rPr>
      <w:rFonts w:eastAsiaTheme="majorEastAsia" w:cstheme="majorBidi"/>
      <w:color w:val="0F4761" w:themeColor="accent1" w:themeShade="BF"/>
      <w:sz w:val="24"/>
      <w:szCs w:val="24"/>
      <w14:ligatures w14:val="none"/>
    </w:rPr>
  </w:style>
  <w:style w:type="character" w:customStyle="1" w:styleId="Heading6Char">
    <w:name w:val="Heading 6 Char"/>
    <w:basedOn w:val="DefaultParagraphFont"/>
    <w:link w:val="Heading6"/>
    <w:uiPriority w:val="9"/>
    <w:semiHidden/>
    <w:rsid w:val="00A77ED0"/>
    <w:rPr>
      <w:rFonts w:eastAsiaTheme="majorEastAsia" w:cstheme="majorBidi"/>
      <w:i/>
      <w:iCs/>
      <w:color w:val="595959" w:themeColor="text1" w:themeTint="A6"/>
      <w:sz w:val="24"/>
      <w:szCs w:val="24"/>
      <w14:ligatures w14:val="none"/>
    </w:rPr>
  </w:style>
  <w:style w:type="character" w:customStyle="1" w:styleId="Heading7Char">
    <w:name w:val="Heading 7 Char"/>
    <w:basedOn w:val="DefaultParagraphFont"/>
    <w:link w:val="Heading7"/>
    <w:uiPriority w:val="9"/>
    <w:semiHidden/>
    <w:rsid w:val="00A77ED0"/>
    <w:rPr>
      <w:rFonts w:eastAsiaTheme="majorEastAsia" w:cstheme="majorBidi"/>
      <w:color w:val="595959" w:themeColor="text1" w:themeTint="A6"/>
      <w:sz w:val="24"/>
      <w:szCs w:val="24"/>
      <w14:ligatures w14:val="none"/>
    </w:rPr>
  </w:style>
  <w:style w:type="character" w:customStyle="1" w:styleId="Heading8Char">
    <w:name w:val="Heading 8 Char"/>
    <w:basedOn w:val="DefaultParagraphFont"/>
    <w:link w:val="Heading8"/>
    <w:uiPriority w:val="9"/>
    <w:semiHidden/>
    <w:rsid w:val="00A77ED0"/>
    <w:rPr>
      <w:rFonts w:eastAsiaTheme="majorEastAsia" w:cstheme="majorBidi"/>
      <w:i/>
      <w:iCs/>
      <w:color w:val="272727" w:themeColor="text1" w:themeTint="D8"/>
      <w:sz w:val="24"/>
      <w:szCs w:val="24"/>
      <w14:ligatures w14:val="none"/>
    </w:rPr>
  </w:style>
  <w:style w:type="character" w:customStyle="1" w:styleId="Heading9Char">
    <w:name w:val="Heading 9 Char"/>
    <w:basedOn w:val="DefaultParagraphFont"/>
    <w:link w:val="Heading9"/>
    <w:uiPriority w:val="9"/>
    <w:semiHidden/>
    <w:rsid w:val="00A77ED0"/>
    <w:rPr>
      <w:rFonts w:eastAsiaTheme="majorEastAsia" w:cstheme="majorBidi"/>
      <w:color w:val="272727" w:themeColor="text1" w:themeTint="D8"/>
      <w:sz w:val="24"/>
      <w:szCs w:val="24"/>
      <w14:ligatures w14:val="none"/>
    </w:rPr>
  </w:style>
  <w:style w:type="paragraph" w:styleId="Title">
    <w:name w:val="Title"/>
    <w:basedOn w:val="Normal"/>
    <w:next w:val="Normal"/>
    <w:link w:val="TitleChar"/>
    <w:uiPriority w:val="10"/>
    <w:qFormat/>
    <w:rsid w:val="00A77E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7ED0"/>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A77ED0"/>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7ED0"/>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A77ED0"/>
    <w:pPr>
      <w:spacing w:before="160"/>
      <w:jc w:val="center"/>
    </w:pPr>
    <w:rPr>
      <w:i/>
      <w:iCs/>
      <w:color w:val="404040" w:themeColor="text1" w:themeTint="BF"/>
    </w:rPr>
  </w:style>
  <w:style w:type="character" w:customStyle="1" w:styleId="QuoteChar">
    <w:name w:val="Quote Char"/>
    <w:basedOn w:val="DefaultParagraphFont"/>
    <w:link w:val="Quote"/>
    <w:uiPriority w:val="29"/>
    <w:rsid w:val="00A77ED0"/>
    <w:rPr>
      <w:rFonts w:ascii="Times New Roman" w:hAnsi="Times New Roman"/>
      <w:i/>
      <w:iCs/>
      <w:color w:val="404040" w:themeColor="text1" w:themeTint="BF"/>
      <w:sz w:val="24"/>
      <w:szCs w:val="24"/>
      <w14:ligatures w14:val="none"/>
    </w:rPr>
  </w:style>
  <w:style w:type="paragraph" w:styleId="ListParagraph">
    <w:name w:val="List Paragraph"/>
    <w:basedOn w:val="Normal"/>
    <w:uiPriority w:val="34"/>
    <w:qFormat/>
    <w:rsid w:val="00A77ED0"/>
    <w:pPr>
      <w:ind w:left="720"/>
      <w:contextualSpacing/>
    </w:pPr>
  </w:style>
  <w:style w:type="character" w:styleId="IntenseEmphasis">
    <w:name w:val="Intense Emphasis"/>
    <w:basedOn w:val="DefaultParagraphFont"/>
    <w:uiPriority w:val="21"/>
    <w:qFormat/>
    <w:rsid w:val="00A77ED0"/>
    <w:rPr>
      <w:i/>
      <w:iCs/>
      <w:color w:val="0F4761" w:themeColor="accent1" w:themeShade="BF"/>
    </w:rPr>
  </w:style>
  <w:style w:type="paragraph" w:styleId="IntenseQuote">
    <w:name w:val="Intense Quote"/>
    <w:basedOn w:val="Normal"/>
    <w:next w:val="Normal"/>
    <w:link w:val="IntenseQuoteChar"/>
    <w:uiPriority w:val="30"/>
    <w:qFormat/>
    <w:rsid w:val="00A77E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7ED0"/>
    <w:rPr>
      <w:rFonts w:ascii="Times New Roman" w:hAnsi="Times New Roman"/>
      <w:i/>
      <w:iCs/>
      <w:color w:val="0F4761" w:themeColor="accent1" w:themeShade="BF"/>
      <w:sz w:val="24"/>
      <w:szCs w:val="24"/>
      <w14:ligatures w14:val="none"/>
    </w:rPr>
  </w:style>
  <w:style w:type="character" w:styleId="IntenseReference">
    <w:name w:val="Intense Reference"/>
    <w:basedOn w:val="DefaultParagraphFont"/>
    <w:uiPriority w:val="32"/>
    <w:qFormat/>
    <w:rsid w:val="00A77ED0"/>
    <w:rPr>
      <w:b/>
      <w:bCs/>
      <w:smallCaps/>
      <w:color w:val="0F4761" w:themeColor="accent1" w:themeShade="BF"/>
      <w:spacing w:val="5"/>
    </w:rPr>
  </w:style>
  <w:style w:type="paragraph" w:styleId="NormalWeb">
    <w:name w:val="Normal (Web)"/>
    <w:basedOn w:val="Normal"/>
    <w:uiPriority w:val="99"/>
    <w:semiHidden/>
    <w:unhideWhenUsed/>
    <w:rsid w:val="009B1629"/>
    <w:pPr>
      <w:spacing w:before="100" w:beforeAutospacing="1" w:after="100" w:afterAutospacing="1" w:line="240" w:lineRule="auto"/>
      <w:jc w:val="left"/>
    </w:pPr>
    <w:rPr>
      <w:rFonts w:eastAsia="Times New Roman" w:cs="Times New Roman"/>
      <w:lang w:eastAsia="en-GB"/>
    </w:rPr>
  </w:style>
  <w:style w:type="paragraph" w:styleId="Header">
    <w:name w:val="header"/>
    <w:basedOn w:val="Normal"/>
    <w:link w:val="HeaderChar"/>
    <w:uiPriority w:val="99"/>
    <w:unhideWhenUsed/>
    <w:rsid w:val="00963F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3F3F"/>
    <w:rPr>
      <w:rFonts w:ascii="Times New Roman" w:hAnsi="Times New Roman"/>
      <w:sz w:val="24"/>
      <w:szCs w:val="24"/>
      <w14:ligatures w14:val="none"/>
    </w:rPr>
  </w:style>
  <w:style w:type="paragraph" w:styleId="Footer">
    <w:name w:val="footer"/>
    <w:basedOn w:val="Normal"/>
    <w:link w:val="FooterChar"/>
    <w:uiPriority w:val="99"/>
    <w:unhideWhenUsed/>
    <w:rsid w:val="00963F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3F3F"/>
    <w:rPr>
      <w:rFonts w:ascii="Times New Roman" w:hAnsi="Times New Roman"/>
      <w:sz w:val="24"/>
      <w:szCs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145518">
      <w:bodyDiv w:val="1"/>
      <w:marLeft w:val="0"/>
      <w:marRight w:val="0"/>
      <w:marTop w:val="0"/>
      <w:marBottom w:val="0"/>
      <w:divBdr>
        <w:top w:val="none" w:sz="0" w:space="0" w:color="auto"/>
        <w:left w:val="none" w:sz="0" w:space="0" w:color="auto"/>
        <w:bottom w:val="none" w:sz="0" w:space="0" w:color="auto"/>
        <w:right w:val="none" w:sz="0" w:space="0" w:color="auto"/>
      </w:divBdr>
      <w:divsChild>
        <w:div w:id="169873549">
          <w:marLeft w:val="0"/>
          <w:marRight w:val="0"/>
          <w:marTop w:val="0"/>
          <w:marBottom w:val="0"/>
          <w:divBdr>
            <w:top w:val="none" w:sz="0" w:space="0" w:color="auto"/>
            <w:left w:val="none" w:sz="0" w:space="0" w:color="auto"/>
            <w:bottom w:val="none" w:sz="0" w:space="0" w:color="auto"/>
            <w:right w:val="none" w:sz="0" w:space="0" w:color="auto"/>
          </w:divBdr>
        </w:div>
      </w:divsChild>
    </w:div>
    <w:div w:id="60639634">
      <w:bodyDiv w:val="1"/>
      <w:marLeft w:val="0"/>
      <w:marRight w:val="0"/>
      <w:marTop w:val="0"/>
      <w:marBottom w:val="0"/>
      <w:divBdr>
        <w:top w:val="none" w:sz="0" w:space="0" w:color="auto"/>
        <w:left w:val="none" w:sz="0" w:space="0" w:color="auto"/>
        <w:bottom w:val="none" w:sz="0" w:space="0" w:color="auto"/>
        <w:right w:val="none" w:sz="0" w:space="0" w:color="auto"/>
      </w:divBdr>
      <w:divsChild>
        <w:div w:id="1831601809">
          <w:marLeft w:val="0"/>
          <w:marRight w:val="0"/>
          <w:marTop w:val="0"/>
          <w:marBottom w:val="0"/>
          <w:divBdr>
            <w:top w:val="none" w:sz="0" w:space="0" w:color="auto"/>
            <w:left w:val="none" w:sz="0" w:space="0" w:color="auto"/>
            <w:bottom w:val="none" w:sz="0" w:space="0" w:color="auto"/>
            <w:right w:val="none" w:sz="0" w:space="0" w:color="auto"/>
          </w:divBdr>
        </w:div>
      </w:divsChild>
    </w:div>
    <w:div w:id="142550536">
      <w:bodyDiv w:val="1"/>
      <w:marLeft w:val="0"/>
      <w:marRight w:val="0"/>
      <w:marTop w:val="0"/>
      <w:marBottom w:val="0"/>
      <w:divBdr>
        <w:top w:val="none" w:sz="0" w:space="0" w:color="auto"/>
        <w:left w:val="none" w:sz="0" w:space="0" w:color="auto"/>
        <w:bottom w:val="none" w:sz="0" w:space="0" w:color="auto"/>
        <w:right w:val="none" w:sz="0" w:space="0" w:color="auto"/>
      </w:divBdr>
      <w:divsChild>
        <w:div w:id="1126388905">
          <w:marLeft w:val="0"/>
          <w:marRight w:val="0"/>
          <w:marTop w:val="0"/>
          <w:marBottom w:val="0"/>
          <w:divBdr>
            <w:top w:val="none" w:sz="0" w:space="0" w:color="auto"/>
            <w:left w:val="none" w:sz="0" w:space="0" w:color="auto"/>
            <w:bottom w:val="none" w:sz="0" w:space="0" w:color="auto"/>
            <w:right w:val="none" w:sz="0" w:space="0" w:color="auto"/>
          </w:divBdr>
        </w:div>
      </w:divsChild>
    </w:div>
    <w:div w:id="163860933">
      <w:bodyDiv w:val="1"/>
      <w:marLeft w:val="0"/>
      <w:marRight w:val="0"/>
      <w:marTop w:val="0"/>
      <w:marBottom w:val="0"/>
      <w:divBdr>
        <w:top w:val="none" w:sz="0" w:space="0" w:color="auto"/>
        <w:left w:val="none" w:sz="0" w:space="0" w:color="auto"/>
        <w:bottom w:val="none" w:sz="0" w:space="0" w:color="auto"/>
        <w:right w:val="none" w:sz="0" w:space="0" w:color="auto"/>
      </w:divBdr>
      <w:divsChild>
        <w:div w:id="253246241">
          <w:marLeft w:val="0"/>
          <w:marRight w:val="0"/>
          <w:marTop w:val="0"/>
          <w:marBottom w:val="0"/>
          <w:divBdr>
            <w:top w:val="none" w:sz="0" w:space="0" w:color="auto"/>
            <w:left w:val="none" w:sz="0" w:space="0" w:color="auto"/>
            <w:bottom w:val="none" w:sz="0" w:space="0" w:color="auto"/>
            <w:right w:val="none" w:sz="0" w:space="0" w:color="auto"/>
          </w:divBdr>
        </w:div>
      </w:divsChild>
    </w:div>
    <w:div w:id="205265030">
      <w:bodyDiv w:val="1"/>
      <w:marLeft w:val="0"/>
      <w:marRight w:val="0"/>
      <w:marTop w:val="0"/>
      <w:marBottom w:val="0"/>
      <w:divBdr>
        <w:top w:val="none" w:sz="0" w:space="0" w:color="auto"/>
        <w:left w:val="none" w:sz="0" w:space="0" w:color="auto"/>
        <w:bottom w:val="none" w:sz="0" w:space="0" w:color="auto"/>
        <w:right w:val="none" w:sz="0" w:space="0" w:color="auto"/>
      </w:divBdr>
      <w:divsChild>
        <w:div w:id="389035756">
          <w:marLeft w:val="0"/>
          <w:marRight w:val="0"/>
          <w:marTop w:val="0"/>
          <w:marBottom w:val="0"/>
          <w:divBdr>
            <w:top w:val="none" w:sz="0" w:space="0" w:color="auto"/>
            <w:left w:val="none" w:sz="0" w:space="0" w:color="auto"/>
            <w:bottom w:val="none" w:sz="0" w:space="0" w:color="auto"/>
            <w:right w:val="none" w:sz="0" w:space="0" w:color="auto"/>
          </w:divBdr>
        </w:div>
      </w:divsChild>
    </w:div>
    <w:div w:id="306861717">
      <w:bodyDiv w:val="1"/>
      <w:marLeft w:val="0"/>
      <w:marRight w:val="0"/>
      <w:marTop w:val="0"/>
      <w:marBottom w:val="0"/>
      <w:divBdr>
        <w:top w:val="none" w:sz="0" w:space="0" w:color="auto"/>
        <w:left w:val="none" w:sz="0" w:space="0" w:color="auto"/>
        <w:bottom w:val="none" w:sz="0" w:space="0" w:color="auto"/>
        <w:right w:val="none" w:sz="0" w:space="0" w:color="auto"/>
      </w:divBdr>
      <w:divsChild>
        <w:div w:id="1809082119">
          <w:marLeft w:val="0"/>
          <w:marRight w:val="0"/>
          <w:marTop w:val="0"/>
          <w:marBottom w:val="0"/>
          <w:divBdr>
            <w:top w:val="none" w:sz="0" w:space="0" w:color="auto"/>
            <w:left w:val="none" w:sz="0" w:space="0" w:color="auto"/>
            <w:bottom w:val="none" w:sz="0" w:space="0" w:color="auto"/>
            <w:right w:val="none" w:sz="0" w:space="0" w:color="auto"/>
          </w:divBdr>
        </w:div>
      </w:divsChild>
    </w:div>
    <w:div w:id="382021033">
      <w:bodyDiv w:val="1"/>
      <w:marLeft w:val="0"/>
      <w:marRight w:val="0"/>
      <w:marTop w:val="0"/>
      <w:marBottom w:val="0"/>
      <w:divBdr>
        <w:top w:val="none" w:sz="0" w:space="0" w:color="auto"/>
        <w:left w:val="none" w:sz="0" w:space="0" w:color="auto"/>
        <w:bottom w:val="none" w:sz="0" w:space="0" w:color="auto"/>
        <w:right w:val="none" w:sz="0" w:space="0" w:color="auto"/>
      </w:divBdr>
      <w:divsChild>
        <w:div w:id="847715377">
          <w:marLeft w:val="0"/>
          <w:marRight w:val="0"/>
          <w:marTop w:val="0"/>
          <w:marBottom w:val="0"/>
          <w:divBdr>
            <w:top w:val="none" w:sz="0" w:space="0" w:color="auto"/>
            <w:left w:val="none" w:sz="0" w:space="0" w:color="auto"/>
            <w:bottom w:val="none" w:sz="0" w:space="0" w:color="auto"/>
            <w:right w:val="none" w:sz="0" w:space="0" w:color="auto"/>
          </w:divBdr>
        </w:div>
      </w:divsChild>
    </w:div>
    <w:div w:id="691491607">
      <w:bodyDiv w:val="1"/>
      <w:marLeft w:val="0"/>
      <w:marRight w:val="0"/>
      <w:marTop w:val="0"/>
      <w:marBottom w:val="0"/>
      <w:divBdr>
        <w:top w:val="none" w:sz="0" w:space="0" w:color="auto"/>
        <w:left w:val="none" w:sz="0" w:space="0" w:color="auto"/>
        <w:bottom w:val="none" w:sz="0" w:space="0" w:color="auto"/>
        <w:right w:val="none" w:sz="0" w:space="0" w:color="auto"/>
      </w:divBdr>
      <w:divsChild>
        <w:div w:id="859242877">
          <w:marLeft w:val="0"/>
          <w:marRight w:val="0"/>
          <w:marTop w:val="0"/>
          <w:marBottom w:val="0"/>
          <w:divBdr>
            <w:top w:val="none" w:sz="0" w:space="0" w:color="auto"/>
            <w:left w:val="none" w:sz="0" w:space="0" w:color="auto"/>
            <w:bottom w:val="none" w:sz="0" w:space="0" w:color="auto"/>
            <w:right w:val="none" w:sz="0" w:space="0" w:color="auto"/>
          </w:divBdr>
        </w:div>
      </w:divsChild>
    </w:div>
    <w:div w:id="756679966">
      <w:bodyDiv w:val="1"/>
      <w:marLeft w:val="0"/>
      <w:marRight w:val="0"/>
      <w:marTop w:val="0"/>
      <w:marBottom w:val="0"/>
      <w:divBdr>
        <w:top w:val="none" w:sz="0" w:space="0" w:color="auto"/>
        <w:left w:val="none" w:sz="0" w:space="0" w:color="auto"/>
        <w:bottom w:val="none" w:sz="0" w:space="0" w:color="auto"/>
        <w:right w:val="none" w:sz="0" w:space="0" w:color="auto"/>
      </w:divBdr>
      <w:divsChild>
        <w:div w:id="976568312">
          <w:marLeft w:val="0"/>
          <w:marRight w:val="0"/>
          <w:marTop w:val="0"/>
          <w:marBottom w:val="0"/>
          <w:divBdr>
            <w:top w:val="none" w:sz="0" w:space="0" w:color="auto"/>
            <w:left w:val="none" w:sz="0" w:space="0" w:color="auto"/>
            <w:bottom w:val="none" w:sz="0" w:space="0" w:color="auto"/>
            <w:right w:val="none" w:sz="0" w:space="0" w:color="auto"/>
          </w:divBdr>
        </w:div>
      </w:divsChild>
    </w:div>
    <w:div w:id="769279776">
      <w:bodyDiv w:val="1"/>
      <w:marLeft w:val="0"/>
      <w:marRight w:val="0"/>
      <w:marTop w:val="0"/>
      <w:marBottom w:val="0"/>
      <w:divBdr>
        <w:top w:val="none" w:sz="0" w:space="0" w:color="auto"/>
        <w:left w:val="none" w:sz="0" w:space="0" w:color="auto"/>
        <w:bottom w:val="none" w:sz="0" w:space="0" w:color="auto"/>
        <w:right w:val="none" w:sz="0" w:space="0" w:color="auto"/>
      </w:divBdr>
      <w:divsChild>
        <w:div w:id="1397625608">
          <w:marLeft w:val="0"/>
          <w:marRight w:val="0"/>
          <w:marTop w:val="0"/>
          <w:marBottom w:val="0"/>
          <w:divBdr>
            <w:top w:val="none" w:sz="0" w:space="0" w:color="auto"/>
            <w:left w:val="none" w:sz="0" w:space="0" w:color="auto"/>
            <w:bottom w:val="none" w:sz="0" w:space="0" w:color="auto"/>
            <w:right w:val="none" w:sz="0" w:space="0" w:color="auto"/>
          </w:divBdr>
        </w:div>
      </w:divsChild>
    </w:div>
    <w:div w:id="966815972">
      <w:bodyDiv w:val="1"/>
      <w:marLeft w:val="0"/>
      <w:marRight w:val="0"/>
      <w:marTop w:val="0"/>
      <w:marBottom w:val="0"/>
      <w:divBdr>
        <w:top w:val="none" w:sz="0" w:space="0" w:color="auto"/>
        <w:left w:val="none" w:sz="0" w:space="0" w:color="auto"/>
        <w:bottom w:val="none" w:sz="0" w:space="0" w:color="auto"/>
        <w:right w:val="none" w:sz="0" w:space="0" w:color="auto"/>
      </w:divBdr>
      <w:divsChild>
        <w:div w:id="1068383621">
          <w:marLeft w:val="0"/>
          <w:marRight w:val="0"/>
          <w:marTop w:val="0"/>
          <w:marBottom w:val="0"/>
          <w:divBdr>
            <w:top w:val="none" w:sz="0" w:space="0" w:color="auto"/>
            <w:left w:val="none" w:sz="0" w:space="0" w:color="auto"/>
            <w:bottom w:val="none" w:sz="0" w:space="0" w:color="auto"/>
            <w:right w:val="none" w:sz="0" w:space="0" w:color="auto"/>
          </w:divBdr>
        </w:div>
      </w:divsChild>
    </w:div>
    <w:div w:id="981693563">
      <w:bodyDiv w:val="1"/>
      <w:marLeft w:val="0"/>
      <w:marRight w:val="0"/>
      <w:marTop w:val="0"/>
      <w:marBottom w:val="0"/>
      <w:divBdr>
        <w:top w:val="none" w:sz="0" w:space="0" w:color="auto"/>
        <w:left w:val="none" w:sz="0" w:space="0" w:color="auto"/>
        <w:bottom w:val="none" w:sz="0" w:space="0" w:color="auto"/>
        <w:right w:val="none" w:sz="0" w:space="0" w:color="auto"/>
      </w:divBdr>
    </w:div>
    <w:div w:id="1223105475">
      <w:bodyDiv w:val="1"/>
      <w:marLeft w:val="0"/>
      <w:marRight w:val="0"/>
      <w:marTop w:val="0"/>
      <w:marBottom w:val="0"/>
      <w:divBdr>
        <w:top w:val="none" w:sz="0" w:space="0" w:color="auto"/>
        <w:left w:val="none" w:sz="0" w:space="0" w:color="auto"/>
        <w:bottom w:val="none" w:sz="0" w:space="0" w:color="auto"/>
        <w:right w:val="none" w:sz="0" w:space="0" w:color="auto"/>
      </w:divBdr>
      <w:divsChild>
        <w:div w:id="734820589">
          <w:marLeft w:val="0"/>
          <w:marRight w:val="0"/>
          <w:marTop w:val="0"/>
          <w:marBottom w:val="0"/>
          <w:divBdr>
            <w:top w:val="none" w:sz="0" w:space="0" w:color="auto"/>
            <w:left w:val="none" w:sz="0" w:space="0" w:color="auto"/>
            <w:bottom w:val="none" w:sz="0" w:space="0" w:color="auto"/>
            <w:right w:val="none" w:sz="0" w:space="0" w:color="auto"/>
          </w:divBdr>
        </w:div>
      </w:divsChild>
    </w:div>
    <w:div w:id="1402171484">
      <w:bodyDiv w:val="1"/>
      <w:marLeft w:val="0"/>
      <w:marRight w:val="0"/>
      <w:marTop w:val="0"/>
      <w:marBottom w:val="0"/>
      <w:divBdr>
        <w:top w:val="none" w:sz="0" w:space="0" w:color="auto"/>
        <w:left w:val="none" w:sz="0" w:space="0" w:color="auto"/>
        <w:bottom w:val="none" w:sz="0" w:space="0" w:color="auto"/>
        <w:right w:val="none" w:sz="0" w:space="0" w:color="auto"/>
      </w:divBdr>
      <w:divsChild>
        <w:div w:id="733818388">
          <w:marLeft w:val="0"/>
          <w:marRight w:val="0"/>
          <w:marTop w:val="0"/>
          <w:marBottom w:val="0"/>
          <w:divBdr>
            <w:top w:val="none" w:sz="0" w:space="0" w:color="auto"/>
            <w:left w:val="none" w:sz="0" w:space="0" w:color="auto"/>
            <w:bottom w:val="none" w:sz="0" w:space="0" w:color="auto"/>
            <w:right w:val="none" w:sz="0" w:space="0" w:color="auto"/>
          </w:divBdr>
        </w:div>
      </w:divsChild>
    </w:div>
    <w:div w:id="1665936482">
      <w:bodyDiv w:val="1"/>
      <w:marLeft w:val="0"/>
      <w:marRight w:val="0"/>
      <w:marTop w:val="0"/>
      <w:marBottom w:val="0"/>
      <w:divBdr>
        <w:top w:val="none" w:sz="0" w:space="0" w:color="auto"/>
        <w:left w:val="none" w:sz="0" w:space="0" w:color="auto"/>
        <w:bottom w:val="none" w:sz="0" w:space="0" w:color="auto"/>
        <w:right w:val="none" w:sz="0" w:space="0" w:color="auto"/>
      </w:divBdr>
      <w:divsChild>
        <w:div w:id="1384327707">
          <w:marLeft w:val="0"/>
          <w:marRight w:val="0"/>
          <w:marTop w:val="0"/>
          <w:marBottom w:val="0"/>
          <w:divBdr>
            <w:top w:val="none" w:sz="0" w:space="0" w:color="auto"/>
            <w:left w:val="none" w:sz="0" w:space="0" w:color="auto"/>
            <w:bottom w:val="none" w:sz="0" w:space="0" w:color="auto"/>
            <w:right w:val="none" w:sz="0" w:space="0" w:color="auto"/>
          </w:divBdr>
        </w:div>
      </w:divsChild>
    </w:div>
    <w:div w:id="1706518315">
      <w:bodyDiv w:val="1"/>
      <w:marLeft w:val="0"/>
      <w:marRight w:val="0"/>
      <w:marTop w:val="0"/>
      <w:marBottom w:val="0"/>
      <w:divBdr>
        <w:top w:val="none" w:sz="0" w:space="0" w:color="auto"/>
        <w:left w:val="none" w:sz="0" w:space="0" w:color="auto"/>
        <w:bottom w:val="none" w:sz="0" w:space="0" w:color="auto"/>
        <w:right w:val="none" w:sz="0" w:space="0" w:color="auto"/>
      </w:divBdr>
      <w:divsChild>
        <w:div w:id="1852067635">
          <w:marLeft w:val="0"/>
          <w:marRight w:val="0"/>
          <w:marTop w:val="0"/>
          <w:marBottom w:val="0"/>
          <w:divBdr>
            <w:top w:val="none" w:sz="0" w:space="0" w:color="auto"/>
            <w:left w:val="none" w:sz="0" w:space="0" w:color="auto"/>
            <w:bottom w:val="none" w:sz="0" w:space="0" w:color="auto"/>
            <w:right w:val="none" w:sz="0" w:space="0" w:color="auto"/>
          </w:divBdr>
        </w:div>
      </w:divsChild>
    </w:div>
    <w:div w:id="1796948778">
      <w:bodyDiv w:val="1"/>
      <w:marLeft w:val="0"/>
      <w:marRight w:val="0"/>
      <w:marTop w:val="0"/>
      <w:marBottom w:val="0"/>
      <w:divBdr>
        <w:top w:val="none" w:sz="0" w:space="0" w:color="auto"/>
        <w:left w:val="none" w:sz="0" w:space="0" w:color="auto"/>
        <w:bottom w:val="none" w:sz="0" w:space="0" w:color="auto"/>
        <w:right w:val="none" w:sz="0" w:space="0" w:color="auto"/>
      </w:divBdr>
      <w:divsChild>
        <w:div w:id="1981991">
          <w:marLeft w:val="0"/>
          <w:marRight w:val="0"/>
          <w:marTop w:val="0"/>
          <w:marBottom w:val="0"/>
          <w:divBdr>
            <w:top w:val="none" w:sz="0" w:space="0" w:color="auto"/>
            <w:left w:val="none" w:sz="0" w:space="0" w:color="auto"/>
            <w:bottom w:val="none" w:sz="0" w:space="0" w:color="auto"/>
            <w:right w:val="none" w:sz="0" w:space="0" w:color="auto"/>
          </w:divBdr>
        </w:div>
      </w:divsChild>
    </w:div>
    <w:div w:id="1960985002">
      <w:bodyDiv w:val="1"/>
      <w:marLeft w:val="0"/>
      <w:marRight w:val="0"/>
      <w:marTop w:val="0"/>
      <w:marBottom w:val="0"/>
      <w:divBdr>
        <w:top w:val="none" w:sz="0" w:space="0" w:color="auto"/>
        <w:left w:val="none" w:sz="0" w:space="0" w:color="auto"/>
        <w:bottom w:val="none" w:sz="0" w:space="0" w:color="auto"/>
        <w:right w:val="none" w:sz="0" w:space="0" w:color="auto"/>
      </w:divBdr>
      <w:divsChild>
        <w:div w:id="6804697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3200</Words>
  <Characters>18245</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2024-10-18T08:44:00Z</dcterms:created>
  <dcterms:modified xsi:type="dcterms:W3CDTF">2024-10-21T20:29:00Z</dcterms:modified>
</cp:coreProperties>
</file>