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val="en-GB" w:eastAsia="ja-JP"/>
        </w:rPr>
        <w:id w:val="-987244866"/>
        <w:docPartObj>
          <w:docPartGallery w:val="Cover Pages"/>
          <w:docPartUnique/>
        </w:docPartObj>
      </w:sdtPr>
      <w:sdtEndPr>
        <w:rPr>
          <w:color w:val="auto"/>
        </w:rPr>
      </w:sdtEndPr>
      <w:sdtContent>
        <w:p w14:paraId="2C3FE577" w14:textId="3FFC7DC2" w:rsidR="002F3246" w:rsidRPr="008E7735" w:rsidRDefault="00751B19" w:rsidP="00B4698E">
          <w:pPr>
            <w:pStyle w:val="NoSpacing"/>
            <w:spacing w:before="1540" w:after="240"/>
            <w:jc w:val="center"/>
            <w:rPr>
              <w:color w:val="156082" w:themeColor="accent1"/>
              <w:lang w:val="en-GB"/>
            </w:rPr>
          </w:pPr>
          <w:r w:rsidRPr="008E7735">
            <w:rPr>
              <w:noProof/>
              <w:color w:val="156082" w:themeColor="accent1"/>
              <w:lang w:val="en-GB"/>
            </w:rPr>
            <w:drawing>
              <wp:inline distT="0" distB="0" distL="0" distR="0" wp14:anchorId="36580A77" wp14:editId="421A1F18">
                <wp:extent cx="1895475" cy="2103978"/>
                <wp:effectExtent l="0" t="0" r="0" b="0"/>
                <wp:docPr id="2038805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6589" cy="2116314"/>
                        </a:xfrm>
                        <a:prstGeom prst="rect">
                          <a:avLst/>
                        </a:prstGeom>
                        <a:noFill/>
                      </pic:spPr>
                    </pic:pic>
                  </a:graphicData>
                </a:graphic>
              </wp:inline>
            </w:drawing>
          </w:r>
        </w:p>
        <w:sdt>
          <w:sdtPr>
            <w:rPr>
              <w:rFonts w:asciiTheme="majorHAnsi" w:eastAsiaTheme="majorEastAsia" w:hAnsiTheme="majorHAnsi" w:cstheme="majorBidi"/>
              <w:caps/>
              <w:color w:val="156082" w:themeColor="accent1"/>
              <w:sz w:val="52"/>
              <w:szCs w:val="52"/>
              <w:lang w:val="en-GB"/>
            </w:rPr>
            <w:alias w:val="Title"/>
            <w:tag w:val=""/>
            <w:id w:val="1735040861"/>
            <w:placeholder>
              <w:docPart w:val="AF33A022B5D84FCCA4F7E5785D4E1997"/>
            </w:placeholder>
            <w:dataBinding w:prefixMappings="xmlns:ns0='http://purl.org/dc/elements/1.1/' xmlns:ns1='http://schemas.openxmlformats.org/package/2006/metadata/core-properties' " w:xpath="/ns1:coreProperties[1]/ns0:title[1]" w:storeItemID="{6C3C8BC8-F283-45AE-878A-BAB7291924A1}"/>
            <w:text/>
          </w:sdtPr>
          <w:sdtEndPr/>
          <w:sdtContent>
            <w:p w14:paraId="2A52BE5A" w14:textId="1CE39D68" w:rsidR="002F3246" w:rsidRPr="008E7735" w:rsidRDefault="006906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lang w:val="en-GB"/>
                </w:rPr>
              </w:pPr>
              <w:r w:rsidRPr="008E7735">
                <w:rPr>
                  <w:rFonts w:asciiTheme="majorHAnsi" w:eastAsiaTheme="majorEastAsia" w:hAnsiTheme="majorHAnsi" w:cstheme="majorBidi"/>
                  <w:caps/>
                  <w:color w:val="156082" w:themeColor="accent1"/>
                  <w:sz w:val="52"/>
                  <w:szCs w:val="52"/>
                  <w:lang w:val="en-GB"/>
                </w:rPr>
                <w:t xml:space="preserve">How well has interagency coordination strategies </w:t>
              </w:r>
              <w:r w:rsidR="00CD1AFA" w:rsidRPr="008E7735">
                <w:rPr>
                  <w:rFonts w:asciiTheme="majorHAnsi" w:eastAsiaTheme="majorEastAsia" w:hAnsiTheme="majorHAnsi" w:cstheme="majorBidi"/>
                  <w:caps/>
                  <w:color w:val="156082" w:themeColor="accent1"/>
                  <w:sz w:val="52"/>
                  <w:szCs w:val="52"/>
                  <w:lang w:val="en-GB"/>
                </w:rPr>
                <w:t>influenced the effectiveness of public services in responding to major incidents, and what can be learnt from past incidents?</w:t>
              </w:r>
            </w:p>
          </w:sdtContent>
        </w:sdt>
        <w:sdt>
          <w:sdtPr>
            <w:rPr>
              <w:color w:val="156082" w:themeColor="accent1"/>
              <w:sz w:val="28"/>
              <w:szCs w:val="28"/>
              <w:lang w:val="en-GB"/>
            </w:rPr>
            <w:alias w:val="Subtitle"/>
            <w:tag w:val=""/>
            <w:id w:val="328029620"/>
            <w:placeholder>
              <w:docPart w:val="68337294811D4FD4A11D4C9D7CD94C6B"/>
            </w:placeholder>
            <w:dataBinding w:prefixMappings="xmlns:ns0='http://purl.org/dc/elements/1.1/' xmlns:ns1='http://schemas.openxmlformats.org/package/2006/metadata/core-properties' " w:xpath="/ns1:coreProperties[1]/ns0:subject[1]" w:storeItemID="{6C3C8BC8-F283-45AE-878A-BAB7291924A1}"/>
            <w:text/>
          </w:sdtPr>
          <w:sdtEndPr/>
          <w:sdtContent>
            <w:p w14:paraId="435D5E68" w14:textId="70E63A7C" w:rsidR="002F3246" w:rsidRPr="008E7735" w:rsidRDefault="00B4698E">
              <w:pPr>
                <w:pStyle w:val="NoSpacing"/>
                <w:jc w:val="center"/>
                <w:rPr>
                  <w:color w:val="156082" w:themeColor="accent1"/>
                  <w:sz w:val="28"/>
                  <w:szCs w:val="28"/>
                  <w:lang w:val="en-GB"/>
                </w:rPr>
              </w:pPr>
              <w:r w:rsidRPr="008E7735">
                <w:rPr>
                  <w:color w:val="156082" w:themeColor="accent1"/>
                  <w:sz w:val="28"/>
                  <w:szCs w:val="28"/>
                  <w:lang w:val="en-GB"/>
                </w:rPr>
                <w:t>BMPL6015/C</w:t>
              </w:r>
            </w:p>
          </w:sdtContent>
        </w:sdt>
        <w:p w14:paraId="6FFBA235" w14:textId="3EDC132E" w:rsidR="002F3246" w:rsidRPr="008E7735" w:rsidRDefault="002F3246">
          <w:pPr>
            <w:pStyle w:val="NoSpacing"/>
            <w:spacing w:before="480"/>
            <w:jc w:val="center"/>
            <w:rPr>
              <w:color w:val="156082" w:themeColor="accent1"/>
              <w:lang w:val="en-GB"/>
            </w:rPr>
          </w:pPr>
          <w:r w:rsidRPr="008E7735">
            <w:rPr>
              <w:noProof/>
              <w:color w:val="156082" w:themeColor="accent1"/>
              <w:lang w:val="en-GB"/>
            </w:rPr>
            <mc:AlternateContent>
              <mc:Choice Requires="wps">
                <w:drawing>
                  <wp:anchor distT="0" distB="0" distL="114300" distR="114300" simplePos="0" relativeHeight="251658240" behindDoc="0" locked="0" layoutInCell="1" allowOverlap="1" wp14:anchorId="0322C184" wp14:editId="6766984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5-06T00:00:00Z">
                                    <w:dateFormat w:val="MMMM d, yyyy"/>
                                    <w:lid w:val="en-US"/>
                                    <w:storeMappedDataAs w:val="dateTime"/>
                                    <w:calendar w:val="gregorian"/>
                                  </w:date>
                                </w:sdtPr>
                                <w:sdtEndPr/>
                                <w:sdtContent>
                                  <w:p w14:paraId="31442A3B" w14:textId="01353A68" w:rsidR="002F3246" w:rsidRPr="008E7735" w:rsidRDefault="003E743A">
                                    <w:pPr>
                                      <w:pStyle w:val="NoSpacing"/>
                                      <w:spacing w:after="40"/>
                                      <w:jc w:val="center"/>
                                      <w:rPr>
                                        <w:caps/>
                                        <w:color w:val="156082" w:themeColor="accent1"/>
                                        <w:sz w:val="28"/>
                                        <w:szCs w:val="28"/>
                                        <w:lang w:val="en-GB"/>
                                      </w:rPr>
                                    </w:pPr>
                                    <w:r>
                                      <w:rPr>
                                        <w:caps/>
                                        <w:color w:val="156082" w:themeColor="accent1"/>
                                        <w:sz w:val="28"/>
                                        <w:szCs w:val="28"/>
                                      </w:rPr>
                                      <w:t>May 6, 2024</w:t>
                                    </w:r>
                                  </w:p>
                                </w:sdtContent>
                              </w:sdt>
                              <w:p w14:paraId="1F14EAF5" w14:textId="068F3BC2" w:rsidR="002F3246" w:rsidRPr="008E7735" w:rsidRDefault="005F2906">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D6A60" w:rsidRPr="008E7735">
                                      <w:rPr>
                                        <w:caps/>
                                        <w:color w:val="156082" w:themeColor="accent1"/>
                                        <w:lang w:val="en-GB"/>
                                      </w:rPr>
                                      <w:t>Jack David Banner</w:t>
                                    </w:r>
                                  </w:sdtContent>
                                </w:sdt>
                              </w:p>
                              <w:p w14:paraId="00868476" w14:textId="34618766" w:rsidR="002F3246" w:rsidRPr="008E7735" w:rsidRDefault="005F2906">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DD6A60" w:rsidRPr="008E7735">
                                      <w:rPr>
                                        <w:color w:val="156082" w:themeColor="accent1"/>
                                        <w:lang w:val="en-GB"/>
                                      </w:rPr>
                                      <w:t>2200212@student.uwtsd.ac.uk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22C18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5-06T00:00:00Z">
                              <w:dateFormat w:val="MMMM d, yyyy"/>
                              <w:lid w:val="en-US"/>
                              <w:storeMappedDataAs w:val="dateTime"/>
                              <w:calendar w:val="gregorian"/>
                            </w:date>
                          </w:sdtPr>
                          <w:sdtEndPr/>
                          <w:sdtContent>
                            <w:p w14:paraId="31442A3B" w14:textId="01353A68" w:rsidR="002F3246" w:rsidRPr="008E7735" w:rsidRDefault="003E743A">
                              <w:pPr>
                                <w:pStyle w:val="NoSpacing"/>
                                <w:spacing w:after="40"/>
                                <w:jc w:val="center"/>
                                <w:rPr>
                                  <w:caps/>
                                  <w:color w:val="156082" w:themeColor="accent1"/>
                                  <w:sz w:val="28"/>
                                  <w:szCs w:val="28"/>
                                  <w:lang w:val="en-GB"/>
                                </w:rPr>
                              </w:pPr>
                              <w:r>
                                <w:rPr>
                                  <w:caps/>
                                  <w:color w:val="156082" w:themeColor="accent1"/>
                                  <w:sz w:val="28"/>
                                  <w:szCs w:val="28"/>
                                </w:rPr>
                                <w:t>May 6, 2024</w:t>
                              </w:r>
                            </w:p>
                          </w:sdtContent>
                        </w:sdt>
                        <w:p w14:paraId="1F14EAF5" w14:textId="068F3BC2" w:rsidR="002F3246" w:rsidRPr="008E7735" w:rsidRDefault="005F2906">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D6A60" w:rsidRPr="008E7735">
                                <w:rPr>
                                  <w:caps/>
                                  <w:color w:val="156082" w:themeColor="accent1"/>
                                  <w:lang w:val="en-GB"/>
                                </w:rPr>
                                <w:t>Jack David Banner</w:t>
                              </w:r>
                            </w:sdtContent>
                          </w:sdt>
                        </w:p>
                        <w:p w14:paraId="00868476" w14:textId="34618766" w:rsidR="002F3246" w:rsidRPr="008E7735" w:rsidRDefault="005F2906">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EndPr/>
                            <w:sdtContent>
                              <w:r w:rsidR="00DD6A60" w:rsidRPr="008E7735">
                                <w:rPr>
                                  <w:color w:val="156082" w:themeColor="accent1"/>
                                  <w:lang w:val="en-GB"/>
                                </w:rPr>
                                <w:t>2200212@student.uwtsd.ac.uk</w:t>
                              </w:r>
                            </w:sdtContent>
                          </w:sdt>
                        </w:p>
                      </w:txbxContent>
                    </v:textbox>
                    <w10:wrap anchorx="margin" anchory="page"/>
                  </v:shape>
                </w:pict>
              </mc:Fallback>
            </mc:AlternateContent>
          </w:r>
        </w:p>
        <w:p w14:paraId="2C078E63" w14:textId="14A2B0C6" w:rsidR="002F3246" w:rsidRPr="008E7735" w:rsidRDefault="002F3246">
          <w:r w:rsidRPr="008E7735">
            <w:br w:type="page"/>
          </w:r>
        </w:p>
      </w:sdtContent>
    </w:sdt>
    <w:sdt>
      <w:sdtPr>
        <w:rPr>
          <w:rFonts w:asciiTheme="minorHAnsi" w:eastAsiaTheme="minorEastAsia" w:hAnsiTheme="minorHAnsi" w:cstheme="minorBidi"/>
          <w:color w:val="auto"/>
          <w:sz w:val="24"/>
          <w:szCs w:val="24"/>
          <w:lang w:eastAsia="ja-JP"/>
        </w:rPr>
        <w:id w:val="520278940"/>
        <w:docPartObj>
          <w:docPartGallery w:val="Table of Contents"/>
          <w:docPartUnique/>
        </w:docPartObj>
      </w:sdtPr>
      <w:sdtEndPr>
        <w:rPr>
          <w:b/>
          <w:bCs/>
        </w:rPr>
      </w:sdtEndPr>
      <w:sdtContent>
        <w:p w14:paraId="4099026C" w14:textId="42D5649A" w:rsidR="008F3A06" w:rsidRPr="008E7735" w:rsidRDefault="008F3A06">
          <w:pPr>
            <w:pStyle w:val="TOCHeading"/>
          </w:pPr>
          <w:r w:rsidRPr="008E7735">
            <w:t>Contents</w:t>
          </w:r>
        </w:p>
        <w:p w14:paraId="60243E4B" w14:textId="31ED1256" w:rsidR="00C0536A" w:rsidRDefault="008F3A06">
          <w:pPr>
            <w:pStyle w:val="TOC1"/>
            <w:tabs>
              <w:tab w:val="right" w:leader="dot" w:pos="9350"/>
            </w:tabs>
            <w:rPr>
              <w:noProof/>
              <w:kern w:val="2"/>
              <w:lang w:eastAsia="en-GB"/>
              <w14:ligatures w14:val="standardContextual"/>
            </w:rPr>
          </w:pPr>
          <w:r w:rsidRPr="008E7735">
            <w:fldChar w:fldCharType="begin"/>
          </w:r>
          <w:r w:rsidRPr="008E7735">
            <w:instrText xml:space="preserve"> TOC \o "1-3" \h \z \u </w:instrText>
          </w:r>
          <w:r w:rsidRPr="008E7735">
            <w:fldChar w:fldCharType="separate"/>
          </w:r>
          <w:hyperlink w:anchor="_Toc183802846" w:history="1">
            <w:r w:rsidR="00C0536A" w:rsidRPr="00A064FA">
              <w:rPr>
                <w:rStyle w:val="Hyperlink"/>
                <w:noProof/>
              </w:rPr>
              <w:t>Introduction</w:t>
            </w:r>
            <w:r w:rsidR="00C0536A">
              <w:rPr>
                <w:noProof/>
                <w:webHidden/>
              </w:rPr>
              <w:tab/>
            </w:r>
            <w:r w:rsidR="00C0536A">
              <w:rPr>
                <w:noProof/>
                <w:webHidden/>
              </w:rPr>
              <w:fldChar w:fldCharType="begin"/>
            </w:r>
            <w:r w:rsidR="00C0536A">
              <w:rPr>
                <w:noProof/>
                <w:webHidden/>
              </w:rPr>
              <w:instrText xml:space="preserve"> PAGEREF _Toc183802846 \h </w:instrText>
            </w:r>
            <w:r w:rsidR="00C0536A">
              <w:rPr>
                <w:noProof/>
                <w:webHidden/>
              </w:rPr>
            </w:r>
            <w:r w:rsidR="00C0536A">
              <w:rPr>
                <w:noProof/>
                <w:webHidden/>
              </w:rPr>
              <w:fldChar w:fldCharType="separate"/>
            </w:r>
            <w:r w:rsidR="00C0536A">
              <w:rPr>
                <w:noProof/>
                <w:webHidden/>
              </w:rPr>
              <w:t>2</w:t>
            </w:r>
            <w:r w:rsidR="00C0536A">
              <w:rPr>
                <w:noProof/>
                <w:webHidden/>
              </w:rPr>
              <w:fldChar w:fldCharType="end"/>
            </w:r>
          </w:hyperlink>
        </w:p>
        <w:p w14:paraId="6976B2BD" w14:textId="1DB38AE9" w:rsidR="00C0536A" w:rsidRDefault="00C0536A">
          <w:pPr>
            <w:pStyle w:val="TOC1"/>
            <w:tabs>
              <w:tab w:val="right" w:leader="dot" w:pos="9350"/>
            </w:tabs>
            <w:rPr>
              <w:noProof/>
              <w:kern w:val="2"/>
              <w:lang w:eastAsia="en-GB"/>
              <w14:ligatures w14:val="standardContextual"/>
            </w:rPr>
          </w:pPr>
          <w:hyperlink w:anchor="_Toc183802847" w:history="1">
            <w:r w:rsidRPr="00A064FA">
              <w:rPr>
                <w:rStyle w:val="Hyperlink"/>
                <w:noProof/>
              </w:rPr>
              <w:t>Literature Review.</w:t>
            </w:r>
            <w:r>
              <w:rPr>
                <w:noProof/>
                <w:webHidden/>
              </w:rPr>
              <w:tab/>
            </w:r>
            <w:r>
              <w:rPr>
                <w:noProof/>
                <w:webHidden/>
              </w:rPr>
              <w:fldChar w:fldCharType="begin"/>
            </w:r>
            <w:r>
              <w:rPr>
                <w:noProof/>
                <w:webHidden/>
              </w:rPr>
              <w:instrText xml:space="preserve"> PAGEREF _Toc183802847 \h </w:instrText>
            </w:r>
            <w:r>
              <w:rPr>
                <w:noProof/>
                <w:webHidden/>
              </w:rPr>
            </w:r>
            <w:r>
              <w:rPr>
                <w:noProof/>
                <w:webHidden/>
              </w:rPr>
              <w:fldChar w:fldCharType="separate"/>
            </w:r>
            <w:r>
              <w:rPr>
                <w:noProof/>
                <w:webHidden/>
              </w:rPr>
              <w:t>4</w:t>
            </w:r>
            <w:r>
              <w:rPr>
                <w:noProof/>
                <w:webHidden/>
              </w:rPr>
              <w:fldChar w:fldCharType="end"/>
            </w:r>
          </w:hyperlink>
        </w:p>
        <w:p w14:paraId="09B3E14B" w14:textId="7830266C" w:rsidR="00C0536A" w:rsidRDefault="00C0536A">
          <w:pPr>
            <w:pStyle w:val="TOC1"/>
            <w:tabs>
              <w:tab w:val="right" w:leader="dot" w:pos="9350"/>
            </w:tabs>
            <w:rPr>
              <w:noProof/>
              <w:kern w:val="2"/>
              <w:lang w:eastAsia="en-GB"/>
              <w14:ligatures w14:val="standardContextual"/>
            </w:rPr>
          </w:pPr>
          <w:hyperlink w:anchor="_Toc183802848" w:history="1">
            <w:r w:rsidRPr="00A064FA">
              <w:rPr>
                <w:rStyle w:val="Hyperlink"/>
                <w:noProof/>
              </w:rPr>
              <w:t>Bibliography</w:t>
            </w:r>
            <w:r>
              <w:rPr>
                <w:noProof/>
                <w:webHidden/>
              </w:rPr>
              <w:tab/>
            </w:r>
            <w:r>
              <w:rPr>
                <w:noProof/>
                <w:webHidden/>
              </w:rPr>
              <w:fldChar w:fldCharType="begin"/>
            </w:r>
            <w:r>
              <w:rPr>
                <w:noProof/>
                <w:webHidden/>
              </w:rPr>
              <w:instrText xml:space="preserve"> PAGEREF _Toc183802848 \h </w:instrText>
            </w:r>
            <w:r>
              <w:rPr>
                <w:noProof/>
                <w:webHidden/>
              </w:rPr>
            </w:r>
            <w:r>
              <w:rPr>
                <w:noProof/>
                <w:webHidden/>
              </w:rPr>
              <w:fldChar w:fldCharType="separate"/>
            </w:r>
            <w:r>
              <w:rPr>
                <w:noProof/>
                <w:webHidden/>
              </w:rPr>
              <w:t>11</w:t>
            </w:r>
            <w:r>
              <w:rPr>
                <w:noProof/>
                <w:webHidden/>
              </w:rPr>
              <w:fldChar w:fldCharType="end"/>
            </w:r>
          </w:hyperlink>
        </w:p>
        <w:p w14:paraId="48FEB18A" w14:textId="54D6AB8C" w:rsidR="008F3A06" w:rsidRPr="008E7735" w:rsidRDefault="008F3A06">
          <w:r w:rsidRPr="008E7735">
            <w:rPr>
              <w:b/>
              <w:bCs/>
            </w:rPr>
            <w:fldChar w:fldCharType="end"/>
          </w:r>
        </w:p>
      </w:sdtContent>
    </w:sdt>
    <w:p w14:paraId="062B9456" w14:textId="667B3213" w:rsidR="00C33E0D" w:rsidRDefault="008F3A06">
      <w:r w:rsidRPr="008E7735">
        <w:br w:type="page"/>
      </w:r>
    </w:p>
    <w:p w14:paraId="0002FA8A" w14:textId="77777777" w:rsidR="00453927" w:rsidRDefault="00453927" w:rsidP="00C33E0D">
      <w:pPr>
        <w:pStyle w:val="Heading1"/>
      </w:pPr>
      <w:r>
        <w:lastRenderedPageBreak/>
        <w:t>Declarations</w:t>
      </w:r>
    </w:p>
    <w:p w14:paraId="0FB3EE34" w14:textId="77777777" w:rsidR="00453927" w:rsidRDefault="00453927" w:rsidP="00453927">
      <w:r>
        <w:t>This work has not previously been accepted in substance for any degree and is not being concurrently submitted in candidature for any degree.</w:t>
      </w:r>
    </w:p>
    <w:p w14:paraId="04C5F51F" w14:textId="77777777" w:rsidR="00453927" w:rsidRDefault="00453927" w:rsidP="00453927">
      <w:r>
        <w:t xml:space="preserve"> </w:t>
      </w:r>
    </w:p>
    <w:p w14:paraId="39594A87" w14:textId="77777777" w:rsidR="00453927" w:rsidRDefault="00453927" w:rsidP="00453927">
      <w:r>
        <w:t>This dissertation is being submitted in partial fulfilment of the requirements for the degree of BSc Hons Professional Policing.</w:t>
      </w:r>
    </w:p>
    <w:p w14:paraId="318CF396" w14:textId="77777777" w:rsidR="00453927" w:rsidRDefault="00453927" w:rsidP="00453927"/>
    <w:p w14:paraId="07699378" w14:textId="77777777" w:rsidR="00453927" w:rsidRDefault="00453927" w:rsidP="00453927">
      <w:r>
        <w:t>This dissertation is the result of my own independent work/investigation, except where otherwise stated. Other sources are acknowledged in the Reference Section.</w:t>
      </w:r>
    </w:p>
    <w:p w14:paraId="784B0B20" w14:textId="77777777" w:rsidR="00453927" w:rsidRDefault="00453927" w:rsidP="00453927"/>
    <w:p w14:paraId="71F6D517" w14:textId="77777777" w:rsidR="00453927" w:rsidRDefault="00453927" w:rsidP="00453927">
      <w:r>
        <w:t xml:space="preserve">I hereby give consent for my dissertation, if accepted, to be available for photocopying and for interlibrary loan, and for the title and summary to be made available to outside organisations. </w:t>
      </w:r>
    </w:p>
    <w:p w14:paraId="2559C6F9" w14:textId="77777777" w:rsidR="00453927" w:rsidRDefault="00453927" w:rsidP="00453927"/>
    <w:p w14:paraId="0032FC6D" w14:textId="77777777" w:rsidR="00453927" w:rsidRDefault="00453927" w:rsidP="00453927">
      <w:r>
        <w:t xml:space="preserve">I hereby give consent for my dissertation, if accepted, to be available on the university’s IT system to those who have consent to use the system. </w:t>
      </w:r>
    </w:p>
    <w:p w14:paraId="3F0A9D64" w14:textId="77777777" w:rsidR="00453927" w:rsidRDefault="00453927" w:rsidP="00453927"/>
    <w:p w14:paraId="1544DD39" w14:textId="06552DA9" w:rsidR="00453927" w:rsidRDefault="00453927" w:rsidP="00453927">
      <w:r>
        <w:t xml:space="preserve">Name: </w:t>
      </w:r>
      <w:r>
        <w:t>Jack Banner</w:t>
      </w:r>
    </w:p>
    <w:p w14:paraId="0DE7980C" w14:textId="77777777" w:rsidR="00453927" w:rsidRDefault="00453927" w:rsidP="00453927"/>
    <w:p w14:paraId="08C0AAA7" w14:textId="19A82F02" w:rsidR="00453927" w:rsidRDefault="00453927" w:rsidP="00453927">
      <w:r>
        <w:t>Signed:</w:t>
      </w:r>
      <w:r>
        <w:t xml:space="preserve"> </w:t>
      </w:r>
      <w:proofErr w:type="spellStart"/>
      <w:proofErr w:type="gramStart"/>
      <w:r>
        <w:t>J.Banner</w:t>
      </w:r>
      <w:proofErr w:type="spellEnd"/>
      <w:proofErr w:type="gramEnd"/>
    </w:p>
    <w:p w14:paraId="625F752C" w14:textId="77777777" w:rsidR="00453927" w:rsidRDefault="00453927" w:rsidP="00453927"/>
    <w:p w14:paraId="41369967" w14:textId="77777777" w:rsidR="00453927" w:rsidRDefault="00453927" w:rsidP="00453927">
      <w:r>
        <w:t xml:space="preserve">Date: May </w:t>
      </w:r>
      <w:r>
        <w:t>6</w:t>
      </w:r>
      <w:r>
        <w:t>th, 2024</w:t>
      </w:r>
    </w:p>
    <w:p w14:paraId="50D85DB8" w14:textId="77777777" w:rsidR="00453927" w:rsidRDefault="00453927">
      <w:r>
        <w:br w:type="page"/>
      </w:r>
    </w:p>
    <w:p w14:paraId="3FB8ED90" w14:textId="6DA4266E" w:rsidR="00453927" w:rsidRDefault="00453927" w:rsidP="00453927">
      <w:pPr>
        <w:pStyle w:val="Heading1"/>
      </w:pPr>
      <w:r>
        <w:lastRenderedPageBreak/>
        <w:t>Acknowledgments</w:t>
      </w:r>
    </w:p>
    <w:p w14:paraId="57AF710A" w14:textId="77777777" w:rsidR="00B87F0E" w:rsidRDefault="005F7DFC" w:rsidP="00453927">
      <w:r>
        <w:t xml:space="preserve">I would like to express my gratitude to </w:t>
      </w:r>
      <w:r w:rsidR="00907FC6">
        <w:t>all</w:t>
      </w:r>
      <w:r>
        <w:t xml:space="preserve"> the lecturing faculty </w:t>
      </w:r>
      <w:r w:rsidR="00907FC6">
        <w:t>teaching on BSc Hons Professional Policing</w:t>
      </w:r>
      <w:r w:rsidR="003F37DE">
        <w:t xml:space="preserve"> at UWTSD (University of Wales Trinity Saint David)</w:t>
      </w:r>
      <w:r w:rsidR="00907FC6">
        <w:t xml:space="preserve"> for their continued support and guidance over the last 3 years.</w:t>
      </w:r>
      <w:r w:rsidR="00CE2EE1">
        <w:t xml:space="preserve"> Without their expertise and guidance throughout the duration of my studies, this research would not be possible. </w:t>
      </w:r>
      <w:r w:rsidR="00F16AFD">
        <w:t xml:space="preserve">I would also like to say thank you to my close friends and family who have supported me throughout my journey with UWTSD. </w:t>
      </w:r>
      <w:r w:rsidR="009D0601">
        <w:t xml:space="preserve">Specifically, my grandfather who has been there encouraging me every step of my academic career, and my partner who is currently sat next to me urging me to be proactive in writing this paper. You pushed me to completing my </w:t>
      </w:r>
      <w:r w:rsidR="0058644A">
        <w:t>degree.</w:t>
      </w:r>
    </w:p>
    <w:p w14:paraId="1F3CF0FA" w14:textId="50F93705" w:rsidR="00C33E0D" w:rsidRDefault="00B87F0E" w:rsidP="00453927">
      <w:r>
        <w:t>Finally, I would like to thank the participants of the survey. Your participation has been greatly appreciated, and this research would not exist without you.</w:t>
      </w:r>
      <w:r w:rsidR="005F2906">
        <w:t xml:space="preserve"> </w:t>
      </w:r>
      <w:r w:rsidR="00C33E0D">
        <w:br w:type="page"/>
      </w:r>
    </w:p>
    <w:p w14:paraId="190FC8C4" w14:textId="10B0AFED" w:rsidR="003F31F5" w:rsidRPr="008E7735" w:rsidRDefault="008F3A06" w:rsidP="000E580D">
      <w:pPr>
        <w:pStyle w:val="Heading1"/>
      </w:pPr>
      <w:bookmarkStart w:id="0" w:name="_Toc183802846"/>
      <w:r w:rsidRPr="008E7735">
        <w:lastRenderedPageBreak/>
        <w:t>Introduction</w:t>
      </w:r>
      <w:bookmarkEnd w:id="0"/>
    </w:p>
    <w:p w14:paraId="2608F3F3" w14:textId="76113E1C" w:rsidR="00635EA3" w:rsidRDefault="00F4411C">
      <w:r w:rsidRPr="00F4411C">
        <w:t xml:space="preserve">The creation of this research paper stems from one simple fact: the emergence of "major incidents" within society is constant, necessitating that </w:t>
      </w:r>
      <w:r w:rsidR="0065330D">
        <w:t>the</w:t>
      </w:r>
      <w:r w:rsidRPr="00F4411C">
        <w:t xml:space="preserve"> civil protection services remain ready and able to respond quickly and effectively. Most people across the UK can recall when one of these events occurred, with many incidents remaining in the public memory years later. Think back to the Grenfell Tower disaster in 2017, the Manchester Arena bombing in the same year, or even the 7-7 bombings in 2005. There exists a long trail of </w:t>
      </w:r>
      <w:r w:rsidR="003C35C1">
        <w:t>such</w:t>
      </w:r>
      <w:r w:rsidRPr="00F4411C">
        <w:t xml:space="preserve"> incidents. Unfortunately, they are accompanied by a longer list of victims and multiple errors, mistakes, and cases of inadequate response from </w:t>
      </w:r>
      <w:r w:rsidR="0065330D">
        <w:t>the</w:t>
      </w:r>
      <w:r w:rsidRPr="00F4411C">
        <w:t xml:space="preserve"> civil protection services. According to the World Health Organisation (2017), it is vital to emphasise strategies designed to improve cohesion among </w:t>
      </w:r>
      <w:r w:rsidR="0065330D">
        <w:t>the</w:t>
      </w:r>
      <w:r w:rsidRPr="00F4411C">
        <w:t xml:space="preserve"> emergency services, ensuring efficient interagency coordination when these incidents arise. However, this has not always been the case, facilitating the importance of this research: an exploration of current strategies employed by these services and an analysis of past incidents to draw lessons to strengthen future response.</w:t>
      </w:r>
    </w:p>
    <w:p w14:paraId="726F73B3" w14:textId="64F46B72" w:rsidR="00425735" w:rsidRDefault="005F2FD1">
      <w:r>
        <w:t xml:space="preserve">Despite the </w:t>
      </w:r>
      <w:r w:rsidR="00065963">
        <w:t xml:space="preserve">critical need for </w:t>
      </w:r>
      <w:r w:rsidR="004B7810">
        <w:t xml:space="preserve">proficiency with interagency coordination </w:t>
      </w:r>
      <w:r w:rsidR="001021CE">
        <w:t>among</w:t>
      </w:r>
      <w:r w:rsidR="004B7810">
        <w:t xml:space="preserve"> emergency response agencies</w:t>
      </w:r>
      <w:r w:rsidR="0076381D">
        <w:t xml:space="preserve">, there are numerous </w:t>
      </w:r>
      <w:r w:rsidR="00C02A6E">
        <w:t>high-profile</w:t>
      </w:r>
      <w:r w:rsidR="0076381D">
        <w:t xml:space="preserve"> incidents </w:t>
      </w:r>
      <w:r w:rsidR="00E06C1A">
        <w:t>highlighting persistent</w:t>
      </w:r>
      <w:r w:rsidR="0076381D">
        <w:t xml:space="preserve"> </w:t>
      </w:r>
      <w:r w:rsidR="00C02A6E">
        <w:t xml:space="preserve">challenges in this area. With that, the question this paper aims to </w:t>
      </w:r>
      <w:r w:rsidR="00887981">
        <w:t>address</w:t>
      </w:r>
      <w:r w:rsidR="00C02A6E">
        <w:t xml:space="preserve"> is</w:t>
      </w:r>
      <w:r w:rsidR="00F942A0">
        <w:t xml:space="preserve"> “</w:t>
      </w:r>
      <w:r w:rsidR="006C23C2">
        <w:t xml:space="preserve">How well has </w:t>
      </w:r>
      <w:r w:rsidR="00030FB9">
        <w:t xml:space="preserve">interagency coordination strategies influenced the effectiveness of the Public Services </w:t>
      </w:r>
      <w:r w:rsidR="00BB713C">
        <w:t>in responding to major incidents, and what can be learnt from past incidents?”</w:t>
      </w:r>
      <w:r w:rsidR="00F239E4">
        <w:t xml:space="preserve">. </w:t>
      </w:r>
      <w:r w:rsidR="00D73C2D">
        <w:t>F</w:t>
      </w:r>
      <w:r w:rsidR="00D73C2D" w:rsidRPr="00CB67F1">
        <w:t>ailin</w:t>
      </w:r>
      <w:r w:rsidR="00D73C2D">
        <w:t>g</w:t>
      </w:r>
      <w:r w:rsidR="003E053B">
        <w:t xml:space="preserve"> to proficient</w:t>
      </w:r>
      <w:r w:rsidR="005F2B36">
        <w:t>ly</w:t>
      </w:r>
      <w:r w:rsidR="003E053B">
        <w:t xml:space="preserve"> </w:t>
      </w:r>
      <w:r w:rsidR="004A3402">
        <w:t>respon</w:t>
      </w:r>
      <w:r w:rsidR="005F2B36">
        <w:t>d</w:t>
      </w:r>
      <w:r w:rsidR="004A3402">
        <w:t xml:space="preserve"> in collaborative settings</w:t>
      </w:r>
      <w:r w:rsidR="00CB67F1" w:rsidRPr="00CB67F1">
        <w:t xml:space="preserve"> to major incidents can have devastating consequences, not only causing delay</w:t>
      </w:r>
      <w:r w:rsidR="00C67633">
        <w:t>s</w:t>
      </w:r>
      <w:r w:rsidR="00193B02">
        <w:t xml:space="preserve"> in response,</w:t>
      </w:r>
      <w:r w:rsidR="00CB67F1" w:rsidRPr="00CB67F1">
        <w:t xml:space="preserve"> but also</w:t>
      </w:r>
      <w:r w:rsidR="00C67633">
        <w:t xml:space="preserve"> increas</w:t>
      </w:r>
      <w:r w:rsidR="00F055F9">
        <w:t>ing</w:t>
      </w:r>
      <w:r w:rsidR="00C67633">
        <w:t xml:space="preserve"> risk </w:t>
      </w:r>
      <w:r w:rsidR="00C20BE7">
        <w:t xml:space="preserve">to </w:t>
      </w:r>
      <w:r w:rsidR="00C20BE7" w:rsidRPr="00CB67F1">
        <w:t>public</w:t>
      </w:r>
      <w:r w:rsidR="00CB67F1" w:rsidRPr="00CB67F1">
        <w:t xml:space="preserve"> safety through</w:t>
      </w:r>
      <w:r w:rsidR="00C67633">
        <w:t xml:space="preserve"> both</w:t>
      </w:r>
      <w:r w:rsidR="00CB67F1" w:rsidRPr="00CB67F1">
        <w:t xml:space="preserve"> inaction</w:t>
      </w:r>
      <w:r w:rsidR="00C67633">
        <w:t xml:space="preserve">, and </w:t>
      </w:r>
      <w:r w:rsidR="00F055F9">
        <w:t>wrong action</w:t>
      </w:r>
      <w:r w:rsidR="00CB67F1" w:rsidRPr="00CB67F1">
        <w:t>. These failures</w:t>
      </w:r>
      <w:r w:rsidR="00C20BE7">
        <w:t xml:space="preserve"> have the potential to</w:t>
      </w:r>
      <w:r w:rsidR="00CB67F1" w:rsidRPr="00CB67F1">
        <w:t xml:space="preserve"> erode public trust in</w:t>
      </w:r>
      <w:r w:rsidR="002F245E">
        <w:t xml:space="preserve"> the</w:t>
      </w:r>
      <w:r w:rsidR="00CB67F1" w:rsidRPr="00CB67F1">
        <w:t xml:space="preserve"> civil protection services</w:t>
      </w:r>
      <w:r w:rsidR="002F245E">
        <w:t xml:space="preserve">, while also </w:t>
      </w:r>
      <w:r w:rsidR="00CB67F1" w:rsidRPr="00CB67F1">
        <w:t>amplif</w:t>
      </w:r>
      <w:r w:rsidR="00C20BE7">
        <w:t>ying</w:t>
      </w:r>
      <w:r w:rsidR="00CB67F1" w:rsidRPr="00CB67F1">
        <w:t xml:space="preserve"> the negative impacts of incidents on affected communities (Waring et al., 2018).</w:t>
      </w:r>
      <w:r w:rsidR="00CB67F1">
        <w:t xml:space="preserve"> </w:t>
      </w:r>
      <w:r w:rsidR="00350957" w:rsidRPr="00350957">
        <w:t>While</w:t>
      </w:r>
      <w:r w:rsidR="00350957">
        <w:t xml:space="preserve"> existing</w:t>
      </w:r>
      <w:r w:rsidR="00350957" w:rsidRPr="00350957">
        <w:t xml:space="preserve"> frameworks like</w:t>
      </w:r>
      <w:r w:rsidR="00350957">
        <w:t xml:space="preserve"> those deriving from</w:t>
      </w:r>
      <w:r w:rsidR="00350957" w:rsidRPr="00350957">
        <w:t xml:space="preserve"> the Joint Emergency Services Interoperability Programme (JESIP) provide</w:t>
      </w:r>
      <w:r w:rsidR="00432612">
        <w:t xml:space="preserve"> useful</w:t>
      </w:r>
      <w:r w:rsidR="00350957" w:rsidRPr="00350957">
        <w:t xml:space="preserve"> </w:t>
      </w:r>
      <w:r w:rsidR="00432612">
        <w:t>guidance</w:t>
      </w:r>
      <w:r w:rsidR="00350957" w:rsidRPr="00350957">
        <w:t xml:space="preserve"> for collaborative action, their application in real-world scenarios has</w:t>
      </w:r>
      <w:r w:rsidR="001D6B77">
        <w:t xml:space="preserve"> proved</w:t>
      </w:r>
      <w:r w:rsidR="00350957" w:rsidRPr="00350957">
        <w:t xml:space="preserve"> inconsistent</w:t>
      </w:r>
      <w:r w:rsidR="00432612">
        <w:t xml:space="preserve"> on many occasions</w:t>
      </w:r>
      <w:r w:rsidR="00350957" w:rsidRPr="00350957">
        <w:t xml:space="preserve">. This inconsistency </w:t>
      </w:r>
      <w:r w:rsidR="002B3C18">
        <w:t>facilitates</w:t>
      </w:r>
      <w:r w:rsidR="00350957" w:rsidRPr="00350957">
        <w:t xml:space="preserve"> the need for deeper investigation into both the strengths and limitations of these strategies. By analysing </w:t>
      </w:r>
      <w:r w:rsidR="00DD3082">
        <w:t>past incidents and current frameworks</w:t>
      </w:r>
      <w:r w:rsidR="00350957" w:rsidRPr="00350957">
        <w:t xml:space="preserve">, this research seeks to identify current strengths and </w:t>
      </w:r>
      <w:r w:rsidR="00DD3082">
        <w:t xml:space="preserve">challenges </w:t>
      </w:r>
      <w:r w:rsidR="00DA1A00">
        <w:t>present with</w:t>
      </w:r>
      <w:r w:rsidR="00350957" w:rsidRPr="00350957">
        <w:t xml:space="preserve"> interagency coordination and </w:t>
      </w:r>
      <w:r w:rsidR="00DA1A00">
        <w:t>ultimately make suggestions</w:t>
      </w:r>
      <w:r w:rsidR="00350957" w:rsidRPr="00350957">
        <w:t xml:space="preserve"> </w:t>
      </w:r>
      <w:r w:rsidR="00DA1A00">
        <w:t>aimed at</w:t>
      </w:r>
      <w:r w:rsidR="00350957" w:rsidRPr="00350957">
        <w:t xml:space="preserve"> reduc</w:t>
      </w:r>
      <w:r w:rsidR="00DA1A00">
        <w:t>ing</w:t>
      </w:r>
      <w:r w:rsidR="00350957" w:rsidRPr="00350957">
        <w:t xml:space="preserve"> the adverse impacts </w:t>
      </w:r>
      <w:r w:rsidR="00C97738">
        <w:t xml:space="preserve">for the protection of the public nationwide </w:t>
      </w:r>
      <w:r w:rsidR="00350957" w:rsidRPr="00350957">
        <w:t>(Traore et al., 2023).</w:t>
      </w:r>
    </w:p>
    <w:p w14:paraId="1041210C" w14:textId="73A1D3C1" w:rsidR="00214EA3" w:rsidRDefault="00214EA3">
      <w:r>
        <w:t xml:space="preserve">Even </w:t>
      </w:r>
      <w:r w:rsidR="00426D95">
        <w:t xml:space="preserve">focusing on the issue within a global frame, it is agreed that interagency </w:t>
      </w:r>
      <w:r w:rsidR="00CE3E0A">
        <w:t>coordination is a</w:t>
      </w:r>
      <w:r w:rsidR="00426D95">
        <w:t xml:space="preserve"> cornerstone of effective response</w:t>
      </w:r>
      <w:r w:rsidR="000E1E40">
        <w:t xml:space="preserve">. </w:t>
      </w:r>
      <w:r w:rsidR="00D74A8B">
        <w:t xml:space="preserve">Major incidents remain a global </w:t>
      </w:r>
      <w:r w:rsidR="00853E3E">
        <w:t>phenomenon</w:t>
      </w:r>
      <w:r w:rsidR="00D74A8B">
        <w:t xml:space="preserve">, </w:t>
      </w:r>
      <w:r w:rsidR="00215BE6">
        <w:t xml:space="preserve">with </w:t>
      </w:r>
      <w:r w:rsidR="00853E3E">
        <w:t xml:space="preserve">Hurricane Katrina standing </w:t>
      </w:r>
      <w:r w:rsidR="00215BE6">
        <w:t>as</w:t>
      </w:r>
      <w:r w:rsidR="00853E3E">
        <w:t xml:space="preserve"> one of the most devastating incidents in recent history; </w:t>
      </w:r>
      <w:r w:rsidR="00853E3E">
        <w:lastRenderedPageBreak/>
        <w:t xml:space="preserve">however, the emergence of these incidents on a global scale allows investigation into alternative tactics employed, </w:t>
      </w:r>
      <w:r w:rsidR="007C2019">
        <w:t>unlocking the potential for</w:t>
      </w:r>
      <w:r w:rsidR="00853E3E">
        <w:t xml:space="preserve"> recommendations to derive from proven strategies employed by agencies </w:t>
      </w:r>
      <w:r w:rsidR="00604CD5">
        <w:t>worldwide</w:t>
      </w:r>
      <w:r w:rsidR="004F078C">
        <w:t xml:space="preserve"> </w:t>
      </w:r>
      <w:r w:rsidR="004F078C" w:rsidRPr="004F078C">
        <w:t>(Koliba, Mills and Zia, 2011)</w:t>
      </w:r>
      <w:r w:rsidR="00604CD5">
        <w:t>.</w:t>
      </w:r>
      <w:r w:rsidR="0009627D">
        <w:t xml:space="preserve"> An understanding of the broader context and necessity of </w:t>
      </w:r>
      <w:r w:rsidR="006556CA">
        <w:t xml:space="preserve">frameworks such as JESIP globally will further strengthen the foundation of research within this paper, allowing for a more in depth understanding </w:t>
      </w:r>
      <w:r w:rsidR="00472B8D">
        <w:t>that will ultimately inform the presented suggestions.</w:t>
      </w:r>
    </w:p>
    <w:p w14:paraId="231EDFAF" w14:textId="38FACA56" w:rsidR="00472B8D" w:rsidRDefault="00425735">
      <w:r>
        <w:t>The primary aim of this research paper</w:t>
      </w:r>
      <w:r w:rsidR="00AA13FA">
        <w:t xml:space="preserve">, as </w:t>
      </w:r>
      <w:r w:rsidR="00BC7937">
        <w:t>previously mentioned</w:t>
      </w:r>
      <w:r w:rsidR="00AA13FA">
        <w:t xml:space="preserve">, is to </w:t>
      </w:r>
      <w:r w:rsidR="00ED6E4D">
        <w:t>evaluate the effectiveness</w:t>
      </w:r>
      <w:r w:rsidR="00CB7F7F">
        <w:t xml:space="preserve"> of interagency </w:t>
      </w:r>
      <w:r w:rsidR="00110FBB">
        <w:t xml:space="preserve">cooperation, </w:t>
      </w:r>
      <w:r w:rsidR="00862EE2">
        <w:t>communication and c</w:t>
      </w:r>
      <w:r w:rsidR="001357C0">
        <w:t>oordination</w:t>
      </w:r>
      <w:r w:rsidR="004166C4">
        <w:t xml:space="preserve"> strategies that are employed by the emergency services</w:t>
      </w:r>
      <w:r w:rsidR="00FC068E">
        <w:t xml:space="preserve">, </w:t>
      </w:r>
      <w:r w:rsidR="00BC7937">
        <w:t>with the goal of</w:t>
      </w:r>
      <w:r w:rsidR="006D3FE5">
        <w:t xml:space="preserve"> form</w:t>
      </w:r>
      <w:r w:rsidR="00BC7937">
        <w:t>ing</w:t>
      </w:r>
      <w:r w:rsidR="006D3FE5">
        <w:t xml:space="preserve"> </w:t>
      </w:r>
      <w:r w:rsidR="00F50BFF">
        <w:t>recommendations for</w:t>
      </w:r>
      <w:r w:rsidR="006D3FE5">
        <w:t xml:space="preserve"> </w:t>
      </w:r>
      <w:r w:rsidR="00F50BFF">
        <w:t>strengthening collaborative response among the emergency services</w:t>
      </w:r>
      <w:r w:rsidR="00F378DD">
        <w:t>.</w:t>
      </w:r>
      <w:r w:rsidR="00F4305B">
        <w:t xml:space="preserve"> Frameworks, </w:t>
      </w:r>
      <w:r w:rsidR="00A42BE8">
        <w:t>like</w:t>
      </w:r>
      <w:r w:rsidR="003E0A18">
        <w:t xml:space="preserve"> </w:t>
      </w:r>
      <w:r w:rsidR="00F4305B">
        <w:t>JESIP</w:t>
      </w:r>
      <w:r w:rsidR="003E0A18">
        <w:t>,</w:t>
      </w:r>
      <w:r w:rsidR="00F4305B">
        <w:t xml:space="preserve"> will provide the</w:t>
      </w:r>
      <w:r w:rsidR="00A21941">
        <w:t xml:space="preserve"> foundation</w:t>
      </w:r>
      <w:r w:rsidR="00F4305B">
        <w:t xml:space="preserve"> </w:t>
      </w:r>
      <w:r w:rsidR="00547212">
        <w:t>for a</w:t>
      </w:r>
      <w:r w:rsidR="00C51AA2">
        <w:t xml:space="preserve"> </w:t>
      </w:r>
      <w:r w:rsidR="00F4305B">
        <w:t>compar</w:t>
      </w:r>
      <w:r w:rsidR="008219C8">
        <w:t xml:space="preserve">ison </w:t>
      </w:r>
      <w:r w:rsidR="00547212">
        <w:t xml:space="preserve">of intended </w:t>
      </w:r>
      <w:r w:rsidR="00144DBB">
        <w:t>results with</w:t>
      </w:r>
      <w:r w:rsidR="008219C8">
        <w:t xml:space="preserve"> real world performance, allowing </w:t>
      </w:r>
      <w:r w:rsidR="00605AFE">
        <w:t>analysis of potential shortcomings</w:t>
      </w:r>
      <w:r w:rsidR="00043755">
        <w:t xml:space="preserve"> such as</w:t>
      </w:r>
      <w:r w:rsidR="00012DA6">
        <w:t xml:space="preserve"> during </w:t>
      </w:r>
      <w:r w:rsidR="00043755">
        <w:t>the Manchester Arena bombing</w:t>
      </w:r>
      <w:r w:rsidR="00957FF6">
        <w:t xml:space="preserve">, where the fire service arrived hours late to </w:t>
      </w:r>
      <w:r w:rsidR="00CE73CC">
        <w:t xml:space="preserve">the </w:t>
      </w:r>
      <w:r w:rsidR="00957FF6">
        <w:t xml:space="preserve">scene </w:t>
      </w:r>
      <w:r w:rsidR="00CE73CC">
        <w:t>because</w:t>
      </w:r>
      <w:r w:rsidR="00957FF6">
        <w:t xml:space="preserve"> of miscommunication</w:t>
      </w:r>
      <w:r w:rsidR="00CE76C4">
        <w:t xml:space="preserve"> </w:t>
      </w:r>
      <w:r w:rsidR="00CE76C4" w:rsidRPr="00CE76C4">
        <w:t>(Lowe, 2020)</w:t>
      </w:r>
      <w:r w:rsidR="006F474B">
        <w:t>.</w:t>
      </w:r>
      <w:r w:rsidR="008219C8">
        <w:t xml:space="preserve"> </w:t>
      </w:r>
      <w:r w:rsidR="0044051C">
        <w:t xml:space="preserve">The research will be supported by a theoretical foundation </w:t>
      </w:r>
      <w:r w:rsidR="00D34090">
        <w:t>established</w:t>
      </w:r>
      <w:r w:rsidR="0044051C">
        <w:t xml:space="preserve"> through the review of existing literature </w:t>
      </w:r>
      <w:r w:rsidR="007479E3">
        <w:t>on</w:t>
      </w:r>
      <w:r w:rsidR="0044051C">
        <w:t xml:space="preserve"> the topic, providing context through</w:t>
      </w:r>
      <w:r w:rsidR="00364272">
        <w:t xml:space="preserve"> </w:t>
      </w:r>
      <w:r w:rsidR="007E3904">
        <w:t xml:space="preserve">the </w:t>
      </w:r>
      <w:r w:rsidR="00364272">
        <w:t>examin</w:t>
      </w:r>
      <w:r w:rsidR="007E3904">
        <w:t>ation of</w:t>
      </w:r>
      <w:r w:rsidR="00364272">
        <w:t xml:space="preserve"> current knowledge and relevant case studies.</w:t>
      </w:r>
      <w:r w:rsidR="008D270D">
        <w:t xml:space="preserve"> </w:t>
      </w:r>
      <w:r w:rsidR="00C02960">
        <w:t>Using this approach,</w:t>
      </w:r>
      <w:r w:rsidR="008D270D">
        <w:t xml:space="preserve"> the paper aim</w:t>
      </w:r>
      <w:r w:rsidR="00C02960">
        <w:t>s</w:t>
      </w:r>
      <w:r w:rsidR="008D270D">
        <w:t xml:space="preserve"> to </w:t>
      </w:r>
      <w:r w:rsidR="00EA0589">
        <w:t xml:space="preserve">general practical recommendations </w:t>
      </w:r>
      <w:r w:rsidR="005D7ED4">
        <w:t xml:space="preserve">informed by the prior analysis, designed to </w:t>
      </w:r>
      <w:r w:rsidR="00032B4D">
        <w:t>address</w:t>
      </w:r>
      <w:r w:rsidR="005D7ED4">
        <w:t xml:space="preserve"> identified shortcomings </w:t>
      </w:r>
      <w:r w:rsidR="00032B4D">
        <w:t xml:space="preserve">and enhance interagency coordination </w:t>
      </w:r>
      <w:r w:rsidR="005D7ED4">
        <w:t>when implemented</w:t>
      </w:r>
      <w:r w:rsidR="007C096A">
        <w:t xml:space="preserve"> </w:t>
      </w:r>
      <w:r w:rsidR="007C096A" w:rsidRPr="007C096A">
        <w:t>(</w:t>
      </w:r>
      <w:proofErr w:type="spellStart"/>
      <w:r w:rsidR="007C096A" w:rsidRPr="007C096A">
        <w:t>Brignardello</w:t>
      </w:r>
      <w:proofErr w:type="spellEnd"/>
      <w:r w:rsidR="007C096A" w:rsidRPr="007C096A">
        <w:t xml:space="preserve">-Petersen, </w:t>
      </w:r>
      <w:proofErr w:type="spellStart"/>
      <w:r w:rsidR="007C096A" w:rsidRPr="007C096A">
        <w:t>Santesso</w:t>
      </w:r>
      <w:proofErr w:type="spellEnd"/>
      <w:r w:rsidR="007C096A" w:rsidRPr="007C096A">
        <w:t xml:space="preserve"> and Guyatt, 2024)</w:t>
      </w:r>
      <w:r w:rsidR="005D7ED4">
        <w:t>.</w:t>
      </w:r>
    </w:p>
    <w:p w14:paraId="4B01F8AC" w14:textId="03CB474F" w:rsidR="00544F1D" w:rsidRDefault="00472B8D">
      <w:r>
        <w:t>The scope of this paper will remain rooted in the context of British major incidents, delving into JESIP and other strategy employed</w:t>
      </w:r>
      <w:r w:rsidR="00C33E17">
        <w:t xml:space="preserve"> in the UK.</w:t>
      </w:r>
      <w:r w:rsidR="000B0C5E">
        <w:t xml:space="preserve"> </w:t>
      </w:r>
      <w:r w:rsidR="000D4BC5">
        <w:t>Cases</w:t>
      </w:r>
      <w:r w:rsidR="000B0C5E">
        <w:t xml:space="preserve"> such as the Grenfell </w:t>
      </w:r>
      <w:r w:rsidR="006A043D">
        <w:t xml:space="preserve">Tower </w:t>
      </w:r>
      <w:r w:rsidR="000B0C5E">
        <w:t>disaster o</w:t>
      </w:r>
      <w:r w:rsidR="006A043D">
        <w:t>r</w:t>
      </w:r>
      <w:r w:rsidR="000B0C5E">
        <w:t xml:space="preserve"> the Manchester arena bombing provide a </w:t>
      </w:r>
      <w:r w:rsidR="00ED12A5">
        <w:t xml:space="preserve">rich basis for analysis, </w:t>
      </w:r>
      <w:r w:rsidR="00C11C50">
        <w:t>offering those vital insights into systemic issues in major incident response</w:t>
      </w:r>
      <w:r w:rsidR="00CF028F">
        <w:t>.</w:t>
      </w:r>
      <w:r w:rsidR="004D7D56">
        <w:t xml:space="preserve"> Investigation of these </w:t>
      </w:r>
      <w:r w:rsidR="00C00BEF">
        <w:t xml:space="preserve">large-scale incidents presents the times where coordination challenges have been most </w:t>
      </w:r>
      <w:r w:rsidR="00E5253B">
        <w:t>present and</w:t>
      </w:r>
      <w:r w:rsidR="00C00BEF">
        <w:t xml:space="preserve"> will allow</w:t>
      </w:r>
      <w:r w:rsidR="00C0778C">
        <w:t xml:space="preserve"> for the tailoring of solutions to the level of complexity present within these incidents.</w:t>
      </w:r>
      <w:r w:rsidR="00E5253B">
        <w:t xml:space="preserve"> Also, while the primary focus will remain with British </w:t>
      </w:r>
      <w:r w:rsidR="000908F7">
        <w:t>incidents</w:t>
      </w:r>
      <w:r w:rsidR="00C222DB">
        <w:t>, t</w:t>
      </w:r>
      <w:r w:rsidR="00D01684">
        <w:t>he paper acknowledges the potential for limitations in this approach and will also explore alternative fr</w:t>
      </w:r>
      <w:r w:rsidR="00BF45FE">
        <w:t>ameworks, such as those used by emergency response agencies around the globe</w:t>
      </w:r>
      <w:r w:rsidR="004D6412">
        <w:t xml:space="preserve"> </w:t>
      </w:r>
      <w:r w:rsidR="004D6412" w:rsidRPr="004D6412">
        <w:t>(Wankhade and Patnaik, 2020)</w:t>
      </w:r>
      <w:r w:rsidR="00BF45FE">
        <w:t>.</w:t>
      </w:r>
    </w:p>
    <w:p w14:paraId="252A54F2" w14:textId="77777777" w:rsidR="00E408F6" w:rsidRDefault="00544F1D">
      <w:r>
        <w:t xml:space="preserve">The overall significance of the research will lie in it’s potential to address a critical </w:t>
      </w:r>
      <w:r w:rsidR="00E15D6B">
        <w:t xml:space="preserve">issue within emergency response, consistent and effective response to major incidents. </w:t>
      </w:r>
      <w:r w:rsidR="008570B6">
        <w:t xml:space="preserve">Frameworks such as JESIP are well documented; however, despite the insights into the issue and criticisms of real-world application there lacks </w:t>
      </w:r>
      <w:r w:rsidR="00B535EF">
        <w:t>necessitated solutions derived from the analysis</w:t>
      </w:r>
      <w:r w:rsidR="001759AB">
        <w:t xml:space="preserve"> of performance.</w:t>
      </w:r>
      <w:r w:rsidR="009767AB">
        <w:t xml:space="preserve"> This research aims to bring together </w:t>
      </w:r>
      <w:r w:rsidR="008F7F83">
        <w:t>all</w:t>
      </w:r>
      <w:r w:rsidR="009767AB">
        <w:t xml:space="preserve"> the existing information to perform </w:t>
      </w:r>
      <w:r w:rsidR="0010731A">
        <w:t>its</w:t>
      </w:r>
      <w:r w:rsidR="009767AB">
        <w:t xml:space="preserve"> own analysis</w:t>
      </w:r>
      <w:r w:rsidR="0010731A">
        <w:t xml:space="preserve"> offering</w:t>
      </w:r>
      <w:r w:rsidR="00E408F6">
        <w:t xml:space="preserve"> academically rigorous and</w:t>
      </w:r>
      <w:r w:rsidR="0010731A">
        <w:t xml:space="preserve"> relevant </w:t>
      </w:r>
      <w:r w:rsidR="0010731A">
        <w:lastRenderedPageBreak/>
        <w:t>insights</w:t>
      </w:r>
      <w:r w:rsidR="009767AB">
        <w:t xml:space="preserve">, and to provide practical solutions that can be employed </w:t>
      </w:r>
      <w:r w:rsidR="0010731A">
        <w:t>to ensure proficient response in the future.</w:t>
      </w:r>
    </w:p>
    <w:p w14:paraId="2BBA67C8" w14:textId="388DBAD3" w:rsidR="0065330D" w:rsidRDefault="00E408F6">
      <w:r>
        <w:t xml:space="preserve">The importance of this research extends beyond academic necessity, </w:t>
      </w:r>
      <w:r w:rsidR="00BE3C79">
        <w:t xml:space="preserve">underscoring </w:t>
      </w:r>
      <w:r w:rsidR="00BE3C79" w:rsidRPr="00BE3C79">
        <w:t>the importance of public trust</w:t>
      </w:r>
      <w:r w:rsidR="00D4763B">
        <w:t xml:space="preserve"> in safeguarding the public in general</w:t>
      </w:r>
      <w:r w:rsidR="00BE3C79" w:rsidRPr="00BE3C79">
        <w:t>. Interagency coordination is</w:t>
      </w:r>
      <w:r w:rsidR="00D4763B">
        <w:t xml:space="preserve"> a</w:t>
      </w:r>
      <w:r w:rsidR="00BE3C79" w:rsidRPr="00BE3C79">
        <w:t xml:space="preserve"> vital</w:t>
      </w:r>
      <w:r w:rsidR="00D4763B">
        <w:t xml:space="preserve"> cornerstone</w:t>
      </w:r>
      <w:r w:rsidR="00BE3C79" w:rsidRPr="00BE3C79">
        <w:t xml:space="preserve"> to maintaining public confidence that</w:t>
      </w:r>
      <w:r w:rsidR="007F1862">
        <w:t xml:space="preserve"> the</w:t>
      </w:r>
      <w:r w:rsidR="00BE3C79" w:rsidRPr="00BE3C79">
        <w:t xml:space="preserve"> civil protection services can handle</w:t>
      </w:r>
      <w:r w:rsidR="00C46D7D">
        <w:t xml:space="preserve"> these</w:t>
      </w:r>
      <w:r w:rsidR="00BE3C79" w:rsidRPr="00BE3C79">
        <w:t xml:space="preserve"> complex, large-scale incidents</w:t>
      </w:r>
      <w:r w:rsidR="00C46D7D">
        <w:t xml:space="preserve"> as they arise</w:t>
      </w:r>
      <w:r w:rsidR="004D0E22">
        <w:t xml:space="preserve">. </w:t>
      </w:r>
      <w:r w:rsidR="00451880">
        <w:t>Overall, the maintenance and build</w:t>
      </w:r>
      <w:r w:rsidR="000A48CD">
        <w:t>-</w:t>
      </w:r>
      <w:r w:rsidR="00451880">
        <w:t xml:space="preserve">up of public trust </w:t>
      </w:r>
      <w:r w:rsidR="00957113">
        <w:t xml:space="preserve">in the emergency services is vital, especially with underlying principles such as policing with consent. </w:t>
      </w:r>
      <w:r w:rsidR="004E069B">
        <w:t xml:space="preserve">Failures can have lasting impacts on public trust, and the absence of that trust </w:t>
      </w:r>
      <w:r w:rsidR="00B376B3">
        <w:t xml:space="preserve">within organisations that exist </w:t>
      </w:r>
      <w:r w:rsidR="0049655B">
        <w:t xml:space="preserve">from public trust </w:t>
      </w:r>
      <w:r w:rsidR="00097A52">
        <w:t>can have direct and indirect effects on a services ability to operate and</w:t>
      </w:r>
      <w:r w:rsidR="00990D61">
        <w:t xml:space="preserve"> maintain public safety. </w:t>
      </w:r>
      <w:r w:rsidR="004D0E22">
        <w:t>The identification of strength</w:t>
      </w:r>
      <w:r w:rsidR="003716B0">
        <w:t>s</w:t>
      </w:r>
      <w:r w:rsidR="004D0E22">
        <w:t xml:space="preserve"> and weaknesses, along with the subsequent </w:t>
      </w:r>
      <w:r w:rsidR="002B3F12">
        <w:t>recommendations aim to inform policy and train</w:t>
      </w:r>
      <w:r w:rsidR="003716B0">
        <w:t>ing</w:t>
      </w:r>
      <w:r w:rsidR="002B3F12">
        <w:t xml:space="preserve"> to ensure that </w:t>
      </w:r>
      <w:r w:rsidR="00C70828">
        <w:t>actionable improvements for better response</w:t>
      </w:r>
      <w:r w:rsidR="00557E61">
        <w:t xml:space="preserve"> are implemented</w:t>
      </w:r>
      <w:r w:rsidR="00C70828">
        <w:t xml:space="preserve"> on</w:t>
      </w:r>
      <w:r w:rsidR="002B3F12">
        <w:t xml:space="preserve"> a national level</w:t>
      </w:r>
      <w:r w:rsidR="00ED1B48">
        <w:t xml:space="preserve"> (Davidson, 2023)</w:t>
      </w:r>
      <w:r w:rsidR="002B3F12">
        <w:t>.</w:t>
      </w:r>
    </w:p>
    <w:p w14:paraId="0021442D" w14:textId="77777777" w:rsidR="002E44C9" w:rsidRDefault="0065330D">
      <w:r>
        <w:t>Th</w:t>
      </w:r>
      <w:r w:rsidR="00761F9B">
        <w:t>e remaining chap</w:t>
      </w:r>
      <w:r w:rsidR="00482446">
        <w:t>ters of this paper will each contribute to the overarching aims discussed throughout th</w:t>
      </w:r>
      <w:r w:rsidR="00656992">
        <w:t>e introduction</w:t>
      </w:r>
      <w:r w:rsidR="00482446">
        <w:t xml:space="preserve">. Chapter </w:t>
      </w:r>
      <w:r w:rsidR="007D6A85">
        <w:t>Two</w:t>
      </w:r>
      <w:r w:rsidR="00482446">
        <w:t>, the li</w:t>
      </w:r>
      <w:r w:rsidR="00D75117">
        <w:t xml:space="preserve">terature review will explore the existing theory behind JESIP and frameworks, along with evaluations and case studies to provide a comprehensive initial analysis. Chapter </w:t>
      </w:r>
      <w:r w:rsidR="007D6A85">
        <w:t>Three outline</w:t>
      </w:r>
      <w:r w:rsidR="00C4732E">
        <w:t>s</w:t>
      </w:r>
      <w:r w:rsidR="007D6A85">
        <w:t xml:space="preserve"> the research methods used, detail</w:t>
      </w:r>
      <w:r w:rsidR="00C71007">
        <w:t>ing the</w:t>
      </w:r>
      <w:r w:rsidR="007D6A85">
        <w:t xml:space="preserve"> mixed method approach </w:t>
      </w:r>
      <w:r w:rsidR="00C71007">
        <w:t>combining</w:t>
      </w:r>
      <w:r w:rsidR="00080EA1">
        <w:t xml:space="preserve"> qualitative and quantitative data, along with providing rational for</w:t>
      </w:r>
      <w:r w:rsidR="00AA732D">
        <w:t xml:space="preserve"> any</w:t>
      </w:r>
      <w:r w:rsidR="00080EA1">
        <w:t xml:space="preserve"> used case studies. </w:t>
      </w:r>
      <w:r w:rsidR="008C42B6">
        <w:t>Chapter</w:t>
      </w:r>
      <w:r w:rsidR="00D52670">
        <w:t xml:space="preserve"> Four</w:t>
      </w:r>
      <w:r w:rsidR="00AA732D">
        <w:t xml:space="preserve"> </w:t>
      </w:r>
      <w:r w:rsidR="00D52670">
        <w:t>present</w:t>
      </w:r>
      <w:r w:rsidR="00AA732D">
        <w:t>s the findings</w:t>
      </w:r>
      <w:r w:rsidR="008C42B6">
        <w:t xml:space="preserve"> </w:t>
      </w:r>
      <w:r w:rsidR="00004032">
        <w:t xml:space="preserve">of the conducted primary research, </w:t>
      </w:r>
      <w:r w:rsidR="003B3306">
        <w:t xml:space="preserve">combining with </w:t>
      </w:r>
      <w:r w:rsidR="00004032">
        <w:t>the research conducted to that point</w:t>
      </w:r>
      <w:r w:rsidR="003B3306">
        <w:t xml:space="preserve"> preparing for final recommendations</w:t>
      </w:r>
      <w:r w:rsidR="00004032">
        <w:t xml:space="preserve">. </w:t>
      </w:r>
      <w:r w:rsidR="00036F08">
        <w:t xml:space="preserve">This will culminate with Chapter Five, concluding and consolidating </w:t>
      </w:r>
      <w:r w:rsidR="00F219F9">
        <w:t>all</w:t>
      </w:r>
      <w:r w:rsidR="00036F08">
        <w:t xml:space="preserve"> the research conducted throughout the duration of the paper and presenting the</w:t>
      </w:r>
      <w:r w:rsidR="0015033E">
        <w:t xml:space="preserve"> final recommendations in relation to the issue.</w:t>
      </w:r>
      <w:r w:rsidR="00D52670">
        <w:t xml:space="preserve"> </w:t>
      </w:r>
    </w:p>
    <w:p w14:paraId="3829EEC7" w14:textId="77777777" w:rsidR="002E44C9" w:rsidRDefault="002E44C9"/>
    <w:p w14:paraId="0E1F4DB6" w14:textId="21769FEB" w:rsidR="00F075EA" w:rsidRDefault="00492EC2" w:rsidP="002E44C9">
      <w:pPr>
        <w:pStyle w:val="Heading1"/>
      </w:pPr>
      <w:bookmarkStart w:id="1" w:name="_Toc183802847"/>
      <w:r w:rsidRPr="00492EC2">
        <w:t>Literature Review</w:t>
      </w:r>
      <w:r w:rsidR="00F075EA">
        <w:t>.</w:t>
      </w:r>
      <w:bookmarkEnd w:id="1"/>
    </w:p>
    <w:p w14:paraId="541F8F64" w14:textId="72EC501A" w:rsidR="00521D1F" w:rsidRDefault="0064221C" w:rsidP="00F075EA">
      <w:r>
        <w:t xml:space="preserve">Before the creation of the Joint Emergency Services Interoperability Programme (JESIP), there were multiple pressures </w:t>
      </w:r>
      <w:r w:rsidR="00C63807">
        <w:t xml:space="preserve">that </w:t>
      </w:r>
      <w:r>
        <w:t>necessita</w:t>
      </w:r>
      <w:r w:rsidR="005852A0">
        <w:t>ted</w:t>
      </w:r>
      <w:r>
        <w:t xml:space="preserve"> </w:t>
      </w:r>
      <w:r w:rsidR="005852A0">
        <w:t>creation</w:t>
      </w:r>
      <w:r>
        <w:t xml:space="preserve"> before it was finally established in 2012</w:t>
      </w:r>
      <w:r w:rsidR="008A574E">
        <w:t xml:space="preserve"> </w:t>
      </w:r>
      <w:r w:rsidR="008A574E" w:rsidRPr="008A574E">
        <w:t xml:space="preserve">(Parry, Verhaeghe, and </w:t>
      </w:r>
      <w:proofErr w:type="spellStart"/>
      <w:r w:rsidR="008A574E" w:rsidRPr="008A574E">
        <w:t>Enback</w:t>
      </w:r>
      <w:proofErr w:type="spellEnd"/>
      <w:r w:rsidR="008A574E" w:rsidRPr="008A574E">
        <w:t>, 2014)</w:t>
      </w:r>
      <w:r>
        <w:t xml:space="preserve">. </w:t>
      </w:r>
      <w:r w:rsidR="009305F7">
        <w:t xml:space="preserve">Lessons learnt from major incidents such as the 7/7 bombings, </w:t>
      </w:r>
      <w:r w:rsidR="005852A0">
        <w:t>evolving</w:t>
      </w:r>
      <w:r w:rsidR="001E4DEF">
        <w:t xml:space="preserve"> threats within society and even </w:t>
      </w:r>
      <w:r w:rsidR="0060330E">
        <w:t>a statutory d</w:t>
      </w:r>
      <w:r w:rsidR="004022B3">
        <w:t xml:space="preserve"> </w:t>
      </w:r>
      <w:proofErr w:type="spellStart"/>
      <w:r w:rsidR="0060330E">
        <w:t>uty</w:t>
      </w:r>
      <w:proofErr w:type="spellEnd"/>
      <w:r w:rsidR="0060330E">
        <w:t xml:space="preserve"> for collaboration as outlined in the Civil Contingencies Act 2004</w:t>
      </w:r>
      <w:r w:rsidR="003B5919">
        <w:t xml:space="preserve"> </w:t>
      </w:r>
      <w:r w:rsidR="002539DD">
        <w:t>necessitated</w:t>
      </w:r>
      <w:r w:rsidR="003B5919">
        <w:t xml:space="preserve"> the urgency creation of </w:t>
      </w:r>
      <w:r w:rsidR="002539DD">
        <w:t>such frameworks, ultimately leading to the creation of JESIP</w:t>
      </w:r>
      <w:r w:rsidR="00362450">
        <w:t xml:space="preserve"> </w:t>
      </w:r>
      <w:r w:rsidR="00362450" w:rsidRPr="00362450">
        <w:t>(Pollock and Coles, 2015)</w:t>
      </w:r>
      <w:r w:rsidR="002539DD">
        <w:t>.</w:t>
      </w:r>
      <w:r w:rsidR="00D10282">
        <w:t xml:space="preserve"> The initial development of the framework</w:t>
      </w:r>
      <w:r w:rsidR="00E2244F">
        <w:t xml:space="preserve"> was a </w:t>
      </w:r>
      <w:r w:rsidR="00E072C1">
        <w:t xml:space="preserve">joint </w:t>
      </w:r>
      <w:r w:rsidR="00CE58D2">
        <w:t>effort involving</w:t>
      </w:r>
      <w:r w:rsidR="00E2244F">
        <w:t xml:space="preserve"> the Home Office, </w:t>
      </w:r>
      <w:r w:rsidR="00AF420E">
        <w:t xml:space="preserve">the </w:t>
      </w:r>
      <w:r w:rsidR="00196DF3">
        <w:t>Ministry</w:t>
      </w:r>
      <w:r w:rsidR="00AF420E" w:rsidRPr="00AF420E">
        <w:t xml:space="preserve"> of Health and Social Care</w:t>
      </w:r>
      <w:r w:rsidR="00AF420E">
        <w:t xml:space="preserve"> and</w:t>
      </w:r>
      <w:r w:rsidR="00196DF3">
        <w:t xml:space="preserve"> the </w:t>
      </w:r>
      <w:r w:rsidR="00196DF3" w:rsidRPr="00196DF3">
        <w:t xml:space="preserve">Ministry of Housing, Communities and Local Government </w:t>
      </w:r>
      <w:r w:rsidR="00EA7CEE">
        <w:t xml:space="preserve">alongside senior leaders from each of the </w:t>
      </w:r>
      <w:r w:rsidR="004E71FE">
        <w:t xml:space="preserve">blue light </w:t>
      </w:r>
      <w:r w:rsidR="004E71FE">
        <w:lastRenderedPageBreak/>
        <w:t>services.</w:t>
      </w:r>
      <w:r w:rsidR="00987B7F">
        <w:t xml:space="preserve"> With this the five key principles of joint working, alongside </w:t>
      </w:r>
      <w:r w:rsidR="004F33BA">
        <w:t xml:space="preserve">the M/ETHANE model and the Joint Decision Model </w:t>
      </w:r>
      <w:r w:rsidR="00AB6B74">
        <w:t>culminated in the JESIP doctrine</w:t>
      </w:r>
      <w:r w:rsidR="00331435">
        <w:t>,</w:t>
      </w:r>
      <w:r w:rsidR="00AB6B74">
        <w:t xml:space="preserve"> </w:t>
      </w:r>
      <w:r w:rsidR="00331435">
        <w:t>which</w:t>
      </w:r>
      <w:r w:rsidR="00AB6B74">
        <w:t xml:space="preserve"> </w:t>
      </w:r>
      <w:r w:rsidR="00893ABA">
        <w:t xml:space="preserve">began national implementation </w:t>
      </w:r>
      <w:r w:rsidR="00331435">
        <w:t>in</w:t>
      </w:r>
      <w:r w:rsidR="00893ABA">
        <w:t xml:space="preserve"> 2013</w:t>
      </w:r>
      <w:r w:rsidR="0069724E">
        <w:t xml:space="preserve"> </w:t>
      </w:r>
      <w:r w:rsidR="0069724E" w:rsidRPr="0069724E">
        <w:t>(Griffiths, 2022)</w:t>
      </w:r>
      <w:r w:rsidR="00893ABA">
        <w:t xml:space="preserve">. </w:t>
      </w:r>
      <w:r w:rsidR="00386C60">
        <w:t>A progress report published in 201</w:t>
      </w:r>
      <w:r w:rsidR="009D25C4">
        <w:t>6</w:t>
      </w:r>
      <w:r w:rsidR="00386C60">
        <w:t xml:space="preserve"> </w:t>
      </w:r>
      <w:r w:rsidR="00D51386">
        <w:t xml:space="preserve">explored the effectiveness of the implementation, finding that there were present signs of improved interoperability </w:t>
      </w:r>
      <w:r w:rsidR="00CD4F98">
        <w:t>after over 10,000 frontline commanders recei</w:t>
      </w:r>
      <w:r w:rsidR="00F7706F">
        <w:t>ved</w:t>
      </w:r>
      <w:r w:rsidR="00CD4F98">
        <w:t xml:space="preserve"> training</w:t>
      </w:r>
      <w:r w:rsidR="00D754A2">
        <w:t xml:space="preserve"> </w:t>
      </w:r>
      <w:r w:rsidR="00D754A2" w:rsidRPr="00D754A2">
        <w:t>(Her Majesty's Inspectorate of Constabulary, 2016)</w:t>
      </w:r>
      <w:r w:rsidR="00CD4F98">
        <w:t xml:space="preserve">; however, despite this early indicator of success incidents in the coming </w:t>
      </w:r>
      <w:r w:rsidR="00DF6845">
        <w:t>years highlight</w:t>
      </w:r>
      <w:r w:rsidR="00CD4F98">
        <w:t xml:space="preserve"> shortcomings and the need for further investigation into the issue.</w:t>
      </w:r>
    </w:p>
    <w:p w14:paraId="6C138831" w14:textId="77777777" w:rsidR="004D09BF" w:rsidRDefault="0061639B" w:rsidP="00F075EA">
      <w:r>
        <w:t>The JESIP principles of joint working</w:t>
      </w:r>
      <w:r w:rsidR="00D93A4C">
        <w:t>: c</w:t>
      </w:r>
      <w:r w:rsidRPr="0061639B">
        <w:t>o-locate, communicate, coordinate, jointly understand risk, and shared situational awareness</w:t>
      </w:r>
      <w:r w:rsidR="00D93A4C">
        <w:t xml:space="preserve">, alongside the M/ETHANE provide the </w:t>
      </w:r>
      <w:r w:rsidR="00C35B59">
        <w:t>foundation on which inter</w:t>
      </w:r>
      <w:r w:rsidR="00BA1A5C">
        <w:t>-</w:t>
      </w:r>
      <w:r w:rsidR="00C35B59">
        <w:t>agency communication practices are base</w:t>
      </w:r>
      <w:r w:rsidR="00510866">
        <w:t xml:space="preserve">d. The basic </w:t>
      </w:r>
      <w:r w:rsidR="005D5EDB">
        <w:t xml:space="preserve">idea behind these principles is the gathering of partner agencies, the establishment of the lead organisation and the co-ordination of resources based on collaboratively made priorities almost as one </w:t>
      </w:r>
      <w:r w:rsidR="00DF6845">
        <w:t>combined force</w:t>
      </w:r>
      <w:r w:rsidR="009C60A1">
        <w:t xml:space="preserve"> </w:t>
      </w:r>
      <w:r w:rsidR="009C60A1" w:rsidRPr="009C60A1">
        <w:t xml:space="preserve">(Davidson </w:t>
      </w:r>
      <w:r w:rsidR="009C60A1" w:rsidRPr="009C60A1">
        <w:rPr>
          <w:i/>
          <w:iCs/>
        </w:rPr>
        <w:t>et al.</w:t>
      </w:r>
      <w:r w:rsidR="009C60A1" w:rsidRPr="009C60A1">
        <w:t>, 2023)</w:t>
      </w:r>
      <w:r w:rsidR="00DF6845">
        <w:t>.</w:t>
      </w:r>
      <w:r w:rsidR="00E024D7">
        <w:t xml:space="preserve"> Specifically, </w:t>
      </w:r>
      <w:r w:rsidR="00CB212B">
        <w:t>co-locate emphasises the creation of command centres i</w:t>
      </w:r>
      <w:r w:rsidR="00EF3F08">
        <w:t>n</w:t>
      </w:r>
      <w:r w:rsidR="00CB212B">
        <w:t xml:space="preserve"> a shared location</w:t>
      </w:r>
      <w:r w:rsidR="00881E2C">
        <w:t>;</w:t>
      </w:r>
      <w:r w:rsidR="00936459">
        <w:t xml:space="preserve"> communication emphasises the use of models such as M/ETHANE for clear and structured communication</w:t>
      </w:r>
      <w:r w:rsidR="00881E2C">
        <w:t>;</w:t>
      </w:r>
      <w:r w:rsidR="00936459">
        <w:t xml:space="preserve"> </w:t>
      </w:r>
      <w:r w:rsidR="00957D94">
        <w:t>Coordinate emphasises the need for a synchronised effort between all responders</w:t>
      </w:r>
      <w:r w:rsidR="00881E2C">
        <w:t>;</w:t>
      </w:r>
      <w:r w:rsidR="00957D94">
        <w:t xml:space="preserve"> </w:t>
      </w:r>
      <w:r w:rsidR="00881E2C">
        <w:t>j</w:t>
      </w:r>
      <w:r w:rsidR="00E1640F">
        <w:t xml:space="preserve">ointly </w:t>
      </w:r>
      <w:r w:rsidR="00DA4130">
        <w:t>understand</w:t>
      </w:r>
      <w:r w:rsidR="00E1640F">
        <w:t xml:space="preserve"> risk emphasises </w:t>
      </w:r>
      <w:r w:rsidR="00DA4130">
        <w:t xml:space="preserve">the </w:t>
      </w:r>
      <w:r w:rsidR="00DE0374">
        <w:t>collaborative assessment of hazards in the same way</w:t>
      </w:r>
      <w:r w:rsidR="00DA4130">
        <w:t xml:space="preserve"> </w:t>
      </w:r>
      <w:r w:rsidR="00043C67">
        <w:t>to</w:t>
      </w:r>
      <w:r w:rsidR="00DA4130">
        <w:t xml:space="preserve"> creat</w:t>
      </w:r>
      <w:r w:rsidR="00043C67">
        <w:t>e</w:t>
      </w:r>
      <w:r w:rsidR="00DA4130">
        <w:t xml:space="preserve"> unified strateg</w:t>
      </w:r>
      <w:r w:rsidR="00043C67">
        <w:t>ies</w:t>
      </w:r>
      <w:r w:rsidR="00DE0374">
        <w:t>;</w:t>
      </w:r>
      <w:r w:rsidR="00DA4130">
        <w:t xml:space="preserve"> and </w:t>
      </w:r>
      <w:r w:rsidR="00DE0374">
        <w:t>s</w:t>
      </w:r>
      <w:r w:rsidR="006022D0" w:rsidRPr="006022D0">
        <w:t xml:space="preserve">hared situational awareness </w:t>
      </w:r>
      <w:r w:rsidR="006022D0">
        <w:t>ensures that all responders maintain a dynamic understanding of the unfolding incident to allow coordination</w:t>
      </w:r>
      <w:r w:rsidR="001F74BA">
        <w:t xml:space="preserve"> </w:t>
      </w:r>
      <w:r w:rsidR="001F74BA" w:rsidRPr="001F74BA">
        <w:t>(Joint Emergency Service Interoperability Programme, 2024)</w:t>
      </w:r>
      <w:r w:rsidR="006022D0">
        <w:t>.</w:t>
      </w:r>
      <w:r w:rsidR="00E153B0">
        <w:t xml:space="preserve"> These principles are conceptually sound; however, </w:t>
      </w:r>
      <w:r w:rsidR="004752AE">
        <w:t xml:space="preserve">to understand where gaps are present it’s vital to visit the incidents where </w:t>
      </w:r>
      <w:r w:rsidR="004D09BF">
        <w:t>emergency response has been called into question.</w:t>
      </w:r>
    </w:p>
    <w:p w14:paraId="524ED7A6" w14:textId="77777777" w:rsidR="00421BFA" w:rsidRDefault="004D09BF" w:rsidP="00F075EA">
      <w:r>
        <w:t xml:space="preserve">The Manchester Arena Bombing in 2017 </w:t>
      </w:r>
      <w:r w:rsidR="008D5E40">
        <w:t>was one incident that highlighted shortcomings in interoperability.</w:t>
      </w:r>
      <w:r w:rsidR="00B7010F">
        <w:t xml:space="preserve"> </w:t>
      </w:r>
      <w:r w:rsidR="00865A0B">
        <w:t>On May 22</w:t>
      </w:r>
      <w:r w:rsidR="00865A0B" w:rsidRPr="00865A0B">
        <w:rPr>
          <w:vertAlign w:val="superscript"/>
        </w:rPr>
        <w:t>nd</w:t>
      </w:r>
      <w:r w:rsidR="00865A0B">
        <w:t xml:space="preserve"> of the year, a </w:t>
      </w:r>
      <w:r w:rsidR="007D6793">
        <w:t xml:space="preserve">suicide bomber detonated an </w:t>
      </w:r>
      <w:r w:rsidR="00B01D9D">
        <w:t>improvised</w:t>
      </w:r>
      <w:r w:rsidR="007D6793">
        <w:t xml:space="preserve"> explosive device (IED)</w:t>
      </w:r>
      <w:r w:rsidR="00B01D9D">
        <w:t xml:space="preserve"> inside the Manchester Arena during the closing stages of an Ariana Grande concert</w:t>
      </w:r>
      <w:r w:rsidR="0037604E">
        <w:t xml:space="preserve">. Within the audience </w:t>
      </w:r>
      <w:r w:rsidR="0099603E">
        <w:t>which included many young people</w:t>
      </w:r>
      <w:r w:rsidR="0037604E">
        <w:t xml:space="preserve">, </w:t>
      </w:r>
      <w:r w:rsidR="00AA2210">
        <w:t>the blast took the lives of 22 innocent people and injured a</w:t>
      </w:r>
      <w:r w:rsidR="00143E38">
        <w:t>n</w:t>
      </w:r>
      <w:r w:rsidR="00AA2210">
        <w:t xml:space="preserve"> </w:t>
      </w:r>
      <w:r w:rsidR="004310CB">
        <w:t xml:space="preserve">estimate of </w:t>
      </w:r>
      <w:r w:rsidR="004E19A5">
        <w:t>h</w:t>
      </w:r>
      <w:r w:rsidR="00192A46">
        <w:t>undreds</w:t>
      </w:r>
      <w:r w:rsidR="004310CB">
        <w:t xml:space="preserve">, </w:t>
      </w:r>
      <w:r w:rsidR="00654A31" w:rsidRPr="00654A31">
        <w:t>causing severe physical and mental trauma</w:t>
      </w:r>
      <w:r w:rsidR="00654A31">
        <w:t xml:space="preserve"> </w:t>
      </w:r>
      <w:r w:rsidR="002475EE">
        <w:t xml:space="preserve">for </w:t>
      </w:r>
      <w:r w:rsidR="0011217C">
        <w:t>the victims</w:t>
      </w:r>
      <w:r w:rsidR="002921B1">
        <w:t xml:space="preserve"> </w:t>
      </w:r>
      <w:r w:rsidR="002921B1" w:rsidRPr="002921B1">
        <w:t>(Atkins, 2023)</w:t>
      </w:r>
      <w:r w:rsidR="006319D9">
        <w:t xml:space="preserve">. </w:t>
      </w:r>
      <w:r w:rsidR="003429FE">
        <w:t>Unfortunately, in addition</w:t>
      </w:r>
      <w:r w:rsidR="004934BD">
        <w:t xml:space="preserve"> to an already tragic event, </w:t>
      </w:r>
      <w:r w:rsidR="00421BFA">
        <w:t>the impact was amplified by failings in the emergency response to the incident.</w:t>
      </w:r>
    </w:p>
    <w:p w14:paraId="0F32894F" w14:textId="1BE6DBD5" w:rsidR="00E27686" w:rsidRDefault="00E27686" w:rsidP="00E27686">
      <w:r w:rsidRPr="00E27686">
        <w:t xml:space="preserve">Despite the urgency, the response was marked by critical shortcomings, mainly in relation to communication, coordination, and joint action. Following the initial blast and reports of an active shooter, along with fears of secondary devices, the Fire and Ambulance services were instructed to remain at a safe distance until the area had been secured. However, even after the initial concerns were confirmed to be incorrect and the scene was deemed </w:t>
      </w:r>
      <w:r w:rsidRPr="00E27686">
        <w:lastRenderedPageBreak/>
        <w:t>safe by the police, the Greater Manchester Fire and Rescue Service was still two hours late to arrive, depriving the response effort of the specialist resources and capabilities the service could have provided in the earlier stages (Hart, 2023).</w:t>
      </w:r>
      <w:r w:rsidR="00394C75">
        <w:t xml:space="preserve"> </w:t>
      </w:r>
      <w:r w:rsidR="00B45D24" w:rsidRPr="00B45D24">
        <w:t>Even when extending the picture to the ambulance service, while present at the scene, they faced their own challenges due to the lack of communication. Responding paramedics on scene were forced to make critical decisions in the absence of information and resources, initially unaware of the full extent of the incident they were responding to, highlighting a lack of shared situational awareness. Combined with the lack of support from other responders, as well as issues with hospital capacity and the volume of casualties, their efficiency in responding was compromised by the overarching communication problems</w:t>
      </w:r>
      <w:r w:rsidR="00005B81">
        <w:t xml:space="preserve"> (Wolbers, 2019)</w:t>
      </w:r>
      <w:r w:rsidR="00B45D24" w:rsidRPr="00B45D24">
        <w:t>.</w:t>
      </w:r>
    </w:p>
    <w:p w14:paraId="02ED70C0" w14:textId="77777777" w:rsidR="00401617" w:rsidRDefault="004306F3" w:rsidP="004306F3">
      <w:r w:rsidRPr="004306F3">
        <w:t>Relating to the JESIP principles, one of the most prominent issues in this response was the failure of the blue light services to co-locate in the early stages of the incident. Instead of establishing a unified command post, as suggested by the principles, each of the individual services' command points were located at separate sites. With the police directly on the scene, the ambulance service at an established Casualty Clearing Station, and the Fire and Rescue Service on standby at a distant rendezvous point miles away from the arena, the ability of the leadership from all three services to coordinate deteriorated substantially</w:t>
      </w:r>
      <w:r w:rsidR="008D2ABA">
        <w:t xml:space="preserve"> </w:t>
      </w:r>
      <w:r w:rsidR="008D2ABA" w:rsidRPr="008D2ABA">
        <w:t xml:space="preserve">(Power </w:t>
      </w:r>
      <w:r w:rsidR="008D2ABA" w:rsidRPr="008D2ABA">
        <w:rPr>
          <w:i/>
          <w:iCs/>
        </w:rPr>
        <w:t>et al.</w:t>
      </w:r>
      <w:r w:rsidR="008D2ABA" w:rsidRPr="008D2ABA">
        <w:t>, 2023)</w:t>
      </w:r>
      <w:r w:rsidRPr="004306F3">
        <w:t>.</w:t>
      </w:r>
      <w:r w:rsidR="00D627B9">
        <w:t xml:space="preserve"> </w:t>
      </w:r>
    </w:p>
    <w:p w14:paraId="6073D0AE" w14:textId="288A752C" w:rsidR="00BF37C7" w:rsidRDefault="00115C90" w:rsidP="00BF37C7">
      <w:r w:rsidRPr="00115C90">
        <w:t>Whether this can be considered a JESIP failure or merely a failure in individual leadership in response to the incident is open to debate. The guidance for co-location, along with the rationale for its necessity, is clearly outlined within the doctrine, suggesting that the application of the doctrine is the primary issue in this case.</w:t>
      </w:r>
      <w:r w:rsidR="00B6410A">
        <w:t xml:space="preserve"> </w:t>
      </w:r>
      <w:r w:rsidR="00BF37C7" w:rsidRPr="00BF37C7">
        <w:t>Despite this, it is also essential to acknowledge that, although the co-location of command centres did not occur, major communication failures, especially in the sharing of vital situational information, are still something that should not have happened. Whether the result of a lack of training among the commanders or individual negligence, this failure rests heavily on individuals and organisations, rather than on the doctrine. It can be argued that if the JESIP doctrine had been adhered to during this response effort, many of the failings would not have occurred</w:t>
      </w:r>
      <w:r w:rsidR="002F7317">
        <w:t xml:space="preserve"> </w:t>
      </w:r>
      <w:r w:rsidR="002F7317" w:rsidRPr="002F7317">
        <w:t>(</w:t>
      </w:r>
      <w:proofErr w:type="spellStart"/>
      <w:r w:rsidR="002F7317" w:rsidRPr="002F7317">
        <w:t>Skryabina</w:t>
      </w:r>
      <w:proofErr w:type="spellEnd"/>
      <w:r w:rsidR="002F7317" w:rsidRPr="002F7317">
        <w:t xml:space="preserve"> </w:t>
      </w:r>
      <w:r w:rsidR="002F7317" w:rsidRPr="002F7317">
        <w:rPr>
          <w:i/>
          <w:iCs/>
        </w:rPr>
        <w:t>et al.</w:t>
      </w:r>
      <w:r w:rsidR="002F7317" w:rsidRPr="002F7317">
        <w:t>, 2020)</w:t>
      </w:r>
      <w:r w:rsidR="00BF37C7" w:rsidRPr="00BF37C7">
        <w:t>.</w:t>
      </w:r>
    </w:p>
    <w:p w14:paraId="26B0BD34" w14:textId="77777777" w:rsidR="00416182" w:rsidRPr="00416182" w:rsidRDefault="00416182" w:rsidP="00416182">
      <w:r w:rsidRPr="00416182">
        <w:t>The Gold, Silver, Bronze command structure is an important framework to consider, as it is designed to divide responsibilities across different levels of an incident, defined as Gold (strategic), Silver (tactical), and Bronze (operational). While not all levels of this structure may be filled depending on the scale of the incident, understanding it provides deeper insight into how civil protection services manage major incidents.</w:t>
      </w:r>
    </w:p>
    <w:p w14:paraId="65573BF8" w14:textId="39087F9D" w:rsidR="00416182" w:rsidRDefault="00416182" w:rsidP="00416182">
      <w:r w:rsidRPr="00416182">
        <w:lastRenderedPageBreak/>
        <w:t xml:space="preserve">A Gold commander has overall strategic command of an operation or response effort and is responsible for creating the overarching strategy, which should be reflected </w:t>
      </w:r>
      <w:r w:rsidR="00B17292">
        <w:t>at</w:t>
      </w:r>
      <w:r w:rsidRPr="00416182">
        <w:t xml:space="preserve"> the incident scene. Silver commanders coordinate and oversee the individual plans of appointed bronze commanders, ensuring that actions align with the gold commander's overall intent. Bronze commanders are on the ground, coordinating and leading the hands-on response in alignment with the operation's overall objectives. Depending on the scale and nature of the incident, there will be multiple bronze commanders from all blue light services, each handling different elements of the response effort</w:t>
      </w:r>
      <w:r w:rsidR="005820A2">
        <w:t xml:space="preserve"> </w:t>
      </w:r>
      <w:r w:rsidR="005820A2" w:rsidRPr="005820A2">
        <w:t>(Mishra, Allen and Pearman, 2015)</w:t>
      </w:r>
      <w:r w:rsidRPr="00416182">
        <w:t>.</w:t>
      </w:r>
    </w:p>
    <w:p w14:paraId="3BDC2343" w14:textId="77777777" w:rsidR="00137499" w:rsidRPr="00137499" w:rsidRDefault="00137499" w:rsidP="00137499">
      <w:r w:rsidRPr="00137499">
        <w:t>The structure is designed to establish a clear chain of command in joint working, with different elements focusing on specific aspects of a response, all coordinated by those setting the overall objectives. In theory, this should make the response more manageable when dealing with complex incidents. However, the application of the structure has not always been seamless and, at times, can undermine the JESIP principles of joint working.</w:t>
      </w:r>
    </w:p>
    <w:p w14:paraId="4C6AEEB3" w14:textId="5023659F" w:rsidR="004306F3" w:rsidRDefault="00137499" w:rsidP="004306F3">
      <w:r w:rsidRPr="00137499">
        <w:t>Relating back to the Manchester Arena bombing, this was evident when the gold commander from Greater Manchester Police focused the strategic priority on needs such as public safety and security in the face of a perceived threat. While this is to be expected, as it is the police service's role to address such concerns, the responsibility being left in the hands of a single service meant that the strategy was not fully aligned with the overall goal. Furthermore, it was created without proper coordination, shared situational awareness, or a joint understanding of the risk</w:t>
      </w:r>
      <w:r w:rsidR="009C5475">
        <w:t xml:space="preserve"> </w:t>
      </w:r>
      <w:r w:rsidR="009C5475" w:rsidRPr="009C5475">
        <w:t xml:space="preserve">(Baker-Beall </w:t>
      </w:r>
      <w:r w:rsidR="009C5475" w:rsidRPr="009C5475">
        <w:rPr>
          <w:i/>
          <w:iCs/>
        </w:rPr>
        <w:t>et al.</w:t>
      </w:r>
      <w:r w:rsidR="009C5475" w:rsidRPr="009C5475">
        <w:t>, 2024)</w:t>
      </w:r>
      <w:r w:rsidRPr="00137499">
        <w:t>.</w:t>
      </w:r>
      <w:r w:rsidR="00A5121D">
        <w:t xml:space="preserve"> </w:t>
      </w:r>
      <w:r w:rsidR="005C410E" w:rsidRPr="005C410E">
        <w:t>Not only did this fail to align with the roles of many silver and bronze commanders, but it also led to a breakdown in communication due to the gold commander's tunnel-visioned approach. This resulted in delayed, operationally critical decisions and an overall disconnect between the responding services</w:t>
      </w:r>
      <w:r w:rsidR="00DA6631">
        <w:t xml:space="preserve"> </w:t>
      </w:r>
      <w:r w:rsidR="00DA6631" w:rsidRPr="00DA6631">
        <w:t>(Russell and de Orellana, 2020)</w:t>
      </w:r>
      <w:r w:rsidR="005C410E" w:rsidRPr="005C410E">
        <w:t>.</w:t>
      </w:r>
      <w:r w:rsidR="00FC0DE1">
        <w:t xml:space="preserve"> </w:t>
      </w:r>
      <w:r w:rsidR="00B16D09" w:rsidRPr="00B16D09">
        <w:t>This again supports the idea that the JESIP principles for joint working are conceptually sound, but that other supporting frameworks and their actual application in real-world incidents remain obstacles.</w:t>
      </w:r>
    </w:p>
    <w:p w14:paraId="0F367467" w14:textId="3CE05678" w:rsidR="00744A77" w:rsidRPr="00744A77" w:rsidRDefault="00744A77" w:rsidP="00744A77">
      <w:r w:rsidRPr="00744A77">
        <w:t>An official evaluation of the failings in the Manchester Arena bombing was presented in the form of the Kerslake Report, an independent review commissioned to assess those very issues. Spearheaded by Sir Bob Kerslake, the report highlighted the critical shortcomings previously discussed, emphasising the ineffective implementation of the JESIP principles during the operation. The lack of coordination, communication, and the failure to co-locate were all identified as key issues, showcasing the absence of shared situational awareness and a joint understanding of risk, which ultimately led to fractured decision-making and missed opportunities to help the victims effectively</w:t>
      </w:r>
      <w:r w:rsidR="00393F86">
        <w:t xml:space="preserve"> </w:t>
      </w:r>
      <w:r w:rsidR="00393F86" w:rsidRPr="00393F86">
        <w:t>(Kerslake, 2018)</w:t>
      </w:r>
      <w:r w:rsidRPr="00744A77">
        <w:t>.</w:t>
      </w:r>
    </w:p>
    <w:p w14:paraId="3800D576" w14:textId="4DF46F0B" w:rsidR="003904D8" w:rsidRPr="003904D8" w:rsidRDefault="003904D8" w:rsidP="003904D8">
      <w:r w:rsidRPr="003904D8">
        <w:lastRenderedPageBreak/>
        <w:t>Supported by the official inquiry chaired by Sir John Saunders, the report also addressed issues within the gold, silver, and bronze command structures, which led to communication breakdowns. It highlighted that a lack of awareness was caused by other services, aside from the police, having a delayed presence at the Gold strategic command. Additionally, the report revealed that the lack of communication was so severe that the initial meeting of the coordinating gold command was not convened until 04:15 hours the following morning</w:t>
      </w:r>
      <w:r w:rsidR="00646A1E">
        <w:t xml:space="preserve"> (Saunders, 2022)</w:t>
      </w:r>
      <w:r w:rsidRPr="003904D8">
        <w:t>.</w:t>
      </w:r>
    </w:p>
    <w:p w14:paraId="52A4D331" w14:textId="4275FBFB" w:rsidR="00744A77" w:rsidRDefault="00744A77" w:rsidP="00744A77">
      <w:r w:rsidRPr="00744A77">
        <w:t>Most of the findings in the report</w:t>
      </w:r>
      <w:r w:rsidR="0027601D">
        <w:t>s</w:t>
      </w:r>
      <w:r w:rsidRPr="00744A77">
        <w:t xml:space="preserve"> further support the idea that, had the JESIP principles been fully adhered to, many of the failures would not have occurred.</w:t>
      </w:r>
    </w:p>
    <w:p w14:paraId="605F4EB9" w14:textId="3480D470" w:rsidR="00162B14" w:rsidRDefault="00162B14" w:rsidP="00162B14">
      <w:r w:rsidRPr="00162B14">
        <w:t>Expanding the scope, we can observe a slightly different approach to response through the Isle of Man, which adopts a centralised command structure for multi-agency response managed by their Emergency Planning Unit (EPU). Unlike the segmented hierarchy of the gold, silver, bronze approach, the Isle of Man’s model aims to consolidate control and command into a single, unified structure in response to major incidents. The Emergency Planning Unit is responsible for all aspects of coordination and emergency planning, uniting police, ambulance, and fire service personnel under a collective umbrella.</w:t>
      </w:r>
      <w:r>
        <w:t xml:space="preserve"> </w:t>
      </w:r>
      <w:r w:rsidRPr="00162B14">
        <w:t>The rationale for this approach is sound, facilitating immediate and direct communication between all involved response resources. This enables the rapid sharing of information and collaborative decision-making, creating the shared situational awareness emphasised in the JESIP principles. Overall, operating from a unified point of command inherently aligns with all the JESIP principles more effectively, ensuring a cohesive response rather than individual services attempting to coordinate through separate chains of command</w:t>
      </w:r>
      <w:r w:rsidR="000850FE">
        <w:t xml:space="preserve"> (Mel, 2023)</w:t>
      </w:r>
      <w:r w:rsidRPr="00162B14">
        <w:t>.</w:t>
      </w:r>
    </w:p>
    <w:p w14:paraId="64CC2B0E" w14:textId="1D652FD0" w:rsidR="003C558C" w:rsidRPr="003C558C" w:rsidRDefault="003C558C" w:rsidP="003C558C">
      <w:r w:rsidRPr="003C558C">
        <w:t>A great example of the Isle of Man’s commitment to this approach is Exercise Athena, a large-scale multi-organisation exercise conducted in May 2024, designed to test the island’s response capabilities, particularly to HAZMAT and CBRN incidents. The exercise underscores the island’s commitment to creating a robust and integrated response system, being one of the largest exercises ever undertaken there and considered a success</w:t>
      </w:r>
      <w:r w:rsidR="0011447F">
        <w:t xml:space="preserve"> </w:t>
      </w:r>
      <w:r w:rsidR="0011447F" w:rsidRPr="0011447F">
        <w:t>(Morrey, 2024)</w:t>
      </w:r>
      <w:r w:rsidRPr="003C558C">
        <w:t>.</w:t>
      </w:r>
    </w:p>
    <w:p w14:paraId="6EAD5091" w14:textId="449FA471" w:rsidR="003E3482" w:rsidRPr="003E3482" w:rsidRDefault="003E3482" w:rsidP="003E3482">
      <w:r w:rsidRPr="003E3482">
        <w:t xml:space="preserve">From the successes observed, the use of a centralised model, not just on the Isle of Man but globally, has enabled responders to communicate and coordinate more effectively, allowing them to operate more in line with the JESIP principles and their intended outcomes. The adoption of a centralised command system, or revisions to the guidance for the gold, silver, and bronze methodology, could help British organisations improve their response performance. Along with greater emphasis on principles such as co-location, fostering a culture of integrated work through unified command centres and collaborative </w:t>
      </w:r>
      <w:r w:rsidRPr="003E3482">
        <w:lastRenderedPageBreak/>
        <w:t>action would substantially enhance British response capabilities</w:t>
      </w:r>
      <w:r w:rsidR="006227AC">
        <w:t xml:space="preserve"> </w:t>
      </w:r>
      <w:r w:rsidR="00D90CF9" w:rsidRPr="00D90CF9">
        <w:t>(Pagotto and O’Donnell, 2012</w:t>
      </w:r>
      <w:r w:rsidR="00D90CF9">
        <w:t xml:space="preserve">; </w:t>
      </w:r>
      <w:r w:rsidR="006227AC" w:rsidRPr="006227AC">
        <w:t>Andreassen, Borch and Sydnes, 2020)</w:t>
      </w:r>
      <w:r w:rsidRPr="003E3482">
        <w:t>.</w:t>
      </w:r>
    </w:p>
    <w:p w14:paraId="4071D540" w14:textId="0A05B61B" w:rsidR="00383519" w:rsidRDefault="00383519" w:rsidP="00383519">
      <w:r w:rsidRPr="00383519">
        <w:t>Reaching even further afield to the United States, American responders have their own comprehensive response model, primarily managed by the Federal Emergency Management Agency (FEMA), which operates under the Department of Homeland Security. At the centre of the U.S. response approach is the National Incident Management System (NIMS), a framework designed to provide a consistent template nationwide, allowing interagency cooperation among all governmental, private, or other agencies during domestic incidents.</w:t>
      </w:r>
      <w:r>
        <w:t xml:space="preserve"> </w:t>
      </w:r>
      <w:r w:rsidRPr="00383519">
        <w:t>A major part of this capability is derived from the Incident Command System (ICS), a key component of NIMS in the form of a standardised management concept designed to be used on scene, across all hazards. The system enables responders to utilise integrated organisational structures, purpose-fit to the operational demands and complexity of each individual incident, without the hindrance of split command</w:t>
      </w:r>
      <w:r w:rsidR="00F00C33">
        <w:t xml:space="preserve"> and a focus on common response objectives</w:t>
      </w:r>
      <w:r w:rsidR="00FD6DD8">
        <w:t xml:space="preserve"> </w:t>
      </w:r>
      <w:r w:rsidR="00FD6DD8" w:rsidRPr="00FD6DD8">
        <w:t>(</w:t>
      </w:r>
      <w:proofErr w:type="spellStart"/>
      <w:r w:rsidR="00801948" w:rsidRPr="00801948">
        <w:t>Annelli</w:t>
      </w:r>
      <w:proofErr w:type="spellEnd"/>
      <w:r w:rsidR="00801948" w:rsidRPr="00801948">
        <w:t>, 2006</w:t>
      </w:r>
      <w:r w:rsidR="00801948">
        <w:t xml:space="preserve">; </w:t>
      </w:r>
      <w:r w:rsidR="00FD6DD8" w:rsidRPr="00FD6DD8">
        <w:t>Federal Emergency Management Agency, 2017)</w:t>
      </w:r>
      <w:r w:rsidRPr="00383519">
        <w:t>.</w:t>
      </w:r>
    </w:p>
    <w:p w14:paraId="513420DC" w14:textId="77777777" w:rsidR="0032392E" w:rsidRDefault="0032392E" w:rsidP="00383519">
      <w:r w:rsidRPr="0032392E">
        <w:t>An example of the application of NIMS and ICS can be seen in the emergency response to the 2013 Boston Marathon bombing. In the immediate aftermath of the explosions, multiple response agencies, including local and state police, fire departments, emergency medical services, and even federal agencies such as Homeland Security and the Federal Bureau of Investigation (FBI), rapidly began their unified response approach. The level of coordination and cooperation enabled by unified command structures allowed for efficient information sharing, resource allocation, and effective strategic planning across all levels of response, from local police officers to higher levels of government. This not only allowed for the swift provision of aid to victims, but also facilitated an efficient and comprehensive investigation that led to the timely apprehension of the perpetrators. Despite the tragic loss of life, the response demonstrates how the U.S. methodology can allow for the successful navigation of these complex multi-agency operations (Hambridge, Howitt, and Giles, 2017).</w:t>
      </w:r>
    </w:p>
    <w:p w14:paraId="19F9280E" w14:textId="74E02921" w:rsidR="00FD6DD8" w:rsidRDefault="00006FF2" w:rsidP="00383519">
      <w:r>
        <w:t xml:space="preserve">The emphasis on a unified command structure, with the combination of leaders from multiple vital response agencies </w:t>
      </w:r>
      <w:r w:rsidR="008B52DD">
        <w:t>allows coordinated response efforts through collaborative means, while still allowing agencies to maintain their own authority and individual responsibilities.</w:t>
      </w:r>
      <w:r w:rsidR="00A71ECB">
        <w:t xml:space="preserve"> </w:t>
      </w:r>
      <w:r w:rsidR="00801948">
        <w:t>Similarly,</w:t>
      </w:r>
      <w:r w:rsidR="00A71ECB">
        <w:t xml:space="preserve"> as seen with the Isle of Man’s methodology and even the intention of JESIP, this </w:t>
      </w:r>
      <w:r w:rsidR="00DE4712">
        <w:t xml:space="preserve">forces agencies to work in a truly collaborative </w:t>
      </w:r>
      <w:r w:rsidR="00E979F7">
        <w:t xml:space="preserve">manor. In comparison to the gold, silver and bronze </w:t>
      </w:r>
      <w:r w:rsidR="00025400">
        <w:t xml:space="preserve">command structure employed in the UK, the ICS offers a more flexible and considerate approach allowing </w:t>
      </w:r>
      <w:r w:rsidR="00D57026">
        <w:t xml:space="preserve">the collaboration of </w:t>
      </w:r>
      <w:r w:rsidR="00EA39A5">
        <w:t>agencies</w:t>
      </w:r>
      <w:r w:rsidR="00D57026">
        <w:t xml:space="preserve"> </w:t>
      </w:r>
      <w:r w:rsidR="00EA39A5">
        <w:t>using standardised roles</w:t>
      </w:r>
      <w:r w:rsidR="000A33A1">
        <w:t xml:space="preserve">, responsibilities and command structures. This again links back </w:t>
      </w:r>
      <w:r w:rsidR="000A33A1">
        <w:lastRenderedPageBreak/>
        <w:t xml:space="preserve">to the discussed idea that integrated and centralised command systems allowing </w:t>
      </w:r>
      <w:r w:rsidR="00F24042">
        <w:t>the combination of response agencies into one is a proven and effective approach</w:t>
      </w:r>
      <w:r w:rsidR="00305AFA">
        <w:t xml:space="preserve"> </w:t>
      </w:r>
      <w:r w:rsidR="00305AFA" w:rsidRPr="00305AFA">
        <w:t>(Power, 2018)</w:t>
      </w:r>
      <w:r w:rsidR="00F24042">
        <w:t>.</w:t>
      </w:r>
    </w:p>
    <w:p w14:paraId="70D9C99A" w14:textId="0CA1849C" w:rsidR="002E1921" w:rsidRDefault="002E1921" w:rsidP="002E1921">
      <w:r>
        <w:t>When building upon these insights, it becomes clear that the challenges faced by responders during incidents such as the Manchester Arena bombing are not the JESIP principles themselves, but poor execution in practice along with incompatible practice such as what’s seen in the GSB command structure. The JESIP principles are based on sound fundamentals from which we have seen success in other nations; however, the culture around the principles and the stringency to which they are enforced has been a barrier to the effective and coordinated response like we have seen from U.S. and Isle of Man agencies as a surface example. This contrast in the implementation of, and the culture around joint-agency working reveals the issues faced in Britain</w:t>
      </w:r>
      <w:r w:rsidR="00D51856">
        <w:t xml:space="preserve"> </w:t>
      </w:r>
      <w:r w:rsidR="00D51856" w:rsidRPr="00D51856">
        <w:t>(Pollock, 2013)</w:t>
      </w:r>
      <w:r>
        <w:t>.</w:t>
      </w:r>
      <w:r w:rsidR="00D51856">
        <w:t xml:space="preserve"> </w:t>
      </w:r>
    </w:p>
    <w:p w14:paraId="4E708878" w14:textId="5767B2AC" w:rsidR="00E105EE" w:rsidRDefault="00CA2935" w:rsidP="00E27686">
      <w:r w:rsidRPr="00CA2935">
        <w:t>Overall, the organisational culture within the emergency services and the command structures employed are barriers to progress in interagency cooperation. As seen in the Manchester Arena bombing, while JESIP was in place at the time, the mindset of individuality remains heavily present within these services, further reinforced by the outdated GSB command structure. To move forward, it is vital that a change in this culture is cultivated, ensuring that the JESIP principles are properly defined and integrated with a new centralised command structure built on the foundation of collaboration and unity. Each agency must still maintain its individual authority and responsibilities; however, until commanders from all responding agencies come together as a single working entity to strategically plan collaboratively, the same issues will continue to arise</w:t>
      </w:r>
      <w:r w:rsidR="00C860CB">
        <w:t xml:space="preserve"> (</w:t>
      </w:r>
      <w:proofErr w:type="spellStart"/>
      <w:r w:rsidR="00C860CB" w:rsidRPr="00C860CB">
        <w:t>Akawadhi</w:t>
      </w:r>
      <w:proofErr w:type="spellEnd"/>
      <w:r w:rsidR="00C860CB">
        <w:t>, 2019)</w:t>
      </w:r>
      <w:r w:rsidRPr="00CA2935">
        <w:t>.</w:t>
      </w:r>
    </w:p>
    <w:p w14:paraId="0A8CB657" w14:textId="22AAB661" w:rsidR="0082261B" w:rsidRDefault="0082261B" w:rsidP="00E27686">
      <w:r>
        <w:t xml:space="preserve">To conclude, the challenged highlighted throughout the chapter of this paper </w:t>
      </w:r>
      <w:r w:rsidR="004F0CB6">
        <w:t>necessitate the urgent need for a transformation in the British approach to large-scale emergency response. As stated, the persistent mindset and culture of individuality between the different services</w:t>
      </w:r>
      <w:r w:rsidR="00152F10">
        <w:t xml:space="preserve">, combined with the GSB limitations severely wound the ability of the JESIP principles to fulfil their role and cultivated their desired outcome. Having a centralised command model, alongside a governing body with authority to enforce these collaborative frameworks </w:t>
      </w:r>
      <w:r w:rsidR="005309CE">
        <w:t>like</w:t>
      </w:r>
      <w:r w:rsidR="00152F10">
        <w:t xml:space="preserve"> the FEMA and EPU would significantly improve the resilience of the major incident and collaborative response doctrine, </w:t>
      </w:r>
      <w:r w:rsidR="004E4F39">
        <w:t xml:space="preserve">allowing the emergency services to work towards shared objectives without the </w:t>
      </w:r>
      <w:r w:rsidR="005309CE">
        <w:t>limitations of current strategy</w:t>
      </w:r>
      <w:r w:rsidR="00A44F9B">
        <w:t xml:space="preserve"> </w:t>
      </w:r>
      <w:r w:rsidR="00A44F9B" w:rsidRPr="00A44F9B">
        <w:t>(McAleavy and Rhisiart, 2019)</w:t>
      </w:r>
      <w:r w:rsidR="005309CE">
        <w:t>.</w:t>
      </w:r>
    </w:p>
    <w:p w14:paraId="01A125B9" w14:textId="77777777" w:rsidR="0027113E" w:rsidRDefault="0027113E" w:rsidP="00E27686"/>
    <w:p w14:paraId="05F56F46" w14:textId="4BA6906A" w:rsidR="007A4D89" w:rsidRDefault="007A4D89" w:rsidP="007A4D89">
      <w:pPr>
        <w:pStyle w:val="Heading1"/>
      </w:pPr>
      <w:r>
        <w:lastRenderedPageBreak/>
        <w:t>Methodology</w:t>
      </w:r>
    </w:p>
    <w:p w14:paraId="07753967" w14:textId="5674029A" w:rsidR="007A4D89" w:rsidRDefault="007D295D" w:rsidP="007A4D89">
      <w:r>
        <w:t xml:space="preserve">This chapter is designed </w:t>
      </w:r>
      <w:r w:rsidR="00BA4A99">
        <w:t>to outline the methodology used</w:t>
      </w:r>
      <w:r w:rsidR="008B124C">
        <w:t xml:space="preserve"> to explore</w:t>
      </w:r>
      <w:r w:rsidR="0040424E">
        <w:t xml:space="preserve"> how interagency coordination strategies have influence the effectiveness of public services in major incident response</w:t>
      </w:r>
      <w:r w:rsidR="00231841">
        <w:t xml:space="preserve">. Building on the secondary research conducted in the previous chapter, the literature review, </w:t>
      </w:r>
      <w:r w:rsidR="0019276D">
        <w:t>this study adopts a pragmatic mixed methods approach</w:t>
      </w:r>
      <w:r w:rsidR="00B37FD3">
        <w:t>, moving on to collect primary research through a public survey.</w:t>
      </w:r>
      <w:r w:rsidR="0000535C">
        <w:t xml:space="preserve"> This chapter aims to discuss</w:t>
      </w:r>
      <w:r w:rsidR="00885B28">
        <w:t xml:space="preserve"> </w:t>
      </w:r>
      <w:r w:rsidR="008D6190">
        <w:t>the philosophical stance, research approach, strategy, means of data collection</w:t>
      </w:r>
      <w:r w:rsidR="00897009">
        <w:t>, analysis techniques, ethical consideration and ethic limitations.</w:t>
      </w:r>
      <w:r w:rsidR="00F53451">
        <w:t xml:space="preserve"> </w:t>
      </w:r>
      <w:proofErr w:type="gramStart"/>
      <w:r w:rsidR="00F53451">
        <w:t>All of</w:t>
      </w:r>
      <w:proofErr w:type="gramEnd"/>
      <w:r w:rsidR="00F53451">
        <w:t xml:space="preserve"> the </w:t>
      </w:r>
      <w:r w:rsidR="00156350">
        <w:t xml:space="preserve">listed </w:t>
      </w:r>
      <w:r w:rsidR="00F53451">
        <w:t xml:space="preserve">elements have been carefully selected with the </w:t>
      </w:r>
      <w:r w:rsidR="00156350">
        <w:t>intention of ensuring that research remains focused, practical and capable of producing the needed insights to effectively address the research question</w:t>
      </w:r>
      <w:r w:rsidR="00D37CEE">
        <w:t xml:space="preserve"> </w:t>
      </w:r>
      <w:r w:rsidR="00E63807">
        <w:t>in a way that is meaningful</w:t>
      </w:r>
      <w:r w:rsidR="00037A5D">
        <w:t xml:space="preserve">, and </w:t>
      </w:r>
      <w:r w:rsidR="005D3809">
        <w:t>applicable</w:t>
      </w:r>
      <w:r w:rsidR="00037A5D">
        <w:t xml:space="preserve"> to</w:t>
      </w:r>
      <w:r w:rsidR="005D3809">
        <w:t xml:space="preserve"> real world contexts.</w:t>
      </w:r>
    </w:p>
    <w:p w14:paraId="5BCD5163" w14:textId="3D3018A2" w:rsidR="00955089" w:rsidRDefault="00D13E07" w:rsidP="007A4D89">
      <w:r>
        <w:t>This research is grounded in the philosophy of prag</w:t>
      </w:r>
      <w:r w:rsidR="00FD3585">
        <w:t xml:space="preserve">matism, </w:t>
      </w:r>
      <w:r w:rsidR="000E6D1F">
        <w:t xml:space="preserve">focusing on the outcomes of research </w:t>
      </w:r>
      <w:r w:rsidR="00274A7A">
        <w:t>instead of strict adherence to specific methods.</w:t>
      </w:r>
      <w:r w:rsidR="001B6083">
        <w:t xml:space="preserve"> This philosophy </w:t>
      </w:r>
      <w:r w:rsidR="007B7CBD">
        <w:t>recognises</w:t>
      </w:r>
      <w:r w:rsidR="001B6083">
        <w:t xml:space="preserve"> that different kinds of data, both qualitative and quantitative, </w:t>
      </w:r>
      <w:r w:rsidR="006B106D">
        <w:t>provide valuable insights and are both useful in</w:t>
      </w:r>
      <w:r w:rsidR="00A548A9">
        <w:t xml:space="preserve"> contributing to complex, real world issues. Given </w:t>
      </w:r>
      <w:r w:rsidR="006C5AF3">
        <w:t xml:space="preserve">the aim of this paper to explore interagency coordination with the goal of deriving lessons, </w:t>
      </w:r>
      <w:r w:rsidR="007B7CBD">
        <w:t>pragmatism offers a suitable basis on which the research is being conducted</w:t>
      </w:r>
      <w:r w:rsidR="009D1918">
        <w:t xml:space="preserve">, focusing on practicality and ‘what </w:t>
      </w:r>
      <w:r w:rsidR="00B93ED3">
        <w:t xml:space="preserve">works’ </w:t>
      </w:r>
      <w:r w:rsidR="009D1918">
        <w:t xml:space="preserve">to inform the final </w:t>
      </w:r>
      <w:r w:rsidR="00214DDD">
        <w:t>recommendations</w:t>
      </w:r>
      <w:r w:rsidR="00307FF7">
        <w:t xml:space="preserve"> (Tashakkori and Teddlie, 2010)</w:t>
      </w:r>
      <w:r w:rsidR="009D1918">
        <w:t>.</w:t>
      </w:r>
    </w:p>
    <w:p w14:paraId="06455889" w14:textId="777C23CA" w:rsidR="00307FF7" w:rsidRDefault="00BB1392" w:rsidP="007A4D89">
      <w:r>
        <w:t>To work alongside this</w:t>
      </w:r>
      <w:r w:rsidR="000A2CF1">
        <w:t xml:space="preserve"> stance, a</w:t>
      </w:r>
      <w:r w:rsidR="00A07EA2">
        <w:t xml:space="preserve">n </w:t>
      </w:r>
      <w:r w:rsidR="000A2CF1">
        <w:t xml:space="preserve">inductive research approach has been adopted. Inductive reasoning begins </w:t>
      </w:r>
      <w:r w:rsidR="007C3703">
        <w:t xml:space="preserve">with data collection and observation, both primary and secondary, identifying patterning and creating </w:t>
      </w:r>
      <w:r w:rsidR="001137B3">
        <w:t>hypothesis from the ground up.</w:t>
      </w:r>
      <w:r w:rsidR="00A07EA2">
        <w:t xml:space="preserve"> This paper hasn’t </w:t>
      </w:r>
      <w:r w:rsidR="00176ABA">
        <w:t>fixated on a single hypothesis</w:t>
      </w:r>
      <w:r w:rsidR="008E45FD">
        <w:t>, but has aimed to generate understanding through experiences, perceptions and existing literature.</w:t>
      </w:r>
      <w:r w:rsidR="009B20B2">
        <w:t xml:space="preserve"> Inductive strategies can be particularly useful when exploring evolving topic</w:t>
      </w:r>
      <w:r w:rsidR="00A7363D">
        <w:t>s</w:t>
      </w:r>
      <w:r w:rsidR="009B20B2">
        <w:t>,</w:t>
      </w:r>
      <w:r w:rsidR="006A1AA2">
        <w:t xml:space="preserve"> such as the </w:t>
      </w:r>
      <w:r w:rsidR="00A7774E">
        <w:t>dynamic</w:t>
      </w:r>
      <w:r w:rsidR="006A1AA2">
        <w:t xml:space="preserve"> landscape of emergency response, and again </w:t>
      </w:r>
      <w:r w:rsidR="00A7774E">
        <w:t>more so</w:t>
      </w:r>
      <w:r w:rsidR="006A1AA2">
        <w:t xml:space="preserve"> in the event of criticism of </w:t>
      </w:r>
      <w:r w:rsidR="00A7774E">
        <w:t>failures.</w:t>
      </w:r>
      <w:r w:rsidR="008B50AD">
        <w:t xml:space="preserve"> This combination incorpor</w:t>
      </w:r>
      <w:r w:rsidR="004A03BF">
        <w:t>at</w:t>
      </w:r>
      <w:r w:rsidR="008B50AD">
        <w:t xml:space="preserve">ing a mixed method approach </w:t>
      </w:r>
      <w:r w:rsidR="002043DB">
        <w:t>will ultimately allow a fuller picture than what is possible with the use of a sing</w:t>
      </w:r>
      <w:r w:rsidR="004B1EE4">
        <w:t>l</w:t>
      </w:r>
      <w:r w:rsidR="002043DB">
        <w:t>e methodology</w:t>
      </w:r>
      <w:r w:rsidR="004B1EE4">
        <w:t xml:space="preserve"> (Fuka </w:t>
      </w:r>
      <w:r w:rsidR="004B1EE4">
        <w:rPr>
          <w:i/>
          <w:iCs/>
        </w:rPr>
        <w:t>et al.</w:t>
      </w:r>
      <w:r w:rsidR="004B1EE4">
        <w:t>, 2022)</w:t>
      </w:r>
      <w:r w:rsidR="002043DB">
        <w:t>.</w:t>
      </w:r>
    </w:p>
    <w:p w14:paraId="50CC1EC8" w14:textId="598C75E0" w:rsidR="002A71BF" w:rsidRDefault="004E338A" w:rsidP="007A4D89">
      <w:r>
        <w:t xml:space="preserve">The research throughout this paper consists of </w:t>
      </w:r>
      <w:r w:rsidR="00EC4C1F">
        <w:t xml:space="preserve">two elements. The review of preexisting research in my literature review, and </w:t>
      </w:r>
      <w:r w:rsidR="00AE3B6D">
        <w:t>the collection of primary data through a self-administered survey.</w:t>
      </w:r>
      <w:r w:rsidR="00823621">
        <w:t xml:space="preserve"> The initial </w:t>
      </w:r>
      <w:r w:rsidR="00C40EA4">
        <w:t xml:space="preserve">literature review examined official </w:t>
      </w:r>
      <w:r w:rsidR="00676726">
        <w:t>enquiries</w:t>
      </w:r>
      <w:r w:rsidR="00C40EA4">
        <w:t>, academic article</w:t>
      </w:r>
      <w:r w:rsidR="00465F7A">
        <w:t>, government reports and book in relation to past incident and interagency coordination. This has provided the foundation and an understanding of both the historical, and current</w:t>
      </w:r>
      <w:r w:rsidR="00676726">
        <w:t xml:space="preserve"> frameworks around interagency coordination, while highlighting gaps and existing problems.</w:t>
      </w:r>
      <w:r w:rsidR="00AE3B6D">
        <w:t xml:space="preserve"> </w:t>
      </w:r>
      <w:r w:rsidR="003B1DEB">
        <w:t xml:space="preserve">The survey was selected as the vehicle to collect primary data due to the </w:t>
      </w:r>
      <w:r w:rsidR="008D2345">
        <w:t>potential reach and potential for quantitative data.</w:t>
      </w:r>
      <w:r w:rsidR="00B40AC6">
        <w:t xml:space="preserve"> Overall, surveys are </w:t>
      </w:r>
      <w:r w:rsidR="000B3C93">
        <w:t xml:space="preserve">widely </w:t>
      </w:r>
      <w:r w:rsidR="000B3C93">
        <w:lastRenderedPageBreak/>
        <w:t xml:space="preserve">recognised for their efficiency in gathering data from a broad and diverse sample </w:t>
      </w:r>
      <w:r w:rsidR="003853C5">
        <w:t xml:space="preserve">group. They are also excellent for gathering </w:t>
      </w:r>
      <w:r w:rsidR="00053336">
        <w:t>opinions, attitudes and experience across the general population</w:t>
      </w:r>
      <w:r w:rsidR="00775983">
        <w:t>, which allows the paper to gather public perceptions</w:t>
      </w:r>
      <w:r w:rsidR="00C243CE">
        <w:t xml:space="preserve"> (Wolf </w:t>
      </w:r>
      <w:r w:rsidR="00C243CE">
        <w:rPr>
          <w:i/>
          <w:iCs/>
        </w:rPr>
        <w:t>et al.</w:t>
      </w:r>
      <w:r w:rsidR="00C243CE">
        <w:t>, 2021)</w:t>
      </w:r>
      <w:r w:rsidR="00775983">
        <w:t>.</w:t>
      </w:r>
    </w:p>
    <w:p w14:paraId="6982A89A" w14:textId="004B6ED2" w:rsidR="001A06F6" w:rsidRDefault="001A06F6" w:rsidP="007A4D89">
      <w:r>
        <w:t xml:space="preserve">Microsoft forms was selected as an online survey platform to create and </w:t>
      </w:r>
      <w:r w:rsidR="00896BE3">
        <w:t>distribute</w:t>
      </w:r>
      <w:r>
        <w:t xml:space="preserve"> the </w:t>
      </w:r>
      <w:r w:rsidR="00896BE3">
        <w:t>questions, allowing ease of access for a range of participants</w:t>
      </w:r>
      <w:r w:rsidR="00FC6980">
        <w:t xml:space="preserve"> across the general UK population. Given the scope and resources, the survey was chosen in favour of other methods </w:t>
      </w:r>
      <w:r w:rsidR="00750347">
        <w:t xml:space="preserve">such as interviews was taken for efficiency. Where alternative methods such as interviews can </w:t>
      </w:r>
      <w:r w:rsidR="009E5026">
        <w:t>provide rich narratives and qualitative data, it does not allow for a quantitative aspect and was nor feasible given the constraints of the research.</w:t>
      </w:r>
    </w:p>
    <w:p w14:paraId="712C6BCF" w14:textId="358A3A99" w:rsidR="003038D1" w:rsidRDefault="003038D1" w:rsidP="007A4D89">
      <w:r>
        <w:t xml:space="preserve">As touched upon, the sampling for the primary research </w:t>
      </w:r>
      <w:r w:rsidR="003F4B31">
        <w:t xml:space="preserve">is targeted to the </w:t>
      </w:r>
      <w:r w:rsidR="0092718D">
        <w:t>public</w:t>
      </w:r>
      <w:r w:rsidR="003F4B31">
        <w:t>, primarily those of an adult age</w:t>
      </w:r>
      <w:r w:rsidR="00965325">
        <w:t xml:space="preserve"> and holding UK residency. </w:t>
      </w:r>
      <w:r w:rsidR="00E74ECF">
        <w:t>Non-probability convenience sampling was employed</w:t>
      </w:r>
      <w:r w:rsidR="00F03B0D">
        <w:t>, distributing the questions through community groups, personal connections and channels such as social media</w:t>
      </w:r>
      <w:r w:rsidR="00594A18">
        <w:t xml:space="preserve"> (Leiner, 2014)</w:t>
      </w:r>
      <w:r w:rsidR="00F03B0D">
        <w:t>.</w:t>
      </w:r>
      <w:r w:rsidR="00594A18">
        <w:t xml:space="preserve"> </w:t>
      </w:r>
      <w:r w:rsidR="00B35648">
        <w:t xml:space="preserve">The intended sample size was approximately 100 responses, a figure that </w:t>
      </w:r>
      <w:r w:rsidR="0092718D">
        <w:t>is</w:t>
      </w:r>
      <w:r w:rsidR="00B35648">
        <w:t xml:space="preserve"> manageable for a smaller scale undergraduate research paper</w:t>
      </w:r>
      <w:r w:rsidR="0092718D">
        <w:t xml:space="preserve">, while still providing sufficient data for meaningful analysis. Although this means that the </w:t>
      </w:r>
      <w:r w:rsidR="00063BC1">
        <w:t xml:space="preserve">sample is not entirely representative of the </w:t>
      </w:r>
      <w:r w:rsidR="00DA4D54">
        <w:t>entire</w:t>
      </w:r>
      <w:r w:rsidR="00063BC1">
        <w:t xml:space="preserve"> UK population, it is </w:t>
      </w:r>
      <w:r w:rsidR="00DA4D54">
        <w:t>acceptable given the practical and ethical limitations involved.</w:t>
      </w:r>
      <w:r w:rsidR="007A652C">
        <w:t xml:space="preserve"> Also, where specific </w:t>
      </w:r>
      <w:r w:rsidR="009D5F3E">
        <w:t>demographic</w:t>
      </w:r>
      <w:r w:rsidR="007A652C">
        <w:t xml:space="preserve"> data was not collected due to ethical considerations</w:t>
      </w:r>
      <w:r w:rsidR="009D5F3E">
        <w:t>, it is acknowledged that this sample may over-represent certain groups more engaged with public services matters, or those more active online.</w:t>
      </w:r>
    </w:p>
    <w:p w14:paraId="0E075761" w14:textId="65C86474" w:rsidR="000A4567" w:rsidRDefault="001A0471" w:rsidP="007A4D89">
      <w:r>
        <w:t xml:space="preserve">The questions were designed </w:t>
      </w:r>
      <w:r w:rsidR="003209D3">
        <w:t xml:space="preserve">to gather both qualitative and quantitative data across 10 questions, balancing concise answers with </w:t>
      </w:r>
      <w:r w:rsidR="00A95EF8">
        <w:t>opportunities for depth. To do this, it included both closed-ended questions</w:t>
      </w:r>
      <w:r w:rsidR="000801EF">
        <w:t>,</w:t>
      </w:r>
      <w:r w:rsidR="00A95EF8">
        <w:t xml:space="preserve"> such as multiple choice</w:t>
      </w:r>
      <w:r w:rsidR="000801EF">
        <w:t xml:space="preserve"> for </w:t>
      </w:r>
      <w:r w:rsidR="007E5CAC">
        <w:t>quantifiable</w:t>
      </w:r>
      <w:r w:rsidR="000801EF">
        <w:t xml:space="preserve"> data, and </w:t>
      </w:r>
      <w:r w:rsidR="00620E14">
        <w:t>open-ended</w:t>
      </w:r>
      <w:r w:rsidR="007E5CAC">
        <w:t xml:space="preserve"> questions to allow respondents to elaborate on experiences and opinions for a more </w:t>
      </w:r>
      <w:r w:rsidR="00620E14">
        <w:t>in-depth</w:t>
      </w:r>
      <w:r w:rsidR="007E5CAC">
        <w:t xml:space="preserve"> analysis of trends</w:t>
      </w:r>
      <w:r w:rsidR="007F2556">
        <w:t xml:space="preserve"> (Covell, </w:t>
      </w:r>
      <w:proofErr w:type="spellStart"/>
      <w:r w:rsidR="007F2556">
        <w:t>Sidani</w:t>
      </w:r>
      <w:proofErr w:type="spellEnd"/>
      <w:r w:rsidR="007F2556">
        <w:t xml:space="preserve"> and Ritchie, 2012)</w:t>
      </w:r>
      <w:r w:rsidR="007E5CAC">
        <w:t>.</w:t>
      </w:r>
      <w:r w:rsidR="00620E14">
        <w:t xml:space="preserve"> Some of the key topics covered are:</w:t>
      </w:r>
    </w:p>
    <w:p w14:paraId="03250699" w14:textId="48102E95" w:rsidR="00620E14" w:rsidRDefault="00620E14" w:rsidP="00620E14">
      <w:pPr>
        <w:pStyle w:val="ListParagraph"/>
        <w:numPr>
          <w:ilvl w:val="0"/>
          <w:numId w:val="1"/>
        </w:numPr>
      </w:pPr>
      <w:r>
        <w:t>Personal experiences with major incidents.</w:t>
      </w:r>
    </w:p>
    <w:p w14:paraId="32036A42" w14:textId="7E88DD89" w:rsidR="00620E14" w:rsidRDefault="00ED7AF4" w:rsidP="00620E14">
      <w:pPr>
        <w:pStyle w:val="ListParagraph"/>
        <w:numPr>
          <w:ilvl w:val="0"/>
          <w:numId w:val="1"/>
        </w:numPr>
      </w:pPr>
      <w:r>
        <w:t>Confidence in emergency services, and their coordination.</w:t>
      </w:r>
    </w:p>
    <w:p w14:paraId="363CC6E6" w14:textId="0D01C6B2" w:rsidR="00ED7AF4" w:rsidRDefault="00ED7AF4" w:rsidP="00620E14">
      <w:pPr>
        <w:pStyle w:val="ListParagraph"/>
        <w:numPr>
          <w:ilvl w:val="0"/>
          <w:numId w:val="1"/>
        </w:numPr>
      </w:pPr>
      <w:r>
        <w:t>Perfections of response effectiveness.</w:t>
      </w:r>
    </w:p>
    <w:p w14:paraId="1377071F" w14:textId="268A5A29" w:rsidR="00ED7AF4" w:rsidRDefault="007F39DA" w:rsidP="00620E14">
      <w:pPr>
        <w:pStyle w:val="ListParagraph"/>
        <w:numPr>
          <w:ilvl w:val="0"/>
          <w:numId w:val="1"/>
        </w:numPr>
      </w:pPr>
      <w:r>
        <w:t>Trust in the ability of emergency services to work together in their interest.</w:t>
      </w:r>
    </w:p>
    <w:p w14:paraId="4B5261F5" w14:textId="6B2AD622" w:rsidR="007F39DA" w:rsidRDefault="007F39DA" w:rsidP="00620E14">
      <w:pPr>
        <w:pStyle w:val="ListParagraph"/>
        <w:numPr>
          <w:ilvl w:val="0"/>
          <w:numId w:val="1"/>
        </w:numPr>
      </w:pPr>
      <w:r>
        <w:t xml:space="preserve">Opinions </w:t>
      </w:r>
      <w:r w:rsidR="00364EC5">
        <w:t>on key takeaways from past major incidents.</w:t>
      </w:r>
    </w:p>
    <w:p w14:paraId="0ABD4730" w14:textId="3D5C6407" w:rsidR="00364EC5" w:rsidRDefault="00D521CC" w:rsidP="00620E14">
      <w:pPr>
        <w:pStyle w:val="ListParagraph"/>
        <w:numPr>
          <w:ilvl w:val="0"/>
          <w:numId w:val="1"/>
        </w:numPr>
      </w:pPr>
      <w:r>
        <w:t xml:space="preserve">Views on the most critical identified factors </w:t>
      </w:r>
      <w:r w:rsidR="00264DE9">
        <w:t>influencing emergency response.</w:t>
      </w:r>
    </w:p>
    <w:p w14:paraId="00512044" w14:textId="7A86FDE5" w:rsidR="00264DE9" w:rsidRDefault="00A477CD" w:rsidP="00264DE9">
      <w:r>
        <w:t xml:space="preserve">During distribution social media and email invitations were leveraged, including an introduction page that </w:t>
      </w:r>
      <w:r w:rsidR="00F5163B">
        <w:t>cover the paper</w:t>
      </w:r>
      <w:r w:rsidR="00CF17C9">
        <w:t>’</w:t>
      </w:r>
      <w:r w:rsidR="00F5163B">
        <w:t xml:space="preserve">s purpose and ethical safeguards. The survey was open for responses </w:t>
      </w:r>
      <w:r w:rsidR="00CF17C9">
        <w:t xml:space="preserve">for the duration it took to gather 100 responses, which were collected </w:t>
      </w:r>
      <w:r w:rsidR="00CF17C9">
        <w:lastRenderedPageBreak/>
        <w:t>within the space of a week.</w:t>
      </w:r>
      <w:r w:rsidR="007F2187">
        <w:t xml:space="preserve"> When launching the survey, a smaller sample group of just 5 participants were used to ensure that the questions chosen</w:t>
      </w:r>
      <w:r w:rsidR="004E1CEF">
        <w:t xml:space="preserve"> were fit</w:t>
      </w:r>
      <w:r w:rsidR="007F2187">
        <w:t xml:space="preserve"> </w:t>
      </w:r>
      <w:r w:rsidR="004E1CEF">
        <w:t>for purpose and</w:t>
      </w:r>
      <w:r w:rsidR="007F2187">
        <w:t xml:space="preserve"> allow for clear</w:t>
      </w:r>
      <w:r w:rsidR="00D16EBE">
        <w:t xml:space="preserve"> and useful responses to the research aims. </w:t>
      </w:r>
      <w:r w:rsidR="007103E0">
        <w:t>Respondent</w:t>
      </w:r>
      <w:r w:rsidR="00D16EBE">
        <w:t xml:space="preserve"> were also not required to answer every question, with </w:t>
      </w:r>
      <w:r w:rsidR="004E1CEF">
        <w:t>several</w:t>
      </w:r>
      <w:r w:rsidR="007103E0">
        <w:t xml:space="preserve"> </w:t>
      </w:r>
      <w:r w:rsidR="004E1CEF">
        <w:t>open-ended</w:t>
      </w:r>
      <w:r w:rsidR="007103E0">
        <w:t xml:space="preserve"> questions clearly marked as optional to reduce the response burden</w:t>
      </w:r>
      <w:r w:rsidR="003749D9">
        <w:t xml:space="preserve"> (Burns </w:t>
      </w:r>
      <w:r w:rsidR="003749D9">
        <w:rPr>
          <w:i/>
          <w:iCs/>
        </w:rPr>
        <w:t>et al.</w:t>
      </w:r>
      <w:r w:rsidR="003749D9">
        <w:t>, 2008)</w:t>
      </w:r>
      <w:r w:rsidR="007103E0">
        <w:t>.</w:t>
      </w:r>
    </w:p>
    <w:p w14:paraId="0D959D5E" w14:textId="196B801B" w:rsidR="003749D9" w:rsidRDefault="00C0644B" w:rsidP="00264DE9">
      <w:r>
        <w:t xml:space="preserve">The </w:t>
      </w:r>
      <w:r w:rsidR="00870A8B">
        <w:t>qua</w:t>
      </w:r>
      <w:r w:rsidR="00967058">
        <w:t>ntitative</w:t>
      </w:r>
      <w:r w:rsidR="00870A8B">
        <w:t xml:space="preserve"> data collected through the survey w</w:t>
      </w:r>
      <w:r w:rsidR="0063530B">
        <w:t xml:space="preserve">ill be </w:t>
      </w:r>
      <w:r w:rsidR="00870A8B">
        <w:t xml:space="preserve">analysed using </w:t>
      </w:r>
      <w:r w:rsidR="0063530B">
        <w:t>descriptive statistical methodology.</w:t>
      </w:r>
      <w:r w:rsidR="0077020E">
        <w:t xml:space="preserve"> Frequencies and trends will be identified, and percentages calculated with the aim of </w:t>
      </w:r>
      <w:r w:rsidR="004115D4">
        <w:t>pinpointing trends across the sample group</w:t>
      </w:r>
      <w:r w:rsidR="00AB242A">
        <w:t xml:space="preserve">, offering a sight into general patterns of opinions and experiences. </w:t>
      </w:r>
      <w:r w:rsidR="007B0D07">
        <w:t xml:space="preserve">Where appropriate, basic visualisations such as bar and pie charts can be used if </w:t>
      </w:r>
      <w:r w:rsidR="00501182">
        <w:t xml:space="preserve">appropriate to illustrate key findings. Given the </w:t>
      </w:r>
      <w:r w:rsidR="0092021C">
        <w:t>exploratory</w:t>
      </w:r>
      <w:r w:rsidR="00501182">
        <w:t xml:space="preserve"> nature of this paper and a smaller sample size, </w:t>
      </w:r>
      <w:r w:rsidR="00117CCB">
        <w:t xml:space="preserve">the analysis will refrain from using </w:t>
      </w:r>
      <w:r w:rsidR="005222B8">
        <w:t xml:space="preserve">methodology around </w:t>
      </w:r>
      <w:r w:rsidR="009858C5">
        <w:t xml:space="preserve">inferential statistics, focusing on identifying patterns and areas of unity and division within </w:t>
      </w:r>
      <w:r w:rsidR="0092021C">
        <w:t>the sample group</w:t>
      </w:r>
      <w:r w:rsidR="00776A27">
        <w:t xml:space="preserve"> (Sarstedt and Mooi, 2018)</w:t>
      </w:r>
      <w:r w:rsidR="0092021C">
        <w:t>.</w:t>
      </w:r>
    </w:p>
    <w:p w14:paraId="22EB5811" w14:textId="36C022D1" w:rsidR="00967058" w:rsidRDefault="000F2BAD" w:rsidP="00264DE9">
      <w:r>
        <w:t xml:space="preserve">The qualitative data </w:t>
      </w:r>
      <w:r w:rsidR="001761C5">
        <w:t>from responses to open-ended questions will be analysed using thematic analysis methodology</w:t>
      </w:r>
      <w:r w:rsidR="00791AA0">
        <w:t xml:space="preserve">. This </w:t>
      </w:r>
      <w:r w:rsidR="005661B0">
        <w:t>includes familiarisation with the collected data, initial noting of notable points within the data</w:t>
      </w:r>
      <w:r w:rsidR="004D4533">
        <w:t>, then grouping and connecting these point</w:t>
      </w:r>
      <w:r w:rsidR="00E50036">
        <w:t>’</w:t>
      </w:r>
      <w:r w:rsidR="004D4533">
        <w:t xml:space="preserve">s </w:t>
      </w:r>
      <w:r w:rsidR="006E3C79">
        <w:t xml:space="preserve">broader themes. These themes could be around perceptions of communication breakdowns, </w:t>
      </w:r>
      <w:r w:rsidR="00446158">
        <w:t xml:space="preserve">successes, opinions around suggested improvements and reflection on public trust for </w:t>
      </w:r>
      <w:r w:rsidR="00943264">
        <w:t xml:space="preserve">emergency services response ability, especially after exposure to negative events that we now know are attributed to communication breakdowns. </w:t>
      </w:r>
      <w:r w:rsidR="00E50036">
        <w:t xml:space="preserve">Quotes from participants will be retained </w:t>
      </w:r>
      <w:r w:rsidR="00491A55">
        <w:t>to present findings to ensure authenticity is the representation of respondent’s voices</w:t>
      </w:r>
      <w:r w:rsidR="005875E3">
        <w:t xml:space="preserve"> (Corr, Rowe and Fisher, 2015)</w:t>
      </w:r>
      <w:r w:rsidR="00491A55">
        <w:t>.</w:t>
      </w:r>
    </w:p>
    <w:p w14:paraId="4FE3493F" w14:textId="11CECB41" w:rsidR="00EB198A" w:rsidRDefault="00EB198A" w:rsidP="00264DE9">
      <w:r>
        <w:t xml:space="preserve">Ethical </w:t>
      </w:r>
      <w:r w:rsidR="00A31CB9">
        <w:t>considerations</w:t>
      </w:r>
      <w:r>
        <w:t xml:space="preserve"> were completely made in the creation of this paper, receiving approval from the University of Wales Trinity Saint David</w:t>
      </w:r>
      <w:r w:rsidR="002D66D6">
        <w:t xml:space="preserve">’s ethics process following the </w:t>
      </w:r>
      <w:r w:rsidR="00266ACC">
        <w:t xml:space="preserve">submission of </w:t>
      </w:r>
      <w:r w:rsidR="00A31CB9">
        <w:t>an</w:t>
      </w:r>
      <w:r w:rsidR="00266ACC">
        <w:t xml:space="preserve"> ethics form in the planning stage. </w:t>
      </w:r>
      <w:r w:rsidR="000A7734">
        <w:t xml:space="preserve">The following measures have ensured </w:t>
      </w:r>
      <w:r w:rsidR="00A31CB9">
        <w:t>compliance with the required ethical standards:</w:t>
      </w:r>
    </w:p>
    <w:p w14:paraId="61B2C59D" w14:textId="2BE3DD93" w:rsidR="00A31CB9" w:rsidRDefault="00043EE3" w:rsidP="00A31CB9">
      <w:pPr>
        <w:pStyle w:val="ListParagraph"/>
        <w:numPr>
          <w:ilvl w:val="0"/>
          <w:numId w:val="2"/>
        </w:numPr>
      </w:pPr>
      <w:r>
        <w:t>Informed Consent</w:t>
      </w:r>
    </w:p>
    <w:p w14:paraId="346D9E66" w14:textId="5B13BDF1" w:rsidR="00043EE3" w:rsidRDefault="00A6128B" w:rsidP="00043EE3">
      <w:r>
        <w:t xml:space="preserve">All respondents were provided with an information section prior to completing the survey, </w:t>
      </w:r>
      <w:r w:rsidR="002A7D0F">
        <w:t>outlining the purpose of the research, what partaking involves</w:t>
      </w:r>
      <w:r w:rsidR="005B423B">
        <w:t>, data handling procedures, and their rights</w:t>
      </w:r>
      <w:r w:rsidR="0095586E">
        <w:t xml:space="preserve"> as participants</w:t>
      </w:r>
      <w:r w:rsidR="005B423B">
        <w:t>.</w:t>
      </w:r>
      <w:r w:rsidR="00406E1A">
        <w:t xml:space="preserve"> Consent is obtained </w:t>
      </w:r>
      <w:r w:rsidR="0095586E">
        <w:t>explicitly</w:t>
      </w:r>
      <w:r w:rsidR="00406E1A">
        <w:t xml:space="preserve"> prior to them completing the </w:t>
      </w:r>
      <w:r w:rsidR="0095586E">
        <w:t>survey.</w:t>
      </w:r>
    </w:p>
    <w:p w14:paraId="56D07C6A" w14:textId="274A4F17" w:rsidR="00043EE3" w:rsidRDefault="00043EE3" w:rsidP="00A31CB9">
      <w:pPr>
        <w:pStyle w:val="ListParagraph"/>
        <w:numPr>
          <w:ilvl w:val="0"/>
          <w:numId w:val="2"/>
        </w:numPr>
      </w:pPr>
      <w:r>
        <w:t>Anonymity and Confidentiality</w:t>
      </w:r>
    </w:p>
    <w:p w14:paraId="79245D68" w14:textId="732ABCBA" w:rsidR="000D0E27" w:rsidRDefault="000D0E27" w:rsidP="006F1FF4">
      <w:r>
        <w:t xml:space="preserve">The survey will not collect personal identifiers such as </w:t>
      </w:r>
      <w:r w:rsidR="00C02B4C">
        <w:t>n</w:t>
      </w:r>
      <w:r>
        <w:t xml:space="preserve">ames or email addresses. </w:t>
      </w:r>
      <w:r w:rsidR="00C02B4C">
        <w:t>No digital data</w:t>
      </w:r>
      <w:r w:rsidR="008D7B83">
        <w:t xml:space="preserve"> such as IP addresses will be collected</w:t>
      </w:r>
      <w:r w:rsidR="00D06C95">
        <w:t xml:space="preserve">, and all </w:t>
      </w:r>
      <w:r w:rsidR="006F7570">
        <w:t xml:space="preserve">collected data will be stored </w:t>
      </w:r>
      <w:r w:rsidR="00484CBD">
        <w:t xml:space="preserve">on </w:t>
      </w:r>
      <w:r w:rsidR="00484CBD">
        <w:lastRenderedPageBreak/>
        <w:t>local, password protected devices or securely through the survey platform, which has secure servers and is again password protected.</w:t>
      </w:r>
      <w:r w:rsidR="00ED106E">
        <w:t xml:space="preserve"> Also, all data will be deleted on completion of the research paper.</w:t>
      </w:r>
    </w:p>
    <w:p w14:paraId="2720E1B6" w14:textId="1E0F38D9" w:rsidR="0095586E" w:rsidRDefault="0095586E" w:rsidP="00A31CB9">
      <w:pPr>
        <w:pStyle w:val="ListParagraph"/>
        <w:numPr>
          <w:ilvl w:val="0"/>
          <w:numId w:val="2"/>
        </w:numPr>
      </w:pPr>
      <w:r>
        <w:t>Right to Withdraw</w:t>
      </w:r>
    </w:p>
    <w:p w14:paraId="4554F540" w14:textId="07123643" w:rsidR="00ED106E" w:rsidRDefault="006F1FF4" w:rsidP="006F1FF4">
      <w:r>
        <w:t>Survey participants, as a part of the initial information, are told that they can withdraw their</w:t>
      </w:r>
      <w:r w:rsidR="00364EE9">
        <w:t xml:space="preserve"> consent to use their responses at any time without penalty. </w:t>
      </w:r>
      <w:r w:rsidR="00D04D09">
        <w:t xml:space="preserve">Although formal withdrawal processes are not available post-submission due to the </w:t>
      </w:r>
      <w:r w:rsidR="000875CD">
        <w:t>anonymity, the survey design allows for participants to skip any question if they wished to do so.</w:t>
      </w:r>
    </w:p>
    <w:p w14:paraId="269F5713" w14:textId="60B6C6E0" w:rsidR="000D0E27" w:rsidRDefault="000D0E27" w:rsidP="00A31CB9">
      <w:pPr>
        <w:pStyle w:val="ListParagraph"/>
        <w:numPr>
          <w:ilvl w:val="0"/>
          <w:numId w:val="2"/>
        </w:numPr>
      </w:pPr>
      <w:r>
        <w:t>Low Risk</w:t>
      </w:r>
    </w:p>
    <w:p w14:paraId="1D64BE8E" w14:textId="51729903" w:rsidR="000875CD" w:rsidRDefault="004D2B17" w:rsidP="000875CD">
      <w:r>
        <w:t>This research posed</w:t>
      </w:r>
      <w:r w:rsidR="00C1477E">
        <w:t xml:space="preserve"> </w:t>
      </w:r>
      <w:r w:rsidR="00044C64">
        <w:t>minimal risk to the participants, with questions being designed carefully to avo</w:t>
      </w:r>
      <w:r w:rsidR="00773D2D">
        <w:t xml:space="preserve">id digress, complete </w:t>
      </w:r>
      <w:r w:rsidR="004F48BD">
        <w:t>voluntary participation and a low-controversy research topic.</w:t>
      </w:r>
    </w:p>
    <w:p w14:paraId="01EDD584" w14:textId="45D2C6FA" w:rsidR="005875E3" w:rsidRDefault="00B33081" w:rsidP="00264DE9">
      <w:r>
        <w:t>Several limitations within this paper must be acknowledged</w:t>
      </w:r>
      <w:r w:rsidR="004344C9">
        <w:t xml:space="preserve">. The use of convenience sampling as the method of choice poses limitations </w:t>
      </w:r>
      <w:r w:rsidR="00E81A7F">
        <w:t xml:space="preserve">on generalisability of </w:t>
      </w:r>
      <w:r w:rsidR="007E6854">
        <w:t>data, as parti</w:t>
      </w:r>
      <w:r w:rsidR="00D54D5B">
        <w:t>ci</w:t>
      </w:r>
      <w:r w:rsidR="007E6854">
        <w:t>pants were largely selected from online and personal networks.</w:t>
      </w:r>
      <w:r w:rsidR="00D54D5B">
        <w:t xml:space="preserve"> This could have inherent biases, with responses being more reflective of specific demographics rather than a general overview of the population.</w:t>
      </w:r>
      <w:r w:rsidR="00447BC6">
        <w:t xml:space="preserve"> Further, the depth of qualitative primary research is limited by a survey format</w:t>
      </w:r>
      <w:r w:rsidR="00822D13">
        <w:t xml:space="preserve">. Despite open ended question being present, many participants with provide </w:t>
      </w:r>
      <w:r w:rsidR="00A51A33">
        <w:t>vague</w:t>
      </w:r>
      <w:r w:rsidR="00822D13">
        <w:t xml:space="preserve"> or un-</w:t>
      </w:r>
      <w:r w:rsidR="00A51A33">
        <w:t>informed answers restricting the depth</w:t>
      </w:r>
      <w:r w:rsidR="00AA5CFF">
        <w:t xml:space="preserve"> of the insights that come with alternative research methods</w:t>
      </w:r>
      <w:r w:rsidR="00773E37">
        <w:t xml:space="preserve"> (Safdar </w:t>
      </w:r>
      <w:r w:rsidR="00773E37">
        <w:rPr>
          <w:i/>
          <w:iCs/>
        </w:rPr>
        <w:t>et al.</w:t>
      </w:r>
      <w:r w:rsidR="00773E37">
        <w:t>, 2016)</w:t>
      </w:r>
      <w:r w:rsidR="00AA5CFF">
        <w:t>.</w:t>
      </w:r>
    </w:p>
    <w:p w14:paraId="164A54C8" w14:textId="646D1942" w:rsidR="00773E37" w:rsidRDefault="00CB0CBE" w:rsidP="00264DE9">
      <w:r>
        <w:t xml:space="preserve">Further, the survey relies on self-reported perceptions, which adds another layer through the </w:t>
      </w:r>
      <w:r w:rsidR="00467AC5">
        <w:t>potential</w:t>
      </w:r>
      <w:r>
        <w:t xml:space="preserve"> for personal bias, </w:t>
      </w:r>
      <w:r w:rsidR="00354AF3">
        <w:t xml:space="preserve">media coverage, or misunderstandings of emergency operations </w:t>
      </w:r>
      <w:r w:rsidR="00467AC5">
        <w:t>because of</w:t>
      </w:r>
      <w:r w:rsidR="00354AF3">
        <w:t xml:space="preserve"> </w:t>
      </w:r>
      <w:r w:rsidR="00467AC5">
        <w:t>the</w:t>
      </w:r>
      <w:r w:rsidR="00354AF3">
        <w:t xml:space="preserve"> niche research topic.</w:t>
      </w:r>
      <w:r w:rsidR="00467AC5">
        <w:t xml:space="preserve"> This overall can lead</w:t>
      </w:r>
      <w:r w:rsidR="00206B5F">
        <w:t xml:space="preserve"> to subjective views, rather than an objective assessment of interagency cooperation as is present in the literature review</w:t>
      </w:r>
      <w:r w:rsidR="007A55CA">
        <w:t xml:space="preserve"> (Jürgens, Stark and Magin, 2019)</w:t>
      </w:r>
      <w:r w:rsidR="00206B5F">
        <w:t>.</w:t>
      </w:r>
    </w:p>
    <w:p w14:paraId="4C2A24B7" w14:textId="3F854286" w:rsidR="0021144E" w:rsidRDefault="0021144E" w:rsidP="00264DE9">
      <w:r>
        <w:t xml:space="preserve">To summarise, this paper </w:t>
      </w:r>
      <w:r w:rsidR="00794E42">
        <w:t>implements a pragmatic, mixed methods approach to explore the effectiveness of interagency coordination</w:t>
      </w:r>
      <w:r w:rsidR="009222BC">
        <w:t xml:space="preserve">, and the public perception, during response to major incidents. </w:t>
      </w:r>
      <w:r w:rsidR="006B37F0">
        <w:t>This aims to balance practical constraints with the need for academic depth</w:t>
      </w:r>
      <w:r w:rsidR="008E3508">
        <w:t>, allowing the generation of valuable insights while upholding a</w:t>
      </w:r>
      <w:r w:rsidR="008F2C06">
        <w:t>n acceptable</w:t>
      </w:r>
      <w:r w:rsidR="008E3508">
        <w:t xml:space="preserve"> ethical </w:t>
      </w:r>
      <w:r w:rsidR="008F2C06">
        <w:t xml:space="preserve">standard. </w:t>
      </w:r>
    </w:p>
    <w:p w14:paraId="646B6D01" w14:textId="77777777" w:rsidR="00181A1C" w:rsidRDefault="00181A1C" w:rsidP="00264DE9"/>
    <w:p w14:paraId="5AE0CC0F" w14:textId="2D638F0B" w:rsidR="00181A1C" w:rsidRDefault="001E1648" w:rsidP="001E1648">
      <w:pPr>
        <w:pStyle w:val="Heading1"/>
      </w:pPr>
      <w:r>
        <w:lastRenderedPageBreak/>
        <w:t>Data Analysis</w:t>
      </w:r>
    </w:p>
    <w:p w14:paraId="6AF52E51" w14:textId="4A52D8FD" w:rsidR="001E1648" w:rsidRDefault="001E1648" w:rsidP="001E1648">
      <w:r>
        <w:t xml:space="preserve">A total of 100 </w:t>
      </w:r>
      <w:r w:rsidR="00D92EBC">
        <w:t xml:space="preserve">survey responses were collected and analysed </w:t>
      </w:r>
      <w:r w:rsidR="009C550C">
        <w:t xml:space="preserve">to assess how interagency coordination in the public services reflects in the public eye, gauging public perception and </w:t>
      </w:r>
      <w:r w:rsidR="00C81480">
        <w:t xml:space="preserve">contributing towards uncovering </w:t>
      </w:r>
      <w:r w:rsidR="00CA252F">
        <w:t>what can be learnt from past failures and forming suggestions.</w:t>
      </w:r>
      <w:r w:rsidR="009D0A55">
        <w:t xml:space="preserve"> The results have presented us with a reflection of public view within the scale, </w:t>
      </w:r>
      <w:r w:rsidR="00303F20">
        <w:t xml:space="preserve">with a balance of optimism and confidence alongside those persisting concerns, again </w:t>
      </w:r>
      <w:r w:rsidR="00D829C3">
        <w:t>regarding communication, leadership and read</w:t>
      </w:r>
      <w:r w:rsidR="00D306CB">
        <w:t xml:space="preserve">iness. These themes have </w:t>
      </w:r>
      <w:r w:rsidR="004F5B36">
        <w:t xml:space="preserve">been </w:t>
      </w:r>
      <w:r w:rsidR="008F6DE7">
        <w:t>consistently reinforced through academic literature along with the primary research conducted for this paper</w:t>
      </w:r>
      <w:r w:rsidR="0080589C">
        <w:t xml:space="preserve"> providing great analytic potential to reinforce the ideas drawn from the literature</w:t>
      </w:r>
      <w:r w:rsidR="00C21DEF">
        <w:t xml:space="preserve"> </w:t>
      </w:r>
      <w:r w:rsidR="00C21DEF" w:rsidRPr="00C21DEF">
        <w:t>(McKim, 2017)</w:t>
      </w:r>
      <w:r w:rsidR="0080589C">
        <w:t>.</w:t>
      </w:r>
    </w:p>
    <w:p w14:paraId="317A8D26" w14:textId="2DF087B9" w:rsidR="00C21DEF" w:rsidRDefault="00AE2DBB" w:rsidP="001E1648">
      <w:r>
        <w:t xml:space="preserve">From the beginning, public </w:t>
      </w:r>
      <w:r w:rsidR="00A40603">
        <w:t xml:space="preserve">knowledge of </w:t>
      </w:r>
      <w:r w:rsidR="0035327A">
        <w:t>major incidents was evident</w:t>
      </w:r>
      <w:r w:rsidR="00B91682">
        <w:t xml:space="preserve"> with </w:t>
      </w:r>
      <w:r w:rsidR="000635CC">
        <w:t>84% of respondents ha</w:t>
      </w:r>
      <w:r w:rsidR="001649F0">
        <w:t>d either experienced, witnessed or learnt about a major incident</w:t>
      </w:r>
      <w:r w:rsidR="003F1F01">
        <w:t xml:space="preserve"> through channels such as the media. This supports the premade assumption that </w:t>
      </w:r>
      <w:r w:rsidR="00DE279B">
        <w:t xml:space="preserve">the British public </w:t>
      </w:r>
      <w:r w:rsidR="007F7EDF">
        <w:t>are aware of major incidents occurring</w:t>
      </w:r>
      <w:r w:rsidR="004914A1">
        <w:t>. Given</w:t>
      </w:r>
      <w:r w:rsidR="002F753A">
        <w:t xml:space="preserve"> the scale of coverage from events such as the Manchester Arena Bombing, the Grenfell </w:t>
      </w:r>
      <w:r w:rsidR="004914A1">
        <w:t xml:space="preserve">Tower fire or on a later timeframe, the 7/7 bombings, it’s </w:t>
      </w:r>
      <w:r w:rsidR="00C13FD0">
        <w:t>unsurprising that awareness is high.</w:t>
      </w:r>
      <w:r w:rsidR="00495B7C">
        <w:t xml:space="preserve"> </w:t>
      </w:r>
      <w:r w:rsidR="00F27616">
        <w:t xml:space="preserve">These incidents </w:t>
      </w:r>
      <w:r w:rsidR="00006508">
        <w:t xml:space="preserve">engulf the British media when they occur </w:t>
      </w:r>
      <w:r w:rsidR="00D50E1D">
        <w:t xml:space="preserve">and often shape the public perception of the performance of </w:t>
      </w:r>
      <w:r w:rsidR="00D31613">
        <w:t xml:space="preserve">the </w:t>
      </w:r>
      <w:r w:rsidR="00D50E1D">
        <w:t>emergency services</w:t>
      </w:r>
      <w:r w:rsidR="00D60AB0">
        <w:t>, how they’re expec</w:t>
      </w:r>
      <w:r w:rsidR="00071064">
        <w:t xml:space="preserve">ted </w:t>
      </w:r>
      <w:r w:rsidR="00D31613">
        <w:t>to respond and where failings come from when they occur.</w:t>
      </w:r>
      <w:r w:rsidR="00F86C92">
        <w:t xml:space="preserve"> </w:t>
      </w:r>
      <w:r w:rsidR="00513837">
        <w:t>When asked</w:t>
      </w:r>
      <w:r w:rsidR="003D30F5">
        <w:t>, a massive 95%</w:t>
      </w:r>
      <w:r w:rsidR="005B25B9">
        <w:t xml:space="preserve"> said </w:t>
      </w:r>
      <w:r w:rsidR="000B696E">
        <w:t xml:space="preserve">that </w:t>
      </w:r>
      <w:r w:rsidR="00E10BA9">
        <w:t xml:space="preserve">the ability of emergency services to work together effectively </w:t>
      </w:r>
      <w:r w:rsidR="000B696E">
        <w:t xml:space="preserve">was </w:t>
      </w:r>
      <w:r w:rsidR="000862A9">
        <w:t>either “very important” or “essential”</w:t>
      </w:r>
      <w:r w:rsidR="00E10BA9">
        <w:t xml:space="preserve"> for emergency response.</w:t>
      </w:r>
      <w:r w:rsidR="00621BDA">
        <w:t xml:space="preserve"> This aligns with the ideas drawn from the literature review,</w:t>
      </w:r>
      <w:r w:rsidR="00B37583">
        <w:t xml:space="preserve"> both in the cases of reviewing performance and the creators of </w:t>
      </w:r>
      <w:r w:rsidR="0016763A">
        <w:t>frameworks</w:t>
      </w:r>
      <w:r w:rsidR="00B37583">
        <w:t xml:space="preserve"> like the Joint </w:t>
      </w:r>
      <w:r w:rsidR="00D60E9A">
        <w:t>Emergency Services Interoperability Programme, who</w:t>
      </w:r>
      <w:r w:rsidR="00036B72">
        <w:t xml:space="preserve"> also argue that interagency cooperation is a non-negotiable </w:t>
      </w:r>
      <w:r w:rsidR="0016763A">
        <w:t>of emergency response</w:t>
      </w:r>
      <w:r w:rsidR="009731B1">
        <w:t xml:space="preserve"> </w:t>
      </w:r>
      <w:r w:rsidR="009731B1" w:rsidRPr="009731B1">
        <w:t>(Power et al., 2023)</w:t>
      </w:r>
      <w:r w:rsidR="0016763A">
        <w:t>.</w:t>
      </w:r>
    </w:p>
    <w:p w14:paraId="778029B9" w14:textId="0293307E" w:rsidR="009731B1" w:rsidRDefault="00FC6766" w:rsidP="001E1648">
      <w:r>
        <w:t>Where there is collective agreement</w:t>
      </w:r>
      <w:r w:rsidR="00E671A1">
        <w:t xml:space="preserve"> on </w:t>
      </w:r>
      <w:r w:rsidR="008F7C29">
        <w:t>its</w:t>
      </w:r>
      <w:r w:rsidR="00E671A1">
        <w:t xml:space="preserve"> importance, public confidence </w:t>
      </w:r>
      <w:r w:rsidR="00C405FF">
        <w:t>on how well i</w:t>
      </w:r>
      <w:r w:rsidR="00536825">
        <w:t xml:space="preserve">t’s </w:t>
      </w:r>
      <w:r w:rsidR="00EF341E">
        <w:t xml:space="preserve">actually </w:t>
      </w:r>
      <w:r w:rsidR="00536825">
        <w:t xml:space="preserve">executed </w:t>
      </w:r>
      <w:r w:rsidR="00EF341E">
        <w:t>is</w:t>
      </w:r>
      <w:r w:rsidR="00536825">
        <w:t xml:space="preserve"> far more reserved.</w:t>
      </w:r>
      <w:r w:rsidR="00EF341E">
        <w:t xml:space="preserve"> Only 8% of </w:t>
      </w:r>
      <w:r w:rsidR="00A917A6">
        <w:t xml:space="preserve">respondents described themselves as “completely confident” </w:t>
      </w:r>
      <w:r w:rsidR="00C720E4">
        <w:t>in the ability of emergency services to work together well during response</w:t>
      </w:r>
      <w:r w:rsidR="00410C9B">
        <w:t xml:space="preserve">, with a respective 30% </w:t>
      </w:r>
      <w:r w:rsidR="000B3DC5">
        <w:t>selecting “very confidence” and 44% selecting “moderately confident”.</w:t>
      </w:r>
      <w:r w:rsidR="00733E52">
        <w:t xml:space="preserve"> </w:t>
      </w:r>
      <w:r w:rsidR="0041181F">
        <w:t xml:space="preserve">A smaller </w:t>
      </w:r>
      <w:r w:rsidR="006A3481">
        <w:t>12% selected “</w:t>
      </w:r>
      <w:r w:rsidR="00537F7D">
        <w:t>slightly</w:t>
      </w:r>
      <w:r w:rsidR="006A3481">
        <w:t xml:space="preserve"> confide</w:t>
      </w:r>
      <w:r w:rsidR="00F40127">
        <w:t xml:space="preserve">nt” with a </w:t>
      </w:r>
      <w:r w:rsidR="00537F7D">
        <w:t xml:space="preserve">further 6% </w:t>
      </w:r>
      <w:r w:rsidR="00DE4F87">
        <w:t>stating that they were “not confident at all”</w:t>
      </w:r>
      <w:r w:rsidR="00430389">
        <w:t>.</w:t>
      </w:r>
      <w:r w:rsidR="00AD5CE5">
        <w:t xml:space="preserve"> To add, </w:t>
      </w:r>
      <w:r w:rsidR="0025797E">
        <w:t>when asked to rate</w:t>
      </w:r>
      <w:r w:rsidR="00C34CF3">
        <w:t xml:space="preserve"> the </w:t>
      </w:r>
      <w:r w:rsidR="00B11A75">
        <w:t>overall effectiveness of coordination i</w:t>
      </w:r>
      <w:r w:rsidR="00C92A03">
        <w:t>n</w:t>
      </w:r>
      <w:r w:rsidR="00B11A75">
        <w:t xml:space="preserve"> response</w:t>
      </w:r>
      <w:r w:rsidR="00D21FAF">
        <w:t xml:space="preserve"> </w:t>
      </w:r>
      <w:r w:rsidR="006C68DD">
        <w:t xml:space="preserve">9% rated it “excellent” with a further </w:t>
      </w:r>
      <w:r w:rsidR="00B623CB">
        <w:t>38% rating it “good”. In the middle ground</w:t>
      </w:r>
      <w:r w:rsidR="00321E35">
        <w:t>, 41% responded “fair” with the remaining 12% spread between “poor” (</w:t>
      </w:r>
      <w:r w:rsidR="00925EA1">
        <w:t>9%) and “very poor” (3%).</w:t>
      </w:r>
      <w:r w:rsidR="005B1076">
        <w:t xml:space="preserve"> </w:t>
      </w:r>
      <w:r w:rsidR="00475D28">
        <w:t>The consensus that can be drawn from th</w:t>
      </w:r>
      <w:r w:rsidR="006A2DBD">
        <w:t xml:space="preserve">is is that the respondents believe that the emergency services have the capacity to work together and have displayed </w:t>
      </w:r>
      <w:r w:rsidR="00936C0B">
        <w:t>that, but that</w:t>
      </w:r>
      <w:r w:rsidR="003F3793">
        <w:t xml:space="preserve"> this is not yet consistent or </w:t>
      </w:r>
      <w:r w:rsidR="002549AE">
        <w:t xml:space="preserve">as seamless as it needs to be. It must be considered that the specific incidents observed may </w:t>
      </w:r>
      <w:r w:rsidR="00917288">
        <w:t>affect</w:t>
      </w:r>
      <w:r w:rsidR="002549AE">
        <w:t xml:space="preserve"> these </w:t>
      </w:r>
      <w:r w:rsidR="002549AE">
        <w:lastRenderedPageBreak/>
        <w:t xml:space="preserve">results, as someone hearing of the failures during the </w:t>
      </w:r>
      <w:r w:rsidR="001F69C8">
        <w:t>Manchester</w:t>
      </w:r>
      <w:r w:rsidR="002549AE">
        <w:t xml:space="preserve"> Arena bombing may have a differing opinion to someone who saw </w:t>
      </w:r>
      <w:r w:rsidR="001F69C8">
        <w:t>good collaborative efforts during the Grenfell Tower fire. Despite that consideration, this data aligns with ideas conveyed in literature</w:t>
      </w:r>
      <w:r w:rsidR="005C3D9A">
        <w:t xml:space="preserve"> that public trust in the civil protection services is linked to </w:t>
      </w:r>
      <w:r w:rsidR="00917288">
        <w:t>reliability over time, and that people are willing to believe in them if improvements are shown over time</w:t>
      </w:r>
      <w:r w:rsidR="00D911C0">
        <w:t xml:space="preserve"> </w:t>
      </w:r>
      <w:r w:rsidR="00D911C0" w:rsidRPr="00D911C0">
        <w:t>(Hind et al., 2021)</w:t>
      </w:r>
      <w:r w:rsidR="00917288">
        <w:t>.</w:t>
      </w:r>
    </w:p>
    <w:p w14:paraId="04D6FEF1" w14:textId="687631FF" w:rsidR="00492F35" w:rsidRDefault="0093304C" w:rsidP="001E1648">
      <w:r>
        <w:t>Based on this, evidence suggests that confidence is conditional</w:t>
      </w:r>
      <w:r w:rsidR="00F96B41">
        <w:t>, linked directly to the expose of an individual to the success or failings of the emergency services to various incidents</w:t>
      </w:r>
      <w:r w:rsidR="00F12E87">
        <w:t xml:space="preserve"> and how well they have learnt in failings.</w:t>
      </w:r>
      <w:r w:rsidR="00B1570E">
        <w:t xml:space="preserve"> When asked if</w:t>
      </w:r>
      <w:r w:rsidR="00AF78CB">
        <w:t xml:space="preserve"> the emergency services </w:t>
      </w:r>
      <w:r w:rsidR="00816896">
        <w:t xml:space="preserve">have improved their interoperability following past incidents </w:t>
      </w:r>
      <w:r w:rsidR="0030740F">
        <w:t>14%</w:t>
      </w:r>
      <w:r w:rsidR="00F34FC9">
        <w:t xml:space="preserve"> stated “significant </w:t>
      </w:r>
      <w:r w:rsidR="00A30C24">
        <w:t xml:space="preserve">improved” </w:t>
      </w:r>
      <w:r w:rsidR="00F34FC9">
        <w:t xml:space="preserve">and a further 44% stated </w:t>
      </w:r>
      <w:r w:rsidR="00A30C24">
        <w:t>“somewhat improved”.</w:t>
      </w:r>
      <w:r w:rsidR="00043BCB">
        <w:t xml:space="preserve"> Another 21% stated “no improvement”, </w:t>
      </w:r>
      <w:r w:rsidR="00804B6B">
        <w:t>3% stating that it had “worsened” with the remaining 18% stating that they were “unsure”</w:t>
      </w:r>
      <w:r w:rsidR="00A41B59">
        <w:t>. Again, this conveys a cautiously optimistic outlook</w:t>
      </w:r>
      <w:r w:rsidR="005A064D">
        <w:t xml:space="preserve">, showing that the public </w:t>
      </w:r>
      <w:r w:rsidR="00A01276">
        <w:t>recognise</w:t>
      </w:r>
      <w:r w:rsidR="005A064D">
        <w:t xml:space="preserve"> the continued </w:t>
      </w:r>
      <w:r w:rsidR="00A01276">
        <w:t>effort for improvement in emergency response, particularly through means such as JESI</w:t>
      </w:r>
      <w:r w:rsidR="003F29C3">
        <w:t xml:space="preserve">P and supporting frameworks. This again </w:t>
      </w:r>
      <w:r w:rsidR="00B56882">
        <w:t xml:space="preserve">aligns with the findings of the literature review, highlighting the culture in the face of failures that has allowed </w:t>
      </w:r>
      <w:r w:rsidR="00F12C2B">
        <w:t>investigation into, identification of and action to improve issues that led to failures</w:t>
      </w:r>
      <w:r w:rsidR="006959EE">
        <w:t xml:space="preserve"> </w:t>
      </w:r>
      <w:r w:rsidR="00186066">
        <w:t>(Betts and Power, 2025)</w:t>
      </w:r>
      <w:r w:rsidR="00F12C2B">
        <w:t>.</w:t>
      </w:r>
    </w:p>
    <w:p w14:paraId="50306344" w14:textId="274C52E6" w:rsidR="00186066" w:rsidRDefault="00200C01" w:rsidP="001E1648">
      <w:r>
        <w:t>On the other side of the spectrum</w:t>
      </w:r>
      <w:r w:rsidR="00B35303">
        <w:t xml:space="preserve">, as highlighted through </w:t>
      </w:r>
      <w:r w:rsidR="00FB3FC4">
        <w:t>reviewing literature, points of improvement on paper has not always translated into</w:t>
      </w:r>
      <w:r w:rsidR="00947481">
        <w:t xml:space="preserve"> reality. Th</w:t>
      </w:r>
      <w:r w:rsidR="00AD7836">
        <w:t>e Manchester Arena Inquiry (Saunders, 2022)</w:t>
      </w:r>
      <w:r w:rsidR="00163B1B">
        <w:t xml:space="preserve"> stated that </w:t>
      </w:r>
      <w:r w:rsidR="00377B07">
        <w:t>many</w:t>
      </w:r>
      <w:r w:rsidR="00163B1B">
        <w:t xml:space="preserve"> failings in the response </w:t>
      </w:r>
      <w:r w:rsidR="00806DE6">
        <w:t>had been earlier observed in exercises and smaller scale responses.</w:t>
      </w:r>
      <w:r w:rsidR="00CA34B9">
        <w:t xml:space="preserve"> Coming back to it, commanders failed to co-locate</w:t>
      </w:r>
      <w:r w:rsidR="00F64B00">
        <w:t xml:space="preserve">, the fire-service arrived late to scene </w:t>
      </w:r>
      <w:r w:rsidR="004B5E10">
        <w:t xml:space="preserve">because of miscommunication and </w:t>
      </w:r>
      <w:r w:rsidR="00377B07">
        <w:t>essential</w:t>
      </w:r>
      <w:r w:rsidR="004B5E10">
        <w:t xml:space="preserve"> updates for shared </w:t>
      </w:r>
      <w:r w:rsidR="00377B07">
        <w:t>situational awareness were not shared.</w:t>
      </w:r>
      <w:r w:rsidR="00076887">
        <w:t xml:space="preserve"> The fact that these were repeat failures suggest a gap between issues identified and lesson</w:t>
      </w:r>
      <w:r w:rsidR="000104D2">
        <w:t>s learned.</w:t>
      </w:r>
      <w:r w:rsidR="006E2D83">
        <w:t xml:space="preserve"> This is echoed in one of the responses, a person </w:t>
      </w:r>
      <w:r w:rsidR="005759A7">
        <w:t>saying,</w:t>
      </w:r>
      <w:r w:rsidR="005E0D4E">
        <w:t xml:space="preserve"> </w:t>
      </w:r>
      <w:r w:rsidR="005E0D4E" w:rsidRPr="005E0D4E">
        <w:t>“they’ve got all these plans, but they need to actually follow them</w:t>
      </w:r>
      <w:r w:rsidR="005E0D4E">
        <w:t>”.</w:t>
      </w:r>
      <w:r w:rsidR="00CD2617">
        <w:t xml:space="preserve"> The public have an expectation that e</w:t>
      </w:r>
      <w:r w:rsidR="005759A7">
        <w:t>mergency services perform to these standards, and it’s vital that they do.</w:t>
      </w:r>
    </w:p>
    <w:p w14:paraId="22526FDA" w14:textId="1BDF1102" w:rsidR="00854615" w:rsidRDefault="00426C41" w:rsidP="001E1648">
      <w:r>
        <w:t xml:space="preserve">This become even more prevalent when we turn to the factors </w:t>
      </w:r>
      <w:r w:rsidR="00D73DEB">
        <w:t xml:space="preserve">of coordination </w:t>
      </w:r>
      <w:r>
        <w:t>considered by the public to be of the most importance.</w:t>
      </w:r>
      <w:r w:rsidR="00DB79BA">
        <w:t xml:space="preserve"> When asked, the most important factor selected by 37% of the respondents was </w:t>
      </w:r>
      <w:r w:rsidR="00510922">
        <w:t>“clear communication between services”.</w:t>
      </w:r>
      <w:r w:rsidR="00EF200A">
        <w:t xml:space="preserve"> This </w:t>
      </w:r>
      <w:r w:rsidR="00DF161A">
        <w:t xml:space="preserve">aligns with the reoccurring theme </w:t>
      </w:r>
      <w:r w:rsidR="00755C77">
        <w:t>throughout both the survey and literature</w:t>
      </w:r>
      <w:r w:rsidR="00854526">
        <w:t>, that c</w:t>
      </w:r>
      <w:r w:rsidR="00A77D46">
        <w:t xml:space="preserve">ommunications failures have been identified as crucial </w:t>
      </w:r>
      <w:r w:rsidR="00854526">
        <w:t>failures</w:t>
      </w:r>
      <w:r w:rsidR="00A77D46">
        <w:t xml:space="preserve"> at the centre of </w:t>
      </w:r>
      <w:r w:rsidR="00854526">
        <w:t>failures in multiple major incidents.</w:t>
      </w:r>
      <w:r w:rsidR="00574119">
        <w:t xml:space="preserve"> For example, although the response to Grenfell </w:t>
      </w:r>
      <w:r w:rsidR="00932B85">
        <w:t xml:space="preserve">wasn’t nearly as negative as other, enquiries in the aftermath found </w:t>
      </w:r>
      <w:r w:rsidR="00B64C52">
        <w:t xml:space="preserve">that there was </w:t>
      </w:r>
      <w:r w:rsidR="004F0DD0">
        <w:t>no meani</w:t>
      </w:r>
      <w:r w:rsidR="003E1499">
        <w:t>ng</w:t>
      </w:r>
      <w:r w:rsidR="004F0DD0">
        <w:t xml:space="preserve">ful communication </w:t>
      </w:r>
      <w:r w:rsidR="00AE308D">
        <w:t xml:space="preserve">between police, fire and ambulance services until up to 90 minutes after </w:t>
      </w:r>
      <w:r w:rsidR="00AE308D">
        <w:lastRenderedPageBreak/>
        <w:t>the began. Each service individually declared the incident a major incident</w:t>
      </w:r>
      <w:r w:rsidR="003E1499">
        <w:t xml:space="preserve"> and critical </w:t>
      </w:r>
      <w:r w:rsidR="002F31DD">
        <w:t>information, such as the decision to begin operations to evacuate the tower, were not shared across services in a timely manner.</w:t>
      </w:r>
      <w:r w:rsidR="00004E24">
        <w:t xml:space="preserve"> This lack of shared situational awareness in yet another incident had devastating consequences</w:t>
      </w:r>
      <w:r w:rsidR="00621A7A">
        <w:t xml:space="preserve"> (</w:t>
      </w:r>
      <w:r w:rsidR="00621A7A" w:rsidRPr="00621A7A">
        <w:t>Moore-Bick</w:t>
      </w:r>
      <w:r w:rsidR="00621A7A">
        <w:t>, 2019)</w:t>
      </w:r>
      <w:r w:rsidR="00A852E2">
        <w:t xml:space="preserve">. Similarly, the </w:t>
      </w:r>
      <w:r w:rsidR="007639AB">
        <w:t xml:space="preserve">review by Kerslake (2018) into the </w:t>
      </w:r>
      <w:r w:rsidR="00052165">
        <w:t>Manchester Arena Bombing found that where the</w:t>
      </w:r>
      <w:r w:rsidR="00961C3F">
        <w:t xml:space="preserve">re </w:t>
      </w:r>
      <w:r w:rsidR="00052165">
        <w:t xml:space="preserve">was a police </w:t>
      </w:r>
      <w:r w:rsidR="00BF50C7">
        <w:t xml:space="preserve">and </w:t>
      </w:r>
      <w:r w:rsidR="00961C3F">
        <w:t>ambulance presence on the scene within expected timeframes, b</w:t>
      </w:r>
      <w:r w:rsidR="00BF5382">
        <w:t xml:space="preserve">ut as already touched on, the fire service didn’t arrive until a later time due to </w:t>
      </w:r>
      <w:r w:rsidR="00B72419">
        <w:t>similar communication breakdowns.</w:t>
      </w:r>
    </w:p>
    <w:p w14:paraId="2C3419AB" w14:textId="6C885331" w:rsidR="00AB6A83" w:rsidRDefault="00755193" w:rsidP="001E1648">
      <w:r>
        <w:t xml:space="preserve">We saw respondents echo this frustration. </w:t>
      </w:r>
      <w:r w:rsidR="00BC0391">
        <w:t xml:space="preserve">One </w:t>
      </w:r>
      <w:r w:rsidR="004E1A85">
        <w:t>noted, “i</w:t>
      </w:r>
      <w:r w:rsidR="004E1A85" w:rsidRPr="004E1A85">
        <w:t>t looked like none of them were really talking to each other—like, they were just doing their own thing. Didn’t feel very organised to be honest</w:t>
      </w:r>
      <w:r w:rsidR="004E1A85">
        <w:t>”.</w:t>
      </w:r>
      <w:r w:rsidR="009244EC">
        <w:t xml:space="preserve"> Another said</w:t>
      </w:r>
      <w:r w:rsidR="00E00926">
        <w:t xml:space="preserve"> </w:t>
      </w:r>
      <w:r w:rsidR="00034BF8" w:rsidRPr="00034BF8">
        <w:t>"</w:t>
      </w:r>
      <w:r w:rsidR="00034BF8">
        <w:t>y</w:t>
      </w:r>
      <w:r w:rsidR="00034BF8" w:rsidRPr="00034BF8">
        <w:t xml:space="preserve">ou couldn’t really tell who was in charge. One officer was saying something and then </w:t>
      </w:r>
      <w:r w:rsidR="001B5763">
        <w:t>a fireman</w:t>
      </w:r>
      <w:r w:rsidR="00034BF8" w:rsidRPr="00034BF8">
        <w:t xml:space="preserve"> said the opposite</w:t>
      </w:r>
      <w:r w:rsidR="00473813">
        <w:t>.</w:t>
      </w:r>
      <w:r w:rsidR="00034BF8" w:rsidRPr="00034BF8">
        <w:t xml:space="preserve"> </w:t>
      </w:r>
      <w:r w:rsidR="00473813">
        <w:t>I</w:t>
      </w:r>
      <w:r w:rsidR="00034BF8" w:rsidRPr="00034BF8">
        <w:t>t was just a bit all over the place</w:t>
      </w:r>
      <w:r w:rsidR="00034BF8">
        <w:t>”.</w:t>
      </w:r>
      <w:r w:rsidR="00DF5428">
        <w:t xml:space="preserve"> These responses represent the real consequences that these failures have on public perceptions</w:t>
      </w:r>
      <w:r w:rsidR="00E64C9B">
        <w:t xml:space="preserve">. When agencies fail to communicate with </w:t>
      </w:r>
      <w:r w:rsidR="00882227">
        <w:t>each other</w:t>
      </w:r>
      <w:r w:rsidR="00E64C9B">
        <w:t>, both the public and responders are</w:t>
      </w:r>
      <w:r w:rsidR="00B55B48">
        <w:t xml:space="preserve"> left in confusion. </w:t>
      </w:r>
      <w:r w:rsidR="009D5FA2">
        <w:t xml:space="preserve">To maintain public trust, people expect that the services </w:t>
      </w:r>
      <w:r w:rsidR="003E101F">
        <w:t>can</w:t>
      </w:r>
      <w:r w:rsidR="009D5FA2">
        <w:t xml:space="preserve"> respond in unison </w:t>
      </w:r>
      <w:r w:rsidR="00F405C4">
        <w:t>with coordinated strategy.</w:t>
      </w:r>
    </w:p>
    <w:p w14:paraId="7C85F167" w14:textId="631A5C00" w:rsidR="0032667F" w:rsidRDefault="0032667F" w:rsidP="001E1648">
      <w:r>
        <w:t>To further strengthen this, it’s also supported by</w:t>
      </w:r>
      <w:r w:rsidR="00477764">
        <w:t xml:space="preserve"> how the respondents perceived leadership. 21% of the respondents </w:t>
      </w:r>
      <w:r w:rsidR="00C35FF0">
        <w:t>stated that shared leadership structures were the most important element for good coordination.</w:t>
      </w:r>
      <w:r w:rsidR="002D7A3E">
        <w:t xml:space="preserve"> </w:t>
      </w:r>
      <w:r w:rsidR="007648B1">
        <w:t xml:space="preserve">A phrase used by one respondent went </w:t>
      </w:r>
      <w:r w:rsidR="00996A06">
        <w:t xml:space="preserve">“too many uniforms, not enough leadership”. This perception is held by a large proportion of the </w:t>
      </w:r>
      <w:r w:rsidR="00525560">
        <w:t>individuals asked</w:t>
      </w:r>
      <w:r w:rsidR="00743F4A">
        <w:t>.</w:t>
      </w:r>
      <w:r w:rsidR="00A576C7">
        <w:t xml:space="preserve"> This again strongly reflects the issues raised in both the Grenfell Tower fire and the Manchester Arena bombing</w:t>
      </w:r>
      <w:r w:rsidR="00C61715">
        <w:t xml:space="preserve">. In Manchester, </w:t>
      </w:r>
      <w:r w:rsidR="001C0943">
        <w:t xml:space="preserve">the command centres for the various emergency services were </w:t>
      </w:r>
      <w:r w:rsidR="001F0B6F">
        <w:t>miles apart</w:t>
      </w:r>
      <w:r w:rsidR="00CA3239">
        <w:t xml:space="preserve"> with no single command </w:t>
      </w:r>
      <w:r w:rsidR="006E35D8">
        <w:t>point</w:t>
      </w:r>
      <w:r w:rsidR="00605AD5">
        <w:t xml:space="preserve"> </w:t>
      </w:r>
      <w:r w:rsidR="00605AD5" w:rsidRPr="00605AD5">
        <w:t>(Saunders, 2022)</w:t>
      </w:r>
      <w:r w:rsidR="006E35D8">
        <w:t xml:space="preserve">. Grenfell found multiple commanders </w:t>
      </w:r>
      <w:r w:rsidR="00CE5129">
        <w:t xml:space="preserve">within the same service </w:t>
      </w:r>
      <w:r w:rsidR="003C620E">
        <w:t>unaware of each other’s presence or decisions, leading to conflictions</w:t>
      </w:r>
      <w:r w:rsidR="00B076C9" w:rsidRPr="00B076C9">
        <w:t xml:space="preserve"> </w:t>
      </w:r>
      <w:r w:rsidR="00B076C9">
        <w:t>(</w:t>
      </w:r>
      <w:r w:rsidR="00B076C9" w:rsidRPr="00621A7A">
        <w:t>Moore-Bick</w:t>
      </w:r>
      <w:r w:rsidR="00B076C9">
        <w:t>, 2019)</w:t>
      </w:r>
      <w:r w:rsidR="003C620E">
        <w:t xml:space="preserve">. Both </w:t>
      </w:r>
      <w:r w:rsidR="00B076C9">
        <w:t>problems could be solved with centralised command centres and are both ultimately enablers of the larger communication issues.</w:t>
      </w:r>
      <w:r w:rsidR="003C620E">
        <w:t xml:space="preserve"> </w:t>
      </w:r>
    </w:p>
    <w:p w14:paraId="3FB17C75" w14:textId="195B72AE" w:rsidR="003E101F" w:rsidRDefault="003E101F" w:rsidP="001E1648">
      <w:r>
        <w:t xml:space="preserve">When a major incident </w:t>
      </w:r>
      <w:r w:rsidR="00022B59">
        <w:t>occurs,</w:t>
      </w:r>
      <w:r>
        <w:t xml:space="preserve"> responding service</w:t>
      </w:r>
      <w:r w:rsidR="00F63BA9">
        <w:t>s</w:t>
      </w:r>
      <w:r>
        <w:t xml:space="preserve"> must </w:t>
      </w:r>
      <w:r w:rsidR="00F63BA9">
        <w:t xml:space="preserve">shift from their </w:t>
      </w:r>
      <w:r w:rsidR="00EB67E5">
        <w:t>single agency</w:t>
      </w:r>
      <w:r w:rsidR="00F63BA9">
        <w:t xml:space="preserve"> focus to a </w:t>
      </w:r>
      <w:r w:rsidR="00622021">
        <w:t>universal leadership model, where leadership operate across organisation lines in the interest of crafting a unified response.</w:t>
      </w:r>
      <w:r w:rsidR="00EB67E5">
        <w:t xml:space="preserve"> Most of our respondents, w</w:t>
      </w:r>
      <w:r w:rsidR="00BB7C9B">
        <w:t>hether intentionally or not, touched on this theme.</w:t>
      </w:r>
      <w:r w:rsidR="003D13DF">
        <w:t xml:space="preserve"> The overall </w:t>
      </w:r>
      <w:r w:rsidR="00F27F67">
        <w:t xml:space="preserve">summary of the responses imply that leadership is more than just having someone in charge, </w:t>
      </w:r>
      <w:r w:rsidR="00A0648A">
        <w:t>but about multiple being able to coordinate in real time and dynamic situations.</w:t>
      </w:r>
    </w:p>
    <w:p w14:paraId="2FB4C0B0" w14:textId="176691A5" w:rsidR="00E67AE7" w:rsidRDefault="00E67AE7" w:rsidP="001E1648">
      <w:r>
        <w:t xml:space="preserve">The theme of joint training and preparedness was also evidently present. While only 15% of respondents selected it as the most crucial factor in coordination, it was </w:t>
      </w:r>
      <w:r w:rsidR="00344BB4">
        <w:t xml:space="preserve">mentioned on numerous occasions in open responses. One </w:t>
      </w:r>
      <w:proofErr w:type="gramStart"/>
      <w:r w:rsidR="00344BB4">
        <w:t>said</w:t>
      </w:r>
      <w:proofErr w:type="gramEnd"/>
      <w:r w:rsidR="00344BB4">
        <w:t xml:space="preserve"> “services should train together, not just </w:t>
      </w:r>
      <w:r w:rsidR="00344BB4">
        <w:lastRenderedPageBreak/>
        <w:t xml:space="preserve">assume they’ll figure it out on the day”, while another </w:t>
      </w:r>
      <w:r w:rsidR="00922947">
        <w:t>said,</w:t>
      </w:r>
      <w:r w:rsidR="00344BB4">
        <w:t xml:space="preserve"> “run more</w:t>
      </w:r>
      <w:r w:rsidR="00F736B9">
        <w:t xml:space="preserve"> exercises that actually involve all of the services, not just training separately”. </w:t>
      </w:r>
      <w:r w:rsidR="0000443A">
        <w:t>This highlights frustration with some respondents that see a lack of respondents, with the joint-exercise comment being left by an individual that has worked inside of the emergency services.</w:t>
      </w:r>
      <w:r w:rsidR="00C212D3">
        <w:t xml:space="preserve"> Another active responder that participated notes that exercises felt like “box-ticking exercises”</w:t>
      </w:r>
      <w:r w:rsidR="00846974">
        <w:t>, indicating that this form of training is not always taken seriously or applied practically.</w:t>
      </w:r>
    </w:p>
    <w:p w14:paraId="0144E7E7" w14:textId="49440910" w:rsidR="00AD233C" w:rsidRDefault="00AD233C" w:rsidP="001E1648">
      <w:r>
        <w:t xml:space="preserve">These perceptions again align well with the points drawn from literature and reports, which have </w:t>
      </w:r>
      <w:r w:rsidR="00F03602">
        <w:t>heavily put emphasis on the gap between training and application. While JESIP and supporting frameworks have introduced standardised procedures and training modules</w:t>
      </w:r>
      <w:r w:rsidR="009613B3">
        <w:t xml:space="preserve">, both the Grenfell Tower fire and the Manchester Arena bombing highlighted that </w:t>
      </w:r>
      <w:r w:rsidR="00A01525">
        <w:t xml:space="preserve">this was not the case. </w:t>
      </w:r>
    </w:p>
    <w:p w14:paraId="732F76B2" w14:textId="77777777" w:rsidR="00982F03" w:rsidRDefault="00423045" w:rsidP="001E1648">
      <w:r>
        <w:t>This disconnect has been widely recognised by public channels, underlining the need for not just more training, but meaningful training that is focused on being realistic, regularly refreshed and jointly delivered among first responders.</w:t>
      </w:r>
      <w:r w:rsidR="004A77DB">
        <w:t xml:space="preserve"> An idea derived from respondents of “getting to know how others work</w:t>
      </w:r>
      <w:r w:rsidR="000653C7">
        <w:t xml:space="preserve">” suggests that training </w:t>
      </w:r>
      <w:r w:rsidR="00EF2C77">
        <w:t>should</w:t>
      </w:r>
      <w:r w:rsidR="000653C7">
        <w:t xml:space="preserve"> not just be about </w:t>
      </w:r>
      <w:r w:rsidR="00EF2C77">
        <w:t>drills but</w:t>
      </w:r>
      <w:r w:rsidR="000653C7">
        <w:t xml:space="preserve"> building familiarity </w:t>
      </w:r>
      <w:r w:rsidR="00EF2C77">
        <w:t xml:space="preserve">and trust </w:t>
      </w:r>
      <w:r w:rsidR="000653C7">
        <w:t>among partner services</w:t>
      </w:r>
      <w:r w:rsidR="00EF2C77">
        <w:t>.</w:t>
      </w:r>
      <w:r w:rsidR="00C069C8">
        <w:t xml:space="preserve"> The idea that the public values transparency was also present, with those experiencing incident first hand noting a lack of information being given to them, along with the </w:t>
      </w:r>
      <w:r w:rsidR="005873AB">
        <w:t>8% of people labelling this as their most important factor of major incident response.</w:t>
      </w:r>
      <w:r w:rsidR="00EF2C77">
        <w:t xml:space="preserve"> Interagency relationships and coordination will always be superior when it has been established </w:t>
      </w:r>
      <w:r w:rsidR="00C069C8">
        <w:t>before action is needed</w:t>
      </w:r>
      <w:r w:rsidR="002070D9">
        <w:t xml:space="preserve"> </w:t>
      </w:r>
      <w:r w:rsidR="002070D9" w:rsidRPr="002070D9">
        <w:t>(Roud, 2021)</w:t>
      </w:r>
      <w:r w:rsidR="00C069C8">
        <w:t>.</w:t>
      </w:r>
    </w:p>
    <w:p w14:paraId="3D854DF7" w14:textId="30B28B7F" w:rsidR="00423045" w:rsidRDefault="00982F03" w:rsidP="001E1648">
      <w:r>
        <w:t xml:space="preserve">Public trust, then, is an outcome of both coordination and a driver of future success. Coming back </w:t>
      </w:r>
      <w:r w:rsidR="00A047ED">
        <w:t>to a statistic of condition confidence, 58% of respondents believed that coordination had improved by a noticeable margin</w:t>
      </w:r>
      <w:r w:rsidR="00C11E89">
        <w:t xml:space="preserve">, but there have been expressed concerns on the other side that mistakes “keep happening”. This doesn’t translate to absolute </w:t>
      </w:r>
      <w:r w:rsidR="004B22DA">
        <w:t>scepticism but</w:t>
      </w:r>
      <w:r w:rsidR="00C11E89">
        <w:t xml:space="preserve"> shows a slight split in opinion across the sample group.</w:t>
      </w:r>
      <w:r w:rsidR="00C95B93">
        <w:t xml:space="preserve"> What has developed was an overall idea showing willingness from </w:t>
      </w:r>
      <w:r w:rsidR="004B22DA">
        <w:t>individuals</w:t>
      </w:r>
      <w:r w:rsidR="00C95B93">
        <w:t xml:space="preserve"> to believe in the system, so long as it shows signs of proficiency and </w:t>
      </w:r>
      <w:r w:rsidR="004B22DA">
        <w:t xml:space="preserve">development from past failures. This level of </w:t>
      </w:r>
      <w:r w:rsidR="00ED5F60">
        <w:t>cautious</w:t>
      </w:r>
      <w:r w:rsidR="004B22DA">
        <w:t xml:space="preserve"> support suggests that </w:t>
      </w:r>
      <w:r w:rsidR="00ED5F60">
        <w:t>public trust is durable, but not unbreakable. It is well known through literature and past lessons that failures in emergency response can, and do erode public trust, the rebuilding of which takes time and transparency</w:t>
      </w:r>
      <w:r w:rsidR="00944723">
        <w:t xml:space="preserve"> </w:t>
      </w:r>
      <w:r w:rsidR="00944723" w:rsidRPr="00944723">
        <w:t>(Bonfanti et al., 2024)</w:t>
      </w:r>
      <w:r w:rsidR="00ED5F60">
        <w:t>.</w:t>
      </w:r>
    </w:p>
    <w:p w14:paraId="40726D46" w14:textId="27849960" w:rsidR="00F2395B" w:rsidRDefault="00F2395B" w:rsidP="001E1648">
      <w:r w:rsidRPr="00F2395B">
        <w:t xml:space="preserve">Expectations </w:t>
      </w:r>
      <w:r>
        <w:t xml:space="preserve">for </w:t>
      </w:r>
      <w:r w:rsidRPr="00F2395B">
        <w:t>communication also extended to the public domain</w:t>
      </w:r>
      <w:r>
        <w:t xml:space="preserve"> literally</w:t>
      </w:r>
      <w:r w:rsidRPr="00F2395B">
        <w:t xml:space="preserve">. Many respondents </w:t>
      </w:r>
      <w:r>
        <w:t xml:space="preserve">touched on </w:t>
      </w:r>
      <w:r w:rsidRPr="00F2395B">
        <w:t>the importance of keeping the public informed during an incident, with one writing, “</w:t>
      </w:r>
      <w:r w:rsidR="003F6469">
        <w:t>Any update would have helped,</w:t>
      </w:r>
      <w:r w:rsidRPr="00F2395B">
        <w:t xml:space="preserve"> </w:t>
      </w:r>
      <w:r w:rsidR="003F6469">
        <w:t>i</w:t>
      </w:r>
      <w:r w:rsidRPr="00F2395B">
        <w:t xml:space="preserve">t shows they’re in control and thinking about us.” This expectation reflects the dual role </w:t>
      </w:r>
      <w:r w:rsidR="003F6469">
        <w:t>and responsibility around</w:t>
      </w:r>
      <w:r w:rsidRPr="00F2395B">
        <w:t xml:space="preserve"> interagency communication</w:t>
      </w:r>
      <w:r w:rsidR="000362C1">
        <w:t xml:space="preserve"> for</w:t>
      </w:r>
      <w:r w:rsidRPr="00F2395B">
        <w:t xml:space="preserve"> response</w:t>
      </w:r>
      <w:r w:rsidR="000362C1">
        <w:t xml:space="preserve"> internally</w:t>
      </w:r>
      <w:r w:rsidRPr="00F2395B">
        <w:t xml:space="preserve">, </w:t>
      </w:r>
      <w:r w:rsidR="000362C1">
        <w:t xml:space="preserve">and </w:t>
      </w:r>
      <w:r w:rsidRPr="00F2395B">
        <w:t xml:space="preserve">to maintain public </w:t>
      </w:r>
      <w:r w:rsidR="000A74A2">
        <w:t>order and trust externally</w:t>
      </w:r>
      <w:r w:rsidRPr="00F2395B">
        <w:t xml:space="preserve">. </w:t>
      </w:r>
      <w:r w:rsidR="000A74A2">
        <w:t xml:space="preserve">It </w:t>
      </w:r>
      <w:r w:rsidR="000A74A2">
        <w:lastRenderedPageBreak/>
        <w:t>can be argued</w:t>
      </w:r>
      <w:r w:rsidRPr="00F2395B">
        <w:t xml:space="preserve"> argue that communication with the public is not </w:t>
      </w:r>
      <w:r w:rsidR="000A74A2">
        <w:t xml:space="preserve">just a </w:t>
      </w:r>
      <w:r w:rsidRPr="00F2395B">
        <w:t xml:space="preserve">courtesy, but a </w:t>
      </w:r>
      <w:r w:rsidR="000A74A2">
        <w:t>vital</w:t>
      </w:r>
      <w:r w:rsidRPr="00F2395B">
        <w:t xml:space="preserve"> of emergency </w:t>
      </w:r>
      <w:r w:rsidR="000A74A2">
        <w:t>response</w:t>
      </w:r>
      <w:r w:rsidRPr="00F2395B">
        <w:t xml:space="preserve"> that </w:t>
      </w:r>
      <w:r w:rsidR="000A74A2">
        <w:t>helps to calm those involved</w:t>
      </w:r>
      <w:r w:rsidRPr="00F2395B">
        <w:t xml:space="preserve">. Respondents indicated that when agencies are silent or inconsistent in their messaging, public anxiety </w:t>
      </w:r>
      <w:r w:rsidR="000A74A2">
        <w:t xml:space="preserve">can grow, </w:t>
      </w:r>
      <w:r w:rsidRPr="00F2395B">
        <w:t xml:space="preserve">even if the </w:t>
      </w:r>
      <w:r w:rsidR="000A74A2">
        <w:t>actual</w:t>
      </w:r>
      <w:r w:rsidRPr="00F2395B">
        <w:t xml:space="preserve"> response is strong</w:t>
      </w:r>
      <w:r w:rsidR="00752DCE">
        <w:t xml:space="preserve"> </w:t>
      </w:r>
      <w:r w:rsidR="00752DCE" w:rsidRPr="00752DCE">
        <w:t>(Drury et al., 2019)</w:t>
      </w:r>
      <w:r w:rsidRPr="00F2395B">
        <w:t xml:space="preserve">. </w:t>
      </w:r>
    </w:p>
    <w:p w14:paraId="1BAEA5EA" w14:textId="58B8DEB2" w:rsidR="0080589C" w:rsidRDefault="00227717" w:rsidP="001E1648">
      <w:r>
        <w:t>When pieced together with the literature</w:t>
      </w:r>
      <w:r w:rsidRPr="00227717">
        <w:t>, th</w:t>
      </w:r>
      <w:r>
        <w:t>e r</w:t>
      </w:r>
      <w:r w:rsidRPr="00227717">
        <w:t>esults provide</w:t>
      </w:r>
      <w:r>
        <w:t xml:space="preserve">d </w:t>
      </w:r>
      <w:r w:rsidRPr="00227717">
        <w:t xml:space="preserve">a </w:t>
      </w:r>
      <w:r>
        <w:t>detailed</w:t>
      </w:r>
      <w:r w:rsidRPr="00227717">
        <w:t xml:space="preserve"> picture of how interagency coordination is perceived by the public. Communication </w:t>
      </w:r>
      <w:r w:rsidR="00003421">
        <w:t xml:space="preserve">has been identified as </w:t>
      </w:r>
      <w:r w:rsidRPr="00227717">
        <w:t xml:space="preserve">the </w:t>
      </w:r>
      <w:r w:rsidR="00003421">
        <w:t>primary</w:t>
      </w:r>
      <w:r w:rsidRPr="00227717">
        <w:t xml:space="preserve"> concern, followed closely by leadership and training</w:t>
      </w:r>
      <w:r w:rsidR="00003421">
        <w:t xml:space="preserve"> which also are enablers of </w:t>
      </w:r>
      <w:r w:rsidR="00801212">
        <w:t>bad communication</w:t>
      </w:r>
      <w:r w:rsidRPr="00227717">
        <w:t xml:space="preserve">. While most </w:t>
      </w:r>
      <w:r w:rsidR="00A4401E">
        <w:t>claim to observe improvements</w:t>
      </w:r>
      <w:r w:rsidRPr="00227717">
        <w:t xml:space="preserve">, there is a clear expectation that plan </w:t>
      </w:r>
      <w:r w:rsidR="006C18BF">
        <w:t>is</w:t>
      </w:r>
      <w:r w:rsidRPr="00227717">
        <w:t xml:space="preserve"> followed</w:t>
      </w:r>
      <w:r w:rsidR="00A4401E">
        <w:t xml:space="preserve"> well</w:t>
      </w:r>
      <w:r w:rsidRPr="00227717">
        <w:t>, training be meaningful</w:t>
      </w:r>
      <w:r w:rsidR="00A4401E">
        <w:t xml:space="preserve"> and influences effective response</w:t>
      </w:r>
      <w:r w:rsidRPr="00227717">
        <w:t>, and leaders be accountable</w:t>
      </w:r>
      <w:r w:rsidR="00A4401E">
        <w:t xml:space="preserve"> and able to work in interagency settings</w:t>
      </w:r>
      <w:r w:rsidRPr="00227717">
        <w:t xml:space="preserve">. These views are consistent with </w:t>
      </w:r>
      <w:r w:rsidR="00A4401E">
        <w:t xml:space="preserve">the ideas from </w:t>
      </w:r>
      <w:r w:rsidRPr="00227717">
        <w:t xml:space="preserve">the literature </w:t>
      </w:r>
      <w:r w:rsidR="00A4401E">
        <w:t xml:space="preserve">review </w:t>
      </w:r>
      <w:r w:rsidRPr="00227717">
        <w:t xml:space="preserve">and suggest that the public </w:t>
      </w:r>
      <w:r w:rsidR="006C18BF">
        <w:t>are both</w:t>
      </w:r>
      <w:r w:rsidRPr="00227717">
        <w:t xml:space="preserve"> informed and invested in emergency response outcomes</w:t>
      </w:r>
      <w:r w:rsidR="006C18BF">
        <w:t xml:space="preserve"> for their own benefit</w:t>
      </w:r>
      <w:r w:rsidRPr="00227717">
        <w:t>. The insights gained from this data reinforce the core argument of this paper</w:t>
      </w:r>
      <w:r w:rsidR="006C18BF">
        <w:t>.</w:t>
      </w:r>
      <w:r w:rsidRPr="00227717">
        <w:t xml:space="preserve"> </w:t>
      </w:r>
      <w:r w:rsidR="006C18BF">
        <w:t>T</w:t>
      </w:r>
      <w:r w:rsidRPr="00227717">
        <w:t>hat interagency coordination is not only central to success</w:t>
      </w:r>
      <w:r w:rsidR="006C18BF">
        <w:t>ful response</w:t>
      </w:r>
      <w:r w:rsidRPr="00227717">
        <w:t xml:space="preserve"> during major </w:t>
      </w:r>
      <w:r w:rsidR="006C18BF" w:rsidRPr="00227717">
        <w:t>incidents</w:t>
      </w:r>
      <w:r w:rsidR="006C18BF">
        <w:t xml:space="preserve"> but</w:t>
      </w:r>
      <w:r w:rsidRPr="00227717">
        <w:t xml:space="preserve"> is also the foundation </w:t>
      </w:r>
      <w:r w:rsidR="006C18BF">
        <w:t xml:space="preserve">on </w:t>
      </w:r>
      <w:r w:rsidRPr="00227717">
        <w:t xml:space="preserve">which public confidence </w:t>
      </w:r>
      <w:r w:rsidR="006C18BF">
        <w:t xml:space="preserve">is </w:t>
      </w:r>
      <w:r w:rsidR="00C0613E">
        <w:t>built,</w:t>
      </w:r>
      <w:r w:rsidR="006C18BF">
        <w:t xml:space="preserve"> and accountability lie</w:t>
      </w:r>
      <w:r w:rsidRPr="00227717">
        <w:t>.</w:t>
      </w:r>
    </w:p>
    <w:p w14:paraId="2C5BDF37" w14:textId="77777777" w:rsidR="00322EFB" w:rsidRDefault="00322EFB" w:rsidP="001E1648"/>
    <w:p w14:paraId="18FC9EE2" w14:textId="238FBC07" w:rsidR="00322EFB" w:rsidRDefault="00322EFB" w:rsidP="00322EFB">
      <w:pPr>
        <w:pStyle w:val="Heading1"/>
      </w:pPr>
      <w:r>
        <w:t>Conclusion</w:t>
      </w:r>
    </w:p>
    <w:p w14:paraId="4738AD3B" w14:textId="2907B29E" w:rsidR="00322EFB" w:rsidRDefault="00590DF9" w:rsidP="00322EFB">
      <w:r>
        <w:t>This paper set out to examine h</w:t>
      </w:r>
      <w:r w:rsidR="00F633F6">
        <w:t xml:space="preserve">ow interagency coordination </w:t>
      </w:r>
      <w:r w:rsidR="00327A7B">
        <w:t>strategies have influenced the effectiveness of UK public services in response to major incidents</w:t>
      </w:r>
      <w:r w:rsidR="001E5AF3">
        <w:t xml:space="preserve">, and what lessons can be drawn from past events. Using a combination of primary data around public perceptions, secondary research </w:t>
      </w:r>
      <w:r w:rsidR="00654F5F">
        <w:t>and real-world case studies, the findings have shown both failings and improvements in interagency work in recent years.</w:t>
      </w:r>
      <w:r w:rsidR="007B732C">
        <w:t xml:space="preserve"> Measures such as JESIP and their supporting frameworks have been able to introduce standardised </w:t>
      </w:r>
      <w:r w:rsidR="00E7129C">
        <w:t>procedures</w:t>
      </w:r>
      <w:r w:rsidR="007B732C">
        <w:t xml:space="preserve"> </w:t>
      </w:r>
      <w:r w:rsidR="00E7129C">
        <w:t xml:space="preserve">and training to be </w:t>
      </w:r>
      <w:r w:rsidR="00B574BA">
        <w:t xml:space="preserve">employed in response by the separate emergency services. Despite </w:t>
      </w:r>
      <w:proofErr w:type="gramStart"/>
      <w:r w:rsidR="00B574BA">
        <w:t>this evident challenges</w:t>
      </w:r>
      <w:proofErr w:type="gramEnd"/>
      <w:r w:rsidR="00B574BA">
        <w:t xml:space="preserve"> have remained, particularly around the consistent application of such measures </w:t>
      </w:r>
      <w:r w:rsidR="00A11FCB">
        <w:t>and applying them in real-world, dynamic situations.</w:t>
      </w:r>
    </w:p>
    <w:p w14:paraId="15BD2FA3" w14:textId="1CB5858C" w:rsidR="007F6996" w:rsidRDefault="007F6996" w:rsidP="00322EFB">
      <w:r>
        <w:t xml:space="preserve">Central to the findings has been the role of communication in response. From both the primary and secondary research, it became instantly evident that communication breakdowns are </w:t>
      </w:r>
      <w:r w:rsidR="00AC0433">
        <w:t>among</w:t>
      </w:r>
      <w:r>
        <w:t xml:space="preserve"> the major uncovered issue that </w:t>
      </w:r>
      <w:r w:rsidR="00AC0433">
        <w:t>have</w:t>
      </w:r>
      <w:r>
        <w:t xml:space="preserve"> led to failings </w:t>
      </w:r>
      <w:r w:rsidR="00AC0433">
        <w:t xml:space="preserve">in multi-agency response in recent years. The survey showed that communication was </w:t>
      </w:r>
      <w:r w:rsidR="00C0785A">
        <w:t>perceived to be the single most important effectiveness by the public, while inquiries into events</w:t>
      </w:r>
      <w:r w:rsidR="00AE6620">
        <w:t xml:space="preserve"> like the Manchester Arena bombing, alongside the Grenfell Tower fire both highlighted catastrophic communication failures.</w:t>
      </w:r>
      <w:r w:rsidR="00F929A3">
        <w:t xml:space="preserve"> The failure to employ JESIP, keep communication open and use frameworks such as METHANE </w:t>
      </w:r>
      <w:r w:rsidR="00CA22DB">
        <w:t xml:space="preserve">have been crucial, as when these are </w:t>
      </w:r>
      <w:r w:rsidR="00CA22DB">
        <w:lastRenderedPageBreak/>
        <w:t>employed properly services can enjoy shared understanding of events</w:t>
      </w:r>
      <w:r w:rsidR="005C3F67">
        <w:t>, supporting quick and well-informed decisions.</w:t>
      </w:r>
      <w:r w:rsidR="000B5104">
        <w:t xml:space="preserve"> This is all routed in strong communication </w:t>
      </w:r>
      <w:r w:rsidR="00E53C49">
        <w:t>habits and</w:t>
      </w:r>
      <w:r w:rsidR="000B5104">
        <w:t xml:space="preserve"> ensuring that they are robust enough to ensure those intense situations in the heat of the moment.</w:t>
      </w:r>
    </w:p>
    <w:p w14:paraId="34A5E926" w14:textId="1F347432" w:rsidR="00862BF6" w:rsidRDefault="00E53C49" w:rsidP="00322EFB">
      <w:r>
        <w:t>Linked</w:t>
      </w:r>
      <w:r w:rsidR="00862BF6">
        <w:t xml:space="preserve"> to communication is a robust and inter-service command structure for multi-agency response, focusing on factors such as co-location to ensure </w:t>
      </w:r>
      <w:r>
        <w:t xml:space="preserve">a comprehensive and well-informed chain of command. </w:t>
      </w:r>
      <w:r w:rsidR="00B342FB">
        <w:t>The analysis of primary data and secondary research has led to the conclusion that</w:t>
      </w:r>
      <w:r w:rsidR="00247660">
        <w:t xml:space="preserve"> without these well organised command structures, response tends to be slower and far more disorganised. This was echoed with public frustration in the survey, where </w:t>
      </w:r>
      <w:r w:rsidR="00345E71">
        <w:t>it was mentioned that it was unclear who was in charge, and that there was a lack of information during incidents they had been exposed to.</w:t>
      </w:r>
      <w:r w:rsidR="00D2415A">
        <w:t xml:space="preserve"> When looking at the </w:t>
      </w:r>
      <w:proofErr w:type="gramStart"/>
      <w:r w:rsidR="00D2415A">
        <w:t>real world</w:t>
      </w:r>
      <w:proofErr w:type="gramEnd"/>
      <w:r w:rsidR="00D2415A">
        <w:t xml:space="preserve"> situations, the lack of a co-located command centre during the </w:t>
      </w:r>
      <w:r w:rsidR="00691065">
        <w:t xml:space="preserve">response led to </w:t>
      </w:r>
      <w:r w:rsidR="00F93CCC">
        <w:t xml:space="preserve">vital information being withheld from the Fire and Rescue </w:t>
      </w:r>
      <w:r w:rsidR="00CE1C84">
        <w:t>service and</w:t>
      </w:r>
      <w:r w:rsidR="00F93CCC">
        <w:t xml:space="preserve"> making it impossible to make </w:t>
      </w:r>
      <w:r w:rsidR="00603B15">
        <w:t>unified</w:t>
      </w:r>
      <w:r w:rsidR="00F93CCC">
        <w:t xml:space="preserve"> decisions with the </w:t>
      </w:r>
      <w:r w:rsidR="00603B15">
        <w:t>appointed gold commander from the Police service being segregated from partner agencies.</w:t>
      </w:r>
      <w:r w:rsidR="00A77DF1">
        <w:t xml:space="preserve"> </w:t>
      </w:r>
      <w:r w:rsidR="00647C5A">
        <w:t xml:space="preserve">These </w:t>
      </w:r>
      <w:r w:rsidR="00CE1C84">
        <w:t>procedures</w:t>
      </w:r>
      <w:r w:rsidR="00647C5A">
        <w:t xml:space="preserve"> and structures are crucial for organising unified response and reinforcing interagency communication.</w:t>
      </w:r>
    </w:p>
    <w:p w14:paraId="36328AA6" w14:textId="7CB05F33" w:rsidR="00CE1C84" w:rsidRDefault="00712751" w:rsidP="00322EFB">
      <w:r>
        <w:t xml:space="preserve">Preparedness is also a massive factor in effectiveness. The research suggests that dedicated training, and </w:t>
      </w:r>
      <w:r w:rsidR="00A20171">
        <w:t xml:space="preserve">commitment of partner services to creating working relationships prior to incident occurring is a major factor to nurturing </w:t>
      </w:r>
      <w:r w:rsidR="00542DBD">
        <w:t>cohesive response. Exercise</w:t>
      </w:r>
      <w:r w:rsidR="00F9658E">
        <w:t>s</w:t>
      </w:r>
      <w:r w:rsidR="00542DBD">
        <w:t xml:space="preserve"> and training </w:t>
      </w:r>
      <w:r w:rsidR="00F9658E">
        <w:t>simulating incidents can</w:t>
      </w:r>
      <w:r w:rsidR="00542DBD">
        <w:t xml:space="preserve"> help develop</w:t>
      </w:r>
      <w:r w:rsidR="00F9658E">
        <w:t xml:space="preserve"> </w:t>
      </w:r>
      <w:r w:rsidR="00542DBD">
        <w:t>practical familiarity for larger scale inter-agency operations</w:t>
      </w:r>
      <w:r w:rsidR="00831A87">
        <w:t>, command structures and the crucial development of professional relationships</w:t>
      </w:r>
      <w:r w:rsidR="00F9658E">
        <w:t xml:space="preserve"> among the emergency services. Respondents in the survey expressed a similar idea, with a number </w:t>
      </w:r>
      <w:r w:rsidR="003D4BD1">
        <w:t xml:space="preserve">stating that joint-training and realistic scenario simulation is a crucial </w:t>
      </w:r>
      <w:r w:rsidR="00740807">
        <w:t>stepping stone in to “know how the others work”. The Grenfell and Manchester reviews both identified that although training was in place, it was inconsistently followed in actual applicati</w:t>
      </w:r>
      <w:r w:rsidR="00B56931">
        <w:t xml:space="preserve">on. This highlights the idea that they are useless if not paired with a culture of learning, adaptation and the want for interagency work. This was echoed in a response form a first responder, describing training as “tick-box exercises”. </w:t>
      </w:r>
    </w:p>
    <w:p w14:paraId="46A5C663" w14:textId="4BE25CB2" w:rsidR="00406AB7" w:rsidRDefault="00406AB7" w:rsidP="00322EFB">
      <w:r>
        <w:t xml:space="preserve">The overall </w:t>
      </w:r>
      <w:r w:rsidR="003965A3">
        <w:t>recurring</w:t>
      </w:r>
      <w:r>
        <w:t xml:space="preserve"> theme throughout the identified issued is the </w:t>
      </w:r>
      <w:r w:rsidR="003965A3">
        <w:t xml:space="preserve">importance of organisational learning and adaptation. Major </w:t>
      </w:r>
      <w:r w:rsidR="00A46ED0">
        <w:t>incidents</w:t>
      </w:r>
      <w:r w:rsidR="003965A3">
        <w:t xml:space="preserve"> generate traction, and in the heat of </w:t>
      </w:r>
      <w:r w:rsidR="00A15D20">
        <w:t>large-scale</w:t>
      </w:r>
      <w:r w:rsidR="003965A3">
        <w:t xml:space="preserve"> response </w:t>
      </w:r>
      <w:r w:rsidR="00944BED">
        <w:t>and failings, official enquires, reports and recommendations have been made. Yet several failings, such as communication issues or confusing due to leadership failures</w:t>
      </w:r>
      <w:r w:rsidR="008D238B">
        <w:t xml:space="preserve">, have been repeated and not properly </w:t>
      </w:r>
      <w:r w:rsidR="00A15D20">
        <w:t>addressed</w:t>
      </w:r>
      <w:r w:rsidR="008D238B">
        <w:t xml:space="preserve">. This </w:t>
      </w:r>
      <w:r w:rsidR="00A15D20">
        <w:t>reflects</w:t>
      </w:r>
      <w:r w:rsidR="008D238B">
        <w:t xml:space="preserve"> that gap between lessons identified and the lessons </w:t>
      </w:r>
      <w:r w:rsidR="00A15D20">
        <w:t xml:space="preserve">learnt. While JESIP was developed in response to </w:t>
      </w:r>
      <w:r w:rsidR="00A46ED0">
        <w:t>frustrations</w:t>
      </w:r>
      <w:r w:rsidR="00822B26">
        <w:t xml:space="preserve"> in these areas, its inconsistent implementation has highlighted the primary </w:t>
      </w:r>
      <w:r w:rsidR="00822B26">
        <w:lastRenderedPageBreak/>
        <w:t xml:space="preserve">problem around </w:t>
      </w:r>
      <w:r w:rsidR="00A46ED0">
        <w:t>culture in the emergency services and long-term organisational change.</w:t>
      </w:r>
      <w:r w:rsidR="0020222B">
        <w:t xml:space="preserve"> Effective coordination goes beyond well-designed frameworks, but requires an operation culture that embraces reflection, adaptation and interagency work without getting tunnel vision on the role of their individual service</w:t>
      </w:r>
      <w:r w:rsidR="00172E53">
        <w:t>. It is only when agencies commit to the continuous refinement, through training, doctrine and policy, that meaningful changes will take place.</w:t>
      </w:r>
    </w:p>
    <w:p w14:paraId="5B01B79F" w14:textId="46855279" w:rsidR="00B91409" w:rsidRDefault="00B91409" w:rsidP="00322EFB">
      <w:r>
        <w:t xml:space="preserve">In conclusion, this paper has shown that while the British emergency services have made progress and drawn conclusions from past failings to develop interagency coordination strategies, critical challenges </w:t>
      </w:r>
      <w:r w:rsidR="00634BB9">
        <w:t>remain</w:t>
      </w:r>
      <w:r>
        <w:t>. Communication, leadership procedures and structures, alongside prepare</w:t>
      </w:r>
      <w:r w:rsidR="00634BB9">
        <w:t>dness continue to mould the quality of emergency response, and though there is perception of improvement, consistency in execution is essential and not yet proven.</w:t>
      </w:r>
      <w:r w:rsidR="00943529">
        <w:t xml:space="preserve"> Moving into the future, the civil protection services much ensure that training is meaningful, leadership structures are clarified, frameworks like JESIP are fully adhered to and that lesson learnt from past failings are embedded across all </w:t>
      </w:r>
      <w:r w:rsidR="00790467">
        <w:t>agencies. Ultimately, effective coordination not only improves operational success, but it reassures the public and strengthens their confidence in the very agencies tasked with protecting them in their times of need.</w:t>
      </w:r>
    </w:p>
    <w:p w14:paraId="7A0D735F" w14:textId="77777777" w:rsidR="00190E8D" w:rsidRDefault="00190E8D" w:rsidP="00322EFB"/>
    <w:p w14:paraId="0C82AB37" w14:textId="2F323286" w:rsidR="00190E8D" w:rsidRPr="00322EFB" w:rsidRDefault="00190E8D" w:rsidP="00322EFB">
      <w:r>
        <w:t>Word Count: 8216</w:t>
      </w:r>
    </w:p>
    <w:p w14:paraId="2BA8F986" w14:textId="77777777" w:rsidR="00C243CE" w:rsidRPr="007A4D89" w:rsidRDefault="00C243CE" w:rsidP="007A4D89"/>
    <w:p w14:paraId="4BD845B2" w14:textId="77777777" w:rsidR="00115C90" w:rsidRDefault="00115C90">
      <w:pPr>
        <w:rPr>
          <w:rFonts w:asciiTheme="majorHAnsi" w:eastAsiaTheme="majorEastAsia" w:hAnsiTheme="majorHAnsi" w:cstheme="majorBidi"/>
          <w:color w:val="0F4761" w:themeColor="accent1" w:themeShade="BF"/>
          <w:sz w:val="40"/>
          <w:szCs w:val="40"/>
        </w:rPr>
      </w:pPr>
      <w:r>
        <w:br w:type="page"/>
      </w:r>
    </w:p>
    <w:p w14:paraId="521CB229" w14:textId="5651B20D" w:rsidR="00C33E0D" w:rsidRPr="00C33E0D" w:rsidRDefault="00003D44" w:rsidP="00C33E0D">
      <w:pPr>
        <w:pStyle w:val="Heading1"/>
      </w:pPr>
      <w:bookmarkStart w:id="2" w:name="_Toc183802848"/>
      <w:r w:rsidRPr="00492EC2">
        <w:lastRenderedPageBreak/>
        <w:t>Bibliography</w:t>
      </w:r>
      <w:bookmarkEnd w:id="2"/>
    </w:p>
    <w:p w14:paraId="31EBA630" w14:textId="77777777" w:rsidR="00C33E0D" w:rsidRPr="00453927" w:rsidRDefault="00C33E0D" w:rsidP="00C33E0D">
      <w:pPr>
        <w:pStyle w:val="NormalWeb"/>
        <w:spacing w:after="240" w:line="360" w:lineRule="auto"/>
        <w:rPr>
          <w:rFonts w:asciiTheme="minorHAnsi" w:hAnsiTheme="minorHAnsi"/>
        </w:rPr>
      </w:pPr>
      <w:proofErr w:type="spellStart"/>
      <w:r w:rsidRPr="00453927">
        <w:rPr>
          <w:rFonts w:asciiTheme="minorHAnsi" w:hAnsiTheme="minorHAnsi"/>
        </w:rPr>
        <w:t>Akawadhi</w:t>
      </w:r>
      <w:proofErr w:type="spellEnd"/>
      <w:r w:rsidRPr="00453927">
        <w:rPr>
          <w:rFonts w:asciiTheme="minorHAnsi" w:hAnsiTheme="minorHAnsi"/>
        </w:rPr>
        <w:t>, S. (2019) </w:t>
      </w:r>
      <w:r w:rsidRPr="00453927">
        <w:rPr>
          <w:rFonts w:asciiTheme="minorHAnsi" w:hAnsiTheme="minorHAnsi"/>
          <w:i/>
          <w:iCs/>
        </w:rPr>
        <w:t>Developing an Incident Command System Framework for Natural Hazards in the United Arab Emirates (UAE).</w:t>
      </w:r>
      <w:r w:rsidRPr="00453927">
        <w:rPr>
          <w:rFonts w:asciiTheme="minorHAnsi" w:hAnsiTheme="minorHAnsi"/>
        </w:rPr>
        <w:t xml:space="preserve"> PhD Thesis. University of Salford. Available at: https://salford-repository.worktribe.com/preview/1489676/Saif%20Alawadhi%20pvp311%20Final%20Thesis.pdf (Accessed: 29 November 2024). </w:t>
      </w:r>
    </w:p>
    <w:p w14:paraId="38534A5E"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Andreassen, N., Borch, O.J. and Sydnes, A.K. (2020) ‘Information sharing and emergency response coordination’, </w:t>
      </w:r>
      <w:r w:rsidRPr="00453927">
        <w:rPr>
          <w:rFonts w:asciiTheme="minorHAnsi" w:hAnsiTheme="minorHAnsi"/>
          <w:i/>
          <w:iCs/>
        </w:rPr>
        <w:t>Safety Science</w:t>
      </w:r>
      <w:r w:rsidRPr="00453927">
        <w:rPr>
          <w:rFonts w:asciiTheme="minorHAnsi" w:hAnsiTheme="minorHAnsi"/>
        </w:rPr>
        <w:t>, 130(2020). Available at: https://doi.org/10.1016/j.ssci.2020.104895.</w:t>
      </w:r>
    </w:p>
    <w:p w14:paraId="6E58C433" w14:textId="77777777" w:rsidR="00C33E0D" w:rsidRPr="00453927" w:rsidRDefault="00C33E0D" w:rsidP="00C33E0D">
      <w:pPr>
        <w:pStyle w:val="NormalWeb"/>
        <w:spacing w:after="240" w:line="360" w:lineRule="auto"/>
        <w:rPr>
          <w:rFonts w:asciiTheme="minorHAnsi" w:hAnsiTheme="minorHAnsi"/>
        </w:rPr>
      </w:pPr>
      <w:proofErr w:type="spellStart"/>
      <w:r w:rsidRPr="00453927">
        <w:rPr>
          <w:rFonts w:asciiTheme="minorHAnsi" w:hAnsiTheme="minorHAnsi"/>
        </w:rPr>
        <w:t>Annelli</w:t>
      </w:r>
      <w:proofErr w:type="spellEnd"/>
      <w:r w:rsidRPr="00453927">
        <w:rPr>
          <w:rFonts w:asciiTheme="minorHAnsi" w:hAnsiTheme="minorHAnsi"/>
        </w:rPr>
        <w:t xml:space="preserve">, J.F. (2006) ‘The National Incident </w:t>
      </w:r>
      <w:proofErr w:type="gramStart"/>
      <w:r w:rsidRPr="00453927">
        <w:rPr>
          <w:rFonts w:asciiTheme="minorHAnsi" w:hAnsiTheme="minorHAnsi"/>
        </w:rPr>
        <w:t>management</w:t>
      </w:r>
      <w:proofErr w:type="gramEnd"/>
      <w:r w:rsidRPr="00453927">
        <w:rPr>
          <w:rFonts w:asciiTheme="minorHAnsi" w:hAnsiTheme="minorHAnsi"/>
        </w:rPr>
        <w:t xml:space="preserve"> </w:t>
      </w:r>
      <w:proofErr w:type="gramStart"/>
      <w:r w:rsidRPr="00453927">
        <w:rPr>
          <w:rFonts w:asciiTheme="minorHAnsi" w:hAnsiTheme="minorHAnsi"/>
        </w:rPr>
        <w:t>System :</w:t>
      </w:r>
      <w:proofErr w:type="gramEnd"/>
      <w:r w:rsidRPr="00453927">
        <w:rPr>
          <w:rFonts w:asciiTheme="minorHAnsi" w:hAnsiTheme="minorHAnsi"/>
        </w:rPr>
        <w:t xml:space="preserve"> a multi-agency approach to emergency response in the United States of America’, </w:t>
      </w:r>
      <w:r w:rsidRPr="00453927">
        <w:rPr>
          <w:rFonts w:asciiTheme="minorHAnsi" w:hAnsiTheme="minorHAnsi"/>
          <w:i/>
          <w:iCs/>
        </w:rPr>
        <w:t xml:space="preserve">Revue </w:t>
      </w:r>
      <w:proofErr w:type="spellStart"/>
      <w:r w:rsidRPr="00453927">
        <w:rPr>
          <w:rFonts w:asciiTheme="minorHAnsi" w:hAnsiTheme="minorHAnsi"/>
          <w:i/>
          <w:iCs/>
        </w:rPr>
        <w:t>Scientifique</w:t>
      </w:r>
      <w:proofErr w:type="spellEnd"/>
      <w:r w:rsidRPr="00453927">
        <w:rPr>
          <w:rFonts w:asciiTheme="minorHAnsi" w:hAnsiTheme="minorHAnsi"/>
          <w:i/>
          <w:iCs/>
        </w:rPr>
        <w:t xml:space="preserve"> et Technique de </w:t>
      </w:r>
      <w:proofErr w:type="spellStart"/>
      <w:r w:rsidRPr="00453927">
        <w:rPr>
          <w:rFonts w:asciiTheme="minorHAnsi" w:hAnsiTheme="minorHAnsi"/>
          <w:i/>
          <w:iCs/>
        </w:rPr>
        <w:t>l’OIE</w:t>
      </w:r>
      <w:proofErr w:type="spellEnd"/>
      <w:r w:rsidRPr="00453927">
        <w:rPr>
          <w:rFonts w:asciiTheme="minorHAnsi" w:hAnsiTheme="minorHAnsi"/>
        </w:rPr>
        <w:t>, 25(1), pp. 223–231. Available at: https://doi.org/10.20506/rst.25.1.1656.</w:t>
      </w:r>
    </w:p>
    <w:p w14:paraId="5E6BC060"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Atkins, T. (2023) ‘The impact of the Manchester Arena terror attack: next steps for public safety and policy’, </w:t>
      </w:r>
      <w:r w:rsidRPr="00453927">
        <w:rPr>
          <w:rFonts w:asciiTheme="minorHAnsi" w:hAnsiTheme="minorHAnsi"/>
          <w:i/>
          <w:iCs/>
        </w:rPr>
        <w:t>Journal of Policing, Intelligence and Counter Terrorism</w:t>
      </w:r>
      <w:r w:rsidRPr="00453927">
        <w:rPr>
          <w:rFonts w:asciiTheme="minorHAnsi" w:hAnsiTheme="minorHAnsi"/>
        </w:rPr>
        <w:t>, 18(1). Available at: https://doi.org/10.1080/18335330.2021.2022183.</w:t>
      </w:r>
    </w:p>
    <w:p w14:paraId="66C019A2"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Baker-Beall, C. </w:t>
      </w:r>
      <w:r w:rsidRPr="00453927">
        <w:rPr>
          <w:rFonts w:asciiTheme="minorHAnsi" w:hAnsiTheme="minorHAnsi"/>
          <w:i/>
          <w:iCs/>
        </w:rPr>
        <w:t>et al.</w:t>
      </w:r>
      <w:r w:rsidRPr="00453927">
        <w:rPr>
          <w:rFonts w:asciiTheme="minorHAnsi" w:hAnsiTheme="minorHAnsi"/>
        </w:rPr>
        <w:t xml:space="preserve"> (2024) ‘From Prevent to Protect and Prepare: The Manchester Arena Attack and Shifting Priorities in the United Kingdom’s Counter-Terrorism Strategy (CONTEST)’, </w:t>
      </w:r>
      <w:r w:rsidRPr="00453927">
        <w:rPr>
          <w:rFonts w:asciiTheme="minorHAnsi" w:hAnsiTheme="minorHAnsi"/>
          <w:i/>
          <w:iCs/>
        </w:rPr>
        <w:t>Studies in Conflict &amp; Terrorism</w:t>
      </w:r>
      <w:r w:rsidRPr="00453927">
        <w:rPr>
          <w:rFonts w:asciiTheme="minorHAnsi" w:hAnsiTheme="minorHAnsi"/>
        </w:rPr>
        <w:t>, pp. 1–25. Available at: https://doi.org/10.1080/1057610x.2024.2327664.</w:t>
      </w:r>
    </w:p>
    <w:p w14:paraId="72A4583B"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Betts, C. and Power, N. (2025) ‘Enhancing incident reporting systems: insights from JOL online and the emergency services’, </w:t>
      </w:r>
      <w:r w:rsidRPr="00453927">
        <w:rPr>
          <w:rFonts w:asciiTheme="minorHAnsi" w:hAnsiTheme="minorHAnsi"/>
          <w:i/>
          <w:iCs/>
        </w:rPr>
        <w:t>Cognition, Technology &amp; Work</w:t>
      </w:r>
      <w:r w:rsidRPr="00453927">
        <w:rPr>
          <w:rFonts w:asciiTheme="minorHAnsi" w:hAnsiTheme="minorHAnsi"/>
        </w:rPr>
        <w:t>, 2025. Available at: https://doi.org/10.1007/s10111-025-00795-9.</w:t>
      </w:r>
    </w:p>
    <w:p w14:paraId="25D9BD5B"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Bonfanti, R.C. </w:t>
      </w:r>
      <w:r w:rsidRPr="00453927">
        <w:rPr>
          <w:rFonts w:asciiTheme="minorHAnsi" w:hAnsiTheme="minorHAnsi"/>
          <w:i/>
          <w:iCs/>
        </w:rPr>
        <w:t>et al.</w:t>
      </w:r>
      <w:r w:rsidRPr="00453927">
        <w:rPr>
          <w:rFonts w:asciiTheme="minorHAnsi" w:hAnsiTheme="minorHAnsi"/>
        </w:rPr>
        <w:t xml:space="preserve"> (2024) ‘The Role of Trust in Disaster Risk Reduction: A Critical Review’, </w:t>
      </w:r>
      <w:r w:rsidRPr="00453927">
        <w:rPr>
          <w:rFonts w:asciiTheme="minorHAnsi" w:hAnsiTheme="minorHAnsi"/>
          <w:i/>
          <w:iCs/>
        </w:rPr>
        <w:t>International Journal of Environmental Research and Public Health</w:t>
      </w:r>
      <w:r w:rsidRPr="00453927">
        <w:rPr>
          <w:rFonts w:asciiTheme="minorHAnsi" w:hAnsiTheme="minorHAnsi"/>
        </w:rPr>
        <w:t>, 21(1), p. 29. Available at: https://doi.org/10.3390/ijerph21010029.</w:t>
      </w:r>
    </w:p>
    <w:p w14:paraId="2D421185" w14:textId="77777777" w:rsidR="00C33E0D" w:rsidRPr="00453927" w:rsidRDefault="00C33E0D" w:rsidP="00C33E0D">
      <w:pPr>
        <w:pStyle w:val="NormalWeb"/>
        <w:spacing w:after="240" w:line="360" w:lineRule="auto"/>
        <w:rPr>
          <w:rFonts w:asciiTheme="minorHAnsi" w:hAnsiTheme="minorHAnsi"/>
        </w:rPr>
      </w:pPr>
      <w:proofErr w:type="spellStart"/>
      <w:r w:rsidRPr="00453927">
        <w:rPr>
          <w:rFonts w:asciiTheme="minorHAnsi" w:hAnsiTheme="minorHAnsi"/>
        </w:rPr>
        <w:lastRenderedPageBreak/>
        <w:t>Brignardello</w:t>
      </w:r>
      <w:proofErr w:type="spellEnd"/>
      <w:r w:rsidRPr="00453927">
        <w:rPr>
          <w:rFonts w:asciiTheme="minorHAnsi" w:hAnsiTheme="minorHAnsi"/>
        </w:rPr>
        <w:t xml:space="preserve">-Petersen, R., </w:t>
      </w:r>
      <w:proofErr w:type="spellStart"/>
      <w:r w:rsidRPr="00453927">
        <w:rPr>
          <w:rFonts w:asciiTheme="minorHAnsi" w:hAnsiTheme="minorHAnsi"/>
        </w:rPr>
        <w:t>Santesso</w:t>
      </w:r>
      <w:proofErr w:type="spellEnd"/>
      <w:r w:rsidRPr="00453927">
        <w:rPr>
          <w:rFonts w:asciiTheme="minorHAnsi" w:hAnsiTheme="minorHAnsi"/>
        </w:rPr>
        <w:t xml:space="preserve">, N. and Guyatt, G.H. (2024) ‘Systematic reviews of the literature: an introduction to current methods’, </w:t>
      </w:r>
      <w:r w:rsidRPr="00453927">
        <w:rPr>
          <w:rFonts w:asciiTheme="minorHAnsi" w:hAnsiTheme="minorHAnsi"/>
          <w:i/>
          <w:iCs/>
        </w:rPr>
        <w:t>American Journal of Epidemiology</w:t>
      </w:r>
      <w:r w:rsidRPr="00453927">
        <w:rPr>
          <w:rFonts w:asciiTheme="minorHAnsi" w:hAnsiTheme="minorHAnsi"/>
        </w:rPr>
        <w:t>, 2024. Available at: https://doi.org/10.1093/aje/kwae232.</w:t>
      </w:r>
    </w:p>
    <w:p w14:paraId="5AA6DD67"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Burns, K.E.A. </w:t>
      </w:r>
      <w:r w:rsidRPr="00453927">
        <w:rPr>
          <w:rFonts w:asciiTheme="minorHAnsi" w:hAnsiTheme="minorHAnsi"/>
          <w:i/>
          <w:iCs/>
        </w:rPr>
        <w:t>et al.</w:t>
      </w:r>
      <w:r w:rsidRPr="00453927">
        <w:rPr>
          <w:rFonts w:asciiTheme="minorHAnsi" w:hAnsiTheme="minorHAnsi"/>
        </w:rPr>
        <w:t xml:space="preserve"> (2008) ‘A Guide for the Design and Conduct of self-administered Surveys of Clinicians’, </w:t>
      </w:r>
      <w:r w:rsidRPr="00453927">
        <w:rPr>
          <w:rFonts w:asciiTheme="minorHAnsi" w:hAnsiTheme="minorHAnsi"/>
          <w:i/>
          <w:iCs/>
        </w:rPr>
        <w:t>Canadian Medical Association Journal</w:t>
      </w:r>
      <w:r w:rsidRPr="00453927">
        <w:rPr>
          <w:rFonts w:asciiTheme="minorHAnsi" w:hAnsiTheme="minorHAnsi"/>
        </w:rPr>
        <w:t>, 179(3), pp. 245–252. Available at: https://doi.org/10.1503/cmaj.080372.</w:t>
      </w:r>
    </w:p>
    <w:p w14:paraId="4E889A33"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Civil Contingencies Act 2004, c. 36. Available at: https://www.legislation.gov.uk/ukpga/2004/36 (Accessed: 26 November 2024). </w:t>
      </w:r>
    </w:p>
    <w:p w14:paraId="699071F0"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Corr, L., Rowe, H. and Fisher, J. (2015) ‘Mothers’ perceptions of primary health-care providers: thematic analysis of responses to open-ended survey questions’, </w:t>
      </w:r>
      <w:r w:rsidRPr="00453927">
        <w:rPr>
          <w:rFonts w:asciiTheme="minorHAnsi" w:hAnsiTheme="minorHAnsi"/>
          <w:i/>
          <w:iCs/>
        </w:rPr>
        <w:t>Australian Journal of Primary Health</w:t>
      </w:r>
      <w:r w:rsidRPr="00453927">
        <w:rPr>
          <w:rFonts w:asciiTheme="minorHAnsi" w:hAnsiTheme="minorHAnsi"/>
        </w:rPr>
        <w:t>, 21(1), p. 58. Available at: https://doi.org/10.1071/py12134.</w:t>
      </w:r>
    </w:p>
    <w:p w14:paraId="656FF51A"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Covell, C.L., </w:t>
      </w:r>
      <w:proofErr w:type="spellStart"/>
      <w:r w:rsidRPr="00453927">
        <w:rPr>
          <w:rFonts w:asciiTheme="minorHAnsi" w:hAnsiTheme="minorHAnsi"/>
        </w:rPr>
        <w:t>Sidani</w:t>
      </w:r>
      <w:proofErr w:type="spellEnd"/>
      <w:r w:rsidRPr="00453927">
        <w:rPr>
          <w:rFonts w:asciiTheme="minorHAnsi" w:hAnsiTheme="minorHAnsi"/>
        </w:rPr>
        <w:t xml:space="preserve">, S. and Ritchie, J.A. (2012) ‘Does the sequence of data collection influence participants’ responses to closed and open-ended questions? A methodological study’, </w:t>
      </w:r>
      <w:r w:rsidRPr="00453927">
        <w:rPr>
          <w:rFonts w:asciiTheme="minorHAnsi" w:hAnsiTheme="minorHAnsi"/>
          <w:i/>
          <w:iCs/>
        </w:rPr>
        <w:t>International Journal of Nursing Studies</w:t>
      </w:r>
      <w:r w:rsidRPr="00453927">
        <w:rPr>
          <w:rFonts w:asciiTheme="minorHAnsi" w:hAnsiTheme="minorHAnsi"/>
        </w:rPr>
        <w:t>, 49(6), pp. 664–671. Available at: https://doi.org/10.1016/j.ijnurstu.2011.12.002.</w:t>
      </w:r>
    </w:p>
    <w:p w14:paraId="131ADC63"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Craigie, R.J. (2020) ‘Manchester Arena bombing: lessons learnt from a mass casualty incident’, </w:t>
      </w:r>
      <w:r w:rsidRPr="00453927">
        <w:rPr>
          <w:rFonts w:asciiTheme="minorHAnsi" w:hAnsiTheme="minorHAnsi"/>
          <w:i/>
          <w:iCs/>
        </w:rPr>
        <w:t>BMJ Military Health</w:t>
      </w:r>
      <w:r w:rsidRPr="00453927">
        <w:rPr>
          <w:rFonts w:asciiTheme="minorHAnsi" w:hAnsiTheme="minorHAnsi"/>
        </w:rPr>
        <w:t>, 166(2), pp. 72–75. Available at: https://doi.org/10.1136/jramc-2018-000930.</w:t>
      </w:r>
    </w:p>
    <w:p w14:paraId="088571B3"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Davidson, L. </w:t>
      </w:r>
      <w:r w:rsidRPr="00453927">
        <w:rPr>
          <w:rFonts w:asciiTheme="minorHAnsi" w:hAnsiTheme="minorHAnsi"/>
          <w:i/>
          <w:iCs/>
        </w:rPr>
        <w:t>et al.</w:t>
      </w:r>
      <w:r w:rsidRPr="00453927">
        <w:rPr>
          <w:rFonts w:asciiTheme="minorHAnsi" w:hAnsiTheme="minorHAnsi"/>
        </w:rPr>
        <w:t xml:space="preserve"> (2023) </w:t>
      </w:r>
      <w:r w:rsidRPr="00453927">
        <w:rPr>
          <w:rFonts w:asciiTheme="minorHAnsi" w:hAnsiTheme="minorHAnsi"/>
          <w:i/>
          <w:iCs/>
        </w:rPr>
        <w:t>‘Same team, different colours’: Examining the association between shared identity and interoperability in multi-agency discussion-based exercises</w:t>
      </w:r>
      <w:r w:rsidRPr="00453927">
        <w:rPr>
          <w:rFonts w:asciiTheme="minorHAnsi" w:hAnsiTheme="minorHAnsi"/>
        </w:rPr>
        <w:t xml:space="preserve">. </w:t>
      </w:r>
      <w:proofErr w:type="spellStart"/>
      <w:r w:rsidRPr="00453927">
        <w:rPr>
          <w:rFonts w:asciiTheme="minorHAnsi" w:hAnsiTheme="minorHAnsi"/>
        </w:rPr>
        <w:t>Qeios</w:t>
      </w:r>
      <w:proofErr w:type="spellEnd"/>
      <w:r w:rsidRPr="00453927">
        <w:rPr>
          <w:rFonts w:asciiTheme="minorHAnsi" w:hAnsiTheme="minorHAnsi"/>
        </w:rPr>
        <w:t>. Available at: https://www.doi.org/10.32388/SJ69CV.</w:t>
      </w:r>
    </w:p>
    <w:p w14:paraId="02678831"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Davidson, L.R. (2023) </w:t>
      </w:r>
      <w:r w:rsidRPr="00453927">
        <w:rPr>
          <w:rFonts w:asciiTheme="minorHAnsi" w:hAnsiTheme="minorHAnsi"/>
          <w:i/>
          <w:iCs/>
        </w:rPr>
        <w:t>Working together during major incidents and emergencies: Optimising interoperability using the Social Identity Approach</w:t>
      </w:r>
      <w:r w:rsidRPr="00453927">
        <w:rPr>
          <w:rFonts w:asciiTheme="minorHAnsi" w:hAnsiTheme="minorHAnsi"/>
        </w:rPr>
        <w:t xml:space="preserve">. PhD Thesis. University of Sussex. Available at: https://hdl.handle.net/10779/uos.25379383.v1 (Accessed: 25 November 2024). </w:t>
      </w:r>
    </w:p>
    <w:p w14:paraId="58E08110"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lastRenderedPageBreak/>
        <w:t xml:space="preserve">Drury, J. </w:t>
      </w:r>
      <w:r w:rsidRPr="00453927">
        <w:rPr>
          <w:rFonts w:asciiTheme="minorHAnsi" w:hAnsiTheme="minorHAnsi"/>
          <w:i/>
          <w:iCs/>
        </w:rPr>
        <w:t>et al.</w:t>
      </w:r>
      <w:r w:rsidRPr="00453927">
        <w:rPr>
          <w:rFonts w:asciiTheme="minorHAnsi" w:hAnsiTheme="minorHAnsi"/>
        </w:rPr>
        <w:t xml:space="preserve"> (2019) ‘Facilitating Collective Psychosocial Resilience in the Public in Emergencies: Twelve Recommendations Based on the Social Identity Approach’, </w:t>
      </w:r>
      <w:r w:rsidRPr="00453927">
        <w:rPr>
          <w:rFonts w:asciiTheme="minorHAnsi" w:hAnsiTheme="minorHAnsi"/>
          <w:i/>
          <w:iCs/>
        </w:rPr>
        <w:t>Frontiers in Public Health</w:t>
      </w:r>
      <w:r w:rsidRPr="00453927">
        <w:rPr>
          <w:rFonts w:asciiTheme="minorHAnsi" w:hAnsiTheme="minorHAnsi"/>
        </w:rPr>
        <w:t>, 7. Available at: https://doi.org/10.3389/fpubh.2019.00141.</w:t>
      </w:r>
    </w:p>
    <w:p w14:paraId="37C424AC"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Federal Emergency Management Agency (2017) </w:t>
      </w:r>
      <w:r w:rsidRPr="00453927">
        <w:rPr>
          <w:rFonts w:asciiTheme="minorHAnsi" w:hAnsiTheme="minorHAnsi"/>
          <w:i/>
          <w:iCs/>
        </w:rPr>
        <w:t>National Incident Management System: Third Edition</w:t>
      </w:r>
      <w:r w:rsidRPr="00453927">
        <w:rPr>
          <w:rFonts w:asciiTheme="minorHAnsi" w:hAnsiTheme="minorHAnsi"/>
        </w:rPr>
        <w:t>. Available at: https://idssc.org/wp-content/uploads/2020/10/National-Incident-Management-System-Third-Edition-October-2017.pdf (Accessed: 29 November 2024).</w:t>
      </w:r>
    </w:p>
    <w:p w14:paraId="7ABFAD80"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Fuka, J. </w:t>
      </w:r>
      <w:r w:rsidRPr="00453927">
        <w:rPr>
          <w:rFonts w:asciiTheme="minorHAnsi" w:hAnsiTheme="minorHAnsi"/>
          <w:i/>
          <w:iCs/>
        </w:rPr>
        <w:t>et al.</w:t>
      </w:r>
      <w:r w:rsidRPr="00453927">
        <w:rPr>
          <w:rFonts w:asciiTheme="minorHAnsi" w:hAnsiTheme="minorHAnsi"/>
        </w:rPr>
        <w:t xml:space="preserve"> (2022) ‘Study on the Impacts of Emergency on Economic, Environmental and Social Areas Using Mixed Methods Research’, </w:t>
      </w:r>
      <w:r w:rsidRPr="00453927">
        <w:rPr>
          <w:rFonts w:asciiTheme="minorHAnsi" w:hAnsiTheme="minorHAnsi"/>
          <w:i/>
          <w:iCs/>
        </w:rPr>
        <w:t>Emerging Science Journal</w:t>
      </w:r>
      <w:r w:rsidRPr="00453927">
        <w:rPr>
          <w:rFonts w:asciiTheme="minorHAnsi" w:hAnsiTheme="minorHAnsi"/>
        </w:rPr>
        <w:t>, 6(1), pp. 86–105. Available at: https://doi.org/10.28991/esj-2022-06-01-07.</w:t>
      </w:r>
    </w:p>
    <w:p w14:paraId="26701198"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Griffiths, C.T. (2022) </w:t>
      </w:r>
      <w:r w:rsidRPr="00453927">
        <w:rPr>
          <w:rFonts w:asciiTheme="minorHAnsi" w:hAnsiTheme="minorHAnsi"/>
          <w:i/>
          <w:iCs/>
        </w:rPr>
        <w:t xml:space="preserve">Interagency Communication, </w:t>
      </w:r>
      <w:proofErr w:type="spellStart"/>
      <w:proofErr w:type="gramStart"/>
      <w:r w:rsidRPr="00453927">
        <w:rPr>
          <w:rFonts w:asciiTheme="minorHAnsi" w:hAnsiTheme="minorHAnsi"/>
          <w:i/>
          <w:iCs/>
        </w:rPr>
        <w:t>Collaboration,and</w:t>
      </w:r>
      <w:proofErr w:type="spellEnd"/>
      <w:proofErr w:type="gramEnd"/>
      <w:r w:rsidRPr="00453927">
        <w:rPr>
          <w:rFonts w:asciiTheme="minorHAnsi" w:hAnsiTheme="minorHAnsi"/>
          <w:i/>
          <w:iCs/>
        </w:rPr>
        <w:t xml:space="preserve"> Interoperability within </w:t>
      </w:r>
      <w:proofErr w:type="spellStart"/>
      <w:r w:rsidRPr="00453927">
        <w:rPr>
          <w:rFonts w:asciiTheme="minorHAnsi" w:hAnsiTheme="minorHAnsi"/>
          <w:i/>
          <w:iCs/>
        </w:rPr>
        <w:t>PoliceServices</w:t>
      </w:r>
      <w:proofErr w:type="spellEnd"/>
      <w:r w:rsidRPr="00453927">
        <w:rPr>
          <w:rFonts w:asciiTheme="minorHAnsi" w:hAnsiTheme="minorHAnsi"/>
          <w:i/>
          <w:iCs/>
        </w:rPr>
        <w:t xml:space="preserve"> and between Police Services and Other Emergency Services</w:t>
      </w:r>
      <w:r w:rsidRPr="00453927">
        <w:rPr>
          <w:rFonts w:asciiTheme="minorHAnsi" w:hAnsiTheme="minorHAnsi"/>
        </w:rPr>
        <w:t>. Simon Fraser University. Available at: https://curtgriffiths.com/wp-content/uploads/2023/07/COMM0058936.pdf (Accessed: 26 November 2024).</w:t>
      </w:r>
    </w:p>
    <w:p w14:paraId="345FC511"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Hambridge, N., Howitt, A. and Giles, D.W. (2017) ‘Coordination in crises: Implementation of the national incident management system by surface transportation agencies’, </w:t>
      </w:r>
      <w:r w:rsidRPr="00453927">
        <w:rPr>
          <w:rFonts w:asciiTheme="minorHAnsi" w:hAnsiTheme="minorHAnsi"/>
          <w:i/>
          <w:iCs/>
        </w:rPr>
        <w:t>Homeland Security Affairs</w:t>
      </w:r>
      <w:r w:rsidRPr="00453927">
        <w:rPr>
          <w:rFonts w:asciiTheme="minorHAnsi" w:hAnsiTheme="minorHAnsi"/>
        </w:rPr>
        <w:t xml:space="preserve">. Available at: https://www.researchgate.net/publication/316881290_Coordination_in_crises_Implementation_of_the_national_incident_management_system_by_surface_transportation_agencies (Accessed: 29 November 2024). </w:t>
      </w:r>
    </w:p>
    <w:p w14:paraId="5917F6A4"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Hart, H.L. (2023)</w:t>
      </w:r>
      <w:r w:rsidRPr="00453927">
        <w:rPr>
          <w:rFonts w:asciiTheme="minorHAnsi" w:hAnsiTheme="minorHAnsi"/>
          <w:i/>
          <w:iCs/>
        </w:rPr>
        <w:t> Community resilience following disasters: The role of social identity in collective coping after the Manchester Arena bomb. </w:t>
      </w:r>
      <w:proofErr w:type="spellStart"/>
      <w:r w:rsidRPr="00453927">
        <w:rPr>
          <w:rFonts w:asciiTheme="minorHAnsi" w:hAnsiTheme="minorHAnsi"/>
        </w:rPr>
        <w:t>DPsych</w:t>
      </w:r>
      <w:proofErr w:type="spellEnd"/>
      <w:r w:rsidRPr="00453927">
        <w:rPr>
          <w:rFonts w:asciiTheme="minorHAnsi" w:hAnsiTheme="minorHAnsi"/>
        </w:rPr>
        <w:t xml:space="preserve"> Thesis. Nottingham Trent University. Available at: https://irep.ntu.ac.uk/id/eprint/49667/1/Helen%20Hart%202023.pdf (Accessed: 27 November 2024). </w:t>
      </w:r>
    </w:p>
    <w:p w14:paraId="075DC6C6"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lastRenderedPageBreak/>
        <w:t xml:space="preserve">Heath, P. (2023) </w:t>
      </w:r>
      <w:r w:rsidRPr="00453927">
        <w:rPr>
          <w:rFonts w:asciiTheme="minorHAnsi" w:hAnsiTheme="minorHAnsi"/>
          <w:i/>
          <w:iCs/>
        </w:rPr>
        <w:t>Manchester Arena Attack: Reflections and lessons learned in relation to JESIP / Interoperability</w:t>
      </w:r>
      <w:r w:rsidRPr="00453927">
        <w:rPr>
          <w:rFonts w:asciiTheme="minorHAnsi" w:hAnsiTheme="minorHAnsi"/>
        </w:rPr>
        <w:t>. National Fire Chiefs Council. Available at: https://www.local.gov.uk/sites/default/files/documents/Plenary%205_JESIP%20lessons%20learned%20from%20the%20Manchester%20Arena%20attack_Presentation.pdf (Accessed: 31 October 2024).</w:t>
      </w:r>
    </w:p>
    <w:p w14:paraId="339F6190"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Her Majesty's Inspectorate of Constabulary (2016) </w:t>
      </w:r>
      <w:r w:rsidRPr="00453927">
        <w:rPr>
          <w:rFonts w:asciiTheme="minorHAnsi" w:hAnsiTheme="minorHAnsi"/>
          <w:i/>
          <w:iCs/>
        </w:rPr>
        <w:t>The tri-service review of the Joint Emergency Services Interoperability Principles (JESIP)</w:t>
      </w:r>
      <w:r w:rsidRPr="00453927">
        <w:rPr>
          <w:rFonts w:asciiTheme="minorHAnsi" w:hAnsiTheme="minorHAnsi"/>
        </w:rPr>
        <w:t>. Available at: https://assets-hmicfrs.justiceinspectorates.gov.uk/uploads/joint-emergency-services-interoperability-principles-review.pdf (Accessed: 26 November 2024).</w:t>
      </w:r>
    </w:p>
    <w:p w14:paraId="046E9DAB"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Hind, D. </w:t>
      </w:r>
      <w:r w:rsidRPr="00453927">
        <w:rPr>
          <w:rFonts w:asciiTheme="minorHAnsi" w:hAnsiTheme="minorHAnsi"/>
          <w:i/>
          <w:iCs/>
        </w:rPr>
        <w:t>et al.</w:t>
      </w:r>
      <w:r w:rsidRPr="00453927">
        <w:rPr>
          <w:rFonts w:asciiTheme="minorHAnsi" w:hAnsiTheme="minorHAnsi"/>
        </w:rPr>
        <w:t xml:space="preserve"> (2021) ‘The psychosocial response to a terrorist attack at </w:t>
      </w:r>
      <w:proofErr w:type="spellStart"/>
      <w:r w:rsidRPr="00453927">
        <w:rPr>
          <w:rFonts w:asciiTheme="minorHAnsi" w:hAnsiTheme="minorHAnsi"/>
        </w:rPr>
        <w:t>manchester</w:t>
      </w:r>
      <w:proofErr w:type="spellEnd"/>
      <w:r w:rsidRPr="00453927">
        <w:rPr>
          <w:rFonts w:asciiTheme="minorHAnsi" w:hAnsiTheme="minorHAnsi"/>
        </w:rPr>
        <w:t xml:space="preserve"> arena, 2017: A process evaluation’, </w:t>
      </w:r>
      <w:r w:rsidRPr="00453927">
        <w:rPr>
          <w:rFonts w:asciiTheme="minorHAnsi" w:hAnsiTheme="minorHAnsi"/>
          <w:i/>
          <w:iCs/>
        </w:rPr>
        <w:t>BMC Psychology</w:t>
      </w:r>
      <w:r w:rsidRPr="00453927">
        <w:rPr>
          <w:rFonts w:asciiTheme="minorHAnsi" w:hAnsiTheme="minorHAnsi"/>
        </w:rPr>
        <w:t>, 9(1). Available at: https://doi.org/10.1186/s40359-021-00527-4.</w:t>
      </w:r>
    </w:p>
    <w:p w14:paraId="22A3601F"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https://policinginsight.com/feature/opinion/what-psychology-tells-us-about-the-failure-of-the-emergency-services-at-the-manchester-arena-bombing/ </w:t>
      </w:r>
    </w:p>
    <w:p w14:paraId="70AB452C"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Joint Emergency Service Interoperability Programme (2024) </w:t>
      </w:r>
      <w:r w:rsidRPr="00453927">
        <w:rPr>
          <w:rFonts w:asciiTheme="minorHAnsi" w:hAnsiTheme="minorHAnsi"/>
          <w:i/>
          <w:iCs/>
        </w:rPr>
        <w:t>Principles for joint working</w:t>
      </w:r>
      <w:r w:rsidRPr="00453927">
        <w:rPr>
          <w:rFonts w:asciiTheme="minorHAnsi" w:hAnsiTheme="minorHAnsi"/>
        </w:rPr>
        <w:t>. Available at: https://www.jesip.org.uk/joint-doctrine/principles-for-joint-working/ (Accessed: 27 November 2024).</w:t>
      </w:r>
    </w:p>
    <w:p w14:paraId="7589A6DC"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Jürgens, P., Stark, B. and Magin, M. (2019) ‘Two Half-Truths Make a Whole? On Bias in Self-Reports and Tracking Data’, </w:t>
      </w:r>
      <w:r w:rsidRPr="00453927">
        <w:rPr>
          <w:rFonts w:asciiTheme="minorHAnsi" w:hAnsiTheme="minorHAnsi"/>
          <w:i/>
          <w:iCs/>
        </w:rPr>
        <w:t>Social Science Computer Review</w:t>
      </w:r>
      <w:r w:rsidRPr="00453927">
        <w:rPr>
          <w:rFonts w:asciiTheme="minorHAnsi" w:hAnsiTheme="minorHAnsi"/>
        </w:rPr>
        <w:t>, 38(5), p. 089443931983164. Available at: https://doi.org/10.1177/0894439319831643.</w:t>
      </w:r>
    </w:p>
    <w:p w14:paraId="3CD34C1E"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Kerslake, B. (2018) </w:t>
      </w:r>
      <w:r w:rsidRPr="00453927">
        <w:rPr>
          <w:rFonts w:asciiTheme="minorHAnsi" w:hAnsiTheme="minorHAnsi"/>
          <w:i/>
          <w:iCs/>
        </w:rPr>
        <w:t>The Kerslake Report: An independent review into the preparedness for, and emergency response to, the Manchester Arena attack on 22nd May 2017</w:t>
      </w:r>
      <w:r w:rsidRPr="00453927">
        <w:rPr>
          <w:rFonts w:asciiTheme="minorHAnsi" w:hAnsiTheme="minorHAnsi"/>
        </w:rPr>
        <w:t>. Available at: https://www.jesip.org.uk/uploads/media/Documents%20Products/Kerslake_Report_Manchester_Are.pdf (Accessed: 28 November 2024).</w:t>
      </w:r>
    </w:p>
    <w:p w14:paraId="111C0107"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Koliba, C.J., Mills, R.M. and Zia, A. (2011) ‘Accountability in Governance Networks: An Assessment of Public, Private, and Nonprofit Emergency Management Practices Following </w:t>
      </w:r>
      <w:r w:rsidRPr="00453927">
        <w:rPr>
          <w:rFonts w:asciiTheme="minorHAnsi" w:hAnsiTheme="minorHAnsi"/>
        </w:rPr>
        <w:lastRenderedPageBreak/>
        <w:t xml:space="preserve">Hurricane Katrina’, </w:t>
      </w:r>
      <w:r w:rsidRPr="00453927">
        <w:rPr>
          <w:rFonts w:asciiTheme="minorHAnsi" w:hAnsiTheme="minorHAnsi"/>
          <w:i/>
          <w:iCs/>
        </w:rPr>
        <w:t>Public Administration Review</w:t>
      </w:r>
      <w:r w:rsidRPr="00453927">
        <w:rPr>
          <w:rFonts w:asciiTheme="minorHAnsi" w:hAnsiTheme="minorHAnsi"/>
        </w:rPr>
        <w:t>, 71(2), pp. 210–220. Available at: https://doi.org/10.1111/j.1540-6210.2011.02332.x.</w:t>
      </w:r>
    </w:p>
    <w:p w14:paraId="7A60331F"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Leiner, D.J. (2014) </w:t>
      </w:r>
      <w:r w:rsidRPr="00453927">
        <w:rPr>
          <w:rFonts w:asciiTheme="minorHAnsi" w:hAnsiTheme="minorHAnsi"/>
          <w:i/>
          <w:iCs/>
        </w:rPr>
        <w:t>Leiner 2014 - Convenience Pools from Online Respondent Pools</w:t>
      </w:r>
      <w:r w:rsidRPr="00453927">
        <w:rPr>
          <w:rFonts w:asciiTheme="minorHAnsi" w:hAnsiTheme="minorHAnsi"/>
        </w:rPr>
        <w:t>. Available at: https://www.researchgate.net/publication/314190153_Leiner_2014_-_Convenience_Pools_from_Online_Respondent_Pools (Accessed: 27 April 2025).</w:t>
      </w:r>
    </w:p>
    <w:p w14:paraId="57961456"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Lowe, D. (2020) ‘Manchester Arena Bombings: Main Lessons That Have Been Learnt’, </w:t>
      </w:r>
      <w:r w:rsidRPr="00453927">
        <w:rPr>
          <w:rFonts w:asciiTheme="minorHAnsi" w:hAnsiTheme="minorHAnsi"/>
          <w:i/>
          <w:iCs/>
        </w:rPr>
        <w:t>Counter-IED Report</w:t>
      </w:r>
      <w:r w:rsidRPr="00453927">
        <w:rPr>
          <w:rFonts w:asciiTheme="minorHAnsi" w:hAnsiTheme="minorHAnsi"/>
        </w:rPr>
        <w:t>, Autumn - 2020. Available at: https://eprints.leedsbeckett.ac.uk/id/eprint/7450/1/ManchesterArenaBombingsMainLessonsThatHaveBeenLearntPV-LOWE.pdf (Accessed: 31 October 2024).</w:t>
      </w:r>
    </w:p>
    <w:p w14:paraId="33970C9F"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McAleavy, T. and Rhisiart, M. (2019) ‘Harnessing the power of metaphor: uncovering a hidden language of interoperability within the natural speech of emergency managers’, </w:t>
      </w:r>
      <w:r w:rsidRPr="00453927">
        <w:rPr>
          <w:rFonts w:asciiTheme="minorHAnsi" w:hAnsiTheme="minorHAnsi"/>
          <w:i/>
          <w:iCs/>
        </w:rPr>
        <w:t>International Journal of Emergency Management</w:t>
      </w:r>
      <w:r w:rsidRPr="00453927">
        <w:rPr>
          <w:rFonts w:asciiTheme="minorHAnsi" w:hAnsiTheme="minorHAnsi"/>
        </w:rPr>
        <w:t>, 15(1). Available at: https://doi.org/10.1504/ijem.2019.099195.</w:t>
      </w:r>
    </w:p>
    <w:p w14:paraId="44CC0062"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McKim, C.A. (2017) ‘The Value of Mixed Methods Research’, </w:t>
      </w:r>
      <w:r w:rsidRPr="00453927">
        <w:rPr>
          <w:rFonts w:asciiTheme="minorHAnsi" w:hAnsiTheme="minorHAnsi"/>
          <w:i/>
          <w:iCs/>
        </w:rPr>
        <w:t>Journal of Mixed Methods Research</w:t>
      </w:r>
      <w:r w:rsidRPr="00453927">
        <w:rPr>
          <w:rFonts w:asciiTheme="minorHAnsi" w:hAnsiTheme="minorHAnsi"/>
        </w:rPr>
        <w:t>, 11(2), pp. 202–222. Available at: https://doi.org/10.1177/1558689815607096.</w:t>
      </w:r>
    </w:p>
    <w:p w14:paraId="61379A86"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Mel, R. (2023) </w:t>
      </w:r>
      <w:r w:rsidRPr="00453927">
        <w:rPr>
          <w:rFonts w:asciiTheme="minorHAnsi" w:hAnsiTheme="minorHAnsi"/>
          <w:i/>
          <w:iCs/>
        </w:rPr>
        <w:t>The role of documents in collaboration within the UK Integrated Emergency Management System</w:t>
      </w:r>
      <w:r w:rsidRPr="00453927">
        <w:rPr>
          <w:rFonts w:asciiTheme="minorHAnsi" w:hAnsiTheme="minorHAnsi"/>
        </w:rPr>
        <w:t xml:space="preserve">. PhD Thesis. University of Salford. Available at: https://salford-repository.worktribe.com/output/1998264/the-role-of-documents-in-collaboration-within-the-uk-integrated-emergency-management-system (Accessed: 28 November 2024). </w:t>
      </w:r>
    </w:p>
    <w:p w14:paraId="2D2FE83D"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Mishra, J.L., Allen, D.K. and Pearman, A.D. (2015) ‘Understanding decision making during emergencies: a key contributor to resilience’, </w:t>
      </w:r>
      <w:r w:rsidRPr="00453927">
        <w:rPr>
          <w:rFonts w:asciiTheme="minorHAnsi" w:hAnsiTheme="minorHAnsi"/>
          <w:i/>
          <w:iCs/>
        </w:rPr>
        <w:t>EURO Journal on Decision Processes</w:t>
      </w:r>
      <w:r w:rsidRPr="00453927">
        <w:rPr>
          <w:rFonts w:asciiTheme="minorHAnsi" w:hAnsiTheme="minorHAnsi"/>
        </w:rPr>
        <w:t>, 3(3-4), pp. 397–424. Available at: https://doi.org/10.1007/s40070-015-0039-z.</w:t>
      </w:r>
    </w:p>
    <w:p w14:paraId="21ED32AB"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Moore-Bick, M. (2019) </w:t>
      </w:r>
      <w:r w:rsidRPr="00453927">
        <w:rPr>
          <w:rFonts w:asciiTheme="minorHAnsi" w:hAnsiTheme="minorHAnsi"/>
          <w:i/>
          <w:iCs/>
        </w:rPr>
        <w:t>GRENFELL TOWER INQUIRY: PHASE 1 REPORT</w:t>
      </w:r>
      <w:r w:rsidRPr="00453927">
        <w:rPr>
          <w:rFonts w:asciiTheme="minorHAnsi" w:hAnsiTheme="minorHAnsi"/>
        </w:rPr>
        <w:t xml:space="preserve"> (HC 49–I). London: The Stationary Office. </w:t>
      </w:r>
    </w:p>
    <w:p w14:paraId="23BDA10A"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lastRenderedPageBreak/>
        <w:t xml:space="preserve">Morrey, C. (2024) ‘“Exercise Athena” tests Major Incident Response strategies’, </w:t>
      </w:r>
      <w:r w:rsidRPr="00453927">
        <w:rPr>
          <w:rFonts w:asciiTheme="minorHAnsi" w:hAnsiTheme="minorHAnsi"/>
          <w:i/>
          <w:iCs/>
        </w:rPr>
        <w:t>Manx News</w:t>
      </w:r>
      <w:r w:rsidRPr="00453927">
        <w:rPr>
          <w:rFonts w:asciiTheme="minorHAnsi" w:hAnsiTheme="minorHAnsi"/>
        </w:rPr>
        <w:t>. Available at: https://manx.news/exercise-athena-tests-major-incident-response-strategies/?utm_source=chatgpt.com (Accessed: 28 November 2024).</w:t>
      </w:r>
    </w:p>
    <w:p w14:paraId="3CD7CB15"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Pagotto, J. and O’Donnell, D. (2012) </w:t>
      </w:r>
      <w:r w:rsidRPr="00453927">
        <w:rPr>
          <w:rFonts w:asciiTheme="minorHAnsi" w:hAnsiTheme="minorHAnsi"/>
          <w:i/>
          <w:iCs/>
        </w:rPr>
        <w:t>Canada’s Multi-Agency Situational Awareness System – Keeping it Simple</w:t>
      </w:r>
      <w:r w:rsidRPr="00453927">
        <w:rPr>
          <w:rFonts w:asciiTheme="minorHAnsi" w:hAnsiTheme="minorHAnsi"/>
        </w:rPr>
        <w:t>. Ottawa: Defence Research and Development Canada. Available at: https://idl.iscram.org/files/pagotto/2012/182_Pagotto+ODonnell2012.pdf (Accessed: 28 November 2024).</w:t>
      </w:r>
    </w:p>
    <w:p w14:paraId="3D96C549"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Parry, J., Verhaeghe, S. and </w:t>
      </w:r>
      <w:proofErr w:type="spellStart"/>
      <w:r w:rsidRPr="00453927">
        <w:rPr>
          <w:rFonts w:asciiTheme="minorHAnsi" w:hAnsiTheme="minorHAnsi"/>
        </w:rPr>
        <w:t>Enback</w:t>
      </w:r>
      <w:proofErr w:type="spellEnd"/>
      <w:r w:rsidRPr="00453927">
        <w:rPr>
          <w:rFonts w:asciiTheme="minorHAnsi" w:hAnsiTheme="minorHAnsi"/>
        </w:rPr>
        <w:t xml:space="preserve">, S. (2014) JESIP Workforce Survey 2 Executive Summary. Skills for Justice. Available at: https://www.jesip.org.uk/wp-content/uploads/2022/03/JESIP_Workforce_Survey_2_Execu.pdf (Accessed: 26 November 2024). </w:t>
      </w:r>
    </w:p>
    <w:p w14:paraId="5C1B677F"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Pollock, K. (2013) </w:t>
      </w:r>
      <w:r w:rsidRPr="00453927">
        <w:rPr>
          <w:rFonts w:asciiTheme="minorHAnsi" w:hAnsiTheme="minorHAnsi"/>
          <w:i/>
          <w:iCs/>
        </w:rPr>
        <w:t>Review of Persistent Lessons Identified Relating to Interoperability from Emergencies and Major Incidents since 1986</w:t>
      </w:r>
      <w:r w:rsidRPr="00453927">
        <w:rPr>
          <w:rFonts w:asciiTheme="minorHAnsi" w:hAnsiTheme="minorHAnsi"/>
        </w:rPr>
        <w:t>. Emergency Planning College. Available at: https://www.epcresilience.com/application/files/4516/5237/0135/Occ6-Paper-v3.pdf (Accessed: 29 November 2024).</w:t>
      </w:r>
    </w:p>
    <w:p w14:paraId="225E5525"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Pollock, K. and Coles, E. (2015) </w:t>
      </w:r>
      <w:r w:rsidRPr="00453927">
        <w:rPr>
          <w:rFonts w:asciiTheme="minorHAnsi" w:hAnsiTheme="minorHAnsi"/>
          <w:i/>
          <w:iCs/>
        </w:rPr>
        <w:t>Theory &amp; Practice in UK Emergency Management</w:t>
      </w:r>
      <w:r w:rsidRPr="00453927">
        <w:rPr>
          <w:rFonts w:asciiTheme="minorHAnsi" w:hAnsiTheme="minorHAnsi"/>
        </w:rPr>
        <w:t>. Emergency Planning College. Available at: https://theisrm.org/documents/Pollock%20%26%20Coles%20%282015%29%20Interoperability%20-%20Theory%20and%20Practice%20in%20UK%20Emergency%20management.pdf (Accessed: 26 November 2024).</w:t>
      </w:r>
    </w:p>
    <w:p w14:paraId="17F53666"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Power, N. (2018) ‘Extreme teams: toward a Greater Understanding of Multiagency Teamwork during Major Emergencies and disasters.’, </w:t>
      </w:r>
      <w:r w:rsidRPr="00453927">
        <w:rPr>
          <w:rFonts w:asciiTheme="minorHAnsi" w:hAnsiTheme="minorHAnsi"/>
          <w:i/>
          <w:iCs/>
        </w:rPr>
        <w:t>American Psychologist</w:t>
      </w:r>
      <w:r w:rsidRPr="00453927">
        <w:rPr>
          <w:rFonts w:asciiTheme="minorHAnsi" w:hAnsiTheme="minorHAnsi"/>
        </w:rPr>
        <w:t>, 73(4), pp. 478–490. Available at: https://doi.org/10.1037/amp0000248.</w:t>
      </w:r>
    </w:p>
    <w:p w14:paraId="3534A53F"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Power, N. </w:t>
      </w:r>
      <w:r w:rsidRPr="00453927">
        <w:rPr>
          <w:rFonts w:asciiTheme="minorHAnsi" w:hAnsiTheme="minorHAnsi"/>
          <w:i/>
          <w:iCs/>
        </w:rPr>
        <w:t>et al.</w:t>
      </w:r>
      <w:r w:rsidRPr="00453927">
        <w:rPr>
          <w:rFonts w:asciiTheme="minorHAnsi" w:hAnsiTheme="minorHAnsi"/>
        </w:rPr>
        <w:t xml:space="preserve"> (2023) ‘The Psychology of Interoperability: </w:t>
      </w:r>
      <w:proofErr w:type="gramStart"/>
      <w:r w:rsidRPr="00453927">
        <w:rPr>
          <w:rFonts w:asciiTheme="minorHAnsi" w:hAnsiTheme="minorHAnsi"/>
        </w:rPr>
        <w:t>a</w:t>
      </w:r>
      <w:proofErr w:type="gramEnd"/>
      <w:r w:rsidRPr="00453927">
        <w:rPr>
          <w:rFonts w:asciiTheme="minorHAnsi" w:hAnsiTheme="minorHAnsi"/>
        </w:rPr>
        <w:t xml:space="preserve"> Systematic Review of Joint Working between the UK Emergency Services’, </w:t>
      </w:r>
      <w:r w:rsidRPr="00453927">
        <w:rPr>
          <w:rFonts w:asciiTheme="minorHAnsi" w:hAnsiTheme="minorHAnsi"/>
          <w:i/>
          <w:iCs/>
        </w:rPr>
        <w:t>Journal of Occupational and Organizational Psychology</w:t>
      </w:r>
      <w:r w:rsidRPr="00453927">
        <w:rPr>
          <w:rFonts w:asciiTheme="minorHAnsi" w:hAnsiTheme="minorHAnsi"/>
        </w:rPr>
        <w:t>, 97(1). Available at: https://doi.org/10.1111/joop.12469.</w:t>
      </w:r>
    </w:p>
    <w:p w14:paraId="3FB43296"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lastRenderedPageBreak/>
        <w:t xml:space="preserve">Roud, E. (2021) </w:t>
      </w:r>
      <w:r w:rsidRPr="00453927">
        <w:rPr>
          <w:rFonts w:asciiTheme="minorHAnsi" w:hAnsiTheme="minorHAnsi"/>
          <w:i/>
          <w:iCs/>
        </w:rPr>
        <w:t>The Role of Joint Training in Inter-organizational Collaboration in Emergency Management</w:t>
      </w:r>
      <w:r w:rsidRPr="00453927">
        <w:rPr>
          <w:rFonts w:asciiTheme="minorHAnsi" w:hAnsiTheme="minorHAnsi"/>
        </w:rPr>
        <w:t>. Bodø: Nord University.</w:t>
      </w:r>
    </w:p>
    <w:p w14:paraId="7F057004"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Russell, J.S. and de Orellana, P. (2020) ‘Public Communications Leadership: #CrisisComms and the Manchester Arena Attack’, </w:t>
      </w:r>
      <w:r w:rsidRPr="00453927">
        <w:rPr>
          <w:rFonts w:asciiTheme="minorHAnsi" w:hAnsiTheme="minorHAnsi"/>
          <w:i/>
          <w:iCs/>
        </w:rPr>
        <w:t>The RUSI Journal</w:t>
      </w:r>
      <w:r w:rsidRPr="00453927">
        <w:rPr>
          <w:rFonts w:asciiTheme="minorHAnsi" w:hAnsiTheme="minorHAnsi"/>
        </w:rPr>
        <w:t>, 165(5-6), pp. 22–35. Available at: https://doi.org/10.1080/03071847.2020.1845099.</w:t>
      </w:r>
    </w:p>
    <w:p w14:paraId="0EA74D41"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Safdar, N. </w:t>
      </w:r>
      <w:r w:rsidRPr="00453927">
        <w:rPr>
          <w:rFonts w:asciiTheme="minorHAnsi" w:hAnsiTheme="minorHAnsi"/>
          <w:i/>
          <w:iCs/>
        </w:rPr>
        <w:t>et al.</w:t>
      </w:r>
      <w:r w:rsidRPr="00453927">
        <w:rPr>
          <w:rFonts w:asciiTheme="minorHAnsi" w:hAnsiTheme="minorHAnsi"/>
        </w:rPr>
        <w:t xml:space="preserve"> (2016) ‘Research Methods in Healthcare Epidemiology: Survey and Qualitative Research’, </w:t>
      </w:r>
      <w:r w:rsidRPr="00453927">
        <w:rPr>
          <w:rFonts w:asciiTheme="minorHAnsi" w:hAnsiTheme="minorHAnsi"/>
          <w:i/>
          <w:iCs/>
        </w:rPr>
        <w:t>Infection Control &amp; Hospital Epidemiology</w:t>
      </w:r>
      <w:r w:rsidRPr="00453927">
        <w:rPr>
          <w:rFonts w:asciiTheme="minorHAnsi" w:hAnsiTheme="minorHAnsi"/>
        </w:rPr>
        <w:t>, 37(11), pp. 1272–1277.</w:t>
      </w:r>
    </w:p>
    <w:p w14:paraId="434B7D92"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Sarstedt, M. and Mooi, E. (2018) ‘Descriptive Statistics’, in </w:t>
      </w:r>
      <w:r w:rsidRPr="00453927">
        <w:rPr>
          <w:rFonts w:asciiTheme="minorHAnsi" w:hAnsiTheme="minorHAnsi"/>
          <w:i/>
          <w:iCs/>
        </w:rPr>
        <w:t>A Concise Guide to Market Research</w:t>
      </w:r>
      <w:r w:rsidRPr="00453927">
        <w:rPr>
          <w:rFonts w:asciiTheme="minorHAnsi" w:hAnsiTheme="minorHAnsi"/>
        </w:rPr>
        <w:t>. Heidelberg: Springer.</w:t>
      </w:r>
    </w:p>
    <w:p w14:paraId="421D2467"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Saunders, J. (2022) </w:t>
      </w:r>
      <w:r w:rsidRPr="00453927">
        <w:rPr>
          <w:rFonts w:asciiTheme="minorHAnsi" w:hAnsiTheme="minorHAnsi"/>
          <w:i/>
          <w:iCs/>
        </w:rPr>
        <w:t>Manchester Arena Inquiry Volume 2: Emergency Response</w:t>
      </w:r>
      <w:r w:rsidRPr="00453927">
        <w:rPr>
          <w:rFonts w:asciiTheme="minorHAnsi" w:hAnsiTheme="minorHAnsi"/>
        </w:rPr>
        <w:t xml:space="preserve">. (HC 757-I). London: The Stationery Office. </w:t>
      </w:r>
    </w:p>
    <w:p w14:paraId="730A5F81" w14:textId="77777777" w:rsidR="00C33E0D" w:rsidRPr="00453927" w:rsidRDefault="00C33E0D" w:rsidP="00C33E0D">
      <w:pPr>
        <w:pStyle w:val="NormalWeb"/>
        <w:spacing w:after="240" w:line="360" w:lineRule="auto"/>
        <w:rPr>
          <w:rFonts w:asciiTheme="minorHAnsi" w:hAnsiTheme="minorHAnsi"/>
        </w:rPr>
      </w:pPr>
      <w:proofErr w:type="spellStart"/>
      <w:r w:rsidRPr="00453927">
        <w:rPr>
          <w:rFonts w:asciiTheme="minorHAnsi" w:hAnsiTheme="minorHAnsi"/>
        </w:rPr>
        <w:t>Skryabina</w:t>
      </w:r>
      <w:proofErr w:type="spellEnd"/>
      <w:r w:rsidRPr="00453927">
        <w:rPr>
          <w:rFonts w:asciiTheme="minorHAnsi" w:hAnsiTheme="minorHAnsi"/>
        </w:rPr>
        <w:t xml:space="preserve">, E.A. </w:t>
      </w:r>
      <w:r w:rsidRPr="00453927">
        <w:rPr>
          <w:rFonts w:asciiTheme="minorHAnsi" w:hAnsiTheme="minorHAnsi"/>
          <w:i/>
          <w:iCs/>
        </w:rPr>
        <w:t>et al.</w:t>
      </w:r>
      <w:r w:rsidRPr="00453927">
        <w:rPr>
          <w:rFonts w:asciiTheme="minorHAnsi" w:hAnsiTheme="minorHAnsi"/>
        </w:rPr>
        <w:t xml:space="preserve"> (2020) ‘The role of emergency preparedness exercises in the response to a mass casualty terrorist incident: A mixed methods study’, </w:t>
      </w:r>
      <w:r w:rsidRPr="00453927">
        <w:rPr>
          <w:rFonts w:asciiTheme="minorHAnsi" w:hAnsiTheme="minorHAnsi"/>
          <w:i/>
          <w:iCs/>
        </w:rPr>
        <w:t>International Journal of Disaster Risk Reduction</w:t>
      </w:r>
      <w:r w:rsidRPr="00453927">
        <w:rPr>
          <w:rFonts w:asciiTheme="minorHAnsi" w:hAnsiTheme="minorHAnsi"/>
        </w:rPr>
        <w:t>, 46(1), p. 101503. Available at: https://doi.org/10.1016/j.ijdrr.2020.101503.</w:t>
      </w:r>
    </w:p>
    <w:p w14:paraId="6FFEBAC4" w14:textId="77777777" w:rsidR="00C33E0D" w:rsidRPr="00453927" w:rsidRDefault="00C33E0D" w:rsidP="00C33E0D">
      <w:pPr>
        <w:pStyle w:val="NormalWeb"/>
        <w:spacing w:after="240" w:line="360" w:lineRule="auto"/>
        <w:rPr>
          <w:rFonts w:asciiTheme="minorHAnsi" w:hAnsiTheme="minorHAnsi"/>
        </w:rPr>
      </w:pPr>
      <w:proofErr w:type="spellStart"/>
      <w:r w:rsidRPr="00453927">
        <w:rPr>
          <w:rFonts w:asciiTheme="minorHAnsi" w:hAnsiTheme="minorHAnsi"/>
        </w:rPr>
        <w:t>Tashakkori</w:t>
      </w:r>
      <w:proofErr w:type="spellEnd"/>
      <w:r w:rsidRPr="00453927">
        <w:rPr>
          <w:rFonts w:asciiTheme="minorHAnsi" w:hAnsiTheme="minorHAnsi"/>
        </w:rPr>
        <w:t xml:space="preserve">, A. and Teddlie, C. (2010) </w:t>
      </w:r>
      <w:r w:rsidRPr="00453927">
        <w:rPr>
          <w:rFonts w:asciiTheme="minorHAnsi" w:hAnsiTheme="minorHAnsi"/>
          <w:i/>
          <w:iCs/>
        </w:rPr>
        <w:t xml:space="preserve">SAGE Handbook of Mixed Methods in Social &amp; </w:t>
      </w:r>
      <w:proofErr w:type="spellStart"/>
      <w:r w:rsidRPr="00453927">
        <w:rPr>
          <w:rFonts w:asciiTheme="minorHAnsi" w:hAnsiTheme="minorHAnsi"/>
          <w:i/>
          <w:iCs/>
        </w:rPr>
        <w:t>Behavioral</w:t>
      </w:r>
      <w:proofErr w:type="spellEnd"/>
      <w:r w:rsidRPr="00453927">
        <w:rPr>
          <w:rFonts w:asciiTheme="minorHAnsi" w:hAnsiTheme="minorHAnsi"/>
          <w:i/>
          <w:iCs/>
        </w:rPr>
        <w:t xml:space="preserve"> Research</w:t>
      </w:r>
      <w:r w:rsidRPr="00453927">
        <w:rPr>
          <w:rFonts w:asciiTheme="minorHAnsi" w:hAnsiTheme="minorHAnsi"/>
        </w:rPr>
        <w:t xml:space="preserve">. 2nd </w:t>
      </w:r>
      <w:proofErr w:type="spellStart"/>
      <w:r w:rsidRPr="00453927">
        <w:rPr>
          <w:rFonts w:asciiTheme="minorHAnsi" w:hAnsiTheme="minorHAnsi"/>
        </w:rPr>
        <w:t>edn</w:t>
      </w:r>
      <w:proofErr w:type="spellEnd"/>
      <w:r w:rsidRPr="00453927">
        <w:rPr>
          <w:rFonts w:asciiTheme="minorHAnsi" w:hAnsiTheme="minorHAnsi"/>
        </w:rPr>
        <w:t>. Thousand Oaks: Sage Publications.</w:t>
      </w:r>
    </w:p>
    <w:p w14:paraId="1A4FE86B"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Traore, T. </w:t>
      </w:r>
      <w:r w:rsidRPr="00453927">
        <w:rPr>
          <w:rFonts w:asciiTheme="minorHAnsi" w:hAnsiTheme="minorHAnsi"/>
          <w:i/>
          <w:iCs/>
        </w:rPr>
        <w:t>et al.</w:t>
      </w:r>
      <w:r w:rsidRPr="00453927">
        <w:rPr>
          <w:rFonts w:asciiTheme="minorHAnsi" w:hAnsiTheme="minorHAnsi"/>
        </w:rPr>
        <w:t xml:space="preserve"> (2023) ‘How prepared is the world? Identifying weaknesses in existing assessment frameworks for global health security through a One Health approach’, </w:t>
      </w:r>
      <w:r w:rsidRPr="00453927">
        <w:rPr>
          <w:rFonts w:asciiTheme="minorHAnsi" w:hAnsiTheme="minorHAnsi"/>
          <w:i/>
          <w:iCs/>
        </w:rPr>
        <w:t>The Lancet</w:t>
      </w:r>
      <w:r w:rsidRPr="00453927">
        <w:rPr>
          <w:rFonts w:asciiTheme="minorHAnsi" w:hAnsiTheme="minorHAnsi"/>
        </w:rPr>
        <w:t>, 401(10377), pp. 673–687. Available at: https://doi.org/10.1016/s0140-6736(22)01589-6.</w:t>
      </w:r>
    </w:p>
    <w:p w14:paraId="0694040D"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Wankhade, P. and Patnaik, S. (2020) </w:t>
      </w:r>
      <w:r w:rsidRPr="00453927">
        <w:rPr>
          <w:rFonts w:asciiTheme="minorHAnsi" w:hAnsiTheme="minorHAnsi"/>
          <w:i/>
          <w:iCs/>
        </w:rPr>
        <w:t>Collaboration and Governance in the Emergency Services</w:t>
      </w:r>
      <w:r w:rsidRPr="00453927">
        <w:rPr>
          <w:rFonts w:asciiTheme="minorHAnsi" w:hAnsiTheme="minorHAnsi"/>
        </w:rPr>
        <w:t>. Palgrave Pivot Cham. Available at: https://doi.org/10.1007/978-3-030-21329-9.</w:t>
      </w:r>
    </w:p>
    <w:p w14:paraId="776C1C85"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lastRenderedPageBreak/>
        <w:t xml:space="preserve">Waring, S. </w:t>
      </w:r>
      <w:r w:rsidRPr="00453927">
        <w:rPr>
          <w:rFonts w:asciiTheme="minorHAnsi" w:hAnsiTheme="minorHAnsi"/>
          <w:i/>
          <w:iCs/>
        </w:rPr>
        <w:t>et al.</w:t>
      </w:r>
      <w:r w:rsidRPr="00453927">
        <w:rPr>
          <w:rFonts w:asciiTheme="minorHAnsi" w:hAnsiTheme="minorHAnsi"/>
        </w:rPr>
        <w:t xml:space="preserve"> (2018) ‘Information sharing in </w:t>
      </w:r>
      <w:proofErr w:type="spellStart"/>
      <w:r w:rsidRPr="00453927">
        <w:rPr>
          <w:rFonts w:asciiTheme="minorHAnsi" w:hAnsiTheme="minorHAnsi"/>
        </w:rPr>
        <w:t>interteam</w:t>
      </w:r>
      <w:proofErr w:type="spellEnd"/>
      <w:r w:rsidRPr="00453927">
        <w:rPr>
          <w:rFonts w:asciiTheme="minorHAnsi" w:hAnsiTheme="minorHAnsi"/>
        </w:rPr>
        <w:t xml:space="preserve"> responses to disaster’, </w:t>
      </w:r>
      <w:r w:rsidRPr="00453927">
        <w:rPr>
          <w:rFonts w:asciiTheme="minorHAnsi" w:hAnsiTheme="minorHAnsi"/>
          <w:i/>
          <w:iCs/>
        </w:rPr>
        <w:t>Journal of Occupational and Organizational Psychology</w:t>
      </w:r>
      <w:r w:rsidRPr="00453927">
        <w:rPr>
          <w:rFonts w:asciiTheme="minorHAnsi" w:hAnsiTheme="minorHAnsi"/>
        </w:rPr>
        <w:t>, 91(3), pp. 591–619. Available at: https://doi.org/10.1111/joop.12217.</w:t>
      </w:r>
    </w:p>
    <w:p w14:paraId="098F0432"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Wolbers, J. (2019) ‘Responding to terror: Emergency Response Sensemaking and Coordination’, in </w:t>
      </w:r>
      <w:r w:rsidRPr="00453927">
        <w:rPr>
          <w:rFonts w:asciiTheme="minorHAnsi" w:hAnsiTheme="minorHAnsi"/>
          <w:i/>
          <w:iCs/>
        </w:rPr>
        <w:t>The Fourth Northern European Conference on Emergency and Disaster Studies</w:t>
      </w:r>
      <w:r w:rsidRPr="00453927">
        <w:rPr>
          <w:rFonts w:asciiTheme="minorHAnsi" w:hAnsiTheme="minorHAnsi"/>
        </w:rPr>
        <w:t>.</w:t>
      </w:r>
    </w:p>
    <w:p w14:paraId="4EA0989A"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Wolbers, J. (2019) ‘Responding to terror: Emergency response sensemaking and coordination’, NEEDS 2019: The Fourth Northern European Conference on Emergency and Disaster Studies, June. Leiden: Leiden University. Available at: https://www.researchgate.net/publication/357340556 (Accessed: 27 November 2024). </w:t>
      </w:r>
    </w:p>
    <w:p w14:paraId="020B2CC2" w14:textId="77777777" w:rsidR="00C33E0D"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Wolf, C. </w:t>
      </w:r>
      <w:r w:rsidRPr="00453927">
        <w:rPr>
          <w:rFonts w:asciiTheme="minorHAnsi" w:hAnsiTheme="minorHAnsi"/>
          <w:i/>
          <w:iCs/>
        </w:rPr>
        <w:t>et al.</w:t>
      </w:r>
      <w:r w:rsidRPr="00453927">
        <w:rPr>
          <w:rFonts w:asciiTheme="minorHAnsi" w:hAnsiTheme="minorHAnsi"/>
        </w:rPr>
        <w:t xml:space="preserve"> (2021) ‘Conducting General Social Surveys as Self-Administered Mixed-Mode Surveys’, </w:t>
      </w:r>
      <w:r w:rsidRPr="00453927">
        <w:rPr>
          <w:rFonts w:asciiTheme="minorHAnsi" w:hAnsiTheme="minorHAnsi"/>
          <w:i/>
          <w:iCs/>
        </w:rPr>
        <w:t>Public Opinion Quarterly</w:t>
      </w:r>
      <w:r w:rsidRPr="00453927">
        <w:rPr>
          <w:rFonts w:asciiTheme="minorHAnsi" w:hAnsiTheme="minorHAnsi"/>
        </w:rPr>
        <w:t>, 85(2). Available at: https://doi.org/10.1093/poq/nfab039.</w:t>
      </w:r>
    </w:p>
    <w:p w14:paraId="7B94A313" w14:textId="56C54869" w:rsidR="008F3A06" w:rsidRPr="00453927" w:rsidRDefault="00C33E0D" w:rsidP="00C33E0D">
      <w:pPr>
        <w:pStyle w:val="NormalWeb"/>
        <w:spacing w:after="240" w:line="360" w:lineRule="auto"/>
        <w:rPr>
          <w:rFonts w:asciiTheme="minorHAnsi" w:hAnsiTheme="minorHAnsi"/>
        </w:rPr>
      </w:pPr>
      <w:r w:rsidRPr="00453927">
        <w:rPr>
          <w:rFonts w:asciiTheme="minorHAnsi" w:hAnsiTheme="minorHAnsi"/>
        </w:rPr>
        <w:t xml:space="preserve">World Health Organisation (2017) </w:t>
      </w:r>
      <w:r w:rsidRPr="00453927">
        <w:rPr>
          <w:rFonts w:asciiTheme="minorHAnsi" w:hAnsiTheme="minorHAnsi"/>
          <w:i/>
          <w:iCs/>
        </w:rPr>
        <w:t>Strategic Framework for Emergency Preparedness</w:t>
      </w:r>
      <w:r w:rsidRPr="00453927">
        <w:rPr>
          <w:rFonts w:asciiTheme="minorHAnsi" w:hAnsiTheme="minorHAnsi"/>
        </w:rPr>
        <w:t>. Available at: https://extranet.who.int/sph/sites/default/files/document-library/document/Preparedness-9789241511827-eng.pdf (Accessed: 28 April 2024).</w:t>
      </w:r>
    </w:p>
    <w:sectPr w:rsidR="008F3A06" w:rsidRPr="00453927" w:rsidSect="002F32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FEB08A" w14:textId="77777777" w:rsidR="006E6BAD" w:rsidRDefault="006E6BAD" w:rsidP="00367258">
      <w:pPr>
        <w:spacing w:after="0" w:line="240" w:lineRule="auto"/>
      </w:pPr>
      <w:r>
        <w:separator/>
      </w:r>
    </w:p>
  </w:endnote>
  <w:endnote w:type="continuationSeparator" w:id="0">
    <w:p w14:paraId="1A46E91D" w14:textId="77777777" w:rsidR="006E6BAD" w:rsidRDefault="006E6BAD" w:rsidP="00367258">
      <w:pPr>
        <w:spacing w:after="0" w:line="240" w:lineRule="auto"/>
      </w:pPr>
      <w:r>
        <w:continuationSeparator/>
      </w:r>
    </w:p>
  </w:endnote>
  <w:endnote w:type="continuationNotice" w:id="1">
    <w:p w14:paraId="4BEC23EC" w14:textId="77777777" w:rsidR="006E6BAD" w:rsidRDefault="006E6B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EA05B" w14:textId="77777777" w:rsidR="006E6BAD" w:rsidRDefault="006E6BAD" w:rsidP="00367258">
      <w:pPr>
        <w:spacing w:after="0" w:line="240" w:lineRule="auto"/>
      </w:pPr>
      <w:r>
        <w:separator/>
      </w:r>
    </w:p>
  </w:footnote>
  <w:footnote w:type="continuationSeparator" w:id="0">
    <w:p w14:paraId="36F26D5B" w14:textId="77777777" w:rsidR="006E6BAD" w:rsidRDefault="006E6BAD" w:rsidP="00367258">
      <w:pPr>
        <w:spacing w:after="0" w:line="240" w:lineRule="auto"/>
      </w:pPr>
      <w:r>
        <w:continuationSeparator/>
      </w:r>
    </w:p>
  </w:footnote>
  <w:footnote w:type="continuationNotice" w:id="1">
    <w:p w14:paraId="51C80417" w14:textId="77777777" w:rsidR="006E6BAD" w:rsidRDefault="006E6B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F1B2F"/>
    <w:multiLevelType w:val="hybridMultilevel"/>
    <w:tmpl w:val="05723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E56F3"/>
    <w:multiLevelType w:val="hybridMultilevel"/>
    <w:tmpl w:val="CB8C3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6364462">
    <w:abstractNumId w:val="1"/>
  </w:num>
  <w:num w:numId="2" w16cid:durableId="1771660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B8B866"/>
    <w:rsid w:val="00003421"/>
    <w:rsid w:val="00003D44"/>
    <w:rsid w:val="00004032"/>
    <w:rsid w:val="0000443A"/>
    <w:rsid w:val="000045AF"/>
    <w:rsid w:val="00004E24"/>
    <w:rsid w:val="0000535C"/>
    <w:rsid w:val="00005B81"/>
    <w:rsid w:val="00006508"/>
    <w:rsid w:val="00006FF2"/>
    <w:rsid w:val="000104D2"/>
    <w:rsid w:val="00012DA6"/>
    <w:rsid w:val="000139D5"/>
    <w:rsid w:val="00022B59"/>
    <w:rsid w:val="00025400"/>
    <w:rsid w:val="00026CB2"/>
    <w:rsid w:val="00030FB9"/>
    <w:rsid w:val="00031579"/>
    <w:rsid w:val="000324E2"/>
    <w:rsid w:val="00032B4D"/>
    <w:rsid w:val="00033C13"/>
    <w:rsid w:val="00034BF8"/>
    <w:rsid w:val="00035948"/>
    <w:rsid w:val="000362C1"/>
    <w:rsid w:val="00036B72"/>
    <w:rsid w:val="00036F08"/>
    <w:rsid w:val="00037A5D"/>
    <w:rsid w:val="00043755"/>
    <w:rsid w:val="00043BCB"/>
    <w:rsid w:val="00043C67"/>
    <w:rsid w:val="00043EE3"/>
    <w:rsid w:val="00044C64"/>
    <w:rsid w:val="00046849"/>
    <w:rsid w:val="00052165"/>
    <w:rsid w:val="00053336"/>
    <w:rsid w:val="000635CC"/>
    <w:rsid w:val="00063BC1"/>
    <w:rsid w:val="000653C7"/>
    <w:rsid w:val="00065963"/>
    <w:rsid w:val="00071064"/>
    <w:rsid w:val="00076887"/>
    <w:rsid w:val="000801EF"/>
    <w:rsid w:val="00080EA1"/>
    <w:rsid w:val="00081ABC"/>
    <w:rsid w:val="000850FE"/>
    <w:rsid w:val="000862A9"/>
    <w:rsid w:val="000875CD"/>
    <w:rsid w:val="000908F7"/>
    <w:rsid w:val="0009627D"/>
    <w:rsid w:val="00097A52"/>
    <w:rsid w:val="000A2CF1"/>
    <w:rsid w:val="000A33A1"/>
    <w:rsid w:val="000A4567"/>
    <w:rsid w:val="000A48CD"/>
    <w:rsid w:val="000A74A2"/>
    <w:rsid w:val="000A7734"/>
    <w:rsid w:val="000B0C5E"/>
    <w:rsid w:val="000B3C93"/>
    <w:rsid w:val="000B3DC5"/>
    <w:rsid w:val="000B5104"/>
    <w:rsid w:val="000B696E"/>
    <w:rsid w:val="000C098C"/>
    <w:rsid w:val="000C0DD3"/>
    <w:rsid w:val="000C5FE2"/>
    <w:rsid w:val="000C788F"/>
    <w:rsid w:val="000D0E27"/>
    <w:rsid w:val="000D4BC5"/>
    <w:rsid w:val="000D6C14"/>
    <w:rsid w:val="000E1E40"/>
    <w:rsid w:val="000E4E8B"/>
    <w:rsid w:val="000E580D"/>
    <w:rsid w:val="000E6D1F"/>
    <w:rsid w:val="000F0F4F"/>
    <w:rsid w:val="000F2BAD"/>
    <w:rsid w:val="001021CE"/>
    <w:rsid w:val="0010731A"/>
    <w:rsid w:val="001075D8"/>
    <w:rsid w:val="00110FBB"/>
    <w:rsid w:val="0011217C"/>
    <w:rsid w:val="001137B3"/>
    <w:rsid w:val="0011447F"/>
    <w:rsid w:val="00115C90"/>
    <w:rsid w:val="00117CCB"/>
    <w:rsid w:val="001273C0"/>
    <w:rsid w:val="0013345B"/>
    <w:rsid w:val="001357C0"/>
    <w:rsid w:val="00137499"/>
    <w:rsid w:val="00143E38"/>
    <w:rsid w:val="00144DBB"/>
    <w:rsid w:val="0015033E"/>
    <w:rsid w:val="00152F10"/>
    <w:rsid w:val="00156350"/>
    <w:rsid w:val="00156D29"/>
    <w:rsid w:val="00162B14"/>
    <w:rsid w:val="00163B1B"/>
    <w:rsid w:val="00163C56"/>
    <w:rsid w:val="001649F0"/>
    <w:rsid w:val="0016763A"/>
    <w:rsid w:val="0017268C"/>
    <w:rsid w:val="00172E53"/>
    <w:rsid w:val="001759AB"/>
    <w:rsid w:val="001761C5"/>
    <w:rsid w:val="00176ABA"/>
    <w:rsid w:val="00181A1C"/>
    <w:rsid w:val="00186066"/>
    <w:rsid w:val="00190E8D"/>
    <w:rsid w:val="0019276D"/>
    <w:rsid w:val="00192A46"/>
    <w:rsid w:val="00193B02"/>
    <w:rsid w:val="00195914"/>
    <w:rsid w:val="00196DF3"/>
    <w:rsid w:val="001A0471"/>
    <w:rsid w:val="001A06F6"/>
    <w:rsid w:val="001A15DD"/>
    <w:rsid w:val="001A2D32"/>
    <w:rsid w:val="001B5763"/>
    <w:rsid w:val="001B6083"/>
    <w:rsid w:val="001C0943"/>
    <w:rsid w:val="001D6454"/>
    <w:rsid w:val="001D6B77"/>
    <w:rsid w:val="001E1648"/>
    <w:rsid w:val="001E3045"/>
    <w:rsid w:val="001E4DEF"/>
    <w:rsid w:val="001E5AF3"/>
    <w:rsid w:val="001F0B6F"/>
    <w:rsid w:val="001F5861"/>
    <w:rsid w:val="001F67EC"/>
    <w:rsid w:val="001F69C8"/>
    <w:rsid w:val="001F74BA"/>
    <w:rsid w:val="00200C01"/>
    <w:rsid w:val="0020222B"/>
    <w:rsid w:val="0020413B"/>
    <w:rsid w:val="002043DB"/>
    <w:rsid w:val="00206B5F"/>
    <w:rsid w:val="002070D9"/>
    <w:rsid w:val="0021144E"/>
    <w:rsid w:val="00214C2F"/>
    <w:rsid w:val="00214DDD"/>
    <w:rsid w:val="00214EA3"/>
    <w:rsid w:val="00215BE6"/>
    <w:rsid w:val="0022657A"/>
    <w:rsid w:val="00227717"/>
    <w:rsid w:val="00231841"/>
    <w:rsid w:val="00240F4E"/>
    <w:rsid w:val="00242AB3"/>
    <w:rsid w:val="002475EE"/>
    <w:rsid w:val="00247660"/>
    <w:rsid w:val="002508A2"/>
    <w:rsid w:val="002539DD"/>
    <w:rsid w:val="00254768"/>
    <w:rsid w:val="002549AE"/>
    <w:rsid w:val="0025797E"/>
    <w:rsid w:val="00257E31"/>
    <w:rsid w:val="00260952"/>
    <w:rsid w:val="00264142"/>
    <w:rsid w:val="00264DE9"/>
    <w:rsid w:val="00266ACC"/>
    <w:rsid w:val="0027113E"/>
    <w:rsid w:val="0027453D"/>
    <w:rsid w:val="00274A7A"/>
    <w:rsid w:val="0027601D"/>
    <w:rsid w:val="00280D4B"/>
    <w:rsid w:val="00284C28"/>
    <w:rsid w:val="002916AA"/>
    <w:rsid w:val="002921B1"/>
    <w:rsid w:val="00293A77"/>
    <w:rsid w:val="00294A9C"/>
    <w:rsid w:val="00294D85"/>
    <w:rsid w:val="002A620D"/>
    <w:rsid w:val="002A71BF"/>
    <w:rsid w:val="002A7D0F"/>
    <w:rsid w:val="002B3C18"/>
    <w:rsid w:val="002B3F12"/>
    <w:rsid w:val="002C6A92"/>
    <w:rsid w:val="002D66D6"/>
    <w:rsid w:val="002D7A3E"/>
    <w:rsid w:val="002E1921"/>
    <w:rsid w:val="002E44C9"/>
    <w:rsid w:val="002E58A4"/>
    <w:rsid w:val="002E6208"/>
    <w:rsid w:val="002F00AA"/>
    <w:rsid w:val="002F245E"/>
    <w:rsid w:val="002F25D3"/>
    <w:rsid w:val="002F31DD"/>
    <w:rsid w:val="002F3246"/>
    <w:rsid w:val="002F7317"/>
    <w:rsid w:val="002F753A"/>
    <w:rsid w:val="003038D1"/>
    <w:rsid w:val="00303F20"/>
    <w:rsid w:val="00305AFA"/>
    <w:rsid w:val="0030740F"/>
    <w:rsid w:val="00307FF7"/>
    <w:rsid w:val="0032017B"/>
    <w:rsid w:val="003209D3"/>
    <w:rsid w:val="00321474"/>
    <w:rsid w:val="00321E35"/>
    <w:rsid w:val="00322EFB"/>
    <w:rsid w:val="0032392E"/>
    <w:rsid w:val="00324423"/>
    <w:rsid w:val="003260A6"/>
    <w:rsid w:val="0032667F"/>
    <w:rsid w:val="00327A7B"/>
    <w:rsid w:val="00331435"/>
    <w:rsid w:val="003346E1"/>
    <w:rsid w:val="003429FE"/>
    <w:rsid w:val="00344BB4"/>
    <w:rsid w:val="00345E71"/>
    <w:rsid w:val="0034717B"/>
    <w:rsid w:val="00350957"/>
    <w:rsid w:val="0035327A"/>
    <w:rsid w:val="00354AF3"/>
    <w:rsid w:val="00362450"/>
    <w:rsid w:val="00364272"/>
    <w:rsid w:val="00364EC5"/>
    <w:rsid w:val="00364EE9"/>
    <w:rsid w:val="00367258"/>
    <w:rsid w:val="003716B0"/>
    <w:rsid w:val="003749D9"/>
    <w:rsid w:val="0037604E"/>
    <w:rsid w:val="0037655B"/>
    <w:rsid w:val="00377B07"/>
    <w:rsid w:val="00377DF6"/>
    <w:rsid w:val="00383519"/>
    <w:rsid w:val="003853C5"/>
    <w:rsid w:val="00386C60"/>
    <w:rsid w:val="003904D8"/>
    <w:rsid w:val="00390888"/>
    <w:rsid w:val="00392301"/>
    <w:rsid w:val="00392EA9"/>
    <w:rsid w:val="00393F86"/>
    <w:rsid w:val="00394C75"/>
    <w:rsid w:val="003965A3"/>
    <w:rsid w:val="003A1D03"/>
    <w:rsid w:val="003A632C"/>
    <w:rsid w:val="003A766A"/>
    <w:rsid w:val="003B1DEB"/>
    <w:rsid w:val="003B3306"/>
    <w:rsid w:val="003B5919"/>
    <w:rsid w:val="003B5A80"/>
    <w:rsid w:val="003C35C1"/>
    <w:rsid w:val="003C4F72"/>
    <w:rsid w:val="003C558C"/>
    <w:rsid w:val="003C620E"/>
    <w:rsid w:val="003D13DF"/>
    <w:rsid w:val="003D30F5"/>
    <w:rsid w:val="003D3CCA"/>
    <w:rsid w:val="003D4BD1"/>
    <w:rsid w:val="003E053B"/>
    <w:rsid w:val="003E0A18"/>
    <w:rsid w:val="003E101F"/>
    <w:rsid w:val="003E1499"/>
    <w:rsid w:val="003E1B76"/>
    <w:rsid w:val="003E3482"/>
    <w:rsid w:val="003E743A"/>
    <w:rsid w:val="003F1F01"/>
    <w:rsid w:val="003F29C3"/>
    <w:rsid w:val="003F31F5"/>
    <w:rsid w:val="003F3793"/>
    <w:rsid w:val="003F37DE"/>
    <w:rsid w:val="003F4B31"/>
    <w:rsid w:val="003F6469"/>
    <w:rsid w:val="00400776"/>
    <w:rsid w:val="00401617"/>
    <w:rsid w:val="00401DA0"/>
    <w:rsid w:val="004022B3"/>
    <w:rsid w:val="0040424E"/>
    <w:rsid w:val="00405561"/>
    <w:rsid w:val="00406AB7"/>
    <w:rsid w:val="00406E1A"/>
    <w:rsid w:val="00410C9B"/>
    <w:rsid w:val="004115D4"/>
    <w:rsid w:val="0041181F"/>
    <w:rsid w:val="00416182"/>
    <w:rsid w:val="004166C4"/>
    <w:rsid w:val="00421BFA"/>
    <w:rsid w:val="00423045"/>
    <w:rsid w:val="00424FF3"/>
    <w:rsid w:val="00425735"/>
    <w:rsid w:val="00426C41"/>
    <w:rsid w:val="00426D95"/>
    <w:rsid w:val="00430367"/>
    <w:rsid w:val="00430389"/>
    <w:rsid w:val="004306F3"/>
    <w:rsid w:val="004310CB"/>
    <w:rsid w:val="00431DC1"/>
    <w:rsid w:val="00432612"/>
    <w:rsid w:val="004344C9"/>
    <w:rsid w:val="0044051C"/>
    <w:rsid w:val="0044300B"/>
    <w:rsid w:val="00443F88"/>
    <w:rsid w:val="00446158"/>
    <w:rsid w:val="00447BC6"/>
    <w:rsid w:val="00451880"/>
    <w:rsid w:val="00453927"/>
    <w:rsid w:val="00456C50"/>
    <w:rsid w:val="00465F7A"/>
    <w:rsid w:val="00466903"/>
    <w:rsid w:val="00467AC5"/>
    <w:rsid w:val="004709B9"/>
    <w:rsid w:val="00472181"/>
    <w:rsid w:val="00472B8D"/>
    <w:rsid w:val="00473813"/>
    <w:rsid w:val="004752AE"/>
    <w:rsid w:val="00475D28"/>
    <w:rsid w:val="00477764"/>
    <w:rsid w:val="00482446"/>
    <w:rsid w:val="00484CBD"/>
    <w:rsid w:val="004914A1"/>
    <w:rsid w:val="00491A55"/>
    <w:rsid w:val="00492B01"/>
    <w:rsid w:val="00492EC2"/>
    <w:rsid w:val="00492F35"/>
    <w:rsid w:val="004934BD"/>
    <w:rsid w:val="00495B7C"/>
    <w:rsid w:val="0049655B"/>
    <w:rsid w:val="004A03BF"/>
    <w:rsid w:val="004A3402"/>
    <w:rsid w:val="004A77DB"/>
    <w:rsid w:val="004B1EE4"/>
    <w:rsid w:val="004B22DA"/>
    <w:rsid w:val="004B5E10"/>
    <w:rsid w:val="004B7810"/>
    <w:rsid w:val="004D09BF"/>
    <w:rsid w:val="004D0E22"/>
    <w:rsid w:val="004D2B17"/>
    <w:rsid w:val="004D4533"/>
    <w:rsid w:val="004D58D7"/>
    <w:rsid w:val="004D6412"/>
    <w:rsid w:val="004D7705"/>
    <w:rsid w:val="004D7D56"/>
    <w:rsid w:val="004E069B"/>
    <w:rsid w:val="004E19A5"/>
    <w:rsid w:val="004E1A85"/>
    <w:rsid w:val="004E1CEF"/>
    <w:rsid w:val="004E2B24"/>
    <w:rsid w:val="004E338A"/>
    <w:rsid w:val="004E4916"/>
    <w:rsid w:val="004E4F39"/>
    <w:rsid w:val="004E712E"/>
    <w:rsid w:val="004E71FE"/>
    <w:rsid w:val="004F078C"/>
    <w:rsid w:val="004F0CB6"/>
    <w:rsid w:val="004F0DD0"/>
    <w:rsid w:val="004F337E"/>
    <w:rsid w:val="004F33BA"/>
    <w:rsid w:val="004F48BD"/>
    <w:rsid w:val="004F5B36"/>
    <w:rsid w:val="00501182"/>
    <w:rsid w:val="0050314F"/>
    <w:rsid w:val="0051037C"/>
    <w:rsid w:val="00510866"/>
    <w:rsid w:val="00510922"/>
    <w:rsid w:val="005119E3"/>
    <w:rsid w:val="00513837"/>
    <w:rsid w:val="00521D1F"/>
    <w:rsid w:val="005222B8"/>
    <w:rsid w:val="005252E3"/>
    <w:rsid w:val="00525560"/>
    <w:rsid w:val="005309CE"/>
    <w:rsid w:val="00536825"/>
    <w:rsid w:val="00537F7D"/>
    <w:rsid w:val="00542DBD"/>
    <w:rsid w:val="0054315F"/>
    <w:rsid w:val="00544F1D"/>
    <w:rsid w:val="00547212"/>
    <w:rsid w:val="0055151F"/>
    <w:rsid w:val="00557E61"/>
    <w:rsid w:val="00561BBD"/>
    <w:rsid w:val="005661B0"/>
    <w:rsid w:val="005665FF"/>
    <w:rsid w:val="00573595"/>
    <w:rsid w:val="00574119"/>
    <w:rsid w:val="005759A7"/>
    <w:rsid w:val="005766EB"/>
    <w:rsid w:val="00577CB6"/>
    <w:rsid w:val="00580D3F"/>
    <w:rsid w:val="005820A2"/>
    <w:rsid w:val="005852A0"/>
    <w:rsid w:val="00585A82"/>
    <w:rsid w:val="0058644A"/>
    <w:rsid w:val="005873AB"/>
    <w:rsid w:val="005875E3"/>
    <w:rsid w:val="00590DF9"/>
    <w:rsid w:val="00594A18"/>
    <w:rsid w:val="005A064D"/>
    <w:rsid w:val="005A5F54"/>
    <w:rsid w:val="005B1076"/>
    <w:rsid w:val="005B213A"/>
    <w:rsid w:val="005B25B9"/>
    <w:rsid w:val="005B423B"/>
    <w:rsid w:val="005B5760"/>
    <w:rsid w:val="005C31F9"/>
    <w:rsid w:val="005C3D9A"/>
    <w:rsid w:val="005C3F67"/>
    <w:rsid w:val="005C410E"/>
    <w:rsid w:val="005C76DE"/>
    <w:rsid w:val="005D3809"/>
    <w:rsid w:val="005D5EDB"/>
    <w:rsid w:val="005D7ED4"/>
    <w:rsid w:val="005E0D4E"/>
    <w:rsid w:val="005E32F9"/>
    <w:rsid w:val="005F03ED"/>
    <w:rsid w:val="005F2906"/>
    <w:rsid w:val="005F2B36"/>
    <w:rsid w:val="005F2FD1"/>
    <w:rsid w:val="005F4547"/>
    <w:rsid w:val="005F7DFC"/>
    <w:rsid w:val="00600613"/>
    <w:rsid w:val="006022D0"/>
    <w:rsid w:val="0060330E"/>
    <w:rsid w:val="0060341F"/>
    <w:rsid w:val="00603B15"/>
    <w:rsid w:val="00604CD5"/>
    <w:rsid w:val="00605AD5"/>
    <w:rsid w:val="00605AFE"/>
    <w:rsid w:val="00612C6E"/>
    <w:rsid w:val="0061639B"/>
    <w:rsid w:val="00620E14"/>
    <w:rsid w:val="00621A7A"/>
    <w:rsid w:val="00621BDA"/>
    <w:rsid w:val="00622021"/>
    <w:rsid w:val="006227AC"/>
    <w:rsid w:val="0063092C"/>
    <w:rsid w:val="00631637"/>
    <w:rsid w:val="006319D9"/>
    <w:rsid w:val="00631EAB"/>
    <w:rsid w:val="00634BB9"/>
    <w:rsid w:val="0063530B"/>
    <w:rsid w:val="00635EA3"/>
    <w:rsid w:val="0064221C"/>
    <w:rsid w:val="006422BC"/>
    <w:rsid w:val="00645EAB"/>
    <w:rsid w:val="00646A1E"/>
    <w:rsid w:val="00647C5A"/>
    <w:rsid w:val="0065330D"/>
    <w:rsid w:val="00653A67"/>
    <w:rsid w:val="00654A31"/>
    <w:rsid w:val="00654F5F"/>
    <w:rsid w:val="006556CA"/>
    <w:rsid w:val="00656992"/>
    <w:rsid w:val="00676726"/>
    <w:rsid w:val="006906B7"/>
    <w:rsid w:val="00691065"/>
    <w:rsid w:val="006959EE"/>
    <w:rsid w:val="0069724E"/>
    <w:rsid w:val="006A043D"/>
    <w:rsid w:val="006A1AA2"/>
    <w:rsid w:val="006A1BDB"/>
    <w:rsid w:val="006A25EC"/>
    <w:rsid w:val="006A2DBD"/>
    <w:rsid w:val="006A3481"/>
    <w:rsid w:val="006A377C"/>
    <w:rsid w:val="006A4280"/>
    <w:rsid w:val="006B106D"/>
    <w:rsid w:val="006B37F0"/>
    <w:rsid w:val="006C18BF"/>
    <w:rsid w:val="006C23C2"/>
    <w:rsid w:val="006C5AF3"/>
    <w:rsid w:val="006C68DD"/>
    <w:rsid w:val="006D291C"/>
    <w:rsid w:val="006D32C4"/>
    <w:rsid w:val="006D3FE5"/>
    <w:rsid w:val="006E0B32"/>
    <w:rsid w:val="006E2D83"/>
    <w:rsid w:val="006E35D8"/>
    <w:rsid w:val="006E3C79"/>
    <w:rsid w:val="006E6BAD"/>
    <w:rsid w:val="006F1FF4"/>
    <w:rsid w:val="006F4234"/>
    <w:rsid w:val="006F474B"/>
    <w:rsid w:val="006F7570"/>
    <w:rsid w:val="00704BE1"/>
    <w:rsid w:val="00707DAE"/>
    <w:rsid w:val="007103E0"/>
    <w:rsid w:val="00712751"/>
    <w:rsid w:val="00712C6F"/>
    <w:rsid w:val="0072748A"/>
    <w:rsid w:val="00733E52"/>
    <w:rsid w:val="00734C5F"/>
    <w:rsid w:val="00740807"/>
    <w:rsid w:val="007418B7"/>
    <w:rsid w:val="00742376"/>
    <w:rsid w:val="00743F4A"/>
    <w:rsid w:val="00744A77"/>
    <w:rsid w:val="00746294"/>
    <w:rsid w:val="007479E3"/>
    <w:rsid w:val="00750347"/>
    <w:rsid w:val="00751B19"/>
    <w:rsid w:val="00752DCE"/>
    <w:rsid w:val="0075422F"/>
    <w:rsid w:val="00755193"/>
    <w:rsid w:val="00755C77"/>
    <w:rsid w:val="00757BBA"/>
    <w:rsid w:val="00761F9B"/>
    <w:rsid w:val="0076381D"/>
    <w:rsid w:val="007639AB"/>
    <w:rsid w:val="007648B1"/>
    <w:rsid w:val="0077020E"/>
    <w:rsid w:val="0077187B"/>
    <w:rsid w:val="007738EA"/>
    <w:rsid w:val="00773D2D"/>
    <w:rsid w:val="00773E37"/>
    <w:rsid w:val="00775983"/>
    <w:rsid w:val="0077637D"/>
    <w:rsid w:val="00776A27"/>
    <w:rsid w:val="00783D3E"/>
    <w:rsid w:val="00790467"/>
    <w:rsid w:val="00791AA0"/>
    <w:rsid w:val="00794E42"/>
    <w:rsid w:val="007A4D89"/>
    <w:rsid w:val="007A55CA"/>
    <w:rsid w:val="007A652C"/>
    <w:rsid w:val="007A6FBE"/>
    <w:rsid w:val="007B0D07"/>
    <w:rsid w:val="007B732C"/>
    <w:rsid w:val="007B7CBD"/>
    <w:rsid w:val="007B7F16"/>
    <w:rsid w:val="007C05FD"/>
    <w:rsid w:val="007C096A"/>
    <w:rsid w:val="007C2019"/>
    <w:rsid w:val="007C3703"/>
    <w:rsid w:val="007C7253"/>
    <w:rsid w:val="007D21EE"/>
    <w:rsid w:val="007D295D"/>
    <w:rsid w:val="007D5C63"/>
    <w:rsid w:val="007D6793"/>
    <w:rsid w:val="007D6A85"/>
    <w:rsid w:val="007D7ACA"/>
    <w:rsid w:val="007E3904"/>
    <w:rsid w:val="007E49C8"/>
    <w:rsid w:val="007E5CAC"/>
    <w:rsid w:val="007E6854"/>
    <w:rsid w:val="007F16DA"/>
    <w:rsid w:val="007F1862"/>
    <w:rsid w:val="007F2187"/>
    <w:rsid w:val="007F2556"/>
    <w:rsid w:val="007F39DA"/>
    <w:rsid w:val="007F6996"/>
    <w:rsid w:val="007F7EDF"/>
    <w:rsid w:val="007F7FB2"/>
    <w:rsid w:val="00801212"/>
    <w:rsid w:val="00801948"/>
    <w:rsid w:val="00804281"/>
    <w:rsid w:val="00804B6B"/>
    <w:rsid w:val="0080589C"/>
    <w:rsid w:val="00806DE6"/>
    <w:rsid w:val="00806E6E"/>
    <w:rsid w:val="00816896"/>
    <w:rsid w:val="008219C8"/>
    <w:rsid w:val="0082261B"/>
    <w:rsid w:val="00822B26"/>
    <w:rsid w:val="00822D13"/>
    <w:rsid w:val="00823621"/>
    <w:rsid w:val="00824830"/>
    <w:rsid w:val="00831A87"/>
    <w:rsid w:val="0084365C"/>
    <w:rsid w:val="00846974"/>
    <w:rsid w:val="00853E1B"/>
    <w:rsid w:val="00853E3E"/>
    <w:rsid w:val="00854526"/>
    <w:rsid w:val="00854615"/>
    <w:rsid w:val="008570B6"/>
    <w:rsid w:val="00862BF6"/>
    <w:rsid w:val="00862EE2"/>
    <w:rsid w:val="00865A0B"/>
    <w:rsid w:val="008669F3"/>
    <w:rsid w:val="00870A8B"/>
    <w:rsid w:val="00881C73"/>
    <w:rsid w:val="00881E2C"/>
    <w:rsid w:val="00882227"/>
    <w:rsid w:val="00885B28"/>
    <w:rsid w:val="00887981"/>
    <w:rsid w:val="00893ABA"/>
    <w:rsid w:val="00896BE3"/>
    <w:rsid w:val="00897009"/>
    <w:rsid w:val="008A4B52"/>
    <w:rsid w:val="008A574E"/>
    <w:rsid w:val="008A57CD"/>
    <w:rsid w:val="008B124C"/>
    <w:rsid w:val="008B50AD"/>
    <w:rsid w:val="008B52DD"/>
    <w:rsid w:val="008C42B6"/>
    <w:rsid w:val="008C450F"/>
    <w:rsid w:val="008D15EE"/>
    <w:rsid w:val="008D2345"/>
    <w:rsid w:val="008D238B"/>
    <w:rsid w:val="008D270D"/>
    <w:rsid w:val="008D2ABA"/>
    <w:rsid w:val="008D5E40"/>
    <w:rsid w:val="008D6190"/>
    <w:rsid w:val="008D7B83"/>
    <w:rsid w:val="008E1CD7"/>
    <w:rsid w:val="008E3508"/>
    <w:rsid w:val="008E39B2"/>
    <w:rsid w:val="008E4283"/>
    <w:rsid w:val="008E45FD"/>
    <w:rsid w:val="008E6479"/>
    <w:rsid w:val="008E7735"/>
    <w:rsid w:val="008E7AAE"/>
    <w:rsid w:val="008E7CB8"/>
    <w:rsid w:val="008F2C06"/>
    <w:rsid w:val="008F3A06"/>
    <w:rsid w:val="008F6DE7"/>
    <w:rsid w:val="008F7286"/>
    <w:rsid w:val="008F7C29"/>
    <w:rsid w:val="008F7F83"/>
    <w:rsid w:val="00907FC6"/>
    <w:rsid w:val="009131F6"/>
    <w:rsid w:val="00917288"/>
    <w:rsid w:val="0092021C"/>
    <w:rsid w:val="009222BC"/>
    <w:rsid w:val="0092234B"/>
    <w:rsid w:val="00922947"/>
    <w:rsid w:val="009244EC"/>
    <w:rsid w:val="009256A5"/>
    <w:rsid w:val="00925EA1"/>
    <w:rsid w:val="0092718D"/>
    <w:rsid w:val="009305F7"/>
    <w:rsid w:val="00932B85"/>
    <w:rsid w:val="0093304C"/>
    <w:rsid w:val="00936459"/>
    <w:rsid w:val="00936C0B"/>
    <w:rsid w:val="0094077E"/>
    <w:rsid w:val="009429AA"/>
    <w:rsid w:val="00943264"/>
    <w:rsid w:val="00943529"/>
    <w:rsid w:val="00944723"/>
    <w:rsid w:val="00944BED"/>
    <w:rsid w:val="00947481"/>
    <w:rsid w:val="00955089"/>
    <w:rsid w:val="0095586E"/>
    <w:rsid w:val="00956C56"/>
    <w:rsid w:val="00957113"/>
    <w:rsid w:val="00957D94"/>
    <w:rsid w:val="00957FF6"/>
    <w:rsid w:val="009613B3"/>
    <w:rsid w:val="00961C3F"/>
    <w:rsid w:val="00965325"/>
    <w:rsid w:val="00967058"/>
    <w:rsid w:val="009731B1"/>
    <w:rsid w:val="009767AB"/>
    <w:rsid w:val="00982F03"/>
    <w:rsid w:val="009858C5"/>
    <w:rsid w:val="00987B7F"/>
    <w:rsid w:val="00990D61"/>
    <w:rsid w:val="009946BC"/>
    <w:rsid w:val="0099603E"/>
    <w:rsid w:val="00996A06"/>
    <w:rsid w:val="009B20B2"/>
    <w:rsid w:val="009B32AA"/>
    <w:rsid w:val="009C41C0"/>
    <w:rsid w:val="009C5475"/>
    <w:rsid w:val="009C550C"/>
    <w:rsid w:val="009C60A1"/>
    <w:rsid w:val="009C7428"/>
    <w:rsid w:val="009D0601"/>
    <w:rsid w:val="009D0A55"/>
    <w:rsid w:val="009D1918"/>
    <w:rsid w:val="009D25C4"/>
    <w:rsid w:val="009D3E1C"/>
    <w:rsid w:val="009D5F3E"/>
    <w:rsid w:val="009D5FA2"/>
    <w:rsid w:val="009D7EF9"/>
    <w:rsid w:val="009E0C30"/>
    <w:rsid w:val="009E5026"/>
    <w:rsid w:val="009E6907"/>
    <w:rsid w:val="009F0A4F"/>
    <w:rsid w:val="00A01276"/>
    <w:rsid w:val="00A01525"/>
    <w:rsid w:val="00A047ED"/>
    <w:rsid w:val="00A0648A"/>
    <w:rsid w:val="00A07EA2"/>
    <w:rsid w:val="00A11FCB"/>
    <w:rsid w:val="00A12378"/>
    <w:rsid w:val="00A15D20"/>
    <w:rsid w:val="00A20171"/>
    <w:rsid w:val="00A21941"/>
    <w:rsid w:val="00A30C24"/>
    <w:rsid w:val="00A31CB9"/>
    <w:rsid w:val="00A40603"/>
    <w:rsid w:val="00A41B59"/>
    <w:rsid w:val="00A427B8"/>
    <w:rsid w:val="00A42BE8"/>
    <w:rsid w:val="00A43B25"/>
    <w:rsid w:val="00A4401E"/>
    <w:rsid w:val="00A44AC4"/>
    <w:rsid w:val="00A44F9B"/>
    <w:rsid w:val="00A46ED0"/>
    <w:rsid w:val="00A47401"/>
    <w:rsid w:val="00A477CD"/>
    <w:rsid w:val="00A5121D"/>
    <w:rsid w:val="00A51730"/>
    <w:rsid w:val="00A51A33"/>
    <w:rsid w:val="00A53240"/>
    <w:rsid w:val="00A548A9"/>
    <w:rsid w:val="00A576C7"/>
    <w:rsid w:val="00A6128B"/>
    <w:rsid w:val="00A6465E"/>
    <w:rsid w:val="00A71ECB"/>
    <w:rsid w:val="00A7363D"/>
    <w:rsid w:val="00A7774E"/>
    <w:rsid w:val="00A77D46"/>
    <w:rsid w:val="00A77DF1"/>
    <w:rsid w:val="00A852E2"/>
    <w:rsid w:val="00A917A6"/>
    <w:rsid w:val="00A92080"/>
    <w:rsid w:val="00A939A2"/>
    <w:rsid w:val="00A94F29"/>
    <w:rsid w:val="00A95EF8"/>
    <w:rsid w:val="00AA13FA"/>
    <w:rsid w:val="00AA2210"/>
    <w:rsid w:val="00AA5CFF"/>
    <w:rsid w:val="00AA732D"/>
    <w:rsid w:val="00AB242A"/>
    <w:rsid w:val="00AB33D8"/>
    <w:rsid w:val="00AB5879"/>
    <w:rsid w:val="00AB6660"/>
    <w:rsid w:val="00AB6A83"/>
    <w:rsid w:val="00AB6B74"/>
    <w:rsid w:val="00AC0433"/>
    <w:rsid w:val="00AC32A0"/>
    <w:rsid w:val="00AC6716"/>
    <w:rsid w:val="00AD233C"/>
    <w:rsid w:val="00AD5CE5"/>
    <w:rsid w:val="00AD7836"/>
    <w:rsid w:val="00AE2DBB"/>
    <w:rsid w:val="00AE308D"/>
    <w:rsid w:val="00AE3B6D"/>
    <w:rsid w:val="00AE60E5"/>
    <w:rsid w:val="00AE6620"/>
    <w:rsid w:val="00AF199C"/>
    <w:rsid w:val="00AF420E"/>
    <w:rsid w:val="00AF5BB9"/>
    <w:rsid w:val="00AF78CB"/>
    <w:rsid w:val="00B00AD8"/>
    <w:rsid w:val="00B01D9D"/>
    <w:rsid w:val="00B04301"/>
    <w:rsid w:val="00B076C9"/>
    <w:rsid w:val="00B111FE"/>
    <w:rsid w:val="00B11A75"/>
    <w:rsid w:val="00B1202B"/>
    <w:rsid w:val="00B1570E"/>
    <w:rsid w:val="00B16D09"/>
    <w:rsid w:val="00B17292"/>
    <w:rsid w:val="00B225F0"/>
    <w:rsid w:val="00B33081"/>
    <w:rsid w:val="00B33086"/>
    <w:rsid w:val="00B342FB"/>
    <w:rsid w:val="00B35303"/>
    <w:rsid w:val="00B35648"/>
    <w:rsid w:val="00B37583"/>
    <w:rsid w:val="00B376B3"/>
    <w:rsid w:val="00B37FD3"/>
    <w:rsid w:val="00B40AC6"/>
    <w:rsid w:val="00B45D24"/>
    <w:rsid w:val="00B4698E"/>
    <w:rsid w:val="00B50A85"/>
    <w:rsid w:val="00B535EF"/>
    <w:rsid w:val="00B55B48"/>
    <w:rsid w:val="00B56882"/>
    <w:rsid w:val="00B56931"/>
    <w:rsid w:val="00B574BA"/>
    <w:rsid w:val="00B623CB"/>
    <w:rsid w:val="00B63F1A"/>
    <w:rsid w:val="00B6410A"/>
    <w:rsid w:val="00B64C52"/>
    <w:rsid w:val="00B655F0"/>
    <w:rsid w:val="00B7010F"/>
    <w:rsid w:val="00B7092A"/>
    <w:rsid w:val="00B70FF2"/>
    <w:rsid w:val="00B72419"/>
    <w:rsid w:val="00B80C8E"/>
    <w:rsid w:val="00B8529C"/>
    <w:rsid w:val="00B87F0E"/>
    <w:rsid w:val="00B91409"/>
    <w:rsid w:val="00B91682"/>
    <w:rsid w:val="00B91EC9"/>
    <w:rsid w:val="00B93ED3"/>
    <w:rsid w:val="00BA1A5C"/>
    <w:rsid w:val="00BA380F"/>
    <w:rsid w:val="00BA4A99"/>
    <w:rsid w:val="00BB1392"/>
    <w:rsid w:val="00BB1FCB"/>
    <w:rsid w:val="00BB31FC"/>
    <w:rsid w:val="00BB38FF"/>
    <w:rsid w:val="00BB713C"/>
    <w:rsid w:val="00BB7C9B"/>
    <w:rsid w:val="00BC0391"/>
    <w:rsid w:val="00BC4917"/>
    <w:rsid w:val="00BC5D8B"/>
    <w:rsid w:val="00BC5E82"/>
    <w:rsid w:val="00BC7937"/>
    <w:rsid w:val="00BD10EF"/>
    <w:rsid w:val="00BD21F5"/>
    <w:rsid w:val="00BD2F56"/>
    <w:rsid w:val="00BD386C"/>
    <w:rsid w:val="00BD643E"/>
    <w:rsid w:val="00BE0E36"/>
    <w:rsid w:val="00BE1257"/>
    <w:rsid w:val="00BE2B4C"/>
    <w:rsid w:val="00BE389F"/>
    <w:rsid w:val="00BE3C79"/>
    <w:rsid w:val="00BE5BFF"/>
    <w:rsid w:val="00BE7D26"/>
    <w:rsid w:val="00BF0C8F"/>
    <w:rsid w:val="00BF37C7"/>
    <w:rsid w:val="00BF41ED"/>
    <w:rsid w:val="00BF45FE"/>
    <w:rsid w:val="00BF50C7"/>
    <w:rsid w:val="00BF5382"/>
    <w:rsid w:val="00C00BEF"/>
    <w:rsid w:val="00C02960"/>
    <w:rsid w:val="00C02A6E"/>
    <w:rsid w:val="00C02B4C"/>
    <w:rsid w:val="00C0536A"/>
    <w:rsid w:val="00C0613E"/>
    <w:rsid w:val="00C0644B"/>
    <w:rsid w:val="00C069C8"/>
    <w:rsid w:val="00C0778C"/>
    <w:rsid w:val="00C0785A"/>
    <w:rsid w:val="00C11C50"/>
    <w:rsid w:val="00C11E89"/>
    <w:rsid w:val="00C13FD0"/>
    <w:rsid w:val="00C1477E"/>
    <w:rsid w:val="00C20BE7"/>
    <w:rsid w:val="00C212D3"/>
    <w:rsid w:val="00C21DEF"/>
    <w:rsid w:val="00C222DB"/>
    <w:rsid w:val="00C243CE"/>
    <w:rsid w:val="00C32BD1"/>
    <w:rsid w:val="00C33E0D"/>
    <w:rsid w:val="00C33E17"/>
    <w:rsid w:val="00C34CF3"/>
    <w:rsid w:val="00C35B59"/>
    <w:rsid w:val="00C35FF0"/>
    <w:rsid w:val="00C405FF"/>
    <w:rsid w:val="00C40EA4"/>
    <w:rsid w:val="00C46D7D"/>
    <w:rsid w:val="00C4732E"/>
    <w:rsid w:val="00C51AA2"/>
    <w:rsid w:val="00C56026"/>
    <w:rsid w:val="00C577DC"/>
    <w:rsid w:val="00C61715"/>
    <w:rsid w:val="00C619B0"/>
    <w:rsid w:val="00C63807"/>
    <w:rsid w:val="00C6663D"/>
    <w:rsid w:val="00C67633"/>
    <w:rsid w:val="00C70828"/>
    <w:rsid w:val="00C71007"/>
    <w:rsid w:val="00C720E4"/>
    <w:rsid w:val="00C81480"/>
    <w:rsid w:val="00C84E9A"/>
    <w:rsid w:val="00C854E0"/>
    <w:rsid w:val="00C860CB"/>
    <w:rsid w:val="00C915D1"/>
    <w:rsid w:val="00C92A03"/>
    <w:rsid w:val="00C9345E"/>
    <w:rsid w:val="00C95B93"/>
    <w:rsid w:val="00C97738"/>
    <w:rsid w:val="00C9787C"/>
    <w:rsid w:val="00CA22DB"/>
    <w:rsid w:val="00CA252F"/>
    <w:rsid w:val="00CA2935"/>
    <w:rsid w:val="00CA3239"/>
    <w:rsid w:val="00CA34B9"/>
    <w:rsid w:val="00CB0CBE"/>
    <w:rsid w:val="00CB212B"/>
    <w:rsid w:val="00CB67F1"/>
    <w:rsid w:val="00CB7F7F"/>
    <w:rsid w:val="00CC1E40"/>
    <w:rsid w:val="00CD1AFA"/>
    <w:rsid w:val="00CD2617"/>
    <w:rsid w:val="00CD4F98"/>
    <w:rsid w:val="00CE020A"/>
    <w:rsid w:val="00CE1C84"/>
    <w:rsid w:val="00CE2EE1"/>
    <w:rsid w:val="00CE36E8"/>
    <w:rsid w:val="00CE3E0A"/>
    <w:rsid w:val="00CE5129"/>
    <w:rsid w:val="00CE58D2"/>
    <w:rsid w:val="00CE59D5"/>
    <w:rsid w:val="00CE73CC"/>
    <w:rsid w:val="00CE76C4"/>
    <w:rsid w:val="00CF028F"/>
    <w:rsid w:val="00CF17C9"/>
    <w:rsid w:val="00CF399B"/>
    <w:rsid w:val="00CF4B14"/>
    <w:rsid w:val="00CF76CB"/>
    <w:rsid w:val="00D01684"/>
    <w:rsid w:val="00D04D09"/>
    <w:rsid w:val="00D06C95"/>
    <w:rsid w:val="00D07393"/>
    <w:rsid w:val="00D10282"/>
    <w:rsid w:val="00D12C16"/>
    <w:rsid w:val="00D1359A"/>
    <w:rsid w:val="00D13E07"/>
    <w:rsid w:val="00D14F24"/>
    <w:rsid w:val="00D16EBE"/>
    <w:rsid w:val="00D17A33"/>
    <w:rsid w:val="00D21FAF"/>
    <w:rsid w:val="00D23303"/>
    <w:rsid w:val="00D238A1"/>
    <w:rsid w:val="00D23A08"/>
    <w:rsid w:val="00D2415A"/>
    <w:rsid w:val="00D3062B"/>
    <w:rsid w:val="00D306CB"/>
    <w:rsid w:val="00D31613"/>
    <w:rsid w:val="00D34090"/>
    <w:rsid w:val="00D37CEE"/>
    <w:rsid w:val="00D41673"/>
    <w:rsid w:val="00D475F9"/>
    <w:rsid w:val="00D4763B"/>
    <w:rsid w:val="00D50E1D"/>
    <w:rsid w:val="00D51386"/>
    <w:rsid w:val="00D51856"/>
    <w:rsid w:val="00D521CC"/>
    <w:rsid w:val="00D52670"/>
    <w:rsid w:val="00D541C7"/>
    <w:rsid w:val="00D54432"/>
    <w:rsid w:val="00D54D5B"/>
    <w:rsid w:val="00D57026"/>
    <w:rsid w:val="00D60AB0"/>
    <w:rsid w:val="00D60E9A"/>
    <w:rsid w:val="00D627B9"/>
    <w:rsid w:val="00D71C9B"/>
    <w:rsid w:val="00D7329D"/>
    <w:rsid w:val="00D73C2D"/>
    <w:rsid w:val="00D73DEB"/>
    <w:rsid w:val="00D74A8B"/>
    <w:rsid w:val="00D75117"/>
    <w:rsid w:val="00D754A2"/>
    <w:rsid w:val="00D829C3"/>
    <w:rsid w:val="00D843F0"/>
    <w:rsid w:val="00D90CF9"/>
    <w:rsid w:val="00D911C0"/>
    <w:rsid w:val="00D917BB"/>
    <w:rsid w:val="00D92EBC"/>
    <w:rsid w:val="00D93A4C"/>
    <w:rsid w:val="00DA1A00"/>
    <w:rsid w:val="00DA4130"/>
    <w:rsid w:val="00DA4D54"/>
    <w:rsid w:val="00DA6631"/>
    <w:rsid w:val="00DB186F"/>
    <w:rsid w:val="00DB2D71"/>
    <w:rsid w:val="00DB79BA"/>
    <w:rsid w:val="00DC357B"/>
    <w:rsid w:val="00DC68F1"/>
    <w:rsid w:val="00DD3082"/>
    <w:rsid w:val="00DD6A60"/>
    <w:rsid w:val="00DE0374"/>
    <w:rsid w:val="00DE24E4"/>
    <w:rsid w:val="00DE279B"/>
    <w:rsid w:val="00DE4712"/>
    <w:rsid w:val="00DE4F87"/>
    <w:rsid w:val="00DE6F6A"/>
    <w:rsid w:val="00DF161A"/>
    <w:rsid w:val="00DF5428"/>
    <w:rsid w:val="00DF6845"/>
    <w:rsid w:val="00E00926"/>
    <w:rsid w:val="00E024D7"/>
    <w:rsid w:val="00E06C1A"/>
    <w:rsid w:val="00E072C1"/>
    <w:rsid w:val="00E105EE"/>
    <w:rsid w:val="00E10BA9"/>
    <w:rsid w:val="00E11202"/>
    <w:rsid w:val="00E13230"/>
    <w:rsid w:val="00E153B0"/>
    <w:rsid w:val="00E15D6B"/>
    <w:rsid w:val="00E1640F"/>
    <w:rsid w:val="00E16E20"/>
    <w:rsid w:val="00E20A72"/>
    <w:rsid w:val="00E2244F"/>
    <w:rsid w:val="00E2399A"/>
    <w:rsid w:val="00E24517"/>
    <w:rsid w:val="00E26EF4"/>
    <w:rsid w:val="00E27686"/>
    <w:rsid w:val="00E35CBF"/>
    <w:rsid w:val="00E408F6"/>
    <w:rsid w:val="00E41147"/>
    <w:rsid w:val="00E50036"/>
    <w:rsid w:val="00E5253B"/>
    <w:rsid w:val="00E53C49"/>
    <w:rsid w:val="00E55552"/>
    <w:rsid w:val="00E558C3"/>
    <w:rsid w:val="00E63807"/>
    <w:rsid w:val="00E64C9B"/>
    <w:rsid w:val="00E671A1"/>
    <w:rsid w:val="00E67AE7"/>
    <w:rsid w:val="00E7129C"/>
    <w:rsid w:val="00E74ECF"/>
    <w:rsid w:val="00E7724A"/>
    <w:rsid w:val="00E81A7F"/>
    <w:rsid w:val="00E85A15"/>
    <w:rsid w:val="00E868F8"/>
    <w:rsid w:val="00E8696D"/>
    <w:rsid w:val="00E970E3"/>
    <w:rsid w:val="00E979F7"/>
    <w:rsid w:val="00EA0589"/>
    <w:rsid w:val="00EA39A5"/>
    <w:rsid w:val="00EA43B9"/>
    <w:rsid w:val="00EA7CEE"/>
    <w:rsid w:val="00EB198A"/>
    <w:rsid w:val="00EB22A3"/>
    <w:rsid w:val="00EB296E"/>
    <w:rsid w:val="00EB67E5"/>
    <w:rsid w:val="00EC4C1F"/>
    <w:rsid w:val="00ED028E"/>
    <w:rsid w:val="00ED106E"/>
    <w:rsid w:val="00ED12A5"/>
    <w:rsid w:val="00ED1B48"/>
    <w:rsid w:val="00ED37D7"/>
    <w:rsid w:val="00ED3FA9"/>
    <w:rsid w:val="00ED46C5"/>
    <w:rsid w:val="00ED5F60"/>
    <w:rsid w:val="00ED6E4D"/>
    <w:rsid w:val="00ED7AF4"/>
    <w:rsid w:val="00EE0000"/>
    <w:rsid w:val="00EF200A"/>
    <w:rsid w:val="00EF2C77"/>
    <w:rsid w:val="00EF341E"/>
    <w:rsid w:val="00EF3F08"/>
    <w:rsid w:val="00EF45B5"/>
    <w:rsid w:val="00F00C33"/>
    <w:rsid w:val="00F03602"/>
    <w:rsid w:val="00F03B0D"/>
    <w:rsid w:val="00F055F9"/>
    <w:rsid w:val="00F075EA"/>
    <w:rsid w:val="00F109B7"/>
    <w:rsid w:val="00F126FF"/>
    <w:rsid w:val="00F12C2B"/>
    <w:rsid w:val="00F12E87"/>
    <w:rsid w:val="00F14834"/>
    <w:rsid w:val="00F16AFD"/>
    <w:rsid w:val="00F219F9"/>
    <w:rsid w:val="00F2395B"/>
    <w:rsid w:val="00F239E4"/>
    <w:rsid w:val="00F24042"/>
    <w:rsid w:val="00F2740A"/>
    <w:rsid w:val="00F27616"/>
    <w:rsid w:val="00F27F67"/>
    <w:rsid w:val="00F34FC9"/>
    <w:rsid w:val="00F36BCF"/>
    <w:rsid w:val="00F378DD"/>
    <w:rsid w:val="00F40127"/>
    <w:rsid w:val="00F405C4"/>
    <w:rsid w:val="00F4305B"/>
    <w:rsid w:val="00F4411C"/>
    <w:rsid w:val="00F472AF"/>
    <w:rsid w:val="00F50BFF"/>
    <w:rsid w:val="00F5163B"/>
    <w:rsid w:val="00F53451"/>
    <w:rsid w:val="00F54F98"/>
    <w:rsid w:val="00F610CD"/>
    <w:rsid w:val="00F633F6"/>
    <w:rsid w:val="00F63BA9"/>
    <w:rsid w:val="00F6406C"/>
    <w:rsid w:val="00F64B00"/>
    <w:rsid w:val="00F65EEC"/>
    <w:rsid w:val="00F66008"/>
    <w:rsid w:val="00F668C9"/>
    <w:rsid w:val="00F66C3B"/>
    <w:rsid w:val="00F711FB"/>
    <w:rsid w:val="00F71F28"/>
    <w:rsid w:val="00F736B9"/>
    <w:rsid w:val="00F7706F"/>
    <w:rsid w:val="00F77FB6"/>
    <w:rsid w:val="00F8657D"/>
    <w:rsid w:val="00F86C92"/>
    <w:rsid w:val="00F929A3"/>
    <w:rsid w:val="00F93CCC"/>
    <w:rsid w:val="00F942A0"/>
    <w:rsid w:val="00F94D7E"/>
    <w:rsid w:val="00F95EA3"/>
    <w:rsid w:val="00F9658E"/>
    <w:rsid w:val="00F96B41"/>
    <w:rsid w:val="00FB3FC4"/>
    <w:rsid w:val="00FC068E"/>
    <w:rsid w:val="00FC0DE1"/>
    <w:rsid w:val="00FC6766"/>
    <w:rsid w:val="00FC6980"/>
    <w:rsid w:val="00FD3585"/>
    <w:rsid w:val="00FD6DD8"/>
    <w:rsid w:val="00FE0387"/>
    <w:rsid w:val="00FE3389"/>
    <w:rsid w:val="00FE6CD5"/>
    <w:rsid w:val="00FF2E47"/>
    <w:rsid w:val="5DB8B8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8B866"/>
  <w15:chartTrackingRefBased/>
  <w15:docId w15:val="{262187BA-933D-498D-95BC-ECC1253A0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9F3"/>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2F3246"/>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2F3246"/>
    <w:rPr>
      <w:sz w:val="22"/>
      <w:szCs w:val="22"/>
      <w:lang w:eastAsia="en-US"/>
    </w:rPr>
  </w:style>
  <w:style w:type="paragraph" w:styleId="TOCHeading">
    <w:name w:val="TOC Heading"/>
    <w:basedOn w:val="Heading1"/>
    <w:next w:val="Normal"/>
    <w:uiPriority w:val="39"/>
    <w:unhideWhenUsed/>
    <w:qFormat/>
    <w:rsid w:val="008F3A06"/>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8F3A06"/>
    <w:pPr>
      <w:spacing w:after="100"/>
    </w:pPr>
  </w:style>
  <w:style w:type="character" w:styleId="Hyperlink">
    <w:name w:val="Hyperlink"/>
    <w:basedOn w:val="DefaultParagraphFont"/>
    <w:uiPriority w:val="99"/>
    <w:unhideWhenUsed/>
    <w:rsid w:val="008F3A06"/>
    <w:rPr>
      <w:color w:val="467886" w:themeColor="hyperlink"/>
      <w:u w:val="single"/>
    </w:rPr>
  </w:style>
  <w:style w:type="paragraph" w:styleId="Header">
    <w:name w:val="header"/>
    <w:basedOn w:val="Normal"/>
    <w:link w:val="HeaderChar"/>
    <w:uiPriority w:val="99"/>
    <w:unhideWhenUsed/>
    <w:rsid w:val="00367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258"/>
    <w:rPr>
      <w:lang w:val="en-GB"/>
    </w:rPr>
  </w:style>
  <w:style w:type="paragraph" w:styleId="Footer">
    <w:name w:val="footer"/>
    <w:basedOn w:val="Normal"/>
    <w:link w:val="FooterChar"/>
    <w:uiPriority w:val="99"/>
    <w:unhideWhenUsed/>
    <w:rsid w:val="00367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258"/>
    <w:rPr>
      <w:lang w:val="en-GB"/>
    </w:rPr>
  </w:style>
  <w:style w:type="paragraph" w:styleId="NormalWeb">
    <w:name w:val="Normal (Web)"/>
    <w:basedOn w:val="Normal"/>
    <w:uiPriority w:val="99"/>
    <w:unhideWhenUsed/>
    <w:rsid w:val="005C410E"/>
    <w:rPr>
      <w:rFonts w:ascii="Times New Roman" w:hAnsi="Times New Roman" w:cs="Times New Roman"/>
    </w:rPr>
  </w:style>
  <w:style w:type="paragraph" w:styleId="ListParagraph">
    <w:name w:val="List Paragraph"/>
    <w:basedOn w:val="Normal"/>
    <w:uiPriority w:val="34"/>
    <w:qFormat/>
    <w:rsid w:val="00620E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1713">
      <w:bodyDiv w:val="1"/>
      <w:marLeft w:val="0"/>
      <w:marRight w:val="0"/>
      <w:marTop w:val="0"/>
      <w:marBottom w:val="0"/>
      <w:divBdr>
        <w:top w:val="none" w:sz="0" w:space="0" w:color="auto"/>
        <w:left w:val="none" w:sz="0" w:space="0" w:color="auto"/>
        <w:bottom w:val="none" w:sz="0" w:space="0" w:color="auto"/>
        <w:right w:val="none" w:sz="0" w:space="0" w:color="auto"/>
      </w:divBdr>
    </w:div>
    <w:div w:id="51008944">
      <w:bodyDiv w:val="1"/>
      <w:marLeft w:val="0"/>
      <w:marRight w:val="0"/>
      <w:marTop w:val="0"/>
      <w:marBottom w:val="0"/>
      <w:divBdr>
        <w:top w:val="none" w:sz="0" w:space="0" w:color="auto"/>
        <w:left w:val="none" w:sz="0" w:space="0" w:color="auto"/>
        <w:bottom w:val="none" w:sz="0" w:space="0" w:color="auto"/>
        <w:right w:val="none" w:sz="0" w:space="0" w:color="auto"/>
      </w:divBdr>
    </w:div>
    <w:div w:id="119082013">
      <w:bodyDiv w:val="1"/>
      <w:marLeft w:val="0"/>
      <w:marRight w:val="0"/>
      <w:marTop w:val="0"/>
      <w:marBottom w:val="0"/>
      <w:divBdr>
        <w:top w:val="none" w:sz="0" w:space="0" w:color="auto"/>
        <w:left w:val="none" w:sz="0" w:space="0" w:color="auto"/>
        <w:bottom w:val="none" w:sz="0" w:space="0" w:color="auto"/>
        <w:right w:val="none" w:sz="0" w:space="0" w:color="auto"/>
      </w:divBdr>
    </w:div>
    <w:div w:id="129716207">
      <w:bodyDiv w:val="1"/>
      <w:marLeft w:val="0"/>
      <w:marRight w:val="0"/>
      <w:marTop w:val="0"/>
      <w:marBottom w:val="0"/>
      <w:divBdr>
        <w:top w:val="none" w:sz="0" w:space="0" w:color="auto"/>
        <w:left w:val="none" w:sz="0" w:space="0" w:color="auto"/>
        <w:bottom w:val="none" w:sz="0" w:space="0" w:color="auto"/>
        <w:right w:val="none" w:sz="0" w:space="0" w:color="auto"/>
      </w:divBdr>
    </w:div>
    <w:div w:id="194275108">
      <w:bodyDiv w:val="1"/>
      <w:marLeft w:val="0"/>
      <w:marRight w:val="0"/>
      <w:marTop w:val="0"/>
      <w:marBottom w:val="0"/>
      <w:divBdr>
        <w:top w:val="none" w:sz="0" w:space="0" w:color="auto"/>
        <w:left w:val="none" w:sz="0" w:space="0" w:color="auto"/>
        <w:bottom w:val="none" w:sz="0" w:space="0" w:color="auto"/>
        <w:right w:val="none" w:sz="0" w:space="0" w:color="auto"/>
      </w:divBdr>
      <w:divsChild>
        <w:div w:id="627056546">
          <w:marLeft w:val="0"/>
          <w:marRight w:val="0"/>
          <w:marTop w:val="0"/>
          <w:marBottom w:val="0"/>
          <w:divBdr>
            <w:top w:val="none" w:sz="0" w:space="0" w:color="auto"/>
            <w:left w:val="none" w:sz="0" w:space="0" w:color="auto"/>
            <w:bottom w:val="none" w:sz="0" w:space="0" w:color="auto"/>
            <w:right w:val="none" w:sz="0" w:space="0" w:color="auto"/>
          </w:divBdr>
        </w:div>
      </w:divsChild>
    </w:div>
    <w:div w:id="196084588">
      <w:bodyDiv w:val="1"/>
      <w:marLeft w:val="0"/>
      <w:marRight w:val="0"/>
      <w:marTop w:val="0"/>
      <w:marBottom w:val="0"/>
      <w:divBdr>
        <w:top w:val="none" w:sz="0" w:space="0" w:color="auto"/>
        <w:left w:val="none" w:sz="0" w:space="0" w:color="auto"/>
        <w:bottom w:val="none" w:sz="0" w:space="0" w:color="auto"/>
        <w:right w:val="none" w:sz="0" w:space="0" w:color="auto"/>
      </w:divBdr>
    </w:div>
    <w:div w:id="202250042">
      <w:bodyDiv w:val="1"/>
      <w:marLeft w:val="0"/>
      <w:marRight w:val="0"/>
      <w:marTop w:val="0"/>
      <w:marBottom w:val="0"/>
      <w:divBdr>
        <w:top w:val="none" w:sz="0" w:space="0" w:color="auto"/>
        <w:left w:val="none" w:sz="0" w:space="0" w:color="auto"/>
        <w:bottom w:val="none" w:sz="0" w:space="0" w:color="auto"/>
        <w:right w:val="none" w:sz="0" w:space="0" w:color="auto"/>
      </w:divBdr>
    </w:div>
    <w:div w:id="313531585">
      <w:bodyDiv w:val="1"/>
      <w:marLeft w:val="0"/>
      <w:marRight w:val="0"/>
      <w:marTop w:val="0"/>
      <w:marBottom w:val="0"/>
      <w:divBdr>
        <w:top w:val="none" w:sz="0" w:space="0" w:color="auto"/>
        <w:left w:val="none" w:sz="0" w:space="0" w:color="auto"/>
        <w:bottom w:val="none" w:sz="0" w:space="0" w:color="auto"/>
        <w:right w:val="none" w:sz="0" w:space="0" w:color="auto"/>
      </w:divBdr>
    </w:div>
    <w:div w:id="345060114">
      <w:bodyDiv w:val="1"/>
      <w:marLeft w:val="0"/>
      <w:marRight w:val="0"/>
      <w:marTop w:val="0"/>
      <w:marBottom w:val="0"/>
      <w:divBdr>
        <w:top w:val="none" w:sz="0" w:space="0" w:color="auto"/>
        <w:left w:val="none" w:sz="0" w:space="0" w:color="auto"/>
        <w:bottom w:val="none" w:sz="0" w:space="0" w:color="auto"/>
        <w:right w:val="none" w:sz="0" w:space="0" w:color="auto"/>
      </w:divBdr>
    </w:div>
    <w:div w:id="376274177">
      <w:bodyDiv w:val="1"/>
      <w:marLeft w:val="0"/>
      <w:marRight w:val="0"/>
      <w:marTop w:val="0"/>
      <w:marBottom w:val="0"/>
      <w:divBdr>
        <w:top w:val="none" w:sz="0" w:space="0" w:color="auto"/>
        <w:left w:val="none" w:sz="0" w:space="0" w:color="auto"/>
        <w:bottom w:val="none" w:sz="0" w:space="0" w:color="auto"/>
        <w:right w:val="none" w:sz="0" w:space="0" w:color="auto"/>
      </w:divBdr>
    </w:div>
    <w:div w:id="378437601">
      <w:bodyDiv w:val="1"/>
      <w:marLeft w:val="0"/>
      <w:marRight w:val="0"/>
      <w:marTop w:val="0"/>
      <w:marBottom w:val="0"/>
      <w:divBdr>
        <w:top w:val="none" w:sz="0" w:space="0" w:color="auto"/>
        <w:left w:val="none" w:sz="0" w:space="0" w:color="auto"/>
        <w:bottom w:val="none" w:sz="0" w:space="0" w:color="auto"/>
        <w:right w:val="none" w:sz="0" w:space="0" w:color="auto"/>
      </w:divBdr>
    </w:div>
    <w:div w:id="380397882">
      <w:bodyDiv w:val="1"/>
      <w:marLeft w:val="0"/>
      <w:marRight w:val="0"/>
      <w:marTop w:val="0"/>
      <w:marBottom w:val="0"/>
      <w:divBdr>
        <w:top w:val="none" w:sz="0" w:space="0" w:color="auto"/>
        <w:left w:val="none" w:sz="0" w:space="0" w:color="auto"/>
        <w:bottom w:val="none" w:sz="0" w:space="0" w:color="auto"/>
        <w:right w:val="none" w:sz="0" w:space="0" w:color="auto"/>
      </w:divBdr>
    </w:div>
    <w:div w:id="440952094">
      <w:bodyDiv w:val="1"/>
      <w:marLeft w:val="0"/>
      <w:marRight w:val="0"/>
      <w:marTop w:val="0"/>
      <w:marBottom w:val="0"/>
      <w:divBdr>
        <w:top w:val="none" w:sz="0" w:space="0" w:color="auto"/>
        <w:left w:val="none" w:sz="0" w:space="0" w:color="auto"/>
        <w:bottom w:val="none" w:sz="0" w:space="0" w:color="auto"/>
        <w:right w:val="none" w:sz="0" w:space="0" w:color="auto"/>
      </w:divBdr>
    </w:div>
    <w:div w:id="451749697">
      <w:bodyDiv w:val="1"/>
      <w:marLeft w:val="0"/>
      <w:marRight w:val="0"/>
      <w:marTop w:val="0"/>
      <w:marBottom w:val="0"/>
      <w:divBdr>
        <w:top w:val="none" w:sz="0" w:space="0" w:color="auto"/>
        <w:left w:val="none" w:sz="0" w:space="0" w:color="auto"/>
        <w:bottom w:val="none" w:sz="0" w:space="0" w:color="auto"/>
        <w:right w:val="none" w:sz="0" w:space="0" w:color="auto"/>
      </w:divBdr>
    </w:div>
    <w:div w:id="493452769">
      <w:bodyDiv w:val="1"/>
      <w:marLeft w:val="0"/>
      <w:marRight w:val="0"/>
      <w:marTop w:val="0"/>
      <w:marBottom w:val="0"/>
      <w:divBdr>
        <w:top w:val="none" w:sz="0" w:space="0" w:color="auto"/>
        <w:left w:val="none" w:sz="0" w:space="0" w:color="auto"/>
        <w:bottom w:val="none" w:sz="0" w:space="0" w:color="auto"/>
        <w:right w:val="none" w:sz="0" w:space="0" w:color="auto"/>
      </w:divBdr>
    </w:div>
    <w:div w:id="510531350">
      <w:bodyDiv w:val="1"/>
      <w:marLeft w:val="0"/>
      <w:marRight w:val="0"/>
      <w:marTop w:val="0"/>
      <w:marBottom w:val="0"/>
      <w:divBdr>
        <w:top w:val="none" w:sz="0" w:space="0" w:color="auto"/>
        <w:left w:val="none" w:sz="0" w:space="0" w:color="auto"/>
        <w:bottom w:val="none" w:sz="0" w:space="0" w:color="auto"/>
        <w:right w:val="none" w:sz="0" w:space="0" w:color="auto"/>
      </w:divBdr>
    </w:div>
    <w:div w:id="527644588">
      <w:bodyDiv w:val="1"/>
      <w:marLeft w:val="0"/>
      <w:marRight w:val="0"/>
      <w:marTop w:val="0"/>
      <w:marBottom w:val="0"/>
      <w:divBdr>
        <w:top w:val="none" w:sz="0" w:space="0" w:color="auto"/>
        <w:left w:val="none" w:sz="0" w:space="0" w:color="auto"/>
        <w:bottom w:val="none" w:sz="0" w:space="0" w:color="auto"/>
        <w:right w:val="none" w:sz="0" w:space="0" w:color="auto"/>
      </w:divBdr>
    </w:div>
    <w:div w:id="537205964">
      <w:bodyDiv w:val="1"/>
      <w:marLeft w:val="0"/>
      <w:marRight w:val="0"/>
      <w:marTop w:val="0"/>
      <w:marBottom w:val="0"/>
      <w:divBdr>
        <w:top w:val="none" w:sz="0" w:space="0" w:color="auto"/>
        <w:left w:val="none" w:sz="0" w:space="0" w:color="auto"/>
        <w:bottom w:val="none" w:sz="0" w:space="0" w:color="auto"/>
        <w:right w:val="none" w:sz="0" w:space="0" w:color="auto"/>
      </w:divBdr>
    </w:div>
    <w:div w:id="600601441">
      <w:bodyDiv w:val="1"/>
      <w:marLeft w:val="0"/>
      <w:marRight w:val="0"/>
      <w:marTop w:val="0"/>
      <w:marBottom w:val="0"/>
      <w:divBdr>
        <w:top w:val="none" w:sz="0" w:space="0" w:color="auto"/>
        <w:left w:val="none" w:sz="0" w:space="0" w:color="auto"/>
        <w:bottom w:val="none" w:sz="0" w:space="0" w:color="auto"/>
        <w:right w:val="none" w:sz="0" w:space="0" w:color="auto"/>
      </w:divBdr>
    </w:div>
    <w:div w:id="619997157">
      <w:bodyDiv w:val="1"/>
      <w:marLeft w:val="0"/>
      <w:marRight w:val="0"/>
      <w:marTop w:val="0"/>
      <w:marBottom w:val="0"/>
      <w:divBdr>
        <w:top w:val="none" w:sz="0" w:space="0" w:color="auto"/>
        <w:left w:val="none" w:sz="0" w:space="0" w:color="auto"/>
        <w:bottom w:val="none" w:sz="0" w:space="0" w:color="auto"/>
        <w:right w:val="none" w:sz="0" w:space="0" w:color="auto"/>
      </w:divBdr>
      <w:divsChild>
        <w:div w:id="157774568">
          <w:marLeft w:val="0"/>
          <w:marRight w:val="0"/>
          <w:marTop w:val="0"/>
          <w:marBottom w:val="0"/>
          <w:divBdr>
            <w:top w:val="none" w:sz="0" w:space="0" w:color="auto"/>
            <w:left w:val="none" w:sz="0" w:space="0" w:color="auto"/>
            <w:bottom w:val="none" w:sz="0" w:space="0" w:color="auto"/>
            <w:right w:val="none" w:sz="0" w:space="0" w:color="auto"/>
          </w:divBdr>
          <w:divsChild>
            <w:div w:id="30233476">
              <w:marLeft w:val="0"/>
              <w:marRight w:val="0"/>
              <w:marTop w:val="0"/>
              <w:marBottom w:val="0"/>
              <w:divBdr>
                <w:top w:val="none" w:sz="0" w:space="0" w:color="auto"/>
                <w:left w:val="none" w:sz="0" w:space="0" w:color="auto"/>
                <w:bottom w:val="none" w:sz="0" w:space="0" w:color="auto"/>
                <w:right w:val="none" w:sz="0" w:space="0" w:color="auto"/>
              </w:divBdr>
              <w:divsChild>
                <w:div w:id="33221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414466">
      <w:bodyDiv w:val="1"/>
      <w:marLeft w:val="0"/>
      <w:marRight w:val="0"/>
      <w:marTop w:val="0"/>
      <w:marBottom w:val="0"/>
      <w:divBdr>
        <w:top w:val="none" w:sz="0" w:space="0" w:color="auto"/>
        <w:left w:val="none" w:sz="0" w:space="0" w:color="auto"/>
        <w:bottom w:val="none" w:sz="0" w:space="0" w:color="auto"/>
        <w:right w:val="none" w:sz="0" w:space="0" w:color="auto"/>
      </w:divBdr>
    </w:div>
    <w:div w:id="642466255">
      <w:bodyDiv w:val="1"/>
      <w:marLeft w:val="0"/>
      <w:marRight w:val="0"/>
      <w:marTop w:val="0"/>
      <w:marBottom w:val="0"/>
      <w:divBdr>
        <w:top w:val="none" w:sz="0" w:space="0" w:color="auto"/>
        <w:left w:val="none" w:sz="0" w:space="0" w:color="auto"/>
        <w:bottom w:val="none" w:sz="0" w:space="0" w:color="auto"/>
        <w:right w:val="none" w:sz="0" w:space="0" w:color="auto"/>
      </w:divBdr>
    </w:div>
    <w:div w:id="680274889">
      <w:bodyDiv w:val="1"/>
      <w:marLeft w:val="0"/>
      <w:marRight w:val="0"/>
      <w:marTop w:val="0"/>
      <w:marBottom w:val="0"/>
      <w:divBdr>
        <w:top w:val="none" w:sz="0" w:space="0" w:color="auto"/>
        <w:left w:val="none" w:sz="0" w:space="0" w:color="auto"/>
        <w:bottom w:val="none" w:sz="0" w:space="0" w:color="auto"/>
        <w:right w:val="none" w:sz="0" w:space="0" w:color="auto"/>
      </w:divBdr>
    </w:div>
    <w:div w:id="704066897">
      <w:bodyDiv w:val="1"/>
      <w:marLeft w:val="0"/>
      <w:marRight w:val="0"/>
      <w:marTop w:val="0"/>
      <w:marBottom w:val="0"/>
      <w:divBdr>
        <w:top w:val="none" w:sz="0" w:space="0" w:color="auto"/>
        <w:left w:val="none" w:sz="0" w:space="0" w:color="auto"/>
        <w:bottom w:val="none" w:sz="0" w:space="0" w:color="auto"/>
        <w:right w:val="none" w:sz="0" w:space="0" w:color="auto"/>
      </w:divBdr>
    </w:div>
    <w:div w:id="784156501">
      <w:bodyDiv w:val="1"/>
      <w:marLeft w:val="0"/>
      <w:marRight w:val="0"/>
      <w:marTop w:val="0"/>
      <w:marBottom w:val="0"/>
      <w:divBdr>
        <w:top w:val="none" w:sz="0" w:space="0" w:color="auto"/>
        <w:left w:val="none" w:sz="0" w:space="0" w:color="auto"/>
        <w:bottom w:val="none" w:sz="0" w:space="0" w:color="auto"/>
        <w:right w:val="none" w:sz="0" w:space="0" w:color="auto"/>
      </w:divBdr>
    </w:div>
    <w:div w:id="910391640">
      <w:bodyDiv w:val="1"/>
      <w:marLeft w:val="0"/>
      <w:marRight w:val="0"/>
      <w:marTop w:val="0"/>
      <w:marBottom w:val="0"/>
      <w:divBdr>
        <w:top w:val="none" w:sz="0" w:space="0" w:color="auto"/>
        <w:left w:val="none" w:sz="0" w:space="0" w:color="auto"/>
        <w:bottom w:val="none" w:sz="0" w:space="0" w:color="auto"/>
        <w:right w:val="none" w:sz="0" w:space="0" w:color="auto"/>
      </w:divBdr>
      <w:divsChild>
        <w:div w:id="1128550785">
          <w:marLeft w:val="0"/>
          <w:marRight w:val="0"/>
          <w:marTop w:val="0"/>
          <w:marBottom w:val="0"/>
          <w:divBdr>
            <w:top w:val="none" w:sz="0" w:space="0" w:color="auto"/>
            <w:left w:val="none" w:sz="0" w:space="0" w:color="auto"/>
            <w:bottom w:val="none" w:sz="0" w:space="0" w:color="auto"/>
            <w:right w:val="none" w:sz="0" w:space="0" w:color="auto"/>
          </w:divBdr>
          <w:divsChild>
            <w:div w:id="615797077">
              <w:marLeft w:val="0"/>
              <w:marRight w:val="0"/>
              <w:marTop w:val="0"/>
              <w:marBottom w:val="0"/>
              <w:divBdr>
                <w:top w:val="none" w:sz="0" w:space="0" w:color="auto"/>
                <w:left w:val="none" w:sz="0" w:space="0" w:color="auto"/>
                <w:bottom w:val="none" w:sz="0" w:space="0" w:color="auto"/>
                <w:right w:val="none" w:sz="0" w:space="0" w:color="auto"/>
              </w:divBdr>
              <w:divsChild>
                <w:div w:id="29048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200148">
      <w:bodyDiv w:val="1"/>
      <w:marLeft w:val="0"/>
      <w:marRight w:val="0"/>
      <w:marTop w:val="0"/>
      <w:marBottom w:val="0"/>
      <w:divBdr>
        <w:top w:val="none" w:sz="0" w:space="0" w:color="auto"/>
        <w:left w:val="none" w:sz="0" w:space="0" w:color="auto"/>
        <w:bottom w:val="none" w:sz="0" w:space="0" w:color="auto"/>
        <w:right w:val="none" w:sz="0" w:space="0" w:color="auto"/>
      </w:divBdr>
    </w:div>
    <w:div w:id="933509753">
      <w:bodyDiv w:val="1"/>
      <w:marLeft w:val="0"/>
      <w:marRight w:val="0"/>
      <w:marTop w:val="0"/>
      <w:marBottom w:val="0"/>
      <w:divBdr>
        <w:top w:val="none" w:sz="0" w:space="0" w:color="auto"/>
        <w:left w:val="none" w:sz="0" w:space="0" w:color="auto"/>
        <w:bottom w:val="none" w:sz="0" w:space="0" w:color="auto"/>
        <w:right w:val="none" w:sz="0" w:space="0" w:color="auto"/>
      </w:divBdr>
    </w:div>
    <w:div w:id="944966448">
      <w:bodyDiv w:val="1"/>
      <w:marLeft w:val="0"/>
      <w:marRight w:val="0"/>
      <w:marTop w:val="0"/>
      <w:marBottom w:val="0"/>
      <w:divBdr>
        <w:top w:val="none" w:sz="0" w:space="0" w:color="auto"/>
        <w:left w:val="none" w:sz="0" w:space="0" w:color="auto"/>
        <w:bottom w:val="none" w:sz="0" w:space="0" w:color="auto"/>
        <w:right w:val="none" w:sz="0" w:space="0" w:color="auto"/>
      </w:divBdr>
    </w:div>
    <w:div w:id="948774297">
      <w:bodyDiv w:val="1"/>
      <w:marLeft w:val="0"/>
      <w:marRight w:val="0"/>
      <w:marTop w:val="0"/>
      <w:marBottom w:val="0"/>
      <w:divBdr>
        <w:top w:val="none" w:sz="0" w:space="0" w:color="auto"/>
        <w:left w:val="none" w:sz="0" w:space="0" w:color="auto"/>
        <w:bottom w:val="none" w:sz="0" w:space="0" w:color="auto"/>
        <w:right w:val="none" w:sz="0" w:space="0" w:color="auto"/>
      </w:divBdr>
    </w:div>
    <w:div w:id="950744072">
      <w:bodyDiv w:val="1"/>
      <w:marLeft w:val="0"/>
      <w:marRight w:val="0"/>
      <w:marTop w:val="0"/>
      <w:marBottom w:val="0"/>
      <w:divBdr>
        <w:top w:val="none" w:sz="0" w:space="0" w:color="auto"/>
        <w:left w:val="none" w:sz="0" w:space="0" w:color="auto"/>
        <w:bottom w:val="none" w:sz="0" w:space="0" w:color="auto"/>
        <w:right w:val="none" w:sz="0" w:space="0" w:color="auto"/>
      </w:divBdr>
    </w:div>
    <w:div w:id="966425648">
      <w:bodyDiv w:val="1"/>
      <w:marLeft w:val="0"/>
      <w:marRight w:val="0"/>
      <w:marTop w:val="0"/>
      <w:marBottom w:val="0"/>
      <w:divBdr>
        <w:top w:val="none" w:sz="0" w:space="0" w:color="auto"/>
        <w:left w:val="none" w:sz="0" w:space="0" w:color="auto"/>
        <w:bottom w:val="none" w:sz="0" w:space="0" w:color="auto"/>
        <w:right w:val="none" w:sz="0" w:space="0" w:color="auto"/>
      </w:divBdr>
    </w:div>
    <w:div w:id="983699898">
      <w:bodyDiv w:val="1"/>
      <w:marLeft w:val="0"/>
      <w:marRight w:val="0"/>
      <w:marTop w:val="0"/>
      <w:marBottom w:val="0"/>
      <w:divBdr>
        <w:top w:val="none" w:sz="0" w:space="0" w:color="auto"/>
        <w:left w:val="none" w:sz="0" w:space="0" w:color="auto"/>
        <w:bottom w:val="none" w:sz="0" w:space="0" w:color="auto"/>
        <w:right w:val="none" w:sz="0" w:space="0" w:color="auto"/>
      </w:divBdr>
    </w:div>
    <w:div w:id="989015818">
      <w:bodyDiv w:val="1"/>
      <w:marLeft w:val="0"/>
      <w:marRight w:val="0"/>
      <w:marTop w:val="0"/>
      <w:marBottom w:val="0"/>
      <w:divBdr>
        <w:top w:val="none" w:sz="0" w:space="0" w:color="auto"/>
        <w:left w:val="none" w:sz="0" w:space="0" w:color="auto"/>
        <w:bottom w:val="none" w:sz="0" w:space="0" w:color="auto"/>
        <w:right w:val="none" w:sz="0" w:space="0" w:color="auto"/>
      </w:divBdr>
    </w:div>
    <w:div w:id="1079596292">
      <w:bodyDiv w:val="1"/>
      <w:marLeft w:val="0"/>
      <w:marRight w:val="0"/>
      <w:marTop w:val="0"/>
      <w:marBottom w:val="0"/>
      <w:divBdr>
        <w:top w:val="none" w:sz="0" w:space="0" w:color="auto"/>
        <w:left w:val="none" w:sz="0" w:space="0" w:color="auto"/>
        <w:bottom w:val="none" w:sz="0" w:space="0" w:color="auto"/>
        <w:right w:val="none" w:sz="0" w:space="0" w:color="auto"/>
      </w:divBdr>
    </w:div>
    <w:div w:id="1095130907">
      <w:bodyDiv w:val="1"/>
      <w:marLeft w:val="0"/>
      <w:marRight w:val="0"/>
      <w:marTop w:val="0"/>
      <w:marBottom w:val="0"/>
      <w:divBdr>
        <w:top w:val="none" w:sz="0" w:space="0" w:color="auto"/>
        <w:left w:val="none" w:sz="0" w:space="0" w:color="auto"/>
        <w:bottom w:val="none" w:sz="0" w:space="0" w:color="auto"/>
        <w:right w:val="none" w:sz="0" w:space="0" w:color="auto"/>
      </w:divBdr>
    </w:div>
    <w:div w:id="1102066102">
      <w:bodyDiv w:val="1"/>
      <w:marLeft w:val="0"/>
      <w:marRight w:val="0"/>
      <w:marTop w:val="0"/>
      <w:marBottom w:val="0"/>
      <w:divBdr>
        <w:top w:val="none" w:sz="0" w:space="0" w:color="auto"/>
        <w:left w:val="none" w:sz="0" w:space="0" w:color="auto"/>
        <w:bottom w:val="none" w:sz="0" w:space="0" w:color="auto"/>
        <w:right w:val="none" w:sz="0" w:space="0" w:color="auto"/>
      </w:divBdr>
    </w:div>
    <w:div w:id="1122267361">
      <w:bodyDiv w:val="1"/>
      <w:marLeft w:val="0"/>
      <w:marRight w:val="0"/>
      <w:marTop w:val="0"/>
      <w:marBottom w:val="0"/>
      <w:divBdr>
        <w:top w:val="none" w:sz="0" w:space="0" w:color="auto"/>
        <w:left w:val="none" w:sz="0" w:space="0" w:color="auto"/>
        <w:bottom w:val="none" w:sz="0" w:space="0" w:color="auto"/>
        <w:right w:val="none" w:sz="0" w:space="0" w:color="auto"/>
      </w:divBdr>
    </w:div>
    <w:div w:id="1159149497">
      <w:bodyDiv w:val="1"/>
      <w:marLeft w:val="0"/>
      <w:marRight w:val="0"/>
      <w:marTop w:val="0"/>
      <w:marBottom w:val="0"/>
      <w:divBdr>
        <w:top w:val="none" w:sz="0" w:space="0" w:color="auto"/>
        <w:left w:val="none" w:sz="0" w:space="0" w:color="auto"/>
        <w:bottom w:val="none" w:sz="0" w:space="0" w:color="auto"/>
        <w:right w:val="none" w:sz="0" w:space="0" w:color="auto"/>
      </w:divBdr>
    </w:div>
    <w:div w:id="1173568849">
      <w:bodyDiv w:val="1"/>
      <w:marLeft w:val="0"/>
      <w:marRight w:val="0"/>
      <w:marTop w:val="0"/>
      <w:marBottom w:val="0"/>
      <w:divBdr>
        <w:top w:val="none" w:sz="0" w:space="0" w:color="auto"/>
        <w:left w:val="none" w:sz="0" w:space="0" w:color="auto"/>
        <w:bottom w:val="none" w:sz="0" w:space="0" w:color="auto"/>
        <w:right w:val="none" w:sz="0" w:space="0" w:color="auto"/>
      </w:divBdr>
      <w:divsChild>
        <w:div w:id="431437890">
          <w:marLeft w:val="0"/>
          <w:marRight w:val="0"/>
          <w:marTop w:val="0"/>
          <w:marBottom w:val="0"/>
          <w:divBdr>
            <w:top w:val="none" w:sz="0" w:space="0" w:color="auto"/>
            <w:left w:val="none" w:sz="0" w:space="0" w:color="auto"/>
            <w:bottom w:val="none" w:sz="0" w:space="0" w:color="auto"/>
            <w:right w:val="none" w:sz="0" w:space="0" w:color="auto"/>
          </w:divBdr>
          <w:divsChild>
            <w:div w:id="1726177090">
              <w:marLeft w:val="0"/>
              <w:marRight w:val="0"/>
              <w:marTop w:val="0"/>
              <w:marBottom w:val="0"/>
              <w:divBdr>
                <w:top w:val="none" w:sz="0" w:space="0" w:color="auto"/>
                <w:left w:val="none" w:sz="0" w:space="0" w:color="auto"/>
                <w:bottom w:val="none" w:sz="0" w:space="0" w:color="auto"/>
                <w:right w:val="none" w:sz="0" w:space="0" w:color="auto"/>
              </w:divBdr>
              <w:divsChild>
                <w:div w:id="1372151077">
                  <w:marLeft w:val="0"/>
                  <w:marRight w:val="0"/>
                  <w:marTop w:val="0"/>
                  <w:marBottom w:val="0"/>
                  <w:divBdr>
                    <w:top w:val="none" w:sz="0" w:space="0" w:color="auto"/>
                    <w:left w:val="none" w:sz="0" w:space="0" w:color="auto"/>
                    <w:bottom w:val="none" w:sz="0" w:space="0" w:color="auto"/>
                    <w:right w:val="none" w:sz="0" w:space="0" w:color="auto"/>
                  </w:divBdr>
                  <w:divsChild>
                    <w:div w:id="1174683508">
                      <w:marLeft w:val="0"/>
                      <w:marRight w:val="0"/>
                      <w:marTop w:val="0"/>
                      <w:marBottom w:val="0"/>
                      <w:divBdr>
                        <w:top w:val="none" w:sz="0" w:space="0" w:color="auto"/>
                        <w:left w:val="none" w:sz="0" w:space="0" w:color="auto"/>
                        <w:bottom w:val="none" w:sz="0" w:space="0" w:color="auto"/>
                        <w:right w:val="none" w:sz="0" w:space="0" w:color="auto"/>
                      </w:divBdr>
                      <w:divsChild>
                        <w:div w:id="1470516448">
                          <w:marLeft w:val="0"/>
                          <w:marRight w:val="0"/>
                          <w:marTop w:val="0"/>
                          <w:marBottom w:val="0"/>
                          <w:divBdr>
                            <w:top w:val="none" w:sz="0" w:space="0" w:color="auto"/>
                            <w:left w:val="none" w:sz="0" w:space="0" w:color="auto"/>
                            <w:bottom w:val="none" w:sz="0" w:space="0" w:color="auto"/>
                            <w:right w:val="none" w:sz="0" w:space="0" w:color="auto"/>
                          </w:divBdr>
                          <w:divsChild>
                            <w:div w:id="131428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436358">
      <w:bodyDiv w:val="1"/>
      <w:marLeft w:val="0"/>
      <w:marRight w:val="0"/>
      <w:marTop w:val="0"/>
      <w:marBottom w:val="0"/>
      <w:divBdr>
        <w:top w:val="none" w:sz="0" w:space="0" w:color="auto"/>
        <w:left w:val="none" w:sz="0" w:space="0" w:color="auto"/>
        <w:bottom w:val="none" w:sz="0" w:space="0" w:color="auto"/>
        <w:right w:val="none" w:sz="0" w:space="0" w:color="auto"/>
      </w:divBdr>
    </w:div>
    <w:div w:id="1213036924">
      <w:bodyDiv w:val="1"/>
      <w:marLeft w:val="0"/>
      <w:marRight w:val="0"/>
      <w:marTop w:val="0"/>
      <w:marBottom w:val="0"/>
      <w:divBdr>
        <w:top w:val="none" w:sz="0" w:space="0" w:color="auto"/>
        <w:left w:val="none" w:sz="0" w:space="0" w:color="auto"/>
        <w:bottom w:val="none" w:sz="0" w:space="0" w:color="auto"/>
        <w:right w:val="none" w:sz="0" w:space="0" w:color="auto"/>
      </w:divBdr>
    </w:div>
    <w:div w:id="1229465052">
      <w:bodyDiv w:val="1"/>
      <w:marLeft w:val="0"/>
      <w:marRight w:val="0"/>
      <w:marTop w:val="0"/>
      <w:marBottom w:val="0"/>
      <w:divBdr>
        <w:top w:val="none" w:sz="0" w:space="0" w:color="auto"/>
        <w:left w:val="none" w:sz="0" w:space="0" w:color="auto"/>
        <w:bottom w:val="none" w:sz="0" w:space="0" w:color="auto"/>
        <w:right w:val="none" w:sz="0" w:space="0" w:color="auto"/>
      </w:divBdr>
    </w:div>
    <w:div w:id="1274897820">
      <w:bodyDiv w:val="1"/>
      <w:marLeft w:val="0"/>
      <w:marRight w:val="0"/>
      <w:marTop w:val="0"/>
      <w:marBottom w:val="0"/>
      <w:divBdr>
        <w:top w:val="none" w:sz="0" w:space="0" w:color="auto"/>
        <w:left w:val="none" w:sz="0" w:space="0" w:color="auto"/>
        <w:bottom w:val="none" w:sz="0" w:space="0" w:color="auto"/>
        <w:right w:val="none" w:sz="0" w:space="0" w:color="auto"/>
      </w:divBdr>
    </w:div>
    <w:div w:id="1329673993">
      <w:bodyDiv w:val="1"/>
      <w:marLeft w:val="0"/>
      <w:marRight w:val="0"/>
      <w:marTop w:val="0"/>
      <w:marBottom w:val="0"/>
      <w:divBdr>
        <w:top w:val="none" w:sz="0" w:space="0" w:color="auto"/>
        <w:left w:val="none" w:sz="0" w:space="0" w:color="auto"/>
        <w:bottom w:val="none" w:sz="0" w:space="0" w:color="auto"/>
        <w:right w:val="none" w:sz="0" w:space="0" w:color="auto"/>
      </w:divBdr>
    </w:div>
    <w:div w:id="1337997813">
      <w:bodyDiv w:val="1"/>
      <w:marLeft w:val="0"/>
      <w:marRight w:val="0"/>
      <w:marTop w:val="0"/>
      <w:marBottom w:val="0"/>
      <w:divBdr>
        <w:top w:val="none" w:sz="0" w:space="0" w:color="auto"/>
        <w:left w:val="none" w:sz="0" w:space="0" w:color="auto"/>
        <w:bottom w:val="none" w:sz="0" w:space="0" w:color="auto"/>
        <w:right w:val="none" w:sz="0" w:space="0" w:color="auto"/>
      </w:divBdr>
    </w:div>
    <w:div w:id="1346402045">
      <w:bodyDiv w:val="1"/>
      <w:marLeft w:val="0"/>
      <w:marRight w:val="0"/>
      <w:marTop w:val="0"/>
      <w:marBottom w:val="0"/>
      <w:divBdr>
        <w:top w:val="none" w:sz="0" w:space="0" w:color="auto"/>
        <w:left w:val="none" w:sz="0" w:space="0" w:color="auto"/>
        <w:bottom w:val="none" w:sz="0" w:space="0" w:color="auto"/>
        <w:right w:val="none" w:sz="0" w:space="0" w:color="auto"/>
      </w:divBdr>
    </w:div>
    <w:div w:id="1360164808">
      <w:bodyDiv w:val="1"/>
      <w:marLeft w:val="0"/>
      <w:marRight w:val="0"/>
      <w:marTop w:val="0"/>
      <w:marBottom w:val="0"/>
      <w:divBdr>
        <w:top w:val="none" w:sz="0" w:space="0" w:color="auto"/>
        <w:left w:val="none" w:sz="0" w:space="0" w:color="auto"/>
        <w:bottom w:val="none" w:sz="0" w:space="0" w:color="auto"/>
        <w:right w:val="none" w:sz="0" w:space="0" w:color="auto"/>
      </w:divBdr>
    </w:div>
    <w:div w:id="1364092707">
      <w:bodyDiv w:val="1"/>
      <w:marLeft w:val="0"/>
      <w:marRight w:val="0"/>
      <w:marTop w:val="0"/>
      <w:marBottom w:val="0"/>
      <w:divBdr>
        <w:top w:val="none" w:sz="0" w:space="0" w:color="auto"/>
        <w:left w:val="none" w:sz="0" w:space="0" w:color="auto"/>
        <w:bottom w:val="none" w:sz="0" w:space="0" w:color="auto"/>
        <w:right w:val="none" w:sz="0" w:space="0" w:color="auto"/>
      </w:divBdr>
      <w:divsChild>
        <w:div w:id="786042670">
          <w:marLeft w:val="0"/>
          <w:marRight w:val="0"/>
          <w:marTop w:val="0"/>
          <w:marBottom w:val="0"/>
          <w:divBdr>
            <w:top w:val="none" w:sz="0" w:space="0" w:color="auto"/>
            <w:left w:val="none" w:sz="0" w:space="0" w:color="auto"/>
            <w:bottom w:val="none" w:sz="0" w:space="0" w:color="auto"/>
            <w:right w:val="none" w:sz="0" w:space="0" w:color="auto"/>
          </w:divBdr>
          <w:divsChild>
            <w:div w:id="1764261207">
              <w:marLeft w:val="0"/>
              <w:marRight w:val="0"/>
              <w:marTop w:val="0"/>
              <w:marBottom w:val="0"/>
              <w:divBdr>
                <w:top w:val="none" w:sz="0" w:space="0" w:color="auto"/>
                <w:left w:val="none" w:sz="0" w:space="0" w:color="auto"/>
                <w:bottom w:val="none" w:sz="0" w:space="0" w:color="auto"/>
                <w:right w:val="none" w:sz="0" w:space="0" w:color="auto"/>
              </w:divBdr>
              <w:divsChild>
                <w:div w:id="2047410856">
                  <w:marLeft w:val="0"/>
                  <w:marRight w:val="0"/>
                  <w:marTop w:val="0"/>
                  <w:marBottom w:val="0"/>
                  <w:divBdr>
                    <w:top w:val="none" w:sz="0" w:space="0" w:color="auto"/>
                    <w:left w:val="none" w:sz="0" w:space="0" w:color="auto"/>
                    <w:bottom w:val="none" w:sz="0" w:space="0" w:color="auto"/>
                    <w:right w:val="none" w:sz="0" w:space="0" w:color="auto"/>
                  </w:divBdr>
                  <w:divsChild>
                    <w:div w:id="1581059506">
                      <w:marLeft w:val="0"/>
                      <w:marRight w:val="0"/>
                      <w:marTop w:val="0"/>
                      <w:marBottom w:val="0"/>
                      <w:divBdr>
                        <w:top w:val="none" w:sz="0" w:space="0" w:color="auto"/>
                        <w:left w:val="none" w:sz="0" w:space="0" w:color="auto"/>
                        <w:bottom w:val="none" w:sz="0" w:space="0" w:color="auto"/>
                        <w:right w:val="none" w:sz="0" w:space="0" w:color="auto"/>
                      </w:divBdr>
                      <w:divsChild>
                        <w:div w:id="1728458621">
                          <w:marLeft w:val="0"/>
                          <w:marRight w:val="0"/>
                          <w:marTop w:val="0"/>
                          <w:marBottom w:val="0"/>
                          <w:divBdr>
                            <w:top w:val="none" w:sz="0" w:space="0" w:color="auto"/>
                            <w:left w:val="none" w:sz="0" w:space="0" w:color="auto"/>
                            <w:bottom w:val="none" w:sz="0" w:space="0" w:color="auto"/>
                            <w:right w:val="none" w:sz="0" w:space="0" w:color="auto"/>
                          </w:divBdr>
                          <w:divsChild>
                            <w:div w:id="209736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437335">
      <w:bodyDiv w:val="1"/>
      <w:marLeft w:val="0"/>
      <w:marRight w:val="0"/>
      <w:marTop w:val="0"/>
      <w:marBottom w:val="0"/>
      <w:divBdr>
        <w:top w:val="none" w:sz="0" w:space="0" w:color="auto"/>
        <w:left w:val="none" w:sz="0" w:space="0" w:color="auto"/>
        <w:bottom w:val="none" w:sz="0" w:space="0" w:color="auto"/>
        <w:right w:val="none" w:sz="0" w:space="0" w:color="auto"/>
      </w:divBdr>
    </w:div>
    <w:div w:id="1381905365">
      <w:bodyDiv w:val="1"/>
      <w:marLeft w:val="0"/>
      <w:marRight w:val="0"/>
      <w:marTop w:val="0"/>
      <w:marBottom w:val="0"/>
      <w:divBdr>
        <w:top w:val="none" w:sz="0" w:space="0" w:color="auto"/>
        <w:left w:val="none" w:sz="0" w:space="0" w:color="auto"/>
        <w:bottom w:val="none" w:sz="0" w:space="0" w:color="auto"/>
        <w:right w:val="none" w:sz="0" w:space="0" w:color="auto"/>
      </w:divBdr>
    </w:div>
    <w:div w:id="1390346559">
      <w:bodyDiv w:val="1"/>
      <w:marLeft w:val="0"/>
      <w:marRight w:val="0"/>
      <w:marTop w:val="0"/>
      <w:marBottom w:val="0"/>
      <w:divBdr>
        <w:top w:val="none" w:sz="0" w:space="0" w:color="auto"/>
        <w:left w:val="none" w:sz="0" w:space="0" w:color="auto"/>
        <w:bottom w:val="none" w:sz="0" w:space="0" w:color="auto"/>
        <w:right w:val="none" w:sz="0" w:space="0" w:color="auto"/>
      </w:divBdr>
    </w:div>
    <w:div w:id="1413117822">
      <w:bodyDiv w:val="1"/>
      <w:marLeft w:val="0"/>
      <w:marRight w:val="0"/>
      <w:marTop w:val="0"/>
      <w:marBottom w:val="0"/>
      <w:divBdr>
        <w:top w:val="none" w:sz="0" w:space="0" w:color="auto"/>
        <w:left w:val="none" w:sz="0" w:space="0" w:color="auto"/>
        <w:bottom w:val="none" w:sz="0" w:space="0" w:color="auto"/>
        <w:right w:val="none" w:sz="0" w:space="0" w:color="auto"/>
      </w:divBdr>
    </w:div>
    <w:div w:id="1425763064">
      <w:bodyDiv w:val="1"/>
      <w:marLeft w:val="0"/>
      <w:marRight w:val="0"/>
      <w:marTop w:val="0"/>
      <w:marBottom w:val="0"/>
      <w:divBdr>
        <w:top w:val="none" w:sz="0" w:space="0" w:color="auto"/>
        <w:left w:val="none" w:sz="0" w:space="0" w:color="auto"/>
        <w:bottom w:val="none" w:sz="0" w:space="0" w:color="auto"/>
        <w:right w:val="none" w:sz="0" w:space="0" w:color="auto"/>
      </w:divBdr>
    </w:div>
    <w:div w:id="1431245111">
      <w:bodyDiv w:val="1"/>
      <w:marLeft w:val="0"/>
      <w:marRight w:val="0"/>
      <w:marTop w:val="0"/>
      <w:marBottom w:val="0"/>
      <w:divBdr>
        <w:top w:val="none" w:sz="0" w:space="0" w:color="auto"/>
        <w:left w:val="none" w:sz="0" w:space="0" w:color="auto"/>
        <w:bottom w:val="none" w:sz="0" w:space="0" w:color="auto"/>
        <w:right w:val="none" w:sz="0" w:space="0" w:color="auto"/>
      </w:divBdr>
    </w:div>
    <w:div w:id="1435131441">
      <w:bodyDiv w:val="1"/>
      <w:marLeft w:val="0"/>
      <w:marRight w:val="0"/>
      <w:marTop w:val="0"/>
      <w:marBottom w:val="0"/>
      <w:divBdr>
        <w:top w:val="none" w:sz="0" w:space="0" w:color="auto"/>
        <w:left w:val="none" w:sz="0" w:space="0" w:color="auto"/>
        <w:bottom w:val="none" w:sz="0" w:space="0" w:color="auto"/>
        <w:right w:val="none" w:sz="0" w:space="0" w:color="auto"/>
      </w:divBdr>
    </w:div>
    <w:div w:id="1488471513">
      <w:bodyDiv w:val="1"/>
      <w:marLeft w:val="0"/>
      <w:marRight w:val="0"/>
      <w:marTop w:val="0"/>
      <w:marBottom w:val="0"/>
      <w:divBdr>
        <w:top w:val="none" w:sz="0" w:space="0" w:color="auto"/>
        <w:left w:val="none" w:sz="0" w:space="0" w:color="auto"/>
        <w:bottom w:val="none" w:sz="0" w:space="0" w:color="auto"/>
        <w:right w:val="none" w:sz="0" w:space="0" w:color="auto"/>
      </w:divBdr>
    </w:div>
    <w:div w:id="1511725313">
      <w:bodyDiv w:val="1"/>
      <w:marLeft w:val="0"/>
      <w:marRight w:val="0"/>
      <w:marTop w:val="0"/>
      <w:marBottom w:val="0"/>
      <w:divBdr>
        <w:top w:val="none" w:sz="0" w:space="0" w:color="auto"/>
        <w:left w:val="none" w:sz="0" w:space="0" w:color="auto"/>
        <w:bottom w:val="none" w:sz="0" w:space="0" w:color="auto"/>
        <w:right w:val="none" w:sz="0" w:space="0" w:color="auto"/>
      </w:divBdr>
    </w:div>
    <w:div w:id="1561213316">
      <w:bodyDiv w:val="1"/>
      <w:marLeft w:val="0"/>
      <w:marRight w:val="0"/>
      <w:marTop w:val="0"/>
      <w:marBottom w:val="0"/>
      <w:divBdr>
        <w:top w:val="none" w:sz="0" w:space="0" w:color="auto"/>
        <w:left w:val="none" w:sz="0" w:space="0" w:color="auto"/>
        <w:bottom w:val="none" w:sz="0" w:space="0" w:color="auto"/>
        <w:right w:val="none" w:sz="0" w:space="0" w:color="auto"/>
      </w:divBdr>
    </w:div>
    <w:div w:id="1588147110">
      <w:bodyDiv w:val="1"/>
      <w:marLeft w:val="0"/>
      <w:marRight w:val="0"/>
      <w:marTop w:val="0"/>
      <w:marBottom w:val="0"/>
      <w:divBdr>
        <w:top w:val="none" w:sz="0" w:space="0" w:color="auto"/>
        <w:left w:val="none" w:sz="0" w:space="0" w:color="auto"/>
        <w:bottom w:val="none" w:sz="0" w:space="0" w:color="auto"/>
        <w:right w:val="none" w:sz="0" w:space="0" w:color="auto"/>
      </w:divBdr>
    </w:div>
    <w:div w:id="1649821437">
      <w:bodyDiv w:val="1"/>
      <w:marLeft w:val="0"/>
      <w:marRight w:val="0"/>
      <w:marTop w:val="0"/>
      <w:marBottom w:val="0"/>
      <w:divBdr>
        <w:top w:val="none" w:sz="0" w:space="0" w:color="auto"/>
        <w:left w:val="none" w:sz="0" w:space="0" w:color="auto"/>
        <w:bottom w:val="none" w:sz="0" w:space="0" w:color="auto"/>
        <w:right w:val="none" w:sz="0" w:space="0" w:color="auto"/>
      </w:divBdr>
    </w:div>
    <w:div w:id="1706906401">
      <w:bodyDiv w:val="1"/>
      <w:marLeft w:val="0"/>
      <w:marRight w:val="0"/>
      <w:marTop w:val="0"/>
      <w:marBottom w:val="0"/>
      <w:divBdr>
        <w:top w:val="none" w:sz="0" w:space="0" w:color="auto"/>
        <w:left w:val="none" w:sz="0" w:space="0" w:color="auto"/>
        <w:bottom w:val="none" w:sz="0" w:space="0" w:color="auto"/>
        <w:right w:val="none" w:sz="0" w:space="0" w:color="auto"/>
      </w:divBdr>
    </w:div>
    <w:div w:id="1710833262">
      <w:bodyDiv w:val="1"/>
      <w:marLeft w:val="0"/>
      <w:marRight w:val="0"/>
      <w:marTop w:val="0"/>
      <w:marBottom w:val="0"/>
      <w:divBdr>
        <w:top w:val="none" w:sz="0" w:space="0" w:color="auto"/>
        <w:left w:val="none" w:sz="0" w:space="0" w:color="auto"/>
        <w:bottom w:val="none" w:sz="0" w:space="0" w:color="auto"/>
        <w:right w:val="none" w:sz="0" w:space="0" w:color="auto"/>
      </w:divBdr>
    </w:div>
    <w:div w:id="1719427001">
      <w:bodyDiv w:val="1"/>
      <w:marLeft w:val="0"/>
      <w:marRight w:val="0"/>
      <w:marTop w:val="0"/>
      <w:marBottom w:val="0"/>
      <w:divBdr>
        <w:top w:val="none" w:sz="0" w:space="0" w:color="auto"/>
        <w:left w:val="none" w:sz="0" w:space="0" w:color="auto"/>
        <w:bottom w:val="none" w:sz="0" w:space="0" w:color="auto"/>
        <w:right w:val="none" w:sz="0" w:space="0" w:color="auto"/>
      </w:divBdr>
    </w:div>
    <w:div w:id="1737433446">
      <w:bodyDiv w:val="1"/>
      <w:marLeft w:val="0"/>
      <w:marRight w:val="0"/>
      <w:marTop w:val="0"/>
      <w:marBottom w:val="0"/>
      <w:divBdr>
        <w:top w:val="none" w:sz="0" w:space="0" w:color="auto"/>
        <w:left w:val="none" w:sz="0" w:space="0" w:color="auto"/>
        <w:bottom w:val="none" w:sz="0" w:space="0" w:color="auto"/>
        <w:right w:val="none" w:sz="0" w:space="0" w:color="auto"/>
      </w:divBdr>
    </w:div>
    <w:div w:id="1752963197">
      <w:bodyDiv w:val="1"/>
      <w:marLeft w:val="0"/>
      <w:marRight w:val="0"/>
      <w:marTop w:val="0"/>
      <w:marBottom w:val="0"/>
      <w:divBdr>
        <w:top w:val="none" w:sz="0" w:space="0" w:color="auto"/>
        <w:left w:val="none" w:sz="0" w:space="0" w:color="auto"/>
        <w:bottom w:val="none" w:sz="0" w:space="0" w:color="auto"/>
        <w:right w:val="none" w:sz="0" w:space="0" w:color="auto"/>
      </w:divBdr>
    </w:div>
    <w:div w:id="1753314790">
      <w:bodyDiv w:val="1"/>
      <w:marLeft w:val="0"/>
      <w:marRight w:val="0"/>
      <w:marTop w:val="0"/>
      <w:marBottom w:val="0"/>
      <w:divBdr>
        <w:top w:val="none" w:sz="0" w:space="0" w:color="auto"/>
        <w:left w:val="none" w:sz="0" w:space="0" w:color="auto"/>
        <w:bottom w:val="none" w:sz="0" w:space="0" w:color="auto"/>
        <w:right w:val="none" w:sz="0" w:space="0" w:color="auto"/>
      </w:divBdr>
    </w:div>
    <w:div w:id="1754819087">
      <w:bodyDiv w:val="1"/>
      <w:marLeft w:val="0"/>
      <w:marRight w:val="0"/>
      <w:marTop w:val="0"/>
      <w:marBottom w:val="0"/>
      <w:divBdr>
        <w:top w:val="none" w:sz="0" w:space="0" w:color="auto"/>
        <w:left w:val="none" w:sz="0" w:space="0" w:color="auto"/>
        <w:bottom w:val="none" w:sz="0" w:space="0" w:color="auto"/>
        <w:right w:val="none" w:sz="0" w:space="0" w:color="auto"/>
      </w:divBdr>
    </w:div>
    <w:div w:id="1768690933">
      <w:bodyDiv w:val="1"/>
      <w:marLeft w:val="0"/>
      <w:marRight w:val="0"/>
      <w:marTop w:val="0"/>
      <w:marBottom w:val="0"/>
      <w:divBdr>
        <w:top w:val="none" w:sz="0" w:space="0" w:color="auto"/>
        <w:left w:val="none" w:sz="0" w:space="0" w:color="auto"/>
        <w:bottom w:val="none" w:sz="0" w:space="0" w:color="auto"/>
        <w:right w:val="none" w:sz="0" w:space="0" w:color="auto"/>
      </w:divBdr>
    </w:div>
    <w:div w:id="1780446384">
      <w:bodyDiv w:val="1"/>
      <w:marLeft w:val="0"/>
      <w:marRight w:val="0"/>
      <w:marTop w:val="0"/>
      <w:marBottom w:val="0"/>
      <w:divBdr>
        <w:top w:val="none" w:sz="0" w:space="0" w:color="auto"/>
        <w:left w:val="none" w:sz="0" w:space="0" w:color="auto"/>
        <w:bottom w:val="none" w:sz="0" w:space="0" w:color="auto"/>
        <w:right w:val="none" w:sz="0" w:space="0" w:color="auto"/>
      </w:divBdr>
    </w:div>
    <w:div w:id="1781219853">
      <w:bodyDiv w:val="1"/>
      <w:marLeft w:val="0"/>
      <w:marRight w:val="0"/>
      <w:marTop w:val="0"/>
      <w:marBottom w:val="0"/>
      <w:divBdr>
        <w:top w:val="none" w:sz="0" w:space="0" w:color="auto"/>
        <w:left w:val="none" w:sz="0" w:space="0" w:color="auto"/>
        <w:bottom w:val="none" w:sz="0" w:space="0" w:color="auto"/>
        <w:right w:val="none" w:sz="0" w:space="0" w:color="auto"/>
      </w:divBdr>
    </w:div>
    <w:div w:id="1800830682">
      <w:bodyDiv w:val="1"/>
      <w:marLeft w:val="0"/>
      <w:marRight w:val="0"/>
      <w:marTop w:val="0"/>
      <w:marBottom w:val="0"/>
      <w:divBdr>
        <w:top w:val="none" w:sz="0" w:space="0" w:color="auto"/>
        <w:left w:val="none" w:sz="0" w:space="0" w:color="auto"/>
        <w:bottom w:val="none" w:sz="0" w:space="0" w:color="auto"/>
        <w:right w:val="none" w:sz="0" w:space="0" w:color="auto"/>
      </w:divBdr>
    </w:div>
    <w:div w:id="1803692111">
      <w:bodyDiv w:val="1"/>
      <w:marLeft w:val="0"/>
      <w:marRight w:val="0"/>
      <w:marTop w:val="0"/>
      <w:marBottom w:val="0"/>
      <w:divBdr>
        <w:top w:val="none" w:sz="0" w:space="0" w:color="auto"/>
        <w:left w:val="none" w:sz="0" w:space="0" w:color="auto"/>
        <w:bottom w:val="none" w:sz="0" w:space="0" w:color="auto"/>
        <w:right w:val="none" w:sz="0" w:space="0" w:color="auto"/>
      </w:divBdr>
    </w:div>
    <w:div w:id="1826848542">
      <w:bodyDiv w:val="1"/>
      <w:marLeft w:val="0"/>
      <w:marRight w:val="0"/>
      <w:marTop w:val="0"/>
      <w:marBottom w:val="0"/>
      <w:divBdr>
        <w:top w:val="none" w:sz="0" w:space="0" w:color="auto"/>
        <w:left w:val="none" w:sz="0" w:space="0" w:color="auto"/>
        <w:bottom w:val="none" w:sz="0" w:space="0" w:color="auto"/>
        <w:right w:val="none" w:sz="0" w:space="0" w:color="auto"/>
      </w:divBdr>
    </w:div>
    <w:div w:id="1850867867">
      <w:bodyDiv w:val="1"/>
      <w:marLeft w:val="0"/>
      <w:marRight w:val="0"/>
      <w:marTop w:val="0"/>
      <w:marBottom w:val="0"/>
      <w:divBdr>
        <w:top w:val="none" w:sz="0" w:space="0" w:color="auto"/>
        <w:left w:val="none" w:sz="0" w:space="0" w:color="auto"/>
        <w:bottom w:val="none" w:sz="0" w:space="0" w:color="auto"/>
        <w:right w:val="none" w:sz="0" w:space="0" w:color="auto"/>
      </w:divBdr>
      <w:divsChild>
        <w:div w:id="241529850">
          <w:marLeft w:val="0"/>
          <w:marRight w:val="0"/>
          <w:marTop w:val="0"/>
          <w:marBottom w:val="0"/>
          <w:divBdr>
            <w:top w:val="none" w:sz="0" w:space="0" w:color="auto"/>
            <w:left w:val="none" w:sz="0" w:space="0" w:color="auto"/>
            <w:bottom w:val="none" w:sz="0" w:space="0" w:color="auto"/>
            <w:right w:val="none" w:sz="0" w:space="0" w:color="auto"/>
          </w:divBdr>
        </w:div>
      </w:divsChild>
    </w:div>
    <w:div w:id="1883206741">
      <w:bodyDiv w:val="1"/>
      <w:marLeft w:val="0"/>
      <w:marRight w:val="0"/>
      <w:marTop w:val="0"/>
      <w:marBottom w:val="0"/>
      <w:divBdr>
        <w:top w:val="none" w:sz="0" w:space="0" w:color="auto"/>
        <w:left w:val="none" w:sz="0" w:space="0" w:color="auto"/>
        <w:bottom w:val="none" w:sz="0" w:space="0" w:color="auto"/>
        <w:right w:val="none" w:sz="0" w:space="0" w:color="auto"/>
      </w:divBdr>
    </w:div>
    <w:div w:id="1961574001">
      <w:bodyDiv w:val="1"/>
      <w:marLeft w:val="0"/>
      <w:marRight w:val="0"/>
      <w:marTop w:val="0"/>
      <w:marBottom w:val="0"/>
      <w:divBdr>
        <w:top w:val="none" w:sz="0" w:space="0" w:color="auto"/>
        <w:left w:val="none" w:sz="0" w:space="0" w:color="auto"/>
        <w:bottom w:val="none" w:sz="0" w:space="0" w:color="auto"/>
        <w:right w:val="none" w:sz="0" w:space="0" w:color="auto"/>
      </w:divBdr>
    </w:div>
    <w:div w:id="1967080073">
      <w:bodyDiv w:val="1"/>
      <w:marLeft w:val="0"/>
      <w:marRight w:val="0"/>
      <w:marTop w:val="0"/>
      <w:marBottom w:val="0"/>
      <w:divBdr>
        <w:top w:val="none" w:sz="0" w:space="0" w:color="auto"/>
        <w:left w:val="none" w:sz="0" w:space="0" w:color="auto"/>
        <w:bottom w:val="none" w:sz="0" w:space="0" w:color="auto"/>
        <w:right w:val="none" w:sz="0" w:space="0" w:color="auto"/>
      </w:divBdr>
    </w:div>
    <w:div w:id="1977175506">
      <w:bodyDiv w:val="1"/>
      <w:marLeft w:val="0"/>
      <w:marRight w:val="0"/>
      <w:marTop w:val="0"/>
      <w:marBottom w:val="0"/>
      <w:divBdr>
        <w:top w:val="none" w:sz="0" w:space="0" w:color="auto"/>
        <w:left w:val="none" w:sz="0" w:space="0" w:color="auto"/>
        <w:bottom w:val="none" w:sz="0" w:space="0" w:color="auto"/>
        <w:right w:val="none" w:sz="0" w:space="0" w:color="auto"/>
      </w:divBdr>
    </w:div>
    <w:div w:id="2004234110">
      <w:bodyDiv w:val="1"/>
      <w:marLeft w:val="0"/>
      <w:marRight w:val="0"/>
      <w:marTop w:val="0"/>
      <w:marBottom w:val="0"/>
      <w:divBdr>
        <w:top w:val="none" w:sz="0" w:space="0" w:color="auto"/>
        <w:left w:val="none" w:sz="0" w:space="0" w:color="auto"/>
        <w:bottom w:val="none" w:sz="0" w:space="0" w:color="auto"/>
        <w:right w:val="none" w:sz="0" w:space="0" w:color="auto"/>
      </w:divBdr>
    </w:div>
    <w:div w:id="2033260050">
      <w:bodyDiv w:val="1"/>
      <w:marLeft w:val="0"/>
      <w:marRight w:val="0"/>
      <w:marTop w:val="0"/>
      <w:marBottom w:val="0"/>
      <w:divBdr>
        <w:top w:val="none" w:sz="0" w:space="0" w:color="auto"/>
        <w:left w:val="none" w:sz="0" w:space="0" w:color="auto"/>
        <w:bottom w:val="none" w:sz="0" w:space="0" w:color="auto"/>
        <w:right w:val="none" w:sz="0" w:space="0" w:color="auto"/>
      </w:divBdr>
      <w:divsChild>
        <w:div w:id="1126891666">
          <w:marLeft w:val="0"/>
          <w:marRight w:val="0"/>
          <w:marTop w:val="0"/>
          <w:marBottom w:val="0"/>
          <w:divBdr>
            <w:top w:val="none" w:sz="0" w:space="0" w:color="auto"/>
            <w:left w:val="none" w:sz="0" w:space="0" w:color="auto"/>
            <w:bottom w:val="none" w:sz="0" w:space="0" w:color="auto"/>
            <w:right w:val="none" w:sz="0" w:space="0" w:color="auto"/>
          </w:divBdr>
        </w:div>
      </w:divsChild>
    </w:div>
    <w:div w:id="2034526557">
      <w:bodyDiv w:val="1"/>
      <w:marLeft w:val="0"/>
      <w:marRight w:val="0"/>
      <w:marTop w:val="0"/>
      <w:marBottom w:val="0"/>
      <w:divBdr>
        <w:top w:val="none" w:sz="0" w:space="0" w:color="auto"/>
        <w:left w:val="none" w:sz="0" w:space="0" w:color="auto"/>
        <w:bottom w:val="none" w:sz="0" w:space="0" w:color="auto"/>
        <w:right w:val="none" w:sz="0" w:space="0" w:color="auto"/>
      </w:divBdr>
    </w:div>
    <w:div w:id="2083797230">
      <w:bodyDiv w:val="1"/>
      <w:marLeft w:val="0"/>
      <w:marRight w:val="0"/>
      <w:marTop w:val="0"/>
      <w:marBottom w:val="0"/>
      <w:divBdr>
        <w:top w:val="none" w:sz="0" w:space="0" w:color="auto"/>
        <w:left w:val="none" w:sz="0" w:space="0" w:color="auto"/>
        <w:bottom w:val="none" w:sz="0" w:space="0" w:color="auto"/>
        <w:right w:val="none" w:sz="0" w:space="0" w:color="auto"/>
      </w:divBdr>
    </w:div>
    <w:div w:id="2095122938">
      <w:bodyDiv w:val="1"/>
      <w:marLeft w:val="0"/>
      <w:marRight w:val="0"/>
      <w:marTop w:val="0"/>
      <w:marBottom w:val="0"/>
      <w:divBdr>
        <w:top w:val="none" w:sz="0" w:space="0" w:color="auto"/>
        <w:left w:val="none" w:sz="0" w:space="0" w:color="auto"/>
        <w:bottom w:val="none" w:sz="0" w:space="0" w:color="auto"/>
        <w:right w:val="none" w:sz="0" w:space="0" w:color="auto"/>
      </w:divBdr>
    </w:div>
    <w:div w:id="2133014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F33A022B5D84FCCA4F7E5785D4E1997"/>
        <w:category>
          <w:name w:val="General"/>
          <w:gallery w:val="placeholder"/>
        </w:category>
        <w:types>
          <w:type w:val="bbPlcHdr"/>
        </w:types>
        <w:behaviors>
          <w:behavior w:val="content"/>
        </w:behaviors>
        <w:guid w:val="{A5B77EE2-052C-4662-83FB-083D5645B571}"/>
      </w:docPartPr>
      <w:docPartBody>
        <w:p w:rsidR="00936199" w:rsidRDefault="000922FF" w:rsidP="000922FF">
          <w:pPr>
            <w:pStyle w:val="AF33A022B5D84FCCA4F7E5785D4E1997"/>
          </w:pPr>
          <w:r>
            <w:rPr>
              <w:rFonts w:asciiTheme="majorHAnsi" w:eastAsiaTheme="majorEastAsia" w:hAnsiTheme="majorHAnsi" w:cstheme="majorBidi"/>
              <w:caps/>
              <w:color w:val="156082" w:themeColor="accent1"/>
              <w:sz w:val="80"/>
              <w:szCs w:val="80"/>
            </w:rPr>
            <w:t>[Document title]</w:t>
          </w:r>
        </w:p>
      </w:docPartBody>
    </w:docPart>
    <w:docPart>
      <w:docPartPr>
        <w:name w:val="68337294811D4FD4A11D4C9D7CD94C6B"/>
        <w:category>
          <w:name w:val="General"/>
          <w:gallery w:val="placeholder"/>
        </w:category>
        <w:types>
          <w:type w:val="bbPlcHdr"/>
        </w:types>
        <w:behaviors>
          <w:behavior w:val="content"/>
        </w:behaviors>
        <w:guid w:val="{2F301ECD-3C68-44CF-B993-B671B5979A63}"/>
      </w:docPartPr>
      <w:docPartBody>
        <w:p w:rsidR="00936199" w:rsidRDefault="000922FF" w:rsidP="000922FF">
          <w:pPr>
            <w:pStyle w:val="68337294811D4FD4A11D4C9D7CD94C6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2FF"/>
    <w:rsid w:val="00046849"/>
    <w:rsid w:val="000922FF"/>
    <w:rsid w:val="000D6C14"/>
    <w:rsid w:val="00111EB6"/>
    <w:rsid w:val="00294A9C"/>
    <w:rsid w:val="003E5C1E"/>
    <w:rsid w:val="0050314F"/>
    <w:rsid w:val="005119E3"/>
    <w:rsid w:val="005B5760"/>
    <w:rsid w:val="0063092C"/>
    <w:rsid w:val="00672882"/>
    <w:rsid w:val="00936199"/>
    <w:rsid w:val="009A1AD5"/>
    <w:rsid w:val="009C00ED"/>
    <w:rsid w:val="009D3E1C"/>
    <w:rsid w:val="00A53240"/>
    <w:rsid w:val="00AF5BB9"/>
    <w:rsid w:val="00B53F9E"/>
    <w:rsid w:val="00BA2449"/>
    <w:rsid w:val="00BA380F"/>
    <w:rsid w:val="00BB5003"/>
    <w:rsid w:val="00CF7E0F"/>
    <w:rsid w:val="00DE24E4"/>
    <w:rsid w:val="00EF5BFA"/>
    <w:rsid w:val="00F00CEF"/>
    <w:rsid w:val="00F0444D"/>
    <w:rsid w:val="00FF2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33A022B5D84FCCA4F7E5785D4E1997">
    <w:name w:val="AF33A022B5D84FCCA4F7E5785D4E1997"/>
    <w:rsid w:val="000922FF"/>
  </w:style>
  <w:style w:type="paragraph" w:customStyle="1" w:styleId="68337294811D4FD4A11D4C9D7CD94C6B">
    <w:name w:val="68337294811D4FD4A11D4C9D7CD94C6B"/>
    <w:rsid w:val="000922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2024-05-06T00:00:00</PublishDate>
  <Abstract/>
  <CompanyAddress>2200212@student.uwtsd.ac.uk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1949</TotalTime>
  <Pages>32</Pages>
  <Words>10636</Words>
  <Characters>60626</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How well has interagency coordination strategies influenced the effectiveness of public services in responding to major incidents, and what can be learnt from past incidents?</vt:lpstr>
    </vt:vector>
  </TitlesOfParts>
  <Company>Jack David Banner</Company>
  <LinksUpToDate>false</LinksUpToDate>
  <CharactersWithSpaces>71120</CharactersWithSpaces>
  <SharedDoc>false</SharedDoc>
  <HLinks>
    <vt:vector size="18" baseType="variant">
      <vt:variant>
        <vt:i4>1114170</vt:i4>
      </vt:variant>
      <vt:variant>
        <vt:i4>14</vt:i4>
      </vt:variant>
      <vt:variant>
        <vt:i4>0</vt:i4>
      </vt:variant>
      <vt:variant>
        <vt:i4>5</vt:i4>
      </vt:variant>
      <vt:variant>
        <vt:lpwstr/>
      </vt:variant>
      <vt:variant>
        <vt:lpwstr>_Toc183802848</vt:lpwstr>
      </vt:variant>
      <vt:variant>
        <vt:i4>1114170</vt:i4>
      </vt:variant>
      <vt:variant>
        <vt:i4>8</vt:i4>
      </vt:variant>
      <vt:variant>
        <vt:i4>0</vt:i4>
      </vt:variant>
      <vt:variant>
        <vt:i4>5</vt:i4>
      </vt:variant>
      <vt:variant>
        <vt:lpwstr/>
      </vt:variant>
      <vt:variant>
        <vt:lpwstr>_Toc183802847</vt:lpwstr>
      </vt:variant>
      <vt:variant>
        <vt:i4>1114170</vt:i4>
      </vt:variant>
      <vt:variant>
        <vt:i4>2</vt:i4>
      </vt:variant>
      <vt:variant>
        <vt:i4>0</vt:i4>
      </vt:variant>
      <vt:variant>
        <vt:i4>5</vt:i4>
      </vt:variant>
      <vt:variant>
        <vt:lpwstr/>
      </vt:variant>
      <vt:variant>
        <vt:lpwstr>_Toc183802846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well has interagency coordination strategies influenced the effectiveness of public services in responding to major incidents, and what can be learnt from past incidents?</dc:title>
  <dc:subject>BMPL6015/C</dc:subject>
  <dc:creator>Jack Banner (2200212)</dc:creator>
  <cp:keywords/>
  <dc:description/>
  <cp:lastModifiedBy>Jack Banner (2200212)</cp:lastModifiedBy>
  <cp:revision>969</cp:revision>
  <dcterms:created xsi:type="dcterms:W3CDTF">2024-10-28T14:33:00Z</dcterms:created>
  <dcterms:modified xsi:type="dcterms:W3CDTF">2025-05-06T22:43:00Z</dcterms:modified>
</cp:coreProperties>
</file>