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9EE83" w14:textId="77777777" w:rsidR="009C0C80" w:rsidRDefault="006A5D60">
      <w:pPr>
        <w:spacing w:after="60" w:line="276" w:lineRule="auto"/>
      </w:pPr>
      <w:r>
        <w:rPr>
          <w:b/>
          <w:bCs/>
        </w:rPr>
        <w:t>Marian Raducanu</w:t>
      </w:r>
    </w:p>
    <w:p w14:paraId="101FDFF9" w14:textId="77777777" w:rsidR="009C0C80" w:rsidRDefault="006A5D60">
      <w:pPr>
        <w:spacing w:after="60" w:line="276" w:lineRule="auto"/>
      </w:pPr>
      <w:r>
        <w:rPr>
          <w:b/>
          <w:bCs/>
        </w:rPr>
        <w:t>HPRS 4905: Introduction to Hebrew Bible</w:t>
      </w:r>
    </w:p>
    <w:p w14:paraId="31E018C4" w14:textId="77777777" w:rsidR="009C0C80" w:rsidRDefault="006A5D60">
      <w:pPr>
        <w:spacing w:after="60" w:line="276" w:lineRule="auto"/>
      </w:pPr>
      <w:r>
        <w:rPr>
          <w:b/>
          <w:bCs/>
        </w:rPr>
        <w:t>Essay</w:t>
      </w:r>
    </w:p>
    <w:p w14:paraId="7D22F1B7" w14:textId="77777777" w:rsidR="009C0C80" w:rsidRDefault="006A5D60">
      <w:pPr>
        <w:spacing w:before="240" w:after="320" w:line="360" w:lineRule="auto"/>
        <w:jc w:val="center"/>
      </w:pPr>
      <w:r>
        <w:rPr>
          <w:b/>
          <w:bCs/>
          <w:sz w:val="28"/>
          <w:szCs w:val="28"/>
        </w:rPr>
        <w:t>The Importance of King Solomon in the Hebrew Bible</w:t>
      </w:r>
    </w:p>
    <w:p w14:paraId="409FE381" w14:textId="77777777" w:rsidR="009C0C80" w:rsidRDefault="006A5D60">
      <w:pPr>
        <w:spacing w:after="120" w:line="360" w:lineRule="auto"/>
      </w:pPr>
      <w:r>
        <w:t>Solomon is the third king of Israel, after Saul and his father David, and the last to rule a kingdom that is still in one piece. His reign is usually placed at around 970 to 930 BCE.</w:t>
      </w:r>
      <w:r>
        <w:rPr>
          <w:vertAlign w:val="superscript"/>
        </w:rPr>
        <w:t>1</w:t>
      </w:r>
      <w:r>
        <w:t xml:space="preserve"> Almost everything the Hebrew Bible tells us about him sits in 1 Kings 1 to 11, with a second and much more flattering version in 2 Chronicles 1 to 9.</w:t>
      </w:r>
    </w:p>
    <w:p w14:paraId="50E7A69A" w14:textId="77777777" w:rsidR="009C0C80" w:rsidRDefault="006A5D60">
      <w:pPr>
        <w:spacing w:after="120" w:line="360" w:lineRule="auto"/>
      </w:pPr>
      <w:r>
        <w:t>Read quickly, those chapters look like a success story. Solomon asks God for wisdom and receives it, builds the Temple in Jerusalem, grows enormously rich, and impresses visiting royalty. But the story does not end there, and the ending changes how the rest of it reads. In the last chapter Solomon turns to other gods, and God announces that the kingdom will be torn apart after his death. The editors who shaped the Books of Kings, usually called the Deuteronomistic historians, were not simply recording a gol</w:t>
      </w:r>
      <w:r>
        <w:t>den age. They were using Solomon to say something about what happens when a king keeps the covenant, and what happens when he does not.</w:t>
      </w:r>
    </w:p>
    <w:p w14:paraId="61EF3A82" w14:textId="77777777" w:rsidR="009C0C80" w:rsidRDefault="006A5D60">
      <w:pPr>
        <w:spacing w:after="120" w:line="360" w:lineRule="auto"/>
      </w:pPr>
      <w:r>
        <w:t>This essay follows four parts of the portrait, roughly in the order the text gives them: how Solomon got the throne, his reputation for wisdom, the Temple, and the way he ran the kingdom. It then turns to chapter 11, which is where the point of the whole account lies.</w:t>
      </w:r>
    </w:p>
    <w:p w14:paraId="31A481E4" w14:textId="77777777" w:rsidR="009C0C80" w:rsidRDefault="006A5D60">
      <w:pPr>
        <w:spacing w:before="320" w:after="160" w:line="360" w:lineRule="auto"/>
      </w:pPr>
      <w:r>
        <w:rPr>
          <w:b/>
          <w:bCs/>
        </w:rPr>
        <w:t>How Solomon Became King</w:t>
      </w:r>
    </w:p>
    <w:p w14:paraId="0F17DA8D" w14:textId="77777777" w:rsidR="009C0C80" w:rsidRDefault="006A5D60">
      <w:pPr>
        <w:spacing w:after="120" w:line="360" w:lineRule="auto"/>
      </w:pPr>
      <w:r>
        <w:t>Solomon’s importance begins with his father. In 2 Samuel 7 God promises David a lasting dynasty and says that one of his sons will build a house for the Lord. Solomon is that son. He inherits a promise and, just as usefully, a kingdom that David had already put together by war and alliance.</w:t>
      </w:r>
      <w:r>
        <w:rPr>
          <w:vertAlign w:val="superscript"/>
        </w:rPr>
        <w:t>2</w:t>
      </w:r>
    </w:p>
    <w:p w14:paraId="21281B15" w14:textId="77777777" w:rsidR="009C0C80" w:rsidRDefault="006A5D60">
      <w:pPr>
        <w:spacing w:after="120" w:line="360" w:lineRule="auto"/>
      </w:pPr>
      <w:r>
        <w:t xml:space="preserve">Even so, 1 Kings 1 and 2 do not read like a promise being calmly fulfilled. They read like palace politics. David is old and failing. Solomon’s elder brother Adonijah announces himself king and holds a feast to prove it. The prophet Nathan and Solomon’s mother Bathsheba go to David, remind him of a promise the reader has not heard before, and get Solomon named instead. </w:t>
      </w:r>
      <w:proofErr w:type="spellStart"/>
      <w:r>
        <w:t>Whybray’s</w:t>
      </w:r>
      <w:proofErr w:type="spellEnd"/>
      <w:r>
        <w:t xml:space="preserve"> study of these chapters, which he calls the Succession Narrative, treats </w:t>
      </w:r>
      <w:r>
        <w:lastRenderedPageBreak/>
        <w:t>them as court history rather than theology: the interest is in who moved first and who had the ear of the dying king.</w:t>
      </w:r>
      <w:r>
        <w:rPr>
          <w:vertAlign w:val="superscript"/>
        </w:rPr>
        <w:t>3</w:t>
      </w:r>
    </w:p>
    <w:p w14:paraId="1AA3AF86" w14:textId="77777777" w:rsidR="009C0C80" w:rsidRDefault="006A5D60">
      <w:pPr>
        <w:spacing w:after="120" w:line="360" w:lineRule="auto"/>
      </w:pPr>
      <w:r>
        <w:t>What follows is harder still. Adonijah is executed, the priest Abiathar is sent away, and Joab, David’s old commander, is killed while holding the horns of the altar. The narrator presents all of this as David’s deathbed instructions being carried out, which makes the killings look like duty rather than ambition.</w:t>
      </w:r>
      <w:r>
        <w:rPr>
          <w:vertAlign w:val="superscript"/>
        </w:rPr>
        <w:t>4</w:t>
      </w:r>
      <w:r>
        <w:t xml:space="preserve"> Whether that is careful legitimation or simple honesty about how kings behaved is hard to settle, and the text is probably doing both at once. Either way, the reign starts with the throne being secured by force, and the story never quite forgets it.</w:t>
      </w:r>
    </w:p>
    <w:p w14:paraId="149178AE" w14:textId="77777777" w:rsidR="009C0C80" w:rsidRDefault="006A5D60">
      <w:pPr>
        <w:spacing w:before="320" w:after="160" w:line="360" w:lineRule="auto"/>
      </w:pPr>
      <w:r>
        <w:rPr>
          <w:b/>
          <w:bCs/>
        </w:rPr>
        <w:t>Wisdom as a Gift</w:t>
      </w:r>
    </w:p>
    <w:p w14:paraId="2BCF6C40" w14:textId="77777777" w:rsidR="009C0C80" w:rsidRDefault="006A5D60">
      <w:pPr>
        <w:spacing w:after="120" w:line="360" w:lineRule="auto"/>
      </w:pPr>
      <w:r>
        <w:t>The most famous thing about Solomon is his wisdom, and the Bible is careful to say where it came from. At Gibeon, in a dream in 1 Kings 3, God offers him whatever he asks for. He asks for a listening heart, so that he can tell good from evil and govern a people too numerous to count. God is pleased that he did not ask for long life, riches, or the death of his enemies, and gives him wisdom along with the wealth and honour he did not request.</w:t>
      </w:r>
      <w:r>
        <w:rPr>
          <w:vertAlign w:val="superscript"/>
        </w:rPr>
        <w:t>5</w:t>
      </w:r>
    </w:p>
    <w:p w14:paraId="4F78A033" w14:textId="77777777" w:rsidR="009C0C80" w:rsidRDefault="006A5D60">
      <w:pPr>
        <w:spacing w:after="120" w:line="360" w:lineRule="auto"/>
      </w:pPr>
      <w:r>
        <w:t>A test case follows straight away. Two women share a house, each has a baby, one child dies in the night, and both claim the survivor. There are no witnesses and no evidence. Solomon calls for a sword and orders the child divided; the real mother gives up her claim to save him, and that is the verdict. The judgement works by trick rather than proof. Von Rad points out that stories like this belong to an old and widely shared tradition in which a clever ruler is proof of a well-ordered society.</w:t>
      </w:r>
      <w:r>
        <w:rPr>
          <w:vertAlign w:val="superscript"/>
        </w:rPr>
        <w:t>6</w:t>
      </w:r>
      <w:r>
        <w:t xml:space="preserve"> Wisdom here is practical rather than philosophical. It is the ability to handle a situation that has no clean answer.</w:t>
      </w:r>
    </w:p>
    <w:p w14:paraId="61A6B345" w14:textId="77777777" w:rsidR="009C0C80" w:rsidRDefault="006A5D60">
      <w:pPr>
        <w:spacing w:after="120" w:line="360" w:lineRule="auto"/>
      </w:pPr>
      <w:r>
        <w:t>From there the text turns wisdom into literature. Solomon is credited with three thousand proverbs and a thousand and five songs, and with knowing about trees, animals, birds, reptiles and fish (1 Kings 4:32-33). Later tradition attached his name to Proverbs, Ecclesiastes, the Song of Songs, and, in the Greek Bible, the Wisdom of Solomon. Very few scholars now think he wrote any of them.</w:t>
      </w:r>
      <w:r>
        <w:rPr>
          <w:vertAlign w:val="superscript"/>
        </w:rPr>
        <w:t>7</w:t>
      </w:r>
      <w:r>
        <w:t xml:space="preserve"> But the attributions are still worth something. They show that his name had become a kind of label: if a text was wise, it was Solomonic. That is how a king turns into a tradition.</w:t>
      </w:r>
      <w:r>
        <w:rPr>
          <w:vertAlign w:val="superscript"/>
        </w:rPr>
        <w:t>8</w:t>
      </w:r>
    </w:p>
    <w:p w14:paraId="533849BD" w14:textId="77777777" w:rsidR="009C0C80" w:rsidRDefault="006A5D60">
      <w:pPr>
        <w:spacing w:before="320" w:after="160" w:line="360" w:lineRule="auto"/>
      </w:pPr>
      <w:r>
        <w:rPr>
          <w:b/>
          <w:bCs/>
        </w:rPr>
        <w:t>The Temple</w:t>
      </w:r>
    </w:p>
    <w:p w14:paraId="3171B22D" w14:textId="77777777" w:rsidR="009C0C80" w:rsidRDefault="006A5D60">
      <w:pPr>
        <w:spacing w:after="120" w:line="360" w:lineRule="auto"/>
      </w:pPr>
      <w:r>
        <w:lastRenderedPageBreak/>
        <w:t>The building of the Temple takes up more space than anything else Solomon does. Four chapters, 1 Kings 5 to 8, are given over to timber contracts, stone, gold, bronze, and long lists of measurements. The sheer amount of detail is itself the argument: this is the centre of the reign. When the Ark is finally carried into the innermost room, the presence of God, which had lived in a tent and moved with the people, is given a fixed address in Jerusalem.</w:t>
      </w:r>
      <w:r>
        <w:rPr>
          <w:vertAlign w:val="superscript"/>
        </w:rPr>
        <w:t>9</w:t>
      </w:r>
    </w:p>
    <w:p w14:paraId="71CD2C01" w14:textId="77777777" w:rsidR="009C0C80" w:rsidRDefault="006A5D60">
      <w:pPr>
        <w:spacing w:after="120" w:line="360" w:lineRule="auto"/>
      </w:pPr>
      <w:r>
        <w:t>De Vaux stresses that the Temple stood beside the palace and served two purposes at the same time. It was the king’s chapel and the nation’s sanctuary.</w:t>
      </w:r>
      <w:r>
        <w:rPr>
          <w:vertAlign w:val="superscript"/>
        </w:rPr>
        <w:t>10</w:t>
      </w:r>
      <w:r>
        <w:t xml:space="preserve"> That double role suited both sides. Worship gained a permanent centre, and the monarchy gained religious weight. It also meant that criticising the king and criticising the shrine could become the same act, as later prophets discovered.</w:t>
      </w:r>
    </w:p>
    <w:p w14:paraId="671E2363" w14:textId="77777777" w:rsidR="009C0C80" w:rsidRDefault="006A5D60">
      <w:pPr>
        <w:spacing w:after="120" w:line="360" w:lineRule="auto"/>
      </w:pPr>
      <w:r>
        <w:t>Solomon’s dedication prayer in 1 Kings 8 complicates the picture in an interesting way. He asks whether God will really live on earth, since heaven itself cannot contain him. The Temple then becomes a place to pray towards rather than a house that holds the deity. Sweeney argues that the prayer was shaped for readers who had lost the building altogether: exiles who could still turn towards Jerusalem and be heard.</w:t>
      </w:r>
      <w:r>
        <w:rPr>
          <w:vertAlign w:val="superscript"/>
        </w:rPr>
        <w:t>11</w:t>
      </w:r>
      <w:r>
        <w:t xml:space="preserve"> That would explain why the prayer keeps working through disasters, one after another, and asks for forgiveness in each case. It reads like something written after the worst had already happened.</w:t>
      </w:r>
      <w:r>
        <w:rPr>
          <w:vertAlign w:val="superscript"/>
        </w:rPr>
        <w:t>12</w:t>
      </w:r>
    </w:p>
    <w:p w14:paraId="0A408514" w14:textId="77777777" w:rsidR="009C0C80" w:rsidRDefault="006A5D60">
      <w:pPr>
        <w:spacing w:after="120" w:line="360" w:lineRule="auto"/>
      </w:pPr>
      <w:r>
        <w:t>This puts Solomon at the hinge of the whole history. He completes the promise made to David, and he builds the thing whose destruction will define everything that comes afterwards.</w:t>
      </w:r>
    </w:p>
    <w:p w14:paraId="683E0A42" w14:textId="77777777" w:rsidR="009C0C80" w:rsidRDefault="006A5D60">
      <w:pPr>
        <w:spacing w:before="320" w:after="160" w:line="360" w:lineRule="auto"/>
      </w:pPr>
      <w:r>
        <w:rPr>
          <w:b/>
          <w:bCs/>
        </w:rPr>
        <w:t>Administration, Trade and Ambition</w:t>
      </w:r>
    </w:p>
    <w:p w14:paraId="2F1C7672" w14:textId="77777777" w:rsidR="009C0C80" w:rsidRDefault="006A5D60">
      <w:pPr>
        <w:spacing w:after="120" w:line="360" w:lineRule="auto"/>
      </w:pPr>
      <w:r>
        <w:t>1 Kings 4 describes a system of twelve districts, each responsible for supplying the royal court for one month of the year. The boundaries do not follow the old tribal lines, which is the detail worth noticing. Cutting across the tribes moved power towards the palace and away from local loyalties, and it looks like a deliberate attempt to run Israel the way larger neighbouring states were run.</w:t>
      </w:r>
      <w:r>
        <w:rPr>
          <w:vertAlign w:val="superscript"/>
        </w:rPr>
        <w:t>13</w:t>
      </w:r>
    </w:p>
    <w:p w14:paraId="71F8BF8A" w14:textId="77777777" w:rsidR="009C0C80" w:rsidRDefault="006A5D60">
      <w:pPr>
        <w:spacing w:after="120" w:line="360" w:lineRule="auto"/>
      </w:pPr>
      <w:r>
        <w:t xml:space="preserve">The trade notices point the same way. Solomon deals with Hiram of Tyre for cedar and skilled workers, paying in grain and oil and eventually in territory, and sends ships to Ophir for gold. The visit of the Queen of Sheba in 1 Kings 10 is the showpiece: a foreign monarch arrives to test him with hard questions, and leaves with nothing left to say. Provan, Long and </w:t>
      </w:r>
      <w:r>
        <w:lastRenderedPageBreak/>
        <w:t>Longman read this material as presenting Solomon as an international figure, a king who brought Israel into the wider world of the ancient Near East.</w:t>
      </w:r>
      <w:r>
        <w:rPr>
          <w:vertAlign w:val="superscript"/>
        </w:rPr>
        <w:t>14</w:t>
      </w:r>
    </w:p>
    <w:p w14:paraId="6ED8FFF3" w14:textId="77777777" w:rsidR="009C0C80" w:rsidRDefault="006A5D60">
      <w:pPr>
        <w:spacing w:after="120" w:line="360" w:lineRule="auto"/>
      </w:pPr>
      <w:r>
        <w:t>The editors, though, are not simply impressed. Deuteronomy 17 tells a king not to acquire many horses, many wives, or great quantities of silver and gold. Solomon does all three, and the text lists them in something close to that order.</w:t>
      </w:r>
      <w:r>
        <w:rPr>
          <w:vertAlign w:val="superscript"/>
        </w:rPr>
        <w:t>15</w:t>
      </w:r>
      <w:r>
        <w:t xml:space="preserve"> There is also the matter of forced labour, mentioned almost in passing during the building projects, which will be the exact grievance that splits the kingdom under his son.</w:t>
      </w:r>
      <w:r>
        <w:rPr>
          <w:vertAlign w:val="superscript"/>
        </w:rPr>
        <w:t>16</w:t>
      </w:r>
      <w:r>
        <w:t xml:space="preserve"> So the same chapters that describe the height of the reign are quietly assembling the case against it.</w:t>
      </w:r>
    </w:p>
    <w:p w14:paraId="15DFFFFF" w14:textId="77777777" w:rsidR="009C0C80" w:rsidRDefault="006A5D60">
      <w:pPr>
        <w:spacing w:before="320" w:after="160" w:line="360" w:lineRule="auto"/>
      </w:pPr>
      <w:r>
        <w:rPr>
          <w:b/>
          <w:bCs/>
        </w:rPr>
        <w:t>The Turn: Idolatry and Division</w:t>
      </w:r>
    </w:p>
    <w:p w14:paraId="4D6C90B5" w14:textId="77777777" w:rsidR="009C0C80" w:rsidRDefault="006A5D60">
      <w:pPr>
        <w:spacing w:after="120" w:line="360" w:lineRule="auto"/>
      </w:pPr>
      <w:r>
        <w:t>1 Kings 11 breaks the pattern openly. Solomon’s foreign wives are said to have turned his heart, and he builds shrines for Chemosh and Milcom on the hill east of Jerusalem. God tells him the kingdom will be taken from his son, though not all of it, and not in his lifetime, for David’s sake.</w:t>
      </w:r>
      <w:r>
        <w:rPr>
          <w:vertAlign w:val="superscript"/>
        </w:rPr>
        <w:t>17</w:t>
      </w:r>
    </w:p>
    <w:p w14:paraId="58F85D00" w14:textId="77777777" w:rsidR="009C0C80" w:rsidRDefault="006A5D60">
      <w:pPr>
        <w:spacing w:after="120" w:line="360" w:lineRule="auto"/>
      </w:pPr>
      <w:r>
        <w:t>Knoppers argues that Solomon works as the test case for the whole Deuteronomistic view of kingship. Obedience brings blessing, disobedience brings loss, and unusually both halves happen within a single reign.</w:t>
      </w:r>
      <w:r>
        <w:rPr>
          <w:vertAlign w:val="superscript"/>
        </w:rPr>
        <w:t>18</w:t>
      </w:r>
      <w:r>
        <w:t xml:space="preserve"> That is why the account is arranged the way it is. The wisdom, the wealth and the Temple are not there only to be admired; they are there to show how much was available and how much was thrown away.</w:t>
      </w:r>
    </w:p>
    <w:p w14:paraId="4B149C65" w14:textId="77777777" w:rsidR="009C0C80" w:rsidRDefault="006A5D60">
      <w:pPr>
        <w:spacing w:after="120" w:line="360" w:lineRule="auto"/>
      </w:pPr>
      <w:r>
        <w:t>The consequences arrive in the form of enemies. Hadad of Edom and Rezon of Damascus appear on the borders, and Jeroboam, one of Solomon’s own officials, is met by the prophet Ahijah, who tears a new cloak into twelve pieces and hands him ten. Blenkinsopp notes that this scene sets a pattern that runs through the rest of the monarchy: prophets confront kings, and the confrontation carries real political weight.</w:t>
      </w:r>
      <w:r>
        <w:rPr>
          <w:vertAlign w:val="superscript"/>
        </w:rPr>
        <w:t>19</w:t>
      </w:r>
    </w:p>
    <w:p w14:paraId="70C0AEE6" w14:textId="77777777" w:rsidR="009C0C80" w:rsidRDefault="006A5D60">
      <w:pPr>
        <w:spacing w:after="120" w:line="360" w:lineRule="auto"/>
      </w:pPr>
      <w:r>
        <w:t>The result is a genuinely divided portrait. Solomon is the wisest of kings and the one whose wisdom did not keep him faithful. He builds the house of the Lord and shrines to other gods. The text does not resolve the contradiction, and it is more useful because it does not.</w:t>
      </w:r>
      <w:r>
        <w:rPr>
          <w:vertAlign w:val="superscript"/>
        </w:rPr>
        <w:t>20</w:t>
      </w:r>
    </w:p>
    <w:p w14:paraId="2B029016" w14:textId="77777777" w:rsidR="009C0C80" w:rsidRDefault="006A5D60">
      <w:pPr>
        <w:spacing w:before="320" w:after="160" w:line="360" w:lineRule="auto"/>
      </w:pPr>
      <w:r>
        <w:rPr>
          <w:b/>
          <w:bCs/>
        </w:rPr>
        <w:t>Conclusion</w:t>
      </w:r>
    </w:p>
    <w:p w14:paraId="2137D6F9" w14:textId="77777777" w:rsidR="009C0C80" w:rsidRDefault="006A5D60">
      <w:pPr>
        <w:spacing w:after="120" w:line="360" w:lineRule="auto"/>
      </w:pPr>
      <w:r>
        <w:t xml:space="preserve">Solomon matters in the Hebrew Bible for several reasons at once, and they pull in different directions. He fulfils the promise made to David, builds the Temple, gives his name to the wisdom books, and brings Israel its </w:t>
      </w:r>
      <w:proofErr w:type="gramStart"/>
      <w:r>
        <w:t>brief moment</w:t>
      </w:r>
      <w:proofErr w:type="gramEnd"/>
      <w:r>
        <w:t xml:space="preserve"> as a serious regional power. He is also the </w:t>
      </w:r>
      <w:r>
        <w:lastRenderedPageBreak/>
        <w:t>king whose idolatry breaks the kingdom in two and starts the decline that ends in Babylon. Brueggemann’s description of him as Israel’s ironic icon of human achievement catches this well: the greatness and the failure are not two separate stories but one.</w:t>
      </w:r>
    </w:p>
    <w:p w14:paraId="6E0C475C" w14:textId="77777777" w:rsidR="009C0C80" w:rsidRDefault="006A5D60">
      <w:pPr>
        <w:spacing w:after="120" w:line="360" w:lineRule="auto"/>
      </w:pPr>
      <w:r>
        <w:t>For the editors of Kings, Solomon was the clearest possible illustration of their theology of history. For the wisdom writers, he was the patron whose name gave their books authority. For later Jewish and Christian readers he grew into something close to legend, a figure of secret knowledge and impossible buildings. What holds all of that together is the honesty of the original account, which is willing to show its greatest king at his most impressive and at his worst, and to suggest that the two might be c</w:t>
      </w:r>
      <w:r>
        <w:t>onnected.</w:t>
      </w:r>
    </w:p>
    <w:p w14:paraId="681A89FB" w14:textId="77777777" w:rsidR="009C0C80" w:rsidRDefault="006A5D60">
      <w:pPr>
        <w:spacing w:before="320" w:after="160" w:line="360" w:lineRule="auto"/>
      </w:pPr>
      <w:r>
        <w:rPr>
          <w:b/>
          <w:bCs/>
        </w:rPr>
        <w:t>Notes</w:t>
      </w:r>
    </w:p>
    <w:p w14:paraId="5D2C623C" w14:textId="77777777" w:rsidR="009C0C80" w:rsidRDefault="006A5D60">
      <w:pPr>
        <w:spacing w:after="100"/>
        <w:ind w:left="576" w:hanging="576"/>
      </w:pPr>
      <w:r>
        <w:rPr>
          <w:sz w:val="22"/>
          <w:szCs w:val="22"/>
        </w:rPr>
        <w:t xml:space="preserve">1. </w:t>
      </w:r>
      <w:r>
        <w:rPr>
          <w:sz w:val="22"/>
          <w:szCs w:val="22"/>
        </w:rPr>
        <w:t xml:space="preserve">John Bright, </w:t>
      </w:r>
      <w:r>
        <w:rPr>
          <w:i/>
          <w:iCs/>
          <w:sz w:val="22"/>
          <w:szCs w:val="22"/>
        </w:rPr>
        <w:t>A History of Israel</w:t>
      </w:r>
      <w:r>
        <w:rPr>
          <w:sz w:val="22"/>
          <w:szCs w:val="22"/>
        </w:rPr>
        <w:t xml:space="preserve">, 4th </w:t>
      </w:r>
      <w:proofErr w:type="spellStart"/>
      <w:r>
        <w:rPr>
          <w:sz w:val="22"/>
          <w:szCs w:val="22"/>
        </w:rPr>
        <w:t>edn</w:t>
      </w:r>
      <w:proofErr w:type="spellEnd"/>
      <w:r>
        <w:rPr>
          <w:sz w:val="22"/>
          <w:szCs w:val="22"/>
        </w:rPr>
        <w:t xml:space="preserve"> (Louisville: Westminster John Knox Press, 2000), p. 211. Biblical references throughout follow the New Revised Standard Version (NRSV).</w:t>
      </w:r>
    </w:p>
    <w:p w14:paraId="0AC181E6" w14:textId="77777777" w:rsidR="009C0C80" w:rsidRDefault="006A5D60">
      <w:pPr>
        <w:spacing w:after="100"/>
        <w:ind w:left="576" w:hanging="576"/>
      </w:pPr>
      <w:r>
        <w:rPr>
          <w:sz w:val="22"/>
          <w:szCs w:val="22"/>
        </w:rPr>
        <w:t xml:space="preserve">2. </w:t>
      </w:r>
      <w:r>
        <w:rPr>
          <w:sz w:val="22"/>
          <w:szCs w:val="22"/>
        </w:rPr>
        <w:t xml:space="preserve">Gary N. Knoppers, </w:t>
      </w:r>
      <w:r>
        <w:rPr>
          <w:i/>
          <w:iCs/>
          <w:sz w:val="22"/>
          <w:szCs w:val="22"/>
        </w:rPr>
        <w:t>Two Nations Under God: The Deuteronomistic History of Solomon and the Dual Monarchies</w:t>
      </w:r>
      <w:r>
        <w:rPr>
          <w:sz w:val="22"/>
          <w:szCs w:val="22"/>
        </w:rPr>
        <w:t>, 2 vols (Atlanta: Scholars Press, 1993), I, p. 57.</w:t>
      </w:r>
    </w:p>
    <w:p w14:paraId="3CA10FD3" w14:textId="77777777" w:rsidR="009C0C80" w:rsidRDefault="006A5D60">
      <w:pPr>
        <w:spacing w:after="100"/>
        <w:ind w:left="576" w:hanging="576"/>
      </w:pPr>
      <w:r>
        <w:rPr>
          <w:sz w:val="22"/>
          <w:szCs w:val="22"/>
        </w:rPr>
        <w:t xml:space="preserve">3. </w:t>
      </w:r>
      <w:r>
        <w:rPr>
          <w:sz w:val="22"/>
          <w:szCs w:val="22"/>
        </w:rPr>
        <w:t xml:space="preserve">R. N. </w:t>
      </w:r>
      <w:proofErr w:type="spellStart"/>
      <w:r>
        <w:rPr>
          <w:sz w:val="22"/>
          <w:szCs w:val="22"/>
        </w:rPr>
        <w:t>Whybray</w:t>
      </w:r>
      <w:proofErr w:type="spellEnd"/>
      <w:r>
        <w:rPr>
          <w:sz w:val="22"/>
          <w:szCs w:val="22"/>
        </w:rPr>
        <w:t xml:space="preserve">, </w:t>
      </w:r>
      <w:r>
        <w:rPr>
          <w:i/>
          <w:iCs/>
          <w:sz w:val="22"/>
          <w:szCs w:val="22"/>
        </w:rPr>
        <w:t>The Succession Narrative: A Study of II Samuel 9-20 and 1 Kings 1 and 2</w:t>
      </w:r>
      <w:r>
        <w:rPr>
          <w:sz w:val="22"/>
          <w:szCs w:val="22"/>
        </w:rPr>
        <w:t xml:space="preserve"> (London: SCM Press, 1968), p. 56.</w:t>
      </w:r>
    </w:p>
    <w:p w14:paraId="09E8DF22" w14:textId="77777777" w:rsidR="009C0C80" w:rsidRDefault="006A5D60">
      <w:pPr>
        <w:spacing w:after="100"/>
        <w:ind w:left="576" w:hanging="576"/>
      </w:pPr>
      <w:r>
        <w:rPr>
          <w:sz w:val="22"/>
          <w:szCs w:val="22"/>
        </w:rPr>
        <w:t xml:space="preserve">4. </w:t>
      </w:r>
      <w:r>
        <w:rPr>
          <w:sz w:val="22"/>
          <w:szCs w:val="22"/>
        </w:rPr>
        <w:t xml:space="preserve">Iain Provan, V. Philips Long and Tremper Longman III, </w:t>
      </w:r>
      <w:r>
        <w:rPr>
          <w:i/>
          <w:iCs/>
          <w:sz w:val="22"/>
          <w:szCs w:val="22"/>
        </w:rPr>
        <w:t>A Biblical History of Israel</w:t>
      </w:r>
      <w:r>
        <w:rPr>
          <w:sz w:val="22"/>
          <w:szCs w:val="22"/>
        </w:rPr>
        <w:t xml:space="preserve"> (Louisville: Westminster John Knox Press, 2003), p. 230.</w:t>
      </w:r>
    </w:p>
    <w:p w14:paraId="45C4C7C9" w14:textId="77777777" w:rsidR="009C0C80" w:rsidRDefault="006A5D60">
      <w:pPr>
        <w:spacing w:after="100"/>
        <w:ind w:left="576" w:hanging="576"/>
      </w:pPr>
      <w:r>
        <w:rPr>
          <w:sz w:val="22"/>
          <w:szCs w:val="22"/>
        </w:rPr>
        <w:t xml:space="preserve">5. </w:t>
      </w:r>
      <w:r>
        <w:rPr>
          <w:sz w:val="22"/>
          <w:szCs w:val="22"/>
        </w:rPr>
        <w:t xml:space="preserve">Gerhard von Rad, </w:t>
      </w:r>
      <w:r>
        <w:rPr>
          <w:i/>
          <w:iCs/>
          <w:sz w:val="22"/>
          <w:szCs w:val="22"/>
        </w:rPr>
        <w:t>Wisdom in Israel</w:t>
      </w:r>
      <w:r>
        <w:rPr>
          <w:sz w:val="22"/>
          <w:szCs w:val="22"/>
        </w:rPr>
        <w:t>, trans. by James D. Martin (London: SCM Press, 1972), p. 17.</w:t>
      </w:r>
    </w:p>
    <w:p w14:paraId="293138D9" w14:textId="77777777" w:rsidR="009C0C80" w:rsidRDefault="006A5D60">
      <w:pPr>
        <w:spacing w:after="100"/>
        <w:ind w:left="576" w:hanging="576"/>
      </w:pPr>
      <w:r>
        <w:rPr>
          <w:sz w:val="22"/>
          <w:szCs w:val="22"/>
        </w:rPr>
        <w:t xml:space="preserve">6. </w:t>
      </w:r>
      <w:r>
        <w:rPr>
          <w:sz w:val="22"/>
          <w:szCs w:val="22"/>
        </w:rPr>
        <w:t>Ibid.</w:t>
      </w:r>
    </w:p>
    <w:p w14:paraId="605E939A" w14:textId="77777777" w:rsidR="009C0C80" w:rsidRDefault="006A5D60">
      <w:pPr>
        <w:spacing w:after="100"/>
        <w:ind w:left="576" w:hanging="576"/>
      </w:pPr>
      <w:r>
        <w:rPr>
          <w:sz w:val="22"/>
          <w:szCs w:val="22"/>
        </w:rPr>
        <w:t xml:space="preserve">7. </w:t>
      </w:r>
      <w:r>
        <w:rPr>
          <w:sz w:val="22"/>
          <w:szCs w:val="22"/>
        </w:rPr>
        <w:t xml:space="preserve">James L. Crenshaw, </w:t>
      </w:r>
      <w:r>
        <w:rPr>
          <w:i/>
          <w:iCs/>
          <w:sz w:val="22"/>
          <w:szCs w:val="22"/>
        </w:rPr>
        <w:t>Old Testament Wisdom: An Introduction</w:t>
      </w:r>
      <w:r>
        <w:rPr>
          <w:sz w:val="22"/>
          <w:szCs w:val="22"/>
        </w:rPr>
        <w:t xml:space="preserve">, 3rd </w:t>
      </w:r>
      <w:proofErr w:type="spellStart"/>
      <w:r>
        <w:rPr>
          <w:sz w:val="22"/>
          <w:szCs w:val="22"/>
        </w:rPr>
        <w:t>edn</w:t>
      </w:r>
      <w:proofErr w:type="spellEnd"/>
      <w:r>
        <w:rPr>
          <w:sz w:val="22"/>
          <w:szCs w:val="22"/>
        </w:rPr>
        <w:t xml:space="preserve"> (Louisville: Westminster John Knox Press, 2010), p. 49.</w:t>
      </w:r>
    </w:p>
    <w:p w14:paraId="275172AF" w14:textId="77777777" w:rsidR="009C0C80" w:rsidRDefault="006A5D60">
      <w:pPr>
        <w:spacing w:after="100"/>
        <w:ind w:left="576" w:hanging="576"/>
      </w:pPr>
      <w:r>
        <w:rPr>
          <w:sz w:val="22"/>
          <w:szCs w:val="22"/>
        </w:rPr>
        <w:t xml:space="preserve">8. </w:t>
      </w:r>
      <w:r>
        <w:rPr>
          <w:sz w:val="22"/>
          <w:szCs w:val="22"/>
        </w:rPr>
        <w:t>Ibid., p. 52.</w:t>
      </w:r>
    </w:p>
    <w:p w14:paraId="7AA96116" w14:textId="77777777" w:rsidR="009C0C80" w:rsidRDefault="006A5D60">
      <w:pPr>
        <w:spacing w:after="100"/>
        <w:ind w:left="576" w:hanging="576"/>
      </w:pPr>
      <w:r>
        <w:rPr>
          <w:sz w:val="22"/>
          <w:szCs w:val="22"/>
        </w:rPr>
        <w:t xml:space="preserve">9. </w:t>
      </w:r>
      <w:r>
        <w:rPr>
          <w:sz w:val="22"/>
          <w:szCs w:val="22"/>
        </w:rPr>
        <w:t xml:space="preserve">Walter Brueggemann, </w:t>
      </w:r>
      <w:r>
        <w:rPr>
          <w:i/>
          <w:iCs/>
          <w:sz w:val="22"/>
          <w:szCs w:val="22"/>
        </w:rPr>
        <w:t>Solomon: Israel’s Ironic Icon of Human Achievement</w:t>
      </w:r>
      <w:r>
        <w:rPr>
          <w:sz w:val="22"/>
          <w:szCs w:val="22"/>
        </w:rPr>
        <w:t xml:space="preserve"> (Columbia: University of South Carolina Press, 2005), p. 44.</w:t>
      </w:r>
    </w:p>
    <w:p w14:paraId="4EFE8E10" w14:textId="77777777" w:rsidR="009C0C80" w:rsidRDefault="006A5D60">
      <w:pPr>
        <w:spacing w:after="100"/>
        <w:ind w:left="576" w:hanging="576"/>
      </w:pPr>
      <w:r>
        <w:rPr>
          <w:sz w:val="22"/>
          <w:szCs w:val="22"/>
        </w:rPr>
        <w:t xml:space="preserve">10. </w:t>
      </w:r>
      <w:r>
        <w:rPr>
          <w:sz w:val="22"/>
          <w:szCs w:val="22"/>
        </w:rPr>
        <w:t xml:space="preserve">Roland de Vaux, </w:t>
      </w:r>
      <w:r>
        <w:rPr>
          <w:i/>
          <w:iCs/>
          <w:sz w:val="22"/>
          <w:szCs w:val="22"/>
        </w:rPr>
        <w:t>Ancient Israel: Its Life and Institutions</w:t>
      </w:r>
      <w:r>
        <w:rPr>
          <w:sz w:val="22"/>
          <w:szCs w:val="22"/>
        </w:rPr>
        <w:t>, trans. by John McHugh (London: Darton, Longman and Todd, 1961), p. 129.</w:t>
      </w:r>
    </w:p>
    <w:p w14:paraId="169CEC6F" w14:textId="77777777" w:rsidR="009C0C80" w:rsidRDefault="006A5D60">
      <w:pPr>
        <w:spacing w:after="100"/>
        <w:ind w:left="576" w:hanging="576"/>
      </w:pPr>
      <w:r>
        <w:rPr>
          <w:sz w:val="22"/>
          <w:szCs w:val="22"/>
        </w:rPr>
        <w:t xml:space="preserve">11. </w:t>
      </w:r>
      <w:r>
        <w:rPr>
          <w:sz w:val="22"/>
          <w:szCs w:val="22"/>
        </w:rPr>
        <w:t xml:space="preserve">Marvin A. Sweeney, </w:t>
      </w:r>
      <w:r>
        <w:rPr>
          <w:i/>
          <w:iCs/>
          <w:sz w:val="22"/>
          <w:szCs w:val="22"/>
        </w:rPr>
        <w:t>I and II Kings: A Commentary</w:t>
      </w:r>
      <w:r>
        <w:rPr>
          <w:sz w:val="22"/>
          <w:szCs w:val="22"/>
        </w:rPr>
        <w:t xml:space="preserve"> (Louisville: Westminster John Knox Press, 2007), p. 160.</w:t>
      </w:r>
    </w:p>
    <w:p w14:paraId="1D271207" w14:textId="77777777" w:rsidR="009C0C80" w:rsidRDefault="006A5D60">
      <w:pPr>
        <w:spacing w:after="100"/>
        <w:ind w:left="576" w:hanging="576"/>
      </w:pPr>
      <w:r>
        <w:rPr>
          <w:sz w:val="22"/>
          <w:szCs w:val="22"/>
        </w:rPr>
        <w:t xml:space="preserve">12. </w:t>
      </w:r>
      <w:r>
        <w:rPr>
          <w:sz w:val="22"/>
          <w:szCs w:val="22"/>
        </w:rPr>
        <w:t>Ibid., p. 162.</w:t>
      </w:r>
    </w:p>
    <w:p w14:paraId="7EEB56C1" w14:textId="77777777" w:rsidR="009C0C80" w:rsidRDefault="006A5D60">
      <w:pPr>
        <w:spacing w:after="100"/>
        <w:ind w:left="576" w:hanging="576"/>
      </w:pPr>
      <w:r>
        <w:rPr>
          <w:sz w:val="22"/>
          <w:szCs w:val="22"/>
        </w:rPr>
        <w:t xml:space="preserve">13. </w:t>
      </w:r>
      <w:r>
        <w:rPr>
          <w:sz w:val="22"/>
          <w:szCs w:val="22"/>
        </w:rPr>
        <w:t>Bright, p. 213.</w:t>
      </w:r>
    </w:p>
    <w:p w14:paraId="256C1D81" w14:textId="77777777" w:rsidR="009C0C80" w:rsidRDefault="006A5D60">
      <w:pPr>
        <w:spacing w:after="100"/>
        <w:ind w:left="576" w:hanging="576"/>
      </w:pPr>
      <w:r>
        <w:rPr>
          <w:sz w:val="22"/>
          <w:szCs w:val="22"/>
        </w:rPr>
        <w:t xml:space="preserve">14. </w:t>
      </w:r>
      <w:r>
        <w:rPr>
          <w:sz w:val="22"/>
          <w:szCs w:val="22"/>
        </w:rPr>
        <w:t>Provan, Long and Longman, p. 233.</w:t>
      </w:r>
    </w:p>
    <w:p w14:paraId="3FB4AD36" w14:textId="77777777" w:rsidR="009C0C80" w:rsidRDefault="006A5D60">
      <w:pPr>
        <w:spacing w:after="100"/>
        <w:ind w:left="576" w:hanging="576"/>
      </w:pPr>
      <w:r>
        <w:rPr>
          <w:sz w:val="22"/>
          <w:szCs w:val="22"/>
        </w:rPr>
        <w:t xml:space="preserve">15. </w:t>
      </w:r>
      <w:r>
        <w:rPr>
          <w:sz w:val="22"/>
          <w:szCs w:val="22"/>
        </w:rPr>
        <w:t>Deuteronomy 17:14-20; compare 1 Kings 10:14-29 and 11:1-3.</w:t>
      </w:r>
    </w:p>
    <w:p w14:paraId="1165D82C" w14:textId="77777777" w:rsidR="009C0C80" w:rsidRDefault="006A5D60">
      <w:pPr>
        <w:spacing w:after="100"/>
        <w:ind w:left="576" w:hanging="576"/>
      </w:pPr>
      <w:r>
        <w:rPr>
          <w:sz w:val="22"/>
          <w:szCs w:val="22"/>
        </w:rPr>
        <w:t xml:space="preserve">16. </w:t>
      </w:r>
      <w:r>
        <w:rPr>
          <w:sz w:val="22"/>
          <w:szCs w:val="22"/>
        </w:rPr>
        <w:t>1 Kings 5:13-18 and 9:15-22; the same grievance resurfaces at 12:1-19.</w:t>
      </w:r>
    </w:p>
    <w:p w14:paraId="0B22C483" w14:textId="77777777" w:rsidR="009C0C80" w:rsidRDefault="006A5D60">
      <w:pPr>
        <w:spacing w:after="100"/>
        <w:ind w:left="576" w:hanging="576"/>
      </w:pPr>
      <w:r>
        <w:rPr>
          <w:sz w:val="22"/>
          <w:szCs w:val="22"/>
        </w:rPr>
        <w:t xml:space="preserve">17. </w:t>
      </w:r>
      <w:r>
        <w:rPr>
          <w:sz w:val="22"/>
          <w:szCs w:val="22"/>
        </w:rPr>
        <w:t xml:space="preserve">Joseph Blenkinsopp, </w:t>
      </w:r>
      <w:r>
        <w:rPr>
          <w:i/>
          <w:iCs/>
          <w:sz w:val="22"/>
          <w:szCs w:val="22"/>
        </w:rPr>
        <w:t>A History of Prophecy in Israel</w:t>
      </w:r>
      <w:r>
        <w:rPr>
          <w:sz w:val="22"/>
          <w:szCs w:val="22"/>
        </w:rPr>
        <w:t xml:space="preserve">, rev. </w:t>
      </w:r>
      <w:proofErr w:type="spellStart"/>
      <w:r>
        <w:rPr>
          <w:sz w:val="22"/>
          <w:szCs w:val="22"/>
        </w:rPr>
        <w:t>edn</w:t>
      </w:r>
      <w:proofErr w:type="spellEnd"/>
      <w:r>
        <w:rPr>
          <w:sz w:val="22"/>
          <w:szCs w:val="22"/>
        </w:rPr>
        <w:t xml:space="preserve"> (Louisville: Westminster John Knox Press, 1996), p. 62.</w:t>
      </w:r>
    </w:p>
    <w:p w14:paraId="4FD995BA" w14:textId="77777777" w:rsidR="009C0C80" w:rsidRDefault="006A5D60">
      <w:pPr>
        <w:spacing w:after="100"/>
        <w:ind w:left="576" w:hanging="576"/>
      </w:pPr>
      <w:r>
        <w:rPr>
          <w:sz w:val="22"/>
          <w:szCs w:val="22"/>
        </w:rPr>
        <w:t xml:space="preserve">18. </w:t>
      </w:r>
      <w:r>
        <w:rPr>
          <w:sz w:val="22"/>
          <w:szCs w:val="22"/>
        </w:rPr>
        <w:t>Knoppers, I, p. 115.</w:t>
      </w:r>
    </w:p>
    <w:p w14:paraId="6951ECFD" w14:textId="77777777" w:rsidR="009C0C80" w:rsidRDefault="006A5D60">
      <w:pPr>
        <w:spacing w:after="100"/>
        <w:ind w:left="576" w:hanging="576"/>
      </w:pPr>
      <w:r>
        <w:rPr>
          <w:sz w:val="22"/>
          <w:szCs w:val="22"/>
        </w:rPr>
        <w:t xml:space="preserve">19. </w:t>
      </w:r>
      <w:r>
        <w:rPr>
          <w:sz w:val="22"/>
          <w:szCs w:val="22"/>
        </w:rPr>
        <w:t>Blenkinsopp, p. 65.</w:t>
      </w:r>
    </w:p>
    <w:p w14:paraId="06FD9FBF" w14:textId="77777777" w:rsidR="009C0C80" w:rsidRDefault="006A5D60">
      <w:pPr>
        <w:spacing w:after="100"/>
        <w:ind w:left="576" w:hanging="576"/>
      </w:pPr>
      <w:r>
        <w:rPr>
          <w:sz w:val="22"/>
          <w:szCs w:val="22"/>
        </w:rPr>
        <w:lastRenderedPageBreak/>
        <w:t xml:space="preserve">20. </w:t>
      </w:r>
      <w:r>
        <w:rPr>
          <w:sz w:val="22"/>
          <w:szCs w:val="22"/>
        </w:rPr>
        <w:t>Brueggemann, p. 72.</w:t>
      </w:r>
    </w:p>
    <w:p w14:paraId="4AE62333" w14:textId="77777777" w:rsidR="009C0C80" w:rsidRDefault="006A5D60">
      <w:pPr>
        <w:spacing w:after="100"/>
        <w:ind w:left="576" w:hanging="576"/>
      </w:pPr>
      <w:r>
        <w:rPr>
          <w:sz w:val="22"/>
          <w:szCs w:val="22"/>
        </w:rPr>
        <w:t xml:space="preserve">21. </w:t>
      </w:r>
      <w:r>
        <w:rPr>
          <w:sz w:val="22"/>
          <w:szCs w:val="22"/>
        </w:rPr>
        <w:t>Brueggemann, p. 101.</w:t>
      </w:r>
    </w:p>
    <w:p w14:paraId="79E139EF" w14:textId="77777777" w:rsidR="009C0C80" w:rsidRDefault="006A5D60">
      <w:pPr>
        <w:spacing w:before="320" w:after="160" w:line="360" w:lineRule="auto"/>
      </w:pPr>
      <w:r>
        <w:rPr>
          <w:b/>
          <w:bCs/>
        </w:rPr>
        <w:t>Bibliography</w:t>
      </w:r>
    </w:p>
    <w:p w14:paraId="507880EE" w14:textId="77777777" w:rsidR="009C0C80" w:rsidRDefault="006A5D60">
      <w:pPr>
        <w:spacing w:after="140" w:line="276" w:lineRule="auto"/>
        <w:ind w:left="720" w:hanging="720"/>
      </w:pPr>
      <w:r>
        <w:t xml:space="preserve">Blenkinsopp, Joseph, </w:t>
      </w:r>
      <w:r>
        <w:rPr>
          <w:i/>
          <w:iCs/>
        </w:rPr>
        <w:t>A History of Prophecy in Israel</w:t>
      </w:r>
      <w:r>
        <w:t xml:space="preserve">, rev. </w:t>
      </w:r>
      <w:proofErr w:type="spellStart"/>
      <w:r>
        <w:t>edn</w:t>
      </w:r>
      <w:proofErr w:type="spellEnd"/>
      <w:r>
        <w:t xml:space="preserve"> (Louisville: Westminster John Knox Press, 1996)</w:t>
      </w:r>
    </w:p>
    <w:p w14:paraId="39F71516" w14:textId="77777777" w:rsidR="009C0C80" w:rsidRDefault="006A5D60">
      <w:pPr>
        <w:spacing w:after="140" w:line="276" w:lineRule="auto"/>
        <w:ind w:left="720" w:hanging="720"/>
      </w:pPr>
      <w:r>
        <w:t xml:space="preserve">Bright, John, </w:t>
      </w:r>
      <w:r>
        <w:rPr>
          <w:i/>
          <w:iCs/>
        </w:rPr>
        <w:t>A History of Israel</w:t>
      </w:r>
      <w:r>
        <w:t xml:space="preserve">, 4th </w:t>
      </w:r>
      <w:proofErr w:type="spellStart"/>
      <w:r>
        <w:t>edn</w:t>
      </w:r>
      <w:proofErr w:type="spellEnd"/>
      <w:r>
        <w:t xml:space="preserve"> (Louisville: Westminster John Knox Press, 2000)</w:t>
      </w:r>
    </w:p>
    <w:p w14:paraId="56F0B2AD" w14:textId="77777777" w:rsidR="009C0C80" w:rsidRDefault="006A5D60">
      <w:pPr>
        <w:spacing w:after="140" w:line="276" w:lineRule="auto"/>
        <w:ind w:left="720" w:hanging="720"/>
      </w:pPr>
      <w:r>
        <w:t xml:space="preserve">Brueggemann, Walter, </w:t>
      </w:r>
      <w:r>
        <w:rPr>
          <w:i/>
          <w:iCs/>
        </w:rPr>
        <w:t>Solomon: Israel’s Ironic Icon of Human Achievement</w:t>
      </w:r>
      <w:r>
        <w:t xml:space="preserve"> (Columbia: University of South Carolina Press, 2005)</w:t>
      </w:r>
    </w:p>
    <w:p w14:paraId="6B036DD6" w14:textId="77777777" w:rsidR="009C0C80" w:rsidRDefault="006A5D60">
      <w:pPr>
        <w:spacing w:after="140" w:line="276" w:lineRule="auto"/>
        <w:ind w:left="720" w:hanging="720"/>
      </w:pPr>
      <w:r>
        <w:t xml:space="preserve">Crenshaw, James L., </w:t>
      </w:r>
      <w:r>
        <w:rPr>
          <w:i/>
          <w:iCs/>
        </w:rPr>
        <w:t>Old Testament Wisdom: An Introduction</w:t>
      </w:r>
      <w:r>
        <w:t xml:space="preserve">, 3rd </w:t>
      </w:r>
      <w:proofErr w:type="spellStart"/>
      <w:r>
        <w:t>edn</w:t>
      </w:r>
      <w:proofErr w:type="spellEnd"/>
      <w:r>
        <w:t xml:space="preserve"> (Louisville: Westminster John Knox Press, 2010)</w:t>
      </w:r>
    </w:p>
    <w:p w14:paraId="7D99A685" w14:textId="77777777" w:rsidR="009C0C80" w:rsidRDefault="006A5D60">
      <w:pPr>
        <w:spacing w:after="140" w:line="276" w:lineRule="auto"/>
        <w:ind w:left="720" w:hanging="720"/>
      </w:pPr>
      <w:r>
        <w:t xml:space="preserve">de Vaux, Roland, </w:t>
      </w:r>
      <w:r>
        <w:rPr>
          <w:i/>
          <w:iCs/>
        </w:rPr>
        <w:t>Ancient Israel: Its Life and Institutions</w:t>
      </w:r>
      <w:r>
        <w:t>, trans. by John McHugh (London: Darton, Longman and Todd, 1961)</w:t>
      </w:r>
    </w:p>
    <w:p w14:paraId="0A963F38" w14:textId="77777777" w:rsidR="009C0C80" w:rsidRDefault="006A5D60">
      <w:pPr>
        <w:spacing w:after="140" w:line="276" w:lineRule="auto"/>
        <w:ind w:left="720" w:hanging="720"/>
      </w:pPr>
      <w:r>
        <w:t xml:space="preserve">Knoppers, Gary N., </w:t>
      </w:r>
      <w:r>
        <w:rPr>
          <w:i/>
          <w:iCs/>
        </w:rPr>
        <w:t>Two Nations Under God: The Deuteronomistic History of Solomon and the Dual Monarchies</w:t>
      </w:r>
      <w:r>
        <w:t>, 2 vols (Atlanta: Scholars Press, 1993)</w:t>
      </w:r>
    </w:p>
    <w:p w14:paraId="41040768" w14:textId="77777777" w:rsidR="009C0C80" w:rsidRDefault="006A5D60">
      <w:pPr>
        <w:spacing w:after="140" w:line="276" w:lineRule="auto"/>
        <w:ind w:left="720" w:hanging="720"/>
      </w:pPr>
      <w:r>
        <w:t xml:space="preserve">Provan, Iain, V. Philips Long and Tremper Longman III, </w:t>
      </w:r>
      <w:r>
        <w:rPr>
          <w:i/>
          <w:iCs/>
        </w:rPr>
        <w:t>A Biblical History of Israel</w:t>
      </w:r>
      <w:r>
        <w:t xml:space="preserve"> (Louisville: Westminster John Knox Press, 2003)</w:t>
      </w:r>
    </w:p>
    <w:p w14:paraId="529D063C" w14:textId="77777777" w:rsidR="009C0C80" w:rsidRDefault="006A5D60">
      <w:pPr>
        <w:spacing w:after="140" w:line="276" w:lineRule="auto"/>
        <w:ind w:left="720" w:hanging="720"/>
      </w:pPr>
      <w:r>
        <w:t xml:space="preserve">Sweeney, Marvin A., </w:t>
      </w:r>
      <w:r>
        <w:rPr>
          <w:i/>
          <w:iCs/>
        </w:rPr>
        <w:t>I and II Kings: A Commentary</w:t>
      </w:r>
      <w:r>
        <w:t xml:space="preserve"> (Louisville: Westminster John Knox Press, 2007)</w:t>
      </w:r>
    </w:p>
    <w:p w14:paraId="6D050363" w14:textId="77777777" w:rsidR="009C0C80" w:rsidRDefault="006A5D60">
      <w:pPr>
        <w:spacing w:after="140" w:line="276" w:lineRule="auto"/>
        <w:ind w:left="720" w:hanging="720"/>
      </w:pPr>
      <w:r>
        <w:t xml:space="preserve">von Rad, Gerhard, </w:t>
      </w:r>
      <w:r>
        <w:rPr>
          <w:i/>
          <w:iCs/>
        </w:rPr>
        <w:t>Wisdom in Israel</w:t>
      </w:r>
      <w:r>
        <w:t>, trans. by James D. Martin (London: SCM Press, 1972)</w:t>
      </w:r>
    </w:p>
    <w:p w14:paraId="745FD3C3" w14:textId="77777777" w:rsidR="009C0C80" w:rsidRDefault="006A5D60">
      <w:pPr>
        <w:spacing w:after="140" w:line="276" w:lineRule="auto"/>
        <w:ind w:left="720" w:hanging="720"/>
      </w:pPr>
      <w:proofErr w:type="spellStart"/>
      <w:r>
        <w:t>Whybray</w:t>
      </w:r>
      <w:proofErr w:type="spellEnd"/>
      <w:r>
        <w:t xml:space="preserve">, R. N., </w:t>
      </w:r>
      <w:r>
        <w:rPr>
          <w:i/>
          <w:iCs/>
        </w:rPr>
        <w:t>The Succession Narrative: A Study of II Samuel 9-20 and 1 Kings 1 and 2</w:t>
      </w:r>
      <w:r>
        <w:t xml:space="preserve"> (London: SCM Press, 1968)</w:t>
      </w:r>
    </w:p>
    <w:p w14:paraId="61EE5F49" w14:textId="77777777" w:rsidR="008C415D" w:rsidRDefault="008C415D"/>
    <w:sectPr w:rsidR="008C415D">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8064B" w14:textId="77777777" w:rsidR="006A5D60" w:rsidRDefault="006A5D60" w:rsidP="009B5FC5">
      <w:r>
        <w:separator/>
      </w:r>
    </w:p>
  </w:endnote>
  <w:endnote w:type="continuationSeparator" w:id="0">
    <w:p w14:paraId="7580D9A7" w14:textId="77777777" w:rsidR="006A5D60" w:rsidRDefault="006A5D60" w:rsidP="009B5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BA02E" w14:textId="77777777" w:rsidR="006A5D60" w:rsidRDefault="006A5D60" w:rsidP="009B5FC5">
      <w:r>
        <w:separator/>
      </w:r>
    </w:p>
  </w:footnote>
  <w:footnote w:type="continuationSeparator" w:id="0">
    <w:p w14:paraId="7885D409" w14:textId="77777777" w:rsidR="006A5D60" w:rsidRDefault="006A5D60" w:rsidP="009B5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722ED"/>
    <w:multiLevelType w:val="hybridMultilevel"/>
    <w:tmpl w:val="E976EB7E"/>
    <w:lvl w:ilvl="0" w:tplc="C848269E">
      <w:start w:val="1"/>
      <w:numFmt w:val="bullet"/>
      <w:lvlText w:val="●"/>
      <w:lvlJc w:val="left"/>
      <w:pPr>
        <w:ind w:left="720" w:hanging="360"/>
      </w:pPr>
    </w:lvl>
    <w:lvl w:ilvl="1" w:tplc="F67EDA90">
      <w:start w:val="1"/>
      <w:numFmt w:val="bullet"/>
      <w:lvlText w:val="○"/>
      <w:lvlJc w:val="left"/>
      <w:pPr>
        <w:ind w:left="1440" w:hanging="360"/>
      </w:pPr>
    </w:lvl>
    <w:lvl w:ilvl="2" w:tplc="59187C16">
      <w:start w:val="1"/>
      <w:numFmt w:val="bullet"/>
      <w:lvlText w:val="■"/>
      <w:lvlJc w:val="left"/>
      <w:pPr>
        <w:ind w:left="2160" w:hanging="360"/>
      </w:pPr>
    </w:lvl>
    <w:lvl w:ilvl="3" w:tplc="D2C2E110">
      <w:start w:val="1"/>
      <w:numFmt w:val="bullet"/>
      <w:lvlText w:val="●"/>
      <w:lvlJc w:val="left"/>
      <w:pPr>
        <w:ind w:left="2880" w:hanging="360"/>
      </w:pPr>
    </w:lvl>
    <w:lvl w:ilvl="4" w:tplc="A1BEA8D4">
      <w:start w:val="1"/>
      <w:numFmt w:val="bullet"/>
      <w:lvlText w:val="○"/>
      <w:lvlJc w:val="left"/>
      <w:pPr>
        <w:ind w:left="3600" w:hanging="360"/>
      </w:pPr>
    </w:lvl>
    <w:lvl w:ilvl="5" w:tplc="39304770">
      <w:start w:val="1"/>
      <w:numFmt w:val="bullet"/>
      <w:lvlText w:val="■"/>
      <w:lvlJc w:val="left"/>
      <w:pPr>
        <w:ind w:left="4320" w:hanging="360"/>
      </w:pPr>
    </w:lvl>
    <w:lvl w:ilvl="6" w:tplc="22B84352">
      <w:start w:val="1"/>
      <w:numFmt w:val="bullet"/>
      <w:lvlText w:val="●"/>
      <w:lvlJc w:val="left"/>
      <w:pPr>
        <w:ind w:left="5040" w:hanging="360"/>
      </w:pPr>
    </w:lvl>
    <w:lvl w:ilvl="7" w:tplc="10CCD478">
      <w:start w:val="1"/>
      <w:numFmt w:val="bullet"/>
      <w:lvlText w:val="●"/>
      <w:lvlJc w:val="left"/>
      <w:pPr>
        <w:ind w:left="5760" w:hanging="360"/>
      </w:pPr>
    </w:lvl>
    <w:lvl w:ilvl="8" w:tplc="C02872EA">
      <w:start w:val="1"/>
      <w:numFmt w:val="bullet"/>
      <w:lvlText w:val="●"/>
      <w:lvlJc w:val="left"/>
      <w:pPr>
        <w:ind w:left="6480" w:hanging="360"/>
      </w:pPr>
    </w:lvl>
  </w:abstractNum>
  <w:num w:numId="1" w16cid:durableId="126218286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C80"/>
    <w:rsid w:val="00156DBA"/>
    <w:rsid w:val="006A5D60"/>
    <w:rsid w:val="008C415D"/>
    <w:rsid w:val="009B5FC5"/>
    <w:rsid w:val="009C0C80"/>
    <w:rsid w:val="00AE0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A7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AE0961"/>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AE0961"/>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0961"/>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BookTitle">
    <w:name w:val="Book Title"/>
    <w:basedOn w:val="DefaultParagraphFont"/>
    <w:uiPriority w:val="33"/>
    <w:qFormat/>
    <w:rsid w:val="00AE0961"/>
    <w:rPr>
      <w:b/>
      <w:bCs/>
      <w:i/>
      <w:iCs/>
      <w:spacing w:val="5"/>
    </w:rPr>
  </w:style>
  <w:style w:type="paragraph" w:styleId="Caption">
    <w:name w:val="caption"/>
    <w:basedOn w:val="Normal"/>
    <w:next w:val="Normal"/>
    <w:uiPriority w:val="35"/>
    <w:semiHidden/>
    <w:unhideWhenUsed/>
    <w:qFormat/>
    <w:rsid w:val="00AE0961"/>
    <w:pPr>
      <w:spacing w:after="200"/>
    </w:pPr>
    <w:rPr>
      <w:i/>
      <w:iCs/>
      <w:color w:val="0E2841" w:themeColor="text2"/>
      <w:sz w:val="18"/>
      <w:szCs w:val="18"/>
    </w:rPr>
  </w:style>
  <w:style w:type="character" w:styleId="Emphasis">
    <w:name w:val="Emphasis"/>
    <w:basedOn w:val="DefaultParagraphFont"/>
    <w:uiPriority w:val="20"/>
    <w:qFormat/>
    <w:rsid w:val="00AE0961"/>
    <w:rPr>
      <w:i/>
      <w:iCs/>
    </w:rPr>
  </w:style>
  <w:style w:type="character" w:customStyle="1" w:styleId="Heading7Char">
    <w:name w:val="Heading 7 Char"/>
    <w:basedOn w:val="DefaultParagraphFont"/>
    <w:link w:val="Heading7"/>
    <w:uiPriority w:val="9"/>
    <w:semiHidden/>
    <w:rsid w:val="00AE0961"/>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AE09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E0961"/>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AE0961"/>
    <w:rPr>
      <w:i/>
      <w:iCs/>
      <w:color w:val="156082" w:themeColor="accent1"/>
    </w:rPr>
  </w:style>
  <w:style w:type="paragraph" w:styleId="IntenseQuote">
    <w:name w:val="Intense Quote"/>
    <w:basedOn w:val="Normal"/>
    <w:next w:val="Normal"/>
    <w:link w:val="IntenseQuoteChar"/>
    <w:uiPriority w:val="30"/>
    <w:qFormat/>
    <w:rsid w:val="00AE0961"/>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AE0961"/>
    <w:rPr>
      <w:i/>
      <w:iCs/>
      <w:color w:val="156082" w:themeColor="accent1"/>
    </w:rPr>
  </w:style>
  <w:style w:type="character" w:styleId="IntenseReference">
    <w:name w:val="Intense Reference"/>
    <w:basedOn w:val="DefaultParagraphFont"/>
    <w:uiPriority w:val="32"/>
    <w:qFormat/>
    <w:rsid w:val="00AE0961"/>
    <w:rPr>
      <w:b/>
      <w:bCs/>
      <w:smallCaps/>
      <w:color w:val="156082" w:themeColor="accent1"/>
      <w:spacing w:val="5"/>
    </w:rPr>
  </w:style>
  <w:style w:type="paragraph" w:styleId="NoSpacing">
    <w:name w:val="No Spacing"/>
    <w:uiPriority w:val="1"/>
    <w:qFormat/>
    <w:rsid w:val="00AE0961"/>
  </w:style>
  <w:style w:type="paragraph" w:styleId="Quote">
    <w:name w:val="Quote"/>
    <w:basedOn w:val="Normal"/>
    <w:next w:val="Normal"/>
    <w:link w:val="QuoteChar"/>
    <w:uiPriority w:val="29"/>
    <w:qFormat/>
    <w:rsid w:val="00AE096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E0961"/>
    <w:rPr>
      <w:i/>
      <w:iCs/>
      <w:color w:val="404040" w:themeColor="text1" w:themeTint="BF"/>
    </w:rPr>
  </w:style>
  <w:style w:type="character" w:styleId="Strong">
    <w:name w:val="Strong"/>
    <w:basedOn w:val="DefaultParagraphFont"/>
    <w:uiPriority w:val="22"/>
    <w:qFormat/>
    <w:rsid w:val="00AE0961"/>
    <w:rPr>
      <w:b/>
      <w:bCs/>
    </w:rPr>
  </w:style>
  <w:style w:type="paragraph" w:styleId="Subtitle">
    <w:name w:val="Subtitle"/>
    <w:basedOn w:val="Normal"/>
    <w:next w:val="Normal"/>
    <w:link w:val="SubtitleChar"/>
    <w:uiPriority w:val="11"/>
    <w:qFormat/>
    <w:rsid w:val="00AE096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E0961"/>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AE0961"/>
    <w:rPr>
      <w:i/>
      <w:iCs/>
      <w:color w:val="404040" w:themeColor="text1" w:themeTint="BF"/>
    </w:rPr>
  </w:style>
  <w:style w:type="character" w:styleId="SubtleReference">
    <w:name w:val="Subtle Reference"/>
    <w:basedOn w:val="DefaultParagraphFont"/>
    <w:uiPriority w:val="31"/>
    <w:qFormat/>
    <w:rsid w:val="00AE0961"/>
    <w:rPr>
      <w:smallCaps/>
      <w:color w:val="5A5A5A" w:themeColor="text1" w:themeTint="A5"/>
    </w:rPr>
  </w:style>
  <w:style w:type="paragraph" w:styleId="TOCHeading">
    <w:name w:val="TOC Heading"/>
    <w:basedOn w:val="Heading1"/>
    <w:next w:val="Normal"/>
    <w:uiPriority w:val="39"/>
    <w:semiHidden/>
    <w:unhideWhenUsed/>
    <w:qFormat/>
    <w:rsid w:val="00AE0961"/>
    <w:pPr>
      <w:keepNext/>
      <w:keepLines/>
      <w:spacing w:before="240"/>
      <w:outlineLvl w:val="9"/>
    </w:pPr>
    <w:rPr>
      <w:rFonts w:asciiTheme="majorHAnsi" w:eastAsiaTheme="majorEastAsia" w:hAnsiTheme="majorHAnsi" w:cstheme="majorBidi"/>
      <w:color w:val="0F4761" w:themeColor="accent1" w:themeShade="BF"/>
    </w:rPr>
  </w:style>
  <w:style w:type="paragraph" w:styleId="Header">
    <w:name w:val="header"/>
    <w:basedOn w:val="Normal"/>
    <w:link w:val="HeaderChar"/>
    <w:uiPriority w:val="99"/>
    <w:unhideWhenUsed/>
    <w:rsid w:val="009B5FC5"/>
    <w:pPr>
      <w:tabs>
        <w:tab w:val="center" w:pos="4513"/>
        <w:tab w:val="right" w:pos="9026"/>
      </w:tabs>
    </w:pPr>
  </w:style>
  <w:style w:type="character" w:customStyle="1" w:styleId="HeaderChar">
    <w:name w:val="Header Char"/>
    <w:basedOn w:val="DefaultParagraphFont"/>
    <w:link w:val="Header"/>
    <w:uiPriority w:val="99"/>
    <w:rsid w:val="009B5FC5"/>
  </w:style>
  <w:style w:type="paragraph" w:styleId="Footer">
    <w:name w:val="footer"/>
    <w:basedOn w:val="Normal"/>
    <w:link w:val="FooterChar"/>
    <w:uiPriority w:val="99"/>
    <w:unhideWhenUsed/>
    <w:rsid w:val="009B5FC5"/>
    <w:pPr>
      <w:tabs>
        <w:tab w:val="center" w:pos="4513"/>
        <w:tab w:val="right" w:pos="9026"/>
      </w:tabs>
    </w:pPr>
  </w:style>
  <w:style w:type="character" w:customStyle="1" w:styleId="FooterChar">
    <w:name w:val="Footer Char"/>
    <w:basedOn w:val="DefaultParagraphFont"/>
    <w:link w:val="Footer"/>
    <w:uiPriority w:val="99"/>
    <w:rsid w:val="009B5F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1929</Words>
  <Characters>10996</Characters>
  <Application>Microsoft Office Word</Application>
  <DocSecurity>0</DocSecurity>
  <Lines>91</Lines>
  <Paragraphs>25</Paragraphs>
  <ScaleCrop>false</ScaleCrop>
  <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2026-08-20T07:52:00Z</dcterms:created>
  <dcterms:modified xsi:type="dcterms:W3CDTF">2026-08-20T07:52:00Z</dcterms:modified>
</cp:coreProperties>
</file>