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3D936FB" w14:textId="4832B31A" w:rsidR="71601E1C" w:rsidRDefault="71601E1C">
      <w:pPr>
        <w:rPr>
          <w:rFonts w:hint="eastAsia"/>
        </w:rPr>
      </w:pPr>
    </w:p>
    <w:p w14:paraId="5B97CDEE" w14:textId="3773A0FF" w:rsidR="71601E1C" w:rsidRDefault="71601E1C">
      <w:pPr>
        <w:rPr>
          <w:rFonts w:hint="eastAsia"/>
        </w:rPr>
      </w:pPr>
    </w:p>
    <w:p w14:paraId="2EC7C6D9" w14:textId="3E0522AC" w:rsidR="71601E1C" w:rsidRDefault="71601E1C">
      <w:pPr>
        <w:rPr>
          <w:rFonts w:hint="eastAsia"/>
        </w:rPr>
      </w:pPr>
    </w:p>
    <w:p w14:paraId="7D7F0652" w14:textId="775E3A5A" w:rsidR="71601E1C" w:rsidRDefault="71601E1C">
      <w:pPr>
        <w:rPr>
          <w:rFonts w:hint="eastAsia"/>
        </w:rPr>
      </w:pPr>
    </w:p>
    <w:p w14:paraId="49D1D42C" w14:textId="269AEF63" w:rsidR="71601E1C" w:rsidRDefault="00250BF9">
      <w:pPr>
        <w:rPr>
          <w:rFonts w:hint="eastAsia"/>
        </w:rPr>
      </w:pPr>
      <w:r>
        <w:rPr>
          <w:noProof/>
        </w:rPr>
        <w:t xml:space="preserve"> </w:t>
      </w:r>
      <w:r w:rsidR="00EB6319">
        <w:rPr>
          <w:noProof/>
        </w:rPr>
        <w:drawing>
          <wp:inline distT="0" distB="0" distL="0" distR="0" wp14:anchorId="19DAAF8E" wp14:editId="51ED7FF8">
            <wp:extent cx="6142334" cy="2657691"/>
            <wp:effectExtent l="0" t="0" r="0" b="0"/>
            <wp:docPr id="1312751306" name="drawing">
              <a:extLst xmlns:a="http://schemas.openxmlformats.org/drawingml/2006/main">
                <a:ext uri="{FF2B5EF4-FFF2-40B4-BE49-F238E27FC236}">
                  <a16:creationId xmlns:a16="http://schemas.microsoft.com/office/drawing/2014/main" id="{5236C468-9C9A-498F-9179-B11DA8A9EF2C}"/>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2751306" name="Picture 1312751306"/>
                    <pic:cNvPicPr/>
                  </pic:nvPicPr>
                  <pic:blipFill>
                    <a:blip r:embed="rId7">
                      <a:extLst>
                        <a:ext uri="{28A0092B-C50C-407E-A947-70E740481C1C}">
                          <a14:useLocalDpi xmlns:a14="http://schemas.microsoft.com/office/drawing/2010/main"/>
                        </a:ext>
                      </a:extLst>
                    </a:blip>
                    <a:stretch>
                      <a:fillRect/>
                    </a:stretch>
                  </pic:blipFill>
                  <pic:spPr>
                    <a:xfrm>
                      <a:off x="0" y="0"/>
                      <a:ext cx="6142334" cy="2657691"/>
                    </a:xfrm>
                    <a:prstGeom prst="rect">
                      <a:avLst/>
                    </a:prstGeom>
                  </pic:spPr>
                </pic:pic>
              </a:graphicData>
            </a:graphic>
          </wp:inline>
        </w:drawing>
      </w:r>
    </w:p>
    <w:p w14:paraId="3ADBE09E" w14:textId="7FA56925" w:rsidR="71601E1C" w:rsidRDefault="71601E1C">
      <w:pPr>
        <w:rPr>
          <w:rFonts w:hint="eastAsia"/>
        </w:rPr>
      </w:pPr>
    </w:p>
    <w:p w14:paraId="4C038AC1" w14:textId="7D6EA7F2" w:rsidR="71601E1C" w:rsidRDefault="71601E1C" w:rsidP="0E95422E">
      <w:pPr>
        <w:rPr>
          <w:rFonts w:hint="eastAsia"/>
        </w:rPr>
      </w:pPr>
    </w:p>
    <w:p w14:paraId="4E9CA564" w14:textId="5ADBBC8D" w:rsidR="71601E1C" w:rsidRDefault="71601E1C">
      <w:pPr>
        <w:rPr>
          <w:rFonts w:hint="eastAsia"/>
        </w:rPr>
      </w:pPr>
    </w:p>
    <w:p w14:paraId="424F4DE6" w14:textId="0D38C5B0" w:rsidR="06A2635A" w:rsidRDefault="42B3EF05" w:rsidP="0E95422E">
      <w:pPr>
        <w:rPr>
          <w:rFonts w:hint="eastAsia"/>
          <w:b/>
          <w:bCs/>
          <w:sz w:val="32"/>
          <w:szCs w:val="32"/>
        </w:rPr>
      </w:pPr>
      <w:r w:rsidRPr="0E95422E">
        <w:rPr>
          <w:b/>
          <w:bCs/>
          <w:sz w:val="32"/>
          <w:szCs w:val="32"/>
        </w:rPr>
        <w:t>Assignment Title: Assessment 2: Contemporary HR Challenges Report</w:t>
      </w:r>
    </w:p>
    <w:p w14:paraId="5E5787A5" w14:textId="5B2E8D3F" w:rsidR="007E4B5C" w:rsidRDefault="287CFA12" w:rsidP="0E95422E">
      <w:pPr>
        <w:rPr>
          <w:rFonts w:hint="eastAsia"/>
          <w:b/>
          <w:bCs/>
          <w:sz w:val="32"/>
          <w:szCs w:val="32"/>
        </w:rPr>
      </w:pPr>
      <w:r w:rsidRPr="0E95422E">
        <w:rPr>
          <w:b/>
          <w:bCs/>
          <w:sz w:val="32"/>
          <w:szCs w:val="32"/>
        </w:rPr>
        <w:t>Module Code: LCLM5002</w:t>
      </w:r>
    </w:p>
    <w:p w14:paraId="06D6DD82" w14:textId="25740BEF" w:rsidR="754727A0" w:rsidRDefault="287CFA12" w:rsidP="0E95422E">
      <w:pPr>
        <w:rPr>
          <w:rFonts w:hint="eastAsia"/>
          <w:b/>
          <w:bCs/>
          <w:sz w:val="32"/>
          <w:szCs w:val="32"/>
        </w:rPr>
      </w:pPr>
      <w:r w:rsidRPr="0E95422E">
        <w:rPr>
          <w:b/>
          <w:bCs/>
          <w:sz w:val="32"/>
          <w:szCs w:val="32"/>
        </w:rPr>
        <w:t>Student Name: Denise McFarlane</w:t>
      </w:r>
    </w:p>
    <w:p w14:paraId="064A686D" w14:textId="4061DBFA" w:rsidR="754727A0" w:rsidRDefault="287CFA12" w:rsidP="0E95422E">
      <w:pPr>
        <w:rPr>
          <w:rFonts w:hint="eastAsia"/>
          <w:b/>
          <w:bCs/>
          <w:sz w:val="32"/>
          <w:szCs w:val="32"/>
        </w:rPr>
      </w:pPr>
      <w:r w:rsidRPr="0E95422E">
        <w:rPr>
          <w:b/>
          <w:bCs/>
          <w:sz w:val="32"/>
          <w:szCs w:val="32"/>
        </w:rPr>
        <w:t>Student Number: 2441388</w:t>
      </w:r>
    </w:p>
    <w:p w14:paraId="1F5049C2" w14:textId="5305A13F" w:rsidR="7F641EDB" w:rsidRDefault="1881126F" w:rsidP="0E95422E">
      <w:pPr>
        <w:rPr>
          <w:rFonts w:hint="eastAsia"/>
          <w:b/>
          <w:bCs/>
          <w:sz w:val="32"/>
          <w:szCs w:val="32"/>
        </w:rPr>
      </w:pPr>
      <w:r w:rsidRPr="0E95422E">
        <w:rPr>
          <w:b/>
          <w:bCs/>
          <w:sz w:val="32"/>
          <w:szCs w:val="32"/>
        </w:rPr>
        <w:t>Lecturer’s Name: Sukhpreet Grewal</w:t>
      </w:r>
    </w:p>
    <w:p w14:paraId="1BA433F0" w14:textId="340857F8" w:rsidR="7F641EDB" w:rsidRDefault="1881126F" w:rsidP="0E95422E">
      <w:pPr>
        <w:rPr>
          <w:rFonts w:hint="eastAsia"/>
          <w:b/>
          <w:bCs/>
          <w:sz w:val="32"/>
          <w:szCs w:val="32"/>
        </w:rPr>
      </w:pPr>
      <w:r w:rsidRPr="0E95422E">
        <w:rPr>
          <w:b/>
          <w:bCs/>
          <w:sz w:val="32"/>
          <w:szCs w:val="32"/>
        </w:rPr>
        <w:t>Date: 21/08/2026</w:t>
      </w:r>
    </w:p>
    <w:p w14:paraId="2AC39762" w14:textId="3F6865EC" w:rsidR="71601E1C" w:rsidRDefault="71601E1C" w:rsidP="0E95422E">
      <w:pPr>
        <w:rPr>
          <w:rFonts w:hint="eastAsia"/>
          <w:b/>
          <w:bCs/>
          <w:sz w:val="32"/>
          <w:szCs w:val="32"/>
        </w:rPr>
      </w:pPr>
    </w:p>
    <w:p w14:paraId="028225C6" w14:textId="09EC9F59" w:rsidR="00AB4967" w:rsidRDefault="00AB4967" w:rsidP="0E95422E">
      <w:pPr>
        <w:rPr>
          <w:rFonts w:hint="eastAsia"/>
        </w:rPr>
      </w:pPr>
    </w:p>
    <w:p w14:paraId="6BF87901" w14:textId="4C186054" w:rsidR="00AB4967" w:rsidRDefault="00AB4967">
      <w:pPr>
        <w:rPr>
          <w:rFonts w:hint="eastAsia"/>
        </w:rPr>
      </w:pPr>
    </w:p>
    <w:p w14:paraId="45D35367" w14:textId="77777777" w:rsidR="00AB4967" w:rsidRPr="00AB4967" w:rsidRDefault="00AB4967" w:rsidP="00AB4967">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rPr>
      </w:pPr>
      <w:r w:rsidRPr="00AB4967">
        <w:rPr>
          <w:rFonts w:ascii="Times New Roman" w:eastAsia="Times New Roman" w:hAnsi="Times New Roman" w:cs="Times New Roman"/>
          <w:b/>
          <w:bCs/>
          <w:kern w:val="36"/>
          <w:sz w:val="48"/>
          <w:szCs w:val="48"/>
          <w:lang w:eastAsia="en-GB"/>
        </w:rPr>
        <w:lastRenderedPageBreak/>
        <w:t>Table of Contents</w:t>
      </w:r>
    </w:p>
    <w:p w14:paraId="573368D7" w14:textId="6336B972" w:rsidR="00AB4967" w:rsidRPr="00AB4967" w:rsidRDefault="00AB4967" w:rsidP="00AB4967">
      <w:pPr>
        <w:numPr>
          <w:ilvl w:val="0"/>
          <w:numId w:val="1"/>
        </w:numPr>
        <w:spacing w:before="100" w:beforeAutospacing="1" w:after="100" w:afterAutospacing="1" w:line="240" w:lineRule="auto"/>
        <w:rPr>
          <w:rFonts w:ascii="Times New Roman" w:eastAsia="Times New Roman" w:hAnsi="Times New Roman" w:cs="Times New Roman"/>
          <w:lang w:eastAsia="en-GB"/>
        </w:rPr>
      </w:pPr>
      <w:r w:rsidRPr="00AB4967">
        <w:rPr>
          <w:rFonts w:ascii="Times New Roman" w:eastAsia="Times New Roman" w:hAnsi="Times New Roman" w:cs="Times New Roman"/>
          <w:lang w:eastAsia="en-GB"/>
        </w:rPr>
        <w:t>Introduction …………………………………………………………………… 1</w:t>
      </w:r>
    </w:p>
    <w:p w14:paraId="6A49D273" w14:textId="1AA61C21" w:rsidR="00AB4967" w:rsidRPr="00AB4967" w:rsidRDefault="00AB4967" w:rsidP="00AB4967">
      <w:pPr>
        <w:numPr>
          <w:ilvl w:val="0"/>
          <w:numId w:val="1"/>
        </w:numPr>
        <w:spacing w:before="100" w:beforeAutospacing="1" w:after="100" w:afterAutospacing="1" w:line="240" w:lineRule="auto"/>
        <w:rPr>
          <w:rFonts w:ascii="Times New Roman" w:eastAsia="Times New Roman" w:hAnsi="Times New Roman" w:cs="Times New Roman"/>
          <w:lang w:eastAsia="en-GB"/>
        </w:rPr>
      </w:pPr>
      <w:r w:rsidRPr="00AB4967">
        <w:rPr>
          <w:rFonts w:ascii="Times New Roman" w:eastAsia="Times New Roman" w:hAnsi="Times New Roman" w:cs="Times New Roman"/>
          <w:lang w:eastAsia="en-GB"/>
        </w:rPr>
        <w:t>Explanation of Key Factors ………………………………………………. 2</w:t>
      </w:r>
      <w:r>
        <w:br/>
      </w:r>
      <w:r w:rsidRPr="00AB4967">
        <w:rPr>
          <w:rFonts w:ascii="Times New Roman" w:eastAsia="Times New Roman" w:hAnsi="Times New Roman" w:cs="Times New Roman"/>
          <w:lang w:eastAsia="en-GB"/>
        </w:rPr>
        <w:t>2.1 Adapting to Technological Advancements ………………………… 2</w:t>
      </w:r>
      <w:r>
        <w:br/>
      </w:r>
      <w:r w:rsidRPr="00AB4967">
        <w:rPr>
          <w:rFonts w:ascii="Times New Roman" w:eastAsia="Times New Roman" w:hAnsi="Times New Roman" w:cs="Times New Roman"/>
          <w:lang w:eastAsia="en-GB"/>
        </w:rPr>
        <w:t>2.2 Talent Acquisition and Retention …………………………………… 3</w:t>
      </w:r>
      <w:r>
        <w:br/>
      </w:r>
      <w:r w:rsidRPr="00AB4967">
        <w:rPr>
          <w:rFonts w:ascii="Times New Roman" w:eastAsia="Times New Roman" w:hAnsi="Times New Roman" w:cs="Times New Roman"/>
          <w:lang w:eastAsia="en-GB"/>
        </w:rPr>
        <w:t>2.3 Diversity, Equity and Inclusion (DEI) ……………………………… 4</w:t>
      </w:r>
    </w:p>
    <w:p w14:paraId="2D1B7785" w14:textId="12D782B7" w:rsidR="00AB4967" w:rsidRPr="00AB4967" w:rsidRDefault="00AB4967" w:rsidP="00AB4967">
      <w:pPr>
        <w:numPr>
          <w:ilvl w:val="0"/>
          <w:numId w:val="1"/>
        </w:numPr>
        <w:spacing w:before="100" w:beforeAutospacing="1" w:after="100" w:afterAutospacing="1" w:line="240" w:lineRule="auto"/>
        <w:rPr>
          <w:rFonts w:ascii="Times New Roman" w:eastAsia="Times New Roman" w:hAnsi="Times New Roman" w:cs="Times New Roman"/>
          <w:lang w:eastAsia="en-GB"/>
        </w:rPr>
      </w:pPr>
      <w:r w:rsidRPr="00AB4967">
        <w:rPr>
          <w:rFonts w:ascii="Times New Roman" w:eastAsia="Times New Roman" w:hAnsi="Times New Roman" w:cs="Times New Roman"/>
          <w:lang w:eastAsia="en-GB"/>
        </w:rPr>
        <w:t>Evaluation of Contemporary HR Practices …………………………… 5</w:t>
      </w:r>
      <w:r>
        <w:br/>
      </w:r>
      <w:r w:rsidRPr="00AB4967">
        <w:rPr>
          <w:rFonts w:ascii="Times New Roman" w:eastAsia="Times New Roman" w:hAnsi="Times New Roman" w:cs="Times New Roman"/>
          <w:lang w:eastAsia="en-GB"/>
        </w:rPr>
        <w:t>3.1 Digital HR Systems and Workforce Analytics ……………………. 5</w:t>
      </w:r>
      <w:r>
        <w:br/>
      </w:r>
      <w:r w:rsidRPr="00AB4967">
        <w:rPr>
          <w:rFonts w:ascii="Times New Roman" w:eastAsia="Times New Roman" w:hAnsi="Times New Roman" w:cs="Times New Roman"/>
          <w:lang w:eastAsia="en-GB"/>
        </w:rPr>
        <w:t>3.2 Employer Branding and Strategic Workforce Planning ………. 6</w:t>
      </w:r>
      <w:r>
        <w:br/>
      </w:r>
      <w:r w:rsidRPr="00AB4967">
        <w:rPr>
          <w:rFonts w:ascii="Times New Roman" w:eastAsia="Times New Roman" w:hAnsi="Times New Roman" w:cs="Times New Roman"/>
          <w:lang w:eastAsia="en-GB"/>
        </w:rPr>
        <w:t>3.3 Inclusive Recruitment, DEI Policies and Leadership Development ……………………………………………………………………. 7</w:t>
      </w:r>
    </w:p>
    <w:p w14:paraId="11C4F8D2" w14:textId="016B320B" w:rsidR="00AB4967" w:rsidRPr="00AB4967" w:rsidRDefault="00AB4967" w:rsidP="00AB4967">
      <w:pPr>
        <w:numPr>
          <w:ilvl w:val="0"/>
          <w:numId w:val="1"/>
        </w:numPr>
        <w:spacing w:before="100" w:beforeAutospacing="1" w:after="100" w:afterAutospacing="1" w:line="240" w:lineRule="auto"/>
        <w:rPr>
          <w:rFonts w:ascii="Times New Roman" w:eastAsia="Times New Roman" w:hAnsi="Times New Roman" w:cs="Times New Roman"/>
          <w:lang w:eastAsia="en-GB"/>
        </w:rPr>
      </w:pPr>
      <w:r w:rsidRPr="00AB4967">
        <w:rPr>
          <w:rFonts w:ascii="Times New Roman" w:eastAsia="Times New Roman" w:hAnsi="Times New Roman" w:cs="Times New Roman"/>
          <w:lang w:eastAsia="en-GB"/>
        </w:rPr>
        <w:t>Critical Evaluation of Managerial Implementation …………………. 8</w:t>
      </w:r>
      <w:r>
        <w:br/>
      </w:r>
      <w:r w:rsidRPr="00AB4967">
        <w:rPr>
          <w:rFonts w:ascii="Times New Roman" w:eastAsia="Times New Roman" w:hAnsi="Times New Roman" w:cs="Times New Roman"/>
          <w:lang w:eastAsia="en-GB"/>
        </w:rPr>
        <w:t>4.1 Leadership Accountability ………………………………………</w:t>
      </w:r>
      <w:proofErr w:type="gramStart"/>
      <w:r w:rsidRPr="00AB4967">
        <w:rPr>
          <w:rFonts w:ascii="Times New Roman" w:eastAsia="Times New Roman" w:hAnsi="Times New Roman" w:cs="Times New Roman"/>
          <w:lang w:eastAsia="en-GB"/>
        </w:rPr>
        <w:t>…..</w:t>
      </w:r>
      <w:proofErr w:type="gramEnd"/>
      <w:r w:rsidRPr="00AB4967">
        <w:rPr>
          <w:rFonts w:ascii="Times New Roman" w:eastAsia="Times New Roman" w:hAnsi="Times New Roman" w:cs="Times New Roman"/>
          <w:lang w:eastAsia="en-GB"/>
        </w:rPr>
        <w:t xml:space="preserve"> 8</w:t>
      </w:r>
      <w:r>
        <w:br/>
      </w:r>
      <w:r w:rsidRPr="00AB4967">
        <w:rPr>
          <w:rFonts w:ascii="Times New Roman" w:eastAsia="Times New Roman" w:hAnsi="Times New Roman" w:cs="Times New Roman"/>
          <w:lang w:eastAsia="en-GB"/>
        </w:rPr>
        <w:t>4.2 Communication Strategies …………………………………………. 9</w:t>
      </w:r>
      <w:r>
        <w:br/>
      </w:r>
      <w:r w:rsidRPr="00AB4967">
        <w:rPr>
          <w:rFonts w:ascii="Times New Roman" w:eastAsia="Times New Roman" w:hAnsi="Times New Roman" w:cs="Times New Roman"/>
          <w:lang w:eastAsia="en-GB"/>
        </w:rPr>
        <w:t>4.3 Monitoring and Performance Measurement …………………</w:t>
      </w:r>
      <w:proofErr w:type="gramStart"/>
      <w:r w:rsidRPr="00AB4967">
        <w:rPr>
          <w:rFonts w:ascii="Times New Roman" w:eastAsia="Times New Roman" w:hAnsi="Times New Roman" w:cs="Times New Roman"/>
          <w:lang w:eastAsia="en-GB"/>
        </w:rPr>
        <w:t>…..</w:t>
      </w:r>
      <w:proofErr w:type="gramEnd"/>
      <w:r w:rsidRPr="00AB4967">
        <w:rPr>
          <w:rFonts w:ascii="Times New Roman" w:eastAsia="Times New Roman" w:hAnsi="Times New Roman" w:cs="Times New Roman"/>
          <w:lang w:eastAsia="en-GB"/>
        </w:rPr>
        <w:t xml:space="preserve"> 10</w:t>
      </w:r>
      <w:r>
        <w:br/>
      </w:r>
      <w:r w:rsidRPr="00AB4967">
        <w:rPr>
          <w:rFonts w:ascii="Times New Roman" w:eastAsia="Times New Roman" w:hAnsi="Times New Roman" w:cs="Times New Roman"/>
          <w:lang w:eastAsia="en-GB"/>
        </w:rPr>
        <w:t>4.4 Organisational Culture ……………………………………………… 11</w:t>
      </w:r>
      <w:r>
        <w:br/>
      </w:r>
      <w:r w:rsidRPr="00AB4967">
        <w:rPr>
          <w:rFonts w:ascii="Times New Roman" w:eastAsia="Times New Roman" w:hAnsi="Times New Roman" w:cs="Times New Roman"/>
          <w:lang w:eastAsia="en-GB"/>
        </w:rPr>
        <w:t>4.5 Barriers to Implementation and Solutions ………………………. 12</w:t>
      </w:r>
    </w:p>
    <w:p w14:paraId="4C8A390D" w14:textId="00CBB3D5" w:rsidR="00AB4967" w:rsidRPr="00AB4967" w:rsidRDefault="00AB4967" w:rsidP="00AB4967">
      <w:pPr>
        <w:numPr>
          <w:ilvl w:val="0"/>
          <w:numId w:val="1"/>
        </w:numPr>
        <w:spacing w:before="100" w:beforeAutospacing="1" w:after="100" w:afterAutospacing="1" w:line="240" w:lineRule="auto"/>
        <w:rPr>
          <w:rFonts w:ascii="Times New Roman" w:eastAsia="Times New Roman" w:hAnsi="Times New Roman" w:cs="Times New Roman"/>
          <w:lang w:eastAsia="en-GB"/>
        </w:rPr>
      </w:pPr>
      <w:r w:rsidRPr="00AB4967">
        <w:rPr>
          <w:rFonts w:ascii="Times New Roman" w:eastAsia="Times New Roman" w:hAnsi="Times New Roman" w:cs="Times New Roman"/>
          <w:lang w:eastAsia="en-GB"/>
        </w:rPr>
        <w:t>Recommendations …………………………………………………………. 13</w:t>
      </w:r>
    </w:p>
    <w:p w14:paraId="6DBB7A5E" w14:textId="4AA3336A" w:rsidR="00AB4967" w:rsidRPr="00AB4967" w:rsidRDefault="00AB4967" w:rsidP="00AB4967">
      <w:pPr>
        <w:numPr>
          <w:ilvl w:val="0"/>
          <w:numId w:val="1"/>
        </w:numPr>
        <w:spacing w:before="100" w:beforeAutospacing="1" w:after="100" w:afterAutospacing="1" w:line="240" w:lineRule="auto"/>
        <w:rPr>
          <w:rFonts w:ascii="Times New Roman" w:eastAsia="Times New Roman" w:hAnsi="Times New Roman" w:cs="Times New Roman"/>
          <w:lang w:eastAsia="en-GB"/>
        </w:rPr>
      </w:pPr>
      <w:r w:rsidRPr="00AB4967">
        <w:rPr>
          <w:rFonts w:ascii="Times New Roman" w:eastAsia="Times New Roman" w:hAnsi="Times New Roman" w:cs="Times New Roman"/>
          <w:lang w:eastAsia="en-GB"/>
        </w:rPr>
        <w:t>Conclusion …………………………………………………………………… 14</w:t>
      </w:r>
    </w:p>
    <w:p w14:paraId="0C25C621" w14:textId="28D4B5F8" w:rsidR="00B8532D" w:rsidRPr="00B8532D" w:rsidRDefault="00AB4967" w:rsidP="00B8532D">
      <w:pPr>
        <w:numPr>
          <w:ilvl w:val="0"/>
          <w:numId w:val="1"/>
        </w:numPr>
        <w:spacing w:before="100" w:beforeAutospacing="1" w:after="100" w:afterAutospacing="1" w:line="240" w:lineRule="auto"/>
        <w:rPr>
          <w:rFonts w:ascii="Times New Roman" w:eastAsia="Times New Roman" w:hAnsi="Times New Roman" w:cs="Times New Roman"/>
          <w:lang w:eastAsia="en-GB"/>
        </w:rPr>
      </w:pPr>
      <w:r w:rsidRPr="00AB4967">
        <w:rPr>
          <w:rFonts w:ascii="Times New Roman" w:eastAsia="Times New Roman" w:hAnsi="Times New Roman" w:cs="Times New Roman"/>
          <w:lang w:eastAsia="en-GB"/>
        </w:rPr>
        <w:t>Reference List ………………………………………………………………. 1</w:t>
      </w:r>
    </w:p>
    <w:p w14:paraId="33EAC447" w14:textId="77777777" w:rsidR="00B8532D" w:rsidRDefault="00B8532D">
      <w:pPr>
        <w:rPr>
          <w:rFonts w:hint="eastAsia"/>
        </w:rPr>
      </w:pPr>
    </w:p>
    <w:p w14:paraId="3ECDE1D9" w14:textId="77777777" w:rsidR="00B8532D" w:rsidRDefault="00B8532D">
      <w:pPr>
        <w:rPr>
          <w:rFonts w:hint="eastAsia"/>
        </w:rPr>
      </w:pPr>
    </w:p>
    <w:p w14:paraId="618CA75B" w14:textId="77777777" w:rsidR="00B8532D" w:rsidRDefault="00B8532D">
      <w:pPr>
        <w:rPr>
          <w:rFonts w:hint="eastAsia"/>
        </w:rPr>
      </w:pPr>
    </w:p>
    <w:p w14:paraId="6E2F0357" w14:textId="77777777" w:rsidR="00B8532D" w:rsidRDefault="00B8532D">
      <w:pPr>
        <w:rPr>
          <w:rFonts w:hint="eastAsia"/>
        </w:rPr>
      </w:pPr>
    </w:p>
    <w:p w14:paraId="428B1FD0" w14:textId="77777777" w:rsidR="00B8532D" w:rsidRDefault="00B8532D">
      <w:pPr>
        <w:rPr>
          <w:rFonts w:hint="eastAsia"/>
        </w:rPr>
      </w:pPr>
    </w:p>
    <w:p w14:paraId="17AD769F" w14:textId="1B0F30DA" w:rsidR="007D2BC6" w:rsidRDefault="00B8532D" w:rsidP="0E95422E">
      <w:pPr>
        <w:rPr>
          <w:rFonts w:hint="eastAsia"/>
        </w:rPr>
      </w:pPr>
      <w:r>
        <w:rPr>
          <w:noProof/>
        </w:rPr>
        <w:drawing>
          <wp:inline distT="0" distB="0" distL="0" distR="0" wp14:anchorId="5D8A15FC" wp14:editId="157A4EA6">
            <wp:extent cx="4582284" cy="3067477"/>
            <wp:effectExtent l="0" t="0" r="0" b="0"/>
            <wp:docPr id="1535507011" name="Picture 3" descr="A store front with a sign&#10;&#10;AI-generated content may be incorrect.">
              <a:extLst xmlns:a="http://schemas.openxmlformats.org/drawingml/2006/main">
                <a:ext uri="{FF2B5EF4-FFF2-40B4-BE49-F238E27FC236}">
                  <a16:creationId xmlns:a16="http://schemas.microsoft.com/office/drawing/2014/main" id="{EA4B1D50-1317-4631-BE12-52462527187D}"/>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5507011" name="Picture 3" descr="A store front with a sign&#10;&#10;AI-generated content may be incorrect."/>
                    <pic:cNvPicPr/>
                  </pic:nvPicPr>
                  <pic:blipFill>
                    <a:blip r:embed="rId8">
                      <a:extLst>
                        <a:ext uri="{28A0092B-C50C-407E-A947-70E740481C1C}">
                          <a14:useLocalDpi xmlns:a14="http://schemas.microsoft.com/office/drawing/2010/main"/>
                        </a:ext>
                        <a:ext uri="{837473B0-CC2E-450A-ABE3-18F120FF3D39}">
                          <a1611:picAttrSrcUrl xmlns:a1611="http://schemas.microsoft.com/office/drawing/2016/11/main" r:id="rId9"/>
                        </a:ext>
                      </a:extLst>
                    </a:blip>
                    <a:stretch>
                      <a:fillRect/>
                    </a:stretch>
                  </pic:blipFill>
                  <pic:spPr>
                    <a:xfrm>
                      <a:off x="0" y="0"/>
                      <a:ext cx="4582284" cy="3067477"/>
                    </a:xfrm>
                    <a:prstGeom prst="rect">
                      <a:avLst/>
                    </a:prstGeom>
                  </pic:spPr>
                </pic:pic>
              </a:graphicData>
            </a:graphic>
          </wp:inline>
        </w:drawing>
      </w:r>
    </w:p>
    <w:p w14:paraId="28D67C67" w14:textId="77777777" w:rsidR="007D2BC6" w:rsidRPr="007D2BC6" w:rsidRDefault="007D2BC6" w:rsidP="007D2BC6">
      <w:pPr>
        <w:spacing w:before="100" w:beforeAutospacing="1" w:after="100" w:afterAutospacing="1" w:line="240" w:lineRule="auto"/>
        <w:outlineLvl w:val="1"/>
        <w:rPr>
          <w:rFonts w:ascii="Times New Roman" w:eastAsia="Times New Roman" w:hAnsi="Times New Roman" w:cs="Times New Roman"/>
          <w:b/>
          <w:bCs/>
          <w:sz w:val="36"/>
          <w:szCs w:val="36"/>
          <w:lang w:eastAsia="en-GB"/>
        </w:rPr>
      </w:pPr>
      <w:r w:rsidRPr="007D2BC6">
        <w:rPr>
          <w:rFonts w:ascii="Times New Roman" w:eastAsia="Times New Roman" w:hAnsi="Times New Roman" w:cs="Times New Roman"/>
          <w:b/>
          <w:bCs/>
          <w:sz w:val="36"/>
          <w:szCs w:val="36"/>
          <w:lang w:eastAsia="en-GB"/>
        </w:rPr>
        <w:lastRenderedPageBreak/>
        <w:t>Introduction</w:t>
      </w:r>
    </w:p>
    <w:p w14:paraId="476F4D2A" w14:textId="77777777" w:rsidR="007D2BC6" w:rsidRPr="007D2BC6" w:rsidRDefault="4ACA07A3" w:rsidP="0E95422E">
      <w:pPr>
        <w:spacing w:before="100" w:beforeAutospacing="1" w:after="100" w:afterAutospacing="1" w:line="240" w:lineRule="auto"/>
        <w:rPr>
          <w:rFonts w:ascii="Times New Roman" w:hAnsi="Times New Roman" w:cs="Times New Roman"/>
          <w:sz w:val="22"/>
          <w:szCs w:val="22"/>
          <w:lang w:eastAsia="en-GB"/>
        </w:rPr>
      </w:pPr>
      <w:r w:rsidRPr="0E95422E">
        <w:rPr>
          <w:rFonts w:ascii="Times New Roman" w:hAnsi="Times New Roman" w:cs="Times New Roman"/>
          <w:sz w:val="22"/>
          <w:szCs w:val="22"/>
          <w:lang w:eastAsia="en-GB"/>
        </w:rPr>
        <w:t>Human Resource Management (HRM) plays a strategic role in enabling organisations to respond to changing business environments while maintaining employee performance and organisational competitiveness. In the UK retail sector, Marks &amp; Spencer (M&amp;S) operates in an increasingly complex environment characterised by rapid technological innovation, persistent skills shortages and growing expectations for diversity, equity and inclusion (DEI). These challenges require HR to move beyond traditional administrative functions and adopt strategic practices that support organisational resilience, employee engagement and long-term business sustainability.</w:t>
      </w:r>
    </w:p>
    <w:p w14:paraId="13F0249E" w14:textId="20109818" w:rsidR="007D2BC6" w:rsidRPr="007D2BC6" w:rsidRDefault="4ACA07A3" w:rsidP="0E95422E">
      <w:pPr>
        <w:spacing w:before="100" w:beforeAutospacing="1" w:after="100" w:afterAutospacing="1" w:line="240" w:lineRule="auto"/>
        <w:rPr>
          <w:rFonts w:ascii="Times New Roman" w:hAnsi="Times New Roman" w:cs="Times New Roman"/>
          <w:sz w:val="22"/>
          <w:szCs w:val="22"/>
          <w:lang w:eastAsia="en-GB"/>
        </w:rPr>
      </w:pPr>
      <w:r w:rsidRPr="0E95422E">
        <w:rPr>
          <w:rFonts w:ascii="Times New Roman" w:hAnsi="Times New Roman" w:cs="Times New Roman"/>
          <w:sz w:val="22"/>
          <w:szCs w:val="22"/>
          <w:lang w:eastAsia="en-GB"/>
        </w:rPr>
        <w:t xml:space="preserve">This report critically examines three contemporary HR challenges facing M&amp;S: adapting to technological advancements, attracting and retaining talented employees, and promoting diversity, equity and inclusion. It evaluates how contemporary HR practices, including digital HR systems, workforce analytics, employer branding, strategic workforce planning, inclusive recruitment and leadership development, can address these issues. The report also critically evaluates the role of departmental managers in implementing these practices effectively through accountable leadership, clear communication, performance monitoring and the development of an inclusive </w:t>
      </w:r>
      <w:proofErr w:type="gramStart"/>
      <w:r w:rsidRPr="0E95422E">
        <w:rPr>
          <w:rFonts w:ascii="Times New Roman" w:hAnsi="Times New Roman" w:cs="Times New Roman"/>
          <w:sz w:val="22"/>
          <w:szCs w:val="22"/>
          <w:lang w:eastAsia="en-GB"/>
        </w:rPr>
        <w:t xml:space="preserve">organisational </w:t>
      </w:r>
      <w:r w:rsidR="00CC157A">
        <w:rPr>
          <w:rFonts w:ascii="Times New Roman" w:hAnsi="Times New Roman" w:cs="Times New Roman"/>
          <w:sz w:val="22"/>
          <w:szCs w:val="22"/>
          <w:lang w:eastAsia="en-GB"/>
        </w:rPr>
        <w:t xml:space="preserve"> </w:t>
      </w:r>
      <w:r w:rsidRPr="0E95422E">
        <w:rPr>
          <w:rFonts w:ascii="Times New Roman" w:hAnsi="Times New Roman" w:cs="Times New Roman"/>
          <w:sz w:val="22"/>
          <w:szCs w:val="22"/>
          <w:lang w:eastAsia="en-GB"/>
        </w:rPr>
        <w:t>culture</w:t>
      </w:r>
      <w:proofErr w:type="gramEnd"/>
      <w:r w:rsidRPr="0E95422E">
        <w:rPr>
          <w:rFonts w:ascii="Times New Roman" w:hAnsi="Times New Roman" w:cs="Times New Roman"/>
          <w:sz w:val="22"/>
          <w:szCs w:val="22"/>
          <w:lang w:eastAsia="en-GB"/>
        </w:rPr>
        <w:t>. Finally, practical recommendations are provided to strengthen HR effectiveness and support M&amp;S’s long-term strategic objectives.</w:t>
      </w:r>
    </w:p>
    <w:p w14:paraId="14DFC4E5" w14:textId="77777777" w:rsidR="007D2BC6" w:rsidRDefault="007D2BC6" w:rsidP="0E95422E">
      <w:pPr>
        <w:rPr>
          <w:rFonts w:hint="eastAsia"/>
          <w:sz w:val="22"/>
          <w:szCs w:val="22"/>
        </w:rPr>
      </w:pPr>
    </w:p>
    <w:p w14:paraId="1A4D0ED7" w14:textId="03A22AC3" w:rsidR="005A33CC" w:rsidRDefault="005A33CC" w:rsidP="0E95422E">
      <w:pPr>
        <w:rPr>
          <w:rFonts w:hint="eastAsia"/>
          <w:sz w:val="22"/>
          <w:szCs w:val="22"/>
        </w:rPr>
      </w:pPr>
    </w:p>
    <w:p w14:paraId="61E121F2" w14:textId="5343ADAA" w:rsidR="00F46B78" w:rsidRDefault="00F46B78">
      <w:pPr>
        <w:rPr>
          <w:rFonts w:hint="eastAsia"/>
        </w:rPr>
      </w:pPr>
    </w:p>
    <w:p w14:paraId="596D36BF" w14:textId="090CFD65" w:rsidR="6634C3AE" w:rsidRDefault="6634C3AE" w:rsidP="6634C3AE">
      <w:pPr>
        <w:spacing w:beforeAutospacing="1" w:afterAutospacing="1" w:line="240" w:lineRule="auto"/>
        <w:outlineLvl w:val="1"/>
        <w:rPr>
          <w:rFonts w:ascii="Times New Roman" w:eastAsia="Times New Roman" w:hAnsi="Times New Roman" w:cs="Times New Roman"/>
          <w:b/>
          <w:bCs/>
          <w:sz w:val="36"/>
          <w:szCs w:val="36"/>
          <w:lang w:eastAsia="en-GB"/>
        </w:rPr>
      </w:pPr>
    </w:p>
    <w:p w14:paraId="1253B4CB" w14:textId="77777777" w:rsidR="00F46B78" w:rsidRPr="00F46B78" w:rsidRDefault="00F46B78" w:rsidP="00F46B78">
      <w:pPr>
        <w:spacing w:before="100" w:beforeAutospacing="1" w:after="100" w:afterAutospacing="1" w:line="240" w:lineRule="auto"/>
        <w:outlineLvl w:val="1"/>
        <w:rPr>
          <w:rFonts w:ascii="Times New Roman" w:eastAsia="Times New Roman" w:hAnsi="Times New Roman" w:cs="Times New Roman"/>
          <w:b/>
          <w:bCs/>
          <w:sz w:val="36"/>
          <w:szCs w:val="36"/>
          <w:lang w:eastAsia="en-GB"/>
        </w:rPr>
      </w:pPr>
      <w:r w:rsidRPr="00F46B78">
        <w:rPr>
          <w:rFonts w:ascii="Times New Roman" w:eastAsia="Times New Roman" w:hAnsi="Times New Roman" w:cs="Times New Roman"/>
          <w:b/>
          <w:bCs/>
          <w:sz w:val="36"/>
          <w:szCs w:val="36"/>
          <w:lang w:eastAsia="en-GB"/>
        </w:rPr>
        <w:t>1. Explanation of Key Factors</w:t>
      </w:r>
    </w:p>
    <w:p w14:paraId="304B8A57" w14:textId="5FE163FE" w:rsidR="00F46B78" w:rsidRPr="00F46B78" w:rsidRDefault="69BADFD1" w:rsidP="0E95422E">
      <w:pPr>
        <w:spacing w:before="100" w:beforeAutospacing="1" w:after="100" w:afterAutospacing="1" w:line="240" w:lineRule="auto"/>
        <w:rPr>
          <w:rFonts w:ascii="Times New Roman" w:hAnsi="Times New Roman" w:cs="Times New Roman"/>
          <w:sz w:val="22"/>
          <w:szCs w:val="22"/>
          <w:lang w:eastAsia="en-GB"/>
        </w:rPr>
      </w:pPr>
      <w:r w:rsidRPr="0E95422E">
        <w:rPr>
          <w:rFonts w:ascii="Times New Roman" w:hAnsi="Times New Roman" w:cs="Times New Roman"/>
          <w:sz w:val="22"/>
          <w:szCs w:val="22"/>
          <w:lang w:eastAsia="en-GB"/>
        </w:rPr>
        <w:t>Marks &amp; Spencer (M&amp;S) operates in a highly competitive UK retail market where customer expectations, digital innovation and workforce demographics continue to evolve. As a result, the organisation faces several interconnected human resource challenges that influence business performance, employee engagement and long-term sustainability. Three of the most significant challenges are adapting to technological advancements, attracting and retaining talented employees, and creating a diverse, equitable and inclusive workplace. Addressing these issues strategically is essential for maintaining M&amp;S’s competitive position and supporting its long-term transformation.</w:t>
      </w:r>
    </w:p>
    <w:p w14:paraId="5D070717" w14:textId="19EB661E" w:rsidR="00F46B78" w:rsidRPr="00F46B78" w:rsidRDefault="69BADFD1" w:rsidP="0E95422E">
      <w:pPr>
        <w:spacing w:before="100" w:beforeAutospacing="1" w:after="100" w:afterAutospacing="1" w:line="240" w:lineRule="auto"/>
        <w:rPr>
          <w:rFonts w:ascii="Times New Roman" w:hAnsi="Times New Roman" w:cs="Times New Roman"/>
          <w:sz w:val="22"/>
          <w:szCs w:val="22"/>
          <w:lang w:eastAsia="en-GB"/>
        </w:rPr>
      </w:pPr>
      <w:r w:rsidRPr="0E95422E">
        <w:rPr>
          <w:rFonts w:ascii="Times New Roman" w:hAnsi="Times New Roman" w:cs="Times New Roman"/>
          <w:sz w:val="22"/>
          <w:szCs w:val="22"/>
          <w:lang w:eastAsia="en-GB"/>
        </w:rPr>
        <w:t xml:space="preserve">One of the most significant challenges facing M&amp;S is adapting to technological advancements. The company has invested heavily in digital transformation by expanding its online retail platform, improving supply chain technology and using data to enhance customer experience. While these developments improve operational efficiency and competitiveness, they also require employees to develop new digital skills and adapt to changing ways of working. Human Resource Management therefore plays a vital role in ensuring employees receive appropriate training, continuous learning opportunities and support throughout organisational change. According to the Chartered Institute of Personnel and Development (CIPD, 2024), organisations that invest in digital capability are better positioned to improve productivity and employee performance. However, technological change may also create uncertainty among employees, particularly those who lack confidence in using new systems or fear that automation could reduce job security. From the perspective of Lewin’s Change Management Model (Lewin, 1951), successful digital transformation depends on preparing employees for change, supporting them </w:t>
      </w:r>
      <w:r w:rsidR="001D0334">
        <w:rPr>
          <w:rFonts w:ascii="Times New Roman" w:hAnsi="Times New Roman" w:cs="Times New Roman"/>
          <w:sz w:val="22"/>
          <w:szCs w:val="22"/>
          <w:lang w:eastAsia="en-GB"/>
        </w:rPr>
        <w:t xml:space="preserve"> </w:t>
      </w:r>
      <w:r w:rsidR="001C7170">
        <w:rPr>
          <w:rFonts w:ascii="Times New Roman" w:hAnsi="Times New Roman" w:cs="Times New Roman"/>
          <w:sz w:val="22"/>
          <w:szCs w:val="22"/>
          <w:lang w:eastAsia="en-GB"/>
        </w:rPr>
        <w:t xml:space="preserve"> </w:t>
      </w:r>
      <w:r w:rsidRPr="0E95422E">
        <w:rPr>
          <w:rFonts w:ascii="Times New Roman" w:hAnsi="Times New Roman" w:cs="Times New Roman"/>
          <w:sz w:val="22"/>
          <w:szCs w:val="22"/>
          <w:lang w:eastAsia="en-GB"/>
        </w:rPr>
        <w:t xml:space="preserve">during implementation and reinforcing new behaviours to achieve lasting organisational improvements. Consequently, technology should be viewed not only as an </w:t>
      </w:r>
      <w:r w:rsidRPr="0E95422E">
        <w:rPr>
          <w:rFonts w:ascii="Times New Roman" w:hAnsi="Times New Roman" w:cs="Times New Roman"/>
          <w:sz w:val="22"/>
          <w:szCs w:val="22"/>
          <w:lang w:eastAsia="en-GB"/>
        </w:rPr>
        <w:lastRenderedPageBreak/>
        <w:t>operational investment but also as a people management challenge requiring effective leadership and HR support.</w:t>
      </w:r>
    </w:p>
    <w:p w14:paraId="71A7F53D" w14:textId="77777777" w:rsidR="00F46B78" w:rsidRPr="00F46B78" w:rsidRDefault="69BADFD1" w:rsidP="0E95422E">
      <w:pPr>
        <w:spacing w:before="100" w:beforeAutospacing="1" w:after="100" w:afterAutospacing="1" w:line="240" w:lineRule="auto"/>
        <w:rPr>
          <w:rFonts w:ascii="Times New Roman" w:hAnsi="Times New Roman" w:cs="Times New Roman"/>
          <w:sz w:val="22"/>
          <w:szCs w:val="22"/>
          <w:lang w:eastAsia="en-GB"/>
        </w:rPr>
      </w:pPr>
      <w:r w:rsidRPr="0E95422E">
        <w:rPr>
          <w:rFonts w:ascii="Times New Roman" w:hAnsi="Times New Roman" w:cs="Times New Roman"/>
          <w:sz w:val="22"/>
          <w:szCs w:val="22"/>
          <w:lang w:eastAsia="en-GB"/>
        </w:rPr>
        <w:t>A second challenge is attracting and retaining talented employees in an increasingly competitive labour market. The retail sector continues to experience recruitment difficulties, high employee turnover and increasing expectations regarding career development, wellbeing and flexible working arrangements. Although M&amp;S has strengthened its employer reputation through investment in employee development and modern working practices, retaining skilled employees remains a strategic priority because high turnover increases recruitment costs, disrupts customer service and reduces organisational knowledge. The Resource-Based View (Barney, 1991) suggests that employees represent a valuable strategic resource capable of creating sustained competitive advantage when organisations successfully develop and retain their skills. Nevertheless, competitive salaries alone are unlikely to secure long-term commitment. Recent research indicates that employees increasingly value meaningful work, opportunities for career progression, supportive leadership and recognition alongside financial rewards (CIPD, 2024). This demonstrates that talent management requires an integrated approach combining recruitment, learning and development, employee wellbeing and career planning rather than relying on isolated HR initiatives.</w:t>
      </w:r>
    </w:p>
    <w:p w14:paraId="537816FA" w14:textId="77777777" w:rsidR="00F46B78" w:rsidRPr="00F46B78" w:rsidRDefault="69BADFD1" w:rsidP="0E95422E">
      <w:pPr>
        <w:spacing w:before="100" w:beforeAutospacing="1" w:after="100" w:afterAutospacing="1" w:line="240" w:lineRule="auto"/>
        <w:rPr>
          <w:rFonts w:ascii="Times New Roman" w:hAnsi="Times New Roman" w:cs="Times New Roman"/>
          <w:sz w:val="22"/>
          <w:szCs w:val="22"/>
          <w:lang w:eastAsia="en-GB"/>
        </w:rPr>
      </w:pPr>
      <w:r w:rsidRPr="0E95422E">
        <w:rPr>
          <w:rFonts w:ascii="Times New Roman" w:hAnsi="Times New Roman" w:cs="Times New Roman"/>
          <w:sz w:val="22"/>
          <w:szCs w:val="22"/>
          <w:lang w:eastAsia="en-GB"/>
        </w:rPr>
        <w:t>The third challenge concerns diversity, equity and inclusion (DEI), which has become increasingly important for organisations operating within diverse customer and employee populations. For M&amp;S, promoting an inclusive workplace extends beyond meeting legal obligations under the Equality Act 2010; it contributes to innovation, employee engagement and stronger organisational performance. A diverse workforce introduces broader perspectives that can improve problem-solving and decision-making while enabling the organisation to better understand the needs of its diverse customer base. However, achieving meaningful inclusion requires more than increasing workforce diversity. Employees must also experience equitable access to opportunities, fair treatment and a genuine sense of belonging. Research suggests that organisations with inclusive cultures often experience higher employee engagement, stronger collaboration and improved organisational performance (Shore et al., 2022). Conversely, where inclusion is not embedded within leadership practices, diversity initiatives may be perceived as symbolic rather than meaningful, reducing employee trust and limiting their effectiveness. Therefore, HR policies should be supported by inclusive leadership behaviours and consistent managerial accountability to ensure DEI contributes to sustainable organisational success.</w:t>
      </w:r>
    </w:p>
    <w:p w14:paraId="41164B5D" w14:textId="77777777" w:rsidR="00F46B78" w:rsidRPr="00F46B78" w:rsidRDefault="69BADFD1" w:rsidP="0E95422E">
      <w:pPr>
        <w:spacing w:before="100" w:beforeAutospacing="1" w:after="100" w:afterAutospacing="1" w:line="240" w:lineRule="auto"/>
        <w:rPr>
          <w:rFonts w:ascii="Times New Roman" w:hAnsi="Times New Roman" w:cs="Times New Roman"/>
          <w:sz w:val="22"/>
          <w:szCs w:val="22"/>
          <w:lang w:eastAsia="en-GB"/>
        </w:rPr>
      </w:pPr>
      <w:r w:rsidRPr="0E95422E">
        <w:rPr>
          <w:rFonts w:ascii="Times New Roman" w:hAnsi="Times New Roman" w:cs="Times New Roman"/>
          <w:sz w:val="22"/>
          <w:szCs w:val="22"/>
          <w:lang w:eastAsia="en-GB"/>
        </w:rPr>
        <w:t>Overall, these three challenges are closely connected. Technological change influences the skills employees require, talent shortages affect the organisation’s ability to achieve strategic objectives, and inclusive workplaces strengthen both employee retention and organisational performance. For M&amp;S, responding effectively to these challenges requires HR to adopt strategic and evidence-based approaches that balance operational efficiency with employee wellbeing and organisational sustainability.</w:t>
      </w:r>
    </w:p>
    <w:p w14:paraId="76E4B376" w14:textId="77777777" w:rsidR="00F46B78" w:rsidRDefault="00F46B78">
      <w:pPr>
        <w:rPr>
          <w:rFonts w:hint="eastAsia"/>
        </w:rPr>
      </w:pPr>
    </w:p>
    <w:p w14:paraId="16DC1B66" w14:textId="77777777" w:rsidR="00F46B78" w:rsidRDefault="00F46B78">
      <w:pPr>
        <w:rPr>
          <w:rFonts w:hint="eastAsia"/>
        </w:rPr>
      </w:pPr>
    </w:p>
    <w:p w14:paraId="32D8B910" w14:textId="325947BF" w:rsidR="00F46B78" w:rsidRDefault="000B464D">
      <w:pPr>
        <w:rPr>
          <w:rFonts w:hint="eastAsia"/>
        </w:rPr>
      </w:pPr>
      <w:r>
        <w:t xml:space="preserve"> </w:t>
      </w:r>
    </w:p>
    <w:p w14:paraId="25918A4F" w14:textId="77777777" w:rsidR="00F46B78" w:rsidRDefault="00F46B78">
      <w:pPr>
        <w:rPr>
          <w:rFonts w:hint="eastAsia"/>
        </w:rPr>
      </w:pPr>
    </w:p>
    <w:p w14:paraId="3680A892" w14:textId="77777777" w:rsidR="0087577F" w:rsidRDefault="0087577F">
      <w:pPr>
        <w:rPr>
          <w:rFonts w:hint="eastAsia"/>
        </w:rPr>
      </w:pPr>
    </w:p>
    <w:p w14:paraId="3A94E137" w14:textId="7180178E" w:rsidR="0E95422E" w:rsidRDefault="0E95422E">
      <w:pPr>
        <w:rPr>
          <w:rFonts w:hint="eastAsia"/>
        </w:rPr>
      </w:pPr>
    </w:p>
    <w:p w14:paraId="35647105" w14:textId="77777777" w:rsidR="0087577F" w:rsidRDefault="0087577F">
      <w:pPr>
        <w:rPr>
          <w:rFonts w:hint="eastAsia"/>
        </w:rPr>
      </w:pPr>
    </w:p>
    <w:p w14:paraId="68850095" w14:textId="152CB977" w:rsidR="000855C4" w:rsidRDefault="000855C4">
      <w:pPr>
        <w:pStyle w:val="p1"/>
        <w:rPr>
          <w:rStyle w:val="s1"/>
        </w:rPr>
      </w:pPr>
    </w:p>
    <w:p w14:paraId="3847E090" w14:textId="0F7E3B91" w:rsidR="00551451" w:rsidRDefault="004C77E3">
      <w:pPr>
        <w:pStyle w:val="p1"/>
        <w:rPr>
          <w:b/>
          <w:bCs/>
          <w:sz w:val="36"/>
          <w:szCs w:val="36"/>
        </w:rPr>
      </w:pPr>
      <w:r w:rsidRPr="7F251FC5">
        <w:rPr>
          <w:b/>
          <w:bCs/>
          <w:sz w:val="36"/>
          <w:szCs w:val="36"/>
        </w:rPr>
        <w:t>2</w:t>
      </w:r>
      <w:r w:rsidR="0087577F" w:rsidRPr="7F251FC5">
        <w:rPr>
          <w:b/>
          <w:bCs/>
          <w:sz w:val="36"/>
          <w:szCs w:val="36"/>
        </w:rPr>
        <w:t xml:space="preserve">. </w:t>
      </w:r>
      <w:r w:rsidR="00551451" w:rsidRPr="7F251FC5">
        <w:rPr>
          <w:b/>
          <w:bCs/>
          <w:sz w:val="36"/>
          <w:szCs w:val="36"/>
        </w:rPr>
        <w:t xml:space="preserve">Evaluation of Contemporary HR Practices </w:t>
      </w:r>
    </w:p>
    <w:p w14:paraId="2D87658F" w14:textId="77777777" w:rsidR="00551451" w:rsidRDefault="00551451">
      <w:pPr>
        <w:pStyle w:val="p1"/>
      </w:pPr>
    </w:p>
    <w:p w14:paraId="51743456" w14:textId="77777777" w:rsidR="000855C4" w:rsidRDefault="000855C4">
      <w:pPr>
        <w:pStyle w:val="p2"/>
      </w:pPr>
      <w:r>
        <w:rPr>
          <w:rStyle w:val="s2"/>
        </w:rPr>
        <w:t>To address the challenges of technological advancement, talent acquisition and retention, and diversity, equity and inclusion (DEI), Marks &amp; Spencer (M&amp;S) must adopt contemporary HR practices that align with its long-term business strategy. Contemporary HR practices are modern, evidence-based approaches that enable organisations to improve workforce performance, employee experience and organisational resilience. However, no single HR practice is sufficient on its own. Their effectiveness depends on how well they are integrated into organisational strategy, supported by leadership and adapted to the changing needs of employees.</w:t>
      </w:r>
    </w:p>
    <w:p w14:paraId="54A5007A" w14:textId="2534611A" w:rsidR="00831E56" w:rsidRDefault="2AE4F0A3" w:rsidP="0E95422E">
      <w:pPr>
        <w:pStyle w:val="p3"/>
        <w:rPr>
          <w:rStyle w:val="s2"/>
          <w:sz w:val="22"/>
          <w:szCs w:val="22"/>
        </w:rPr>
      </w:pPr>
      <w:r w:rsidRPr="0E95422E">
        <w:rPr>
          <w:rStyle w:val="s2"/>
        </w:rPr>
        <w:t xml:space="preserve">One contemporary HR practice that supports technological advancement is the use of </w:t>
      </w:r>
      <w:r w:rsidRPr="0E95422E">
        <w:rPr>
          <w:rStyle w:val="s3"/>
        </w:rPr>
        <w:t>digital HR systems and workforce analytics</w:t>
      </w:r>
      <w:r w:rsidRPr="0E95422E">
        <w:rPr>
          <w:rStyle w:val="s2"/>
        </w:rPr>
        <w:t xml:space="preserve">. Digital HR systems are technology-based platforms </w:t>
      </w:r>
      <w:r w:rsidRPr="0E95422E">
        <w:rPr>
          <w:rStyle w:val="s2"/>
          <w:sz w:val="22"/>
          <w:szCs w:val="22"/>
        </w:rPr>
        <w:t>used to manage recruitment, onboarding, training, performance management and employee records more efficiently. Workforce analytics complements these systems by analysing employee data to identify trends, predict future workforce needs and support evidence-based decision-making (CIPD, 2024). For M&amp;S, these practices can improve workforce planning, identify digital skills gaps and enable HR professionals to make faster and more informed decisions. Compared with traditional HR administration, digital systems reduce administrative workload and provide real-time information that supports organisational agility. However, relying heavily on technology may create unintended consequences. Automated recruitment systems can unintentionally reinforce existing bias if algorithms are trained using historical recruitment data that does not reflect workforce diversity (Brougham and Haar, 2022). In addition, employees may have concerns regarding data privacy and increased workplace monitoring. Therefore, although digital HR systems enhance efficiency, they should complement rather than replace professional judgement. Combining workforce analytics with ethical oversight and transparent communication is likely to produce more balanced and sustainable outcomes.</w:t>
      </w:r>
    </w:p>
    <w:p w14:paraId="77B47AF9" w14:textId="66B29444" w:rsidR="0E95422E" w:rsidRDefault="0E95422E" w:rsidP="0E95422E">
      <w:pPr>
        <w:pStyle w:val="p3"/>
        <w:rPr>
          <w:rStyle w:val="s2"/>
          <w:sz w:val="22"/>
          <w:szCs w:val="22"/>
        </w:rPr>
      </w:pPr>
    </w:p>
    <w:p w14:paraId="09B1BCD3" w14:textId="09FADFC3" w:rsidR="00831E56" w:rsidRDefault="7FD63D7F" w:rsidP="0E95422E">
      <w:pPr>
        <w:pStyle w:val="p1"/>
        <w:rPr>
          <w:rStyle w:val="s1"/>
          <w:sz w:val="22"/>
          <w:szCs w:val="22"/>
        </w:rPr>
      </w:pPr>
      <w:r w:rsidRPr="0E95422E">
        <w:rPr>
          <w:sz w:val="22"/>
          <w:szCs w:val="22"/>
        </w:rPr>
        <w:t xml:space="preserve">To strengthen </w:t>
      </w:r>
      <w:r w:rsidRPr="0E95422E">
        <w:rPr>
          <w:rStyle w:val="s2"/>
          <w:b/>
          <w:bCs/>
          <w:sz w:val="22"/>
          <w:szCs w:val="22"/>
        </w:rPr>
        <w:t>talent acquisition and retention</w:t>
      </w:r>
      <w:r w:rsidRPr="0E95422E">
        <w:rPr>
          <w:rStyle w:val="s1"/>
          <w:sz w:val="22"/>
          <w:szCs w:val="22"/>
        </w:rPr>
        <w:t xml:space="preserve">, M&amp;S can utilise </w:t>
      </w:r>
      <w:r w:rsidRPr="0E95422E">
        <w:rPr>
          <w:rStyle w:val="s2"/>
          <w:b/>
          <w:bCs/>
          <w:sz w:val="22"/>
          <w:szCs w:val="22"/>
        </w:rPr>
        <w:t>employer branding</w:t>
      </w:r>
      <w:r w:rsidRPr="0E95422E">
        <w:rPr>
          <w:rStyle w:val="s1"/>
          <w:sz w:val="22"/>
          <w:szCs w:val="22"/>
        </w:rPr>
        <w:t xml:space="preserve"> alongside </w:t>
      </w:r>
      <w:r w:rsidRPr="0E95422E">
        <w:rPr>
          <w:rStyle w:val="s2"/>
          <w:b/>
          <w:bCs/>
          <w:sz w:val="22"/>
          <w:szCs w:val="22"/>
        </w:rPr>
        <w:t>strategic workforce planning</w:t>
      </w:r>
      <w:r w:rsidRPr="0E95422E">
        <w:rPr>
          <w:rStyle w:val="s1"/>
          <w:sz w:val="22"/>
          <w:szCs w:val="22"/>
        </w:rPr>
        <w:t xml:space="preserve">. Employer branding refers to the organisation’s reputation as an employer and the value it offers current and prospective employees through career development, organisational culture and employee benefits. Strategic workforce planning is the systematic process of identifying future workforce requirements and ensuring the organisation has the necessary skills to achieve its strategic objectives </w:t>
      </w:r>
      <w:r w:rsidRPr="0E95422E">
        <w:rPr>
          <w:rStyle w:val="s2"/>
          <w:sz w:val="22"/>
          <w:szCs w:val="22"/>
        </w:rPr>
        <w:t>Armstrong and Taylor, 2023</w:t>
      </w:r>
      <w:r w:rsidRPr="0E95422E">
        <w:rPr>
          <w:rStyle w:val="s1"/>
          <w:sz w:val="22"/>
          <w:szCs w:val="22"/>
        </w:rPr>
        <w:t xml:space="preserve">. Together, these practices enable M&amp;S to attract high-quality candidates while preparing for future workforce demands created by technological and organisational change. Nevertheless, employer branding alone is unlikely to resolve recruitment and retention challenges. Research indicates that employees increasingly prioritise meaningful work, flexible working arrangements, wellbeing initiatives and opportunities for career progression over organisational reputation alone </w:t>
      </w:r>
      <w:r w:rsidRPr="0E95422E">
        <w:rPr>
          <w:rStyle w:val="s2"/>
          <w:sz w:val="22"/>
          <w:szCs w:val="22"/>
        </w:rPr>
        <w:t>CIPD, 2024</w:t>
      </w:r>
      <w:r w:rsidRPr="0E95422E">
        <w:rPr>
          <w:rStyle w:val="s1"/>
          <w:sz w:val="22"/>
          <w:szCs w:val="22"/>
        </w:rPr>
        <w:t>. Consequently, organisations that invest heavily in marketing themselves as attractive employers without improving the employee experience may struggle to retain talented staff. Strategic workforce planning offers a more proactive approach because it identifies future skills shortages before they become operational risks. However, workforce planning relies heavily on accurate forecasting, which may become less reliable during periods of economic uncertainty or rapid market change. This suggests that M&amp;S should combine workforce planning with regular labour market analysis and continuous employee feedback to remain responsive to changing workforce expectations.</w:t>
      </w:r>
    </w:p>
    <w:p w14:paraId="3E76262E" w14:textId="4BD96865" w:rsidR="0E95422E" w:rsidRDefault="0E95422E" w:rsidP="0E95422E">
      <w:pPr>
        <w:pStyle w:val="p1"/>
        <w:rPr>
          <w:rStyle w:val="s1"/>
          <w:sz w:val="22"/>
          <w:szCs w:val="22"/>
        </w:rPr>
      </w:pPr>
    </w:p>
    <w:p w14:paraId="02A5A147" w14:textId="3019582B" w:rsidR="00831E56" w:rsidRDefault="7FD63D7F" w:rsidP="0E95422E">
      <w:pPr>
        <w:pStyle w:val="p1"/>
        <w:rPr>
          <w:rStyle w:val="s1"/>
          <w:sz w:val="22"/>
          <w:szCs w:val="22"/>
        </w:rPr>
      </w:pPr>
      <w:r w:rsidRPr="0E95422E">
        <w:rPr>
          <w:sz w:val="22"/>
          <w:szCs w:val="22"/>
        </w:rPr>
        <w:t xml:space="preserve">Addressing </w:t>
      </w:r>
      <w:r w:rsidRPr="0E95422E">
        <w:rPr>
          <w:rStyle w:val="s2"/>
          <w:b/>
          <w:bCs/>
          <w:sz w:val="22"/>
          <w:szCs w:val="22"/>
        </w:rPr>
        <w:t>diversity, equity and inclusion</w:t>
      </w:r>
      <w:r w:rsidRPr="0E95422E">
        <w:rPr>
          <w:rStyle w:val="s1"/>
          <w:sz w:val="22"/>
          <w:szCs w:val="22"/>
        </w:rPr>
        <w:t xml:space="preserve"> </w:t>
      </w:r>
      <w:r w:rsidR="074B5E7B" w:rsidRPr="0E95422E">
        <w:rPr>
          <w:rStyle w:val="s1"/>
          <w:sz w:val="22"/>
          <w:szCs w:val="22"/>
        </w:rPr>
        <w:t>require</w:t>
      </w:r>
      <w:r w:rsidRPr="0E95422E">
        <w:rPr>
          <w:rStyle w:val="s1"/>
          <w:sz w:val="22"/>
          <w:szCs w:val="22"/>
        </w:rPr>
        <w:t xml:space="preserve"> a combination of </w:t>
      </w:r>
      <w:r w:rsidRPr="0E95422E">
        <w:rPr>
          <w:rStyle w:val="s2"/>
          <w:b/>
          <w:bCs/>
          <w:sz w:val="22"/>
          <w:szCs w:val="22"/>
        </w:rPr>
        <w:t>inclusive recruitment practices</w:t>
      </w:r>
      <w:r w:rsidRPr="0E95422E">
        <w:rPr>
          <w:rStyle w:val="s1"/>
          <w:sz w:val="22"/>
          <w:szCs w:val="22"/>
        </w:rPr>
        <w:t xml:space="preserve">, </w:t>
      </w:r>
      <w:r w:rsidRPr="0E95422E">
        <w:rPr>
          <w:rStyle w:val="s2"/>
          <w:b/>
          <w:bCs/>
          <w:sz w:val="22"/>
          <w:szCs w:val="22"/>
        </w:rPr>
        <w:t>DEI policies</w:t>
      </w:r>
      <w:r w:rsidRPr="0E95422E">
        <w:rPr>
          <w:rStyle w:val="s1"/>
          <w:sz w:val="22"/>
          <w:szCs w:val="22"/>
        </w:rPr>
        <w:t xml:space="preserve"> and </w:t>
      </w:r>
      <w:r w:rsidRPr="0E95422E">
        <w:rPr>
          <w:rStyle w:val="s2"/>
          <w:b/>
          <w:bCs/>
          <w:sz w:val="22"/>
          <w:szCs w:val="22"/>
        </w:rPr>
        <w:t>leadership development initiatives</w:t>
      </w:r>
      <w:r w:rsidRPr="0E95422E">
        <w:rPr>
          <w:rStyle w:val="s1"/>
          <w:sz w:val="22"/>
          <w:szCs w:val="22"/>
        </w:rPr>
        <w:t xml:space="preserve">. Inclusive recruitment involves designing recruitment and selection processes that reduce bias and encourage applications from individuals with diverse backgrounds. DEI policies establish organisational expectations regarding equality, fairness and inclusion, while leadership development equips managers with the knowledge and skills needed to promote inclusive behaviours across the organisation. These practices are particularly important for M&amp;S because its workforce and customer base reflect the diversity of modern UK society. Inclusive recruitment can broaden the organisation’s talent pool and improve creativity by introducing a wider range of perspectives. Leadership development also increases managerial capability to recognise unconscious bias, support equitable career progression and foster psychological safety within teams. However, implementing DEI initiatives without meaningful cultural change may produce limited results. Some organisations focus primarily on diversity targets while overlooking whether employees genuinely feel respected, included and able to progress. Such approaches risk being perceived as symbolic rather than transformational. Alternative approaches that prioritise inclusive leadership, employee voice and accountability are generally more sustainable because they address the underlying organisational culture rather than relying solely on compliance-based policies </w:t>
      </w:r>
      <w:r w:rsidRPr="0E95422E">
        <w:rPr>
          <w:rStyle w:val="s2"/>
          <w:sz w:val="22"/>
          <w:szCs w:val="22"/>
        </w:rPr>
        <w:t>Shore et al\., 2022</w:t>
      </w:r>
      <w:r w:rsidRPr="0E95422E">
        <w:rPr>
          <w:rStyle w:val="s1"/>
          <w:sz w:val="22"/>
          <w:szCs w:val="22"/>
        </w:rPr>
        <w:t>. Therefore, the long-term success of DEI at M&amp;S depends not only on recruitment practices but also on embedding inclusion into everyday management decisions and organisational values.</w:t>
      </w:r>
    </w:p>
    <w:p w14:paraId="393ABABC" w14:textId="77777777" w:rsidR="00B11992" w:rsidRDefault="57F1276A" w:rsidP="0E95422E">
      <w:pPr>
        <w:pStyle w:val="p1"/>
        <w:rPr>
          <w:sz w:val="22"/>
          <w:szCs w:val="22"/>
        </w:rPr>
      </w:pPr>
      <w:r w:rsidRPr="0E95422E">
        <w:rPr>
          <w:sz w:val="22"/>
          <w:szCs w:val="22"/>
        </w:rPr>
        <w:t>Overall, contemporary HR practices provide M&amp;S with effective mechanisms for responding to evolving workforce challenges. Nevertheless, each practice has strengths and limitations, and their effectiveness depends on how they interact with one another. Digital HR systems improve efficiency but require ethical governance; employer branding attracts talent but must be supported by genuine employee development; and DEI initiatives are most successful when leadership behaviours reinforce organisational policies. Consequently, an integrated HR strategy that combines technology, workforce planning and inclusive leadership is likely to provide more sustainable organisational outcomes than relying on individual HR interventions in isolation.</w:t>
      </w:r>
    </w:p>
    <w:p w14:paraId="6423B230" w14:textId="77777777" w:rsidR="00F46B78" w:rsidRDefault="00F46B78" w:rsidP="0E95422E">
      <w:pPr>
        <w:rPr>
          <w:rFonts w:hint="eastAsia"/>
          <w:sz w:val="22"/>
          <w:szCs w:val="22"/>
        </w:rPr>
      </w:pPr>
    </w:p>
    <w:p w14:paraId="23A145C6" w14:textId="73E0C37F" w:rsidR="71601E1C" w:rsidRDefault="71601E1C" w:rsidP="0E95422E">
      <w:pPr>
        <w:rPr>
          <w:rFonts w:hint="eastAsia"/>
          <w:sz w:val="22"/>
          <w:szCs w:val="22"/>
        </w:rPr>
      </w:pPr>
    </w:p>
    <w:p w14:paraId="0F0E3017" w14:textId="1A6A5107" w:rsidR="71601E1C" w:rsidRDefault="71601E1C">
      <w:pPr>
        <w:rPr>
          <w:rFonts w:hint="eastAsia"/>
        </w:rPr>
      </w:pPr>
    </w:p>
    <w:p w14:paraId="7AABCDFB" w14:textId="4A700AD2" w:rsidR="71601E1C" w:rsidRDefault="71601E1C">
      <w:pPr>
        <w:rPr>
          <w:rFonts w:hint="eastAsia"/>
        </w:rPr>
      </w:pPr>
    </w:p>
    <w:p w14:paraId="25A10380" w14:textId="1AE44820" w:rsidR="71601E1C" w:rsidRDefault="71601E1C">
      <w:pPr>
        <w:rPr>
          <w:rFonts w:hint="eastAsia"/>
        </w:rPr>
      </w:pPr>
    </w:p>
    <w:p w14:paraId="1743E746" w14:textId="77777777" w:rsidR="004B10E2" w:rsidRDefault="004B10E2">
      <w:pPr>
        <w:rPr>
          <w:rFonts w:hint="eastAsia"/>
        </w:rPr>
      </w:pPr>
    </w:p>
    <w:p w14:paraId="2304A00A" w14:textId="77777777" w:rsidR="004B10E2" w:rsidRDefault="004B10E2">
      <w:pPr>
        <w:rPr>
          <w:rFonts w:hint="eastAsia"/>
        </w:rPr>
      </w:pPr>
    </w:p>
    <w:p w14:paraId="58C2EED6" w14:textId="77777777" w:rsidR="004B10E2" w:rsidRDefault="004B10E2">
      <w:pPr>
        <w:rPr>
          <w:rFonts w:hint="eastAsia"/>
        </w:rPr>
      </w:pPr>
    </w:p>
    <w:p w14:paraId="57582EB0" w14:textId="05F75817" w:rsidR="0E95422E" w:rsidRDefault="0E95422E">
      <w:pPr>
        <w:rPr>
          <w:rFonts w:hint="eastAsia"/>
        </w:rPr>
      </w:pPr>
    </w:p>
    <w:p w14:paraId="6940D0F0" w14:textId="39291EDB" w:rsidR="0E95422E" w:rsidRDefault="0E95422E">
      <w:pPr>
        <w:rPr>
          <w:rFonts w:hint="eastAsia"/>
        </w:rPr>
      </w:pPr>
    </w:p>
    <w:p w14:paraId="6EEAA7A5" w14:textId="7BCE1A91" w:rsidR="0E95422E" w:rsidRDefault="0E95422E">
      <w:pPr>
        <w:rPr>
          <w:rFonts w:hint="eastAsia"/>
        </w:rPr>
      </w:pPr>
    </w:p>
    <w:p w14:paraId="6B3E8E00" w14:textId="05FC1A88" w:rsidR="0E95422E" w:rsidRDefault="0E95422E">
      <w:pPr>
        <w:rPr>
          <w:rFonts w:hint="eastAsia"/>
        </w:rPr>
      </w:pPr>
    </w:p>
    <w:p w14:paraId="7DBDE020" w14:textId="0C7AABC5" w:rsidR="0E95422E" w:rsidRDefault="0E95422E">
      <w:pPr>
        <w:rPr>
          <w:rFonts w:hint="eastAsia"/>
        </w:rPr>
      </w:pPr>
    </w:p>
    <w:p w14:paraId="1C08AE5E" w14:textId="77777777" w:rsidR="004B10E2" w:rsidRPr="004B10E2" w:rsidRDefault="004B10E2" w:rsidP="004B10E2">
      <w:pPr>
        <w:spacing w:before="100" w:beforeAutospacing="1" w:after="100" w:afterAutospacing="1" w:line="240" w:lineRule="auto"/>
        <w:outlineLvl w:val="1"/>
        <w:rPr>
          <w:rFonts w:ascii="Times New Roman" w:eastAsia="Times New Roman" w:hAnsi="Times New Roman" w:cs="Times New Roman"/>
          <w:b/>
          <w:bCs/>
          <w:sz w:val="36"/>
          <w:szCs w:val="36"/>
          <w:lang w:eastAsia="en-GB"/>
        </w:rPr>
      </w:pPr>
      <w:r w:rsidRPr="004B10E2">
        <w:rPr>
          <w:rFonts w:ascii="Times New Roman" w:eastAsia="Times New Roman" w:hAnsi="Times New Roman" w:cs="Times New Roman"/>
          <w:b/>
          <w:bCs/>
          <w:sz w:val="36"/>
          <w:szCs w:val="36"/>
          <w:lang w:eastAsia="en-GB"/>
        </w:rPr>
        <w:t>3. Critical Evaluation of Managerial Implementation</w:t>
      </w:r>
    </w:p>
    <w:p w14:paraId="141603AC" w14:textId="77777777" w:rsidR="004B10E2" w:rsidRPr="004B10E2" w:rsidRDefault="660C4857" w:rsidP="0E95422E">
      <w:pPr>
        <w:spacing w:before="100" w:beforeAutospacing="1" w:after="100" w:afterAutospacing="1" w:line="240" w:lineRule="auto"/>
        <w:rPr>
          <w:rFonts w:ascii="Times New Roman" w:hAnsi="Times New Roman" w:cs="Times New Roman"/>
          <w:sz w:val="22"/>
          <w:szCs w:val="22"/>
          <w:lang w:eastAsia="en-GB"/>
        </w:rPr>
      </w:pPr>
      <w:r w:rsidRPr="0E95422E">
        <w:rPr>
          <w:rFonts w:ascii="Times New Roman" w:hAnsi="Times New Roman" w:cs="Times New Roman"/>
          <w:sz w:val="22"/>
          <w:szCs w:val="22"/>
          <w:lang w:eastAsia="en-GB"/>
        </w:rPr>
        <w:t>The successful implementation of contemporary HR practices depends not only on HR policies but also on the commitment and capability of departmental managers. While the HR department is responsible for developing policies and providing strategic direction, managers influence how these practices are experienced by employees on a day-to-day basis. At Marks &amp; Spencer (M&amp;S), managers play a critical role in embedding digital transformation, strengthening talent management and promoting diversity, equity and inclusion (DEI). However, implementation should be viewed as an ongoing leadership responsibility rather than a one-off organisational initiative.</w:t>
      </w:r>
    </w:p>
    <w:p w14:paraId="2B97A7D1" w14:textId="288F933B" w:rsidR="004B10E2" w:rsidRPr="004B10E2" w:rsidRDefault="660C4857" w:rsidP="0E95422E">
      <w:pPr>
        <w:spacing w:before="100" w:beforeAutospacing="1" w:after="100" w:afterAutospacing="1" w:line="240" w:lineRule="auto"/>
        <w:rPr>
          <w:rFonts w:ascii="Times New Roman" w:hAnsi="Times New Roman" w:cs="Times New Roman"/>
          <w:sz w:val="22"/>
          <w:szCs w:val="22"/>
          <w:lang w:eastAsia="en-GB"/>
        </w:rPr>
      </w:pPr>
      <w:r w:rsidRPr="0E95422E">
        <w:rPr>
          <w:rFonts w:ascii="Times New Roman" w:hAnsi="Times New Roman" w:cs="Times New Roman"/>
          <w:sz w:val="22"/>
          <w:szCs w:val="22"/>
          <w:lang w:eastAsia="en-GB"/>
        </w:rPr>
        <w:t xml:space="preserve">Leadership accountability is essential for ensuring HR practices achieve meaningful outcomes. Managers should be held accountable for implementing organisational objectives through measurable performance indicators such as employee engagement, staff retention, training completion and diversity outcomes. Holding </w:t>
      </w:r>
      <w:r w:rsidR="10DAD57A" w:rsidRPr="0E95422E">
        <w:rPr>
          <w:rFonts w:ascii="Times New Roman" w:hAnsi="Times New Roman" w:cs="Times New Roman"/>
          <w:sz w:val="22"/>
          <w:szCs w:val="22"/>
          <w:lang w:eastAsia="en-GB"/>
        </w:rPr>
        <w:t>leaders'</w:t>
      </w:r>
      <w:r w:rsidRPr="0E95422E">
        <w:rPr>
          <w:rFonts w:ascii="Times New Roman" w:hAnsi="Times New Roman" w:cs="Times New Roman"/>
          <w:sz w:val="22"/>
          <w:szCs w:val="22"/>
          <w:lang w:eastAsia="en-GB"/>
        </w:rPr>
        <w:t xml:space="preserve"> accountable increases</w:t>
      </w:r>
      <w:r w:rsidRPr="0E95422E">
        <w:rPr>
          <w:rFonts w:ascii="Times New Roman" w:hAnsi="Times New Roman" w:cs="Times New Roman"/>
          <w:lang w:eastAsia="en-GB"/>
        </w:rPr>
        <w:t xml:space="preserve"> </w:t>
      </w:r>
      <w:r w:rsidRPr="0E95422E">
        <w:rPr>
          <w:rFonts w:ascii="Times New Roman" w:hAnsi="Times New Roman" w:cs="Times New Roman"/>
          <w:sz w:val="22"/>
          <w:szCs w:val="22"/>
          <w:lang w:eastAsia="en-GB"/>
        </w:rPr>
        <w:t>consistency and reinforces the importance of people management as a strategic priority rather than an administrative responsibility. Nevertheless, accountability based solely on numerical targets can produce unintended consequences. For example, managers may focus on achieving recruitment or diversity targets without addressing whether employees feel valued, included or supported. This may create a compliance-focused culture instead of genuine organisational improvement. Consequently, performance measures should combine quantitative indicators with qualitative evidence, including employee surveys, feedback sessions and performance discussions, to provide a more balanced assessment of managerial effectiveness.</w:t>
      </w:r>
    </w:p>
    <w:p w14:paraId="740DB797" w14:textId="77777777" w:rsidR="004B10E2" w:rsidRPr="004B10E2" w:rsidRDefault="660C4857" w:rsidP="0E95422E">
      <w:pPr>
        <w:spacing w:before="100" w:beforeAutospacing="1" w:after="100" w:afterAutospacing="1" w:line="240" w:lineRule="auto"/>
        <w:rPr>
          <w:rFonts w:ascii="Times New Roman" w:hAnsi="Times New Roman" w:cs="Times New Roman"/>
          <w:sz w:val="22"/>
          <w:szCs w:val="22"/>
          <w:lang w:eastAsia="en-GB"/>
        </w:rPr>
      </w:pPr>
      <w:r w:rsidRPr="0E95422E">
        <w:rPr>
          <w:rFonts w:ascii="Times New Roman" w:hAnsi="Times New Roman" w:cs="Times New Roman"/>
          <w:sz w:val="22"/>
          <w:szCs w:val="22"/>
          <w:lang w:eastAsia="en-GB"/>
        </w:rPr>
        <w:t>Effective communication is equally important during organisational change. M&amp;S continues to invest in digital technologies that alter working practices and require employees to develop new skills. Poor communication during such transitions may increase uncertainty, reduce trust and encourage resistance to change. Kotter’s Eight-Step Change Model (Kotter, 1996) emphasises that leaders should communicate a clear vision, involve employees throughout the change process and reinforce progress through visible short-term achievements. While structured communication strategies help improve transparency, communication alone is unlikely to secure employee commitment if staff are excluded from decision-making. Employees are generally more willing to support change when they have opportunities to contribute ideas, ask questions and influence implementation. Therefore, departmental managers should adopt two-way communication through team meetings, workshops and regular feedback mechanisms rather than relying solely on top-down announcements.</w:t>
      </w:r>
    </w:p>
    <w:p w14:paraId="4BA5CC9E" w14:textId="77777777" w:rsidR="00BC7BCD" w:rsidRDefault="7F6995D7" w:rsidP="0E95422E">
      <w:pPr>
        <w:pStyle w:val="p1"/>
        <w:rPr>
          <w:sz w:val="22"/>
          <w:szCs w:val="22"/>
        </w:rPr>
      </w:pPr>
      <w:r w:rsidRPr="0E95422E">
        <w:rPr>
          <w:sz w:val="22"/>
          <w:szCs w:val="22"/>
        </w:rPr>
        <w:t>Monitoring and performance measurement are also fundamental to effective implementation. Contemporary HR practices such as workforce analytics enable managers to monitor recruitment outcomes, employee turnover, training participation and workforce diversity in real time. These data support evidence-based decision-making and allow managers to identify emerging workforce challenges before they affect organisational performance. However, an overreliance on quantitative data may overlook important aspects of employee experience, including wellbeing, motivation and organisational commitment. For example, a department may achieve strong productivity figures while simultaneously experiencing low morale and increasing employee burnout. Herzberg’s Two-Factor Theory (Herzberg, 1968) suggests that long-term motivation depends not only on working conditions but also on opportunities for achievement, recognition and personal development. Consequently, managers should combine workforce analytics with regular employee engagement surveys, one-to-one meetings and qualitative feedback to gain a more comprehensive understanding of workforce performance.</w:t>
      </w:r>
    </w:p>
    <w:p w14:paraId="32A793CE" w14:textId="77777777" w:rsidR="00BC7BCD" w:rsidRDefault="7F6995D7" w:rsidP="0E95422E">
      <w:pPr>
        <w:pStyle w:val="p1"/>
        <w:rPr>
          <w:sz w:val="22"/>
          <w:szCs w:val="22"/>
        </w:rPr>
      </w:pPr>
      <w:r w:rsidRPr="0E95422E">
        <w:rPr>
          <w:sz w:val="22"/>
          <w:szCs w:val="22"/>
        </w:rPr>
        <w:t xml:space="preserve">Organisational culture significantly influences whether HR practices become embedded within everyday operations. Policies relating to inclusion, wellbeing and career development are unlikely to succeed if managers fail to demonstrate these values through their own behaviour. Inclusive </w:t>
      </w:r>
      <w:r w:rsidRPr="0E95422E">
        <w:rPr>
          <w:sz w:val="22"/>
          <w:szCs w:val="22"/>
        </w:rPr>
        <w:lastRenderedPageBreak/>
        <w:t>leadership encourages trust, collaboration and psychological safety, enabling employees from different backgrounds to contribute confidently and perform effectively. Conversely, inconsistent leadership behaviours can undermine organisational credibility and reduce employee confidence in HR initiatives. Although developing an inclusive culture requires time and sustained investment, research suggests that organisations with supportive leadership and high levels of employee trust are more likely to achieve improved engagement, innovation and retention (CIPD, 2024). Therefore, managers should lead by example, challenge discriminatory behaviours promptly and ensure that organisational values are reflected consistently in everyday decision-making.</w:t>
      </w:r>
    </w:p>
    <w:p w14:paraId="61DE0779" w14:textId="77777777" w:rsidR="00BC7BCD" w:rsidRDefault="7F6995D7" w:rsidP="0E95422E">
      <w:pPr>
        <w:pStyle w:val="p1"/>
        <w:rPr>
          <w:sz w:val="22"/>
          <w:szCs w:val="22"/>
        </w:rPr>
      </w:pPr>
      <w:r w:rsidRPr="0E95422E">
        <w:rPr>
          <w:sz w:val="22"/>
          <w:szCs w:val="22"/>
        </w:rPr>
        <w:t>Despite these opportunities, several barriers may hinder implementation. Resistance to change, limited digital capability, budget constraints, competing operational priorities and inconsistent management practices can reduce the effectiveness of HR initiatives. Some managers may also perceive HR activities as secondary to commercial performance, limiting the attention given to employee development and wellbeing. Overcoming these barriers requires continuous leadership development, investment in management training and close collaboration between HR professionals and operational managers. Regular coaching, clear accountability and ongoing evaluation can strengthen managers’ confidence while ensuring HR practices remain aligned with M&amp;S’s strategic objectives.</w:t>
      </w:r>
    </w:p>
    <w:p w14:paraId="1DD18B4B" w14:textId="77777777" w:rsidR="00BC7BCD" w:rsidRDefault="7F6995D7" w:rsidP="0E95422E">
      <w:pPr>
        <w:pStyle w:val="p2"/>
        <w:rPr>
          <w:sz w:val="22"/>
          <w:szCs w:val="22"/>
        </w:rPr>
      </w:pPr>
      <w:r w:rsidRPr="0E95422E">
        <w:rPr>
          <w:sz w:val="22"/>
          <w:szCs w:val="22"/>
        </w:rPr>
        <w:t>Overall, departmental managers are central to the successful implementation of contemporary HR practices at M&amp;S. Although digital systems, workforce planning and DEI policies provide valuable frameworks, their effectiveness ultimately depends on accountable leadership, meaningful employee engagement, balanced performance measurement and an organisational culture that supports continuous improvement. Managers who integrate these elements into everyday practice are more likely to enhance employee engagement, improve organisational performance and contribute to the long-term sustainability of the organisation.</w:t>
      </w:r>
    </w:p>
    <w:p w14:paraId="52EE193B" w14:textId="0322701E" w:rsidR="004B10E2" w:rsidRDefault="004B10E2" w:rsidP="0E95422E">
      <w:pPr>
        <w:rPr>
          <w:rFonts w:hint="eastAsia"/>
          <w:sz w:val="22"/>
          <w:szCs w:val="22"/>
        </w:rPr>
      </w:pPr>
    </w:p>
    <w:p w14:paraId="353B0B8B" w14:textId="7C1819BA" w:rsidR="001D1D78" w:rsidRDefault="001D1D78">
      <w:pPr>
        <w:rPr>
          <w:rFonts w:hint="eastAsia"/>
        </w:rPr>
      </w:pPr>
    </w:p>
    <w:p w14:paraId="0EA46268" w14:textId="13EEBDBA" w:rsidR="001D1D78" w:rsidRDefault="001D1D78">
      <w:pPr>
        <w:rPr>
          <w:rFonts w:hint="eastAsia"/>
        </w:rPr>
      </w:pPr>
    </w:p>
    <w:p w14:paraId="4FDD8C07" w14:textId="530E31C0" w:rsidR="156772DB" w:rsidRDefault="156772DB">
      <w:pPr>
        <w:rPr>
          <w:rFonts w:hint="eastAsia"/>
        </w:rPr>
      </w:pPr>
    </w:p>
    <w:p w14:paraId="357B1E3D" w14:textId="7A40A1BC" w:rsidR="156772DB" w:rsidRDefault="156772DB">
      <w:pPr>
        <w:rPr>
          <w:rFonts w:hint="eastAsia"/>
        </w:rPr>
      </w:pPr>
    </w:p>
    <w:p w14:paraId="2475D643" w14:textId="2A4E9096" w:rsidR="156772DB" w:rsidRDefault="156772DB">
      <w:pPr>
        <w:rPr>
          <w:rFonts w:hint="eastAsia"/>
        </w:rPr>
      </w:pPr>
    </w:p>
    <w:p w14:paraId="186A5234" w14:textId="2E1FCE71" w:rsidR="156772DB" w:rsidRDefault="156772DB">
      <w:pPr>
        <w:rPr>
          <w:rFonts w:hint="eastAsia"/>
        </w:rPr>
      </w:pPr>
    </w:p>
    <w:p w14:paraId="4610CBAA" w14:textId="3527974E" w:rsidR="156772DB" w:rsidRDefault="156772DB">
      <w:pPr>
        <w:rPr>
          <w:rFonts w:hint="eastAsia"/>
        </w:rPr>
      </w:pPr>
    </w:p>
    <w:p w14:paraId="0CEB1238" w14:textId="44C8C7EC" w:rsidR="156772DB" w:rsidRDefault="156772DB">
      <w:pPr>
        <w:rPr>
          <w:rFonts w:hint="eastAsia"/>
        </w:rPr>
      </w:pPr>
    </w:p>
    <w:p w14:paraId="4754E917" w14:textId="629BBA8E" w:rsidR="156772DB" w:rsidRDefault="156772DB">
      <w:pPr>
        <w:rPr>
          <w:rFonts w:hint="eastAsia"/>
        </w:rPr>
      </w:pPr>
    </w:p>
    <w:p w14:paraId="5D634093" w14:textId="597DB8A8" w:rsidR="156772DB" w:rsidRDefault="156772DB">
      <w:pPr>
        <w:rPr>
          <w:rFonts w:hint="eastAsia"/>
        </w:rPr>
      </w:pPr>
    </w:p>
    <w:p w14:paraId="0CC45C69" w14:textId="1B69DE93" w:rsidR="156772DB" w:rsidRDefault="156772DB" w:rsidP="0E95422E">
      <w:pPr>
        <w:rPr>
          <w:rFonts w:hint="eastAsia"/>
        </w:rPr>
      </w:pPr>
    </w:p>
    <w:p w14:paraId="2B4CE11C" w14:textId="240B58A3" w:rsidR="156772DB" w:rsidRDefault="156772DB">
      <w:pPr>
        <w:rPr>
          <w:rFonts w:hint="eastAsia"/>
        </w:rPr>
      </w:pPr>
    </w:p>
    <w:p w14:paraId="1B7B594D" w14:textId="4D15F31D" w:rsidR="156772DB" w:rsidRDefault="156772DB" w:rsidP="156772DB">
      <w:pPr>
        <w:rPr>
          <w:rFonts w:hint="eastAsia"/>
        </w:rPr>
      </w:pPr>
    </w:p>
    <w:p w14:paraId="2313B054" w14:textId="64841D17" w:rsidR="001D1D78" w:rsidRDefault="001D1D78">
      <w:pPr>
        <w:rPr>
          <w:rFonts w:hint="eastAsia"/>
        </w:rPr>
      </w:pPr>
    </w:p>
    <w:p w14:paraId="7FDF836F" w14:textId="05A4D727" w:rsidR="001D1D78" w:rsidRPr="001D1D78" w:rsidRDefault="001D1D78" w:rsidP="001D1D78">
      <w:pPr>
        <w:spacing w:before="100" w:beforeAutospacing="1" w:after="100" w:afterAutospacing="1" w:line="240" w:lineRule="auto"/>
        <w:outlineLvl w:val="1"/>
        <w:rPr>
          <w:rFonts w:ascii="Times New Roman" w:eastAsia="Times New Roman" w:hAnsi="Times New Roman" w:cs="Times New Roman"/>
          <w:b/>
          <w:bCs/>
          <w:sz w:val="36"/>
          <w:szCs w:val="36"/>
          <w:lang w:eastAsia="en-GB"/>
        </w:rPr>
      </w:pPr>
      <w:r w:rsidRPr="001D1D78">
        <w:rPr>
          <w:rFonts w:ascii="Times New Roman" w:eastAsia="Times New Roman" w:hAnsi="Times New Roman" w:cs="Times New Roman"/>
          <w:b/>
          <w:bCs/>
          <w:sz w:val="36"/>
          <w:szCs w:val="36"/>
          <w:lang w:eastAsia="en-GB"/>
        </w:rPr>
        <w:t>Recommendations</w:t>
      </w:r>
    </w:p>
    <w:p w14:paraId="3CC23F99" w14:textId="6A4BE393" w:rsidR="001D1D78" w:rsidRPr="001D1D78" w:rsidRDefault="001D1D78" w:rsidP="001D1D78">
      <w:pPr>
        <w:spacing w:before="100" w:beforeAutospacing="1" w:after="100" w:afterAutospacing="1" w:line="240" w:lineRule="auto"/>
        <w:rPr>
          <w:rFonts w:ascii="Times New Roman" w:hAnsi="Times New Roman" w:cs="Times New Roman"/>
          <w:lang w:eastAsia="en-GB"/>
        </w:rPr>
      </w:pPr>
      <w:r w:rsidRPr="001D1D78">
        <w:rPr>
          <w:rFonts w:ascii="Times New Roman" w:hAnsi="Times New Roman" w:cs="Times New Roman"/>
          <w:lang w:eastAsia="en-GB"/>
        </w:rPr>
        <w:t>Based on the analysis presented in this report, Marks &amp; Spencer should continue strengthening its strategic approach to human resource management by implementing the following recommendations:</w:t>
      </w:r>
    </w:p>
    <w:p w14:paraId="030E973E" w14:textId="0D75A952" w:rsidR="001D1D78" w:rsidRPr="001D1D78" w:rsidRDefault="001D1D78" w:rsidP="001D1D78">
      <w:pPr>
        <w:spacing w:before="100" w:beforeAutospacing="1" w:after="100" w:afterAutospacing="1" w:line="240" w:lineRule="auto"/>
        <w:rPr>
          <w:rFonts w:ascii="Times New Roman" w:hAnsi="Times New Roman" w:cs="Times New Roman"/>
          <w:lang w:eastAsia="en-GB"/>
        </w:rPr>
      </w:pPr>
      <w:r w:rsidRPr="001D1D78">
        <w:rPr>
          <w:rFonts w:ascii="Times New Roman" w:hAnsi="Times New Roman" w:cs="Times New Roman"/>
          <w:lang w:eastAsia="en-GB"/>
        </w:rPr>
        <w:t>First, M&amp;S should increase investment in digital learning and continuous professional development to ensure employees possess the skills required to support ongoing technological transformation. Providing regular training, digital coaching and personalised learning pathways will help reduce resistance to change while improving employee confidence, productivity and organisational adaptability.</w:t>
      </w:r>
    </w:p>
    <w:p w14:paraId="61CCE403" w14:textId="466E43C8" w:rsidR="001D1D78" w:rsidRPr="001D1D78" w:rsidRDefault="001D1D78" w:rsidP="001D1D78">
      <w:pPr>
        <w:spacing w:before="100" w:beforeAutospacing="1" w:after="100" w:afterAutospacing="1" w:line="240" w:lineRule="auto"/>
        <w:rPr>
          <w:rFonts w:ascii="Times New Roman" w:hAnsi="Times New Roman" w:cs="Times New Roman"/>
          <w:lang w:eastAsia="en-GB"/>
        </w:rPr>
      </w:pPr>
      <w:r w:rsidRPr="001D1D78">
        <w:rPr>
          <w:rFonts w:ascii="Times New Roman" w:hAnsi="Times New Roman" w:cs="Times New Roman"/>
          <w:lang w:eastAsia="en-GB"/>
        </w:rPr>
        <w:t>Second, the organisation should strengthen its talent attraction and retention strategy by integrating employer branding with strategic workforce planning, competitive reward packages and clearly defined career development opportunities. While employer branding can attract high-quality applicants, long-term retention depends on creating a positive employee experience through wellbeing initiatives, flexible working arrangements and opportunities for internal progression.</w:t>
      </w:r>
    </w:p>
    <w:p w14:paraId="0C5433AB" w14:textId="13814775" w:rsidR="001D1D78" w:rsidRPr="001D1D78" w:rsidRDefault="001D1D78" w:rsidP="001D1D78">
      <w:pPr>
        <w:spacing w:before="100" w:beforeAutospacing="1" w:after="100" w:afterAutospacing="1" w:line="240" w:lineRule="auto"/>
        <w:rPr>
          <w:rFonts w:ascii="Times New Roman" w:hAnsi="Times New Roman" w:cs="Times New Roman"/>
          <w:lang w:eastAsia="en-GB"/>
        </w:rPr>
      </w:pPr>
      <w:r w:rsidRPr="001D1D78">
        <w:rPr>
          <w:rFonts w:ascii="Times New Roman" w:hAnsi="Times New Roman" w:cs="Times New Roman"/>
          <w:lang w:eastAsia="en-GB"/>
        </w:rPr>
        <w:t>Third, M&amp;S should continue embedding diversity, equity and inclusion into everyday management practices rather than relying solely on formal policies. Departmental managers should receive regular inclusive leadership training and be held accountable for creating equitable opportunities for recruitment, promotion and employee development. Progress should be monitored through both workforce data and employee feedback to ensure that inclusion is reflected in organisational culture rather than measured only through numerical targets.</w:t>
      </w:r>
    </w:p>
    <w:p w14:paraId="154ED2CF" w14:textId="6365A033" w:rsidR="001D1D78" w:rsidRDefault="001D1D78" w:rsidP="001D1D78">
      <w:pPr>
        <w:spacing w:before="100" w:beforeAutospacing="1" w:after="100" w:afterAutospacing="1" w:line="240" w:lineRule="auto"/>
        <w:rPr>
          <w:rFonts w:ascii="Times New Roman" w:hAnsi="Times New Roman" w:cs="Times New Roman"/>
          <w:lang w:eastAsia="en-GB"/>
        </w:rPr>
      </w:pPr>
      <w:r w:rsidRPr="001D1D78">
        <w:rPr>
          <w:rFonts w:ascii="Times New Roman" w:hAnsi="Times New Roman" w:cs="Times New Roman"/>
          <w:lang w:eastAsia="en-GB"/>
        </w:rPr>
        <w:t>Finally, HR and departmental managers should collaborate more closely by using workforce analytics alongside regular employee engagement surveys, performance reviews and open communication channels. Combining quantitative data with qualitative employee feedback will enable more informed decision-making, improve employee engagement and support continuous organisational improvement</w:t>
      </w:r>
      <w:r w:rsidR="00AE74AC">
        <w:rPr>
          <w:rFonts w:ascii="Times New Roman" w:hAnsi="Times New Roman" w:cs="Times New Roman"/>
          <w:lang w:eastAsia="en-GB"/>
        </w:rPr>
        <w:t>.</w:t>
      </w:r>
    </w:p>
    <w:p w14:paraId="137A2D54" w14:textId="09777B7C" w:rsidR="00AE74AC" w:rsidRDefault="00AE74AC" w:rsidP="001D1D78">
      <w:pPr>
        <w:spacing w:before="100" w:beforeAutospacing="1" w:after="100" w:afterAutospacing="1" w:line="240" w:lineRule="auto"/>
        <w:rPr>
          <w:rFonts w:ascii="Times New Roman" w:hAnsi="Times New Roman" w:cs="Times New Roman"/>
          <w:lang w:eastAsia="en-GB"/>
        </w:rPr>
      </w:pPr>
    </w:p>
    <w:p w14:paraId="44DD7022" w14:textId="7A350D57" w:rsidR="00AE74AC" w:rsidRDefault="00AE74AC" w:rsidP="001D1D78">
      <w:pPr>
        <w:spacing w:before="100" w:beforeAutospacing="1" w:after="100" w:afterAutospacing="1" w:line="240" w:lineRule="auto"/>
        <w:rPr>
          <w:rFonts w:ascii="Times New Roman" w:hAnsi="Times New Roman" w:cs="Times New Roman"/>
          <w:lang w:eastAsia="en-GB"/>
        </w:rPr>
      </w:pPr>
    </w:p>
    <w:p w14:paraId="378249F1" w14:textId="68344403" w:rsidR="00AE74AC" w:rsidRDefault="00AE74AC" w:rsidP="001D1D78">
      <w:pPr>
        <w:spacing w:before="100" w:beforeAutospacing="1" w:after="100" w:afterAutospacing="1" w:line="240" w:lineRule="auto"/>
        <w:rPr>
          <w:rFonts w:ascii="Times New Roman" w:hAnsi="Times New Roman" w:cs="Times New Roman"/>
          <w:lang w:eastAsia="en-GB"/>
        </w:rPr>
      </w:pPr>
    </w:p>
    <w:p w14:paraId="7911046A" w14:textId="6B993D05" w:rsidR="00AE74AC" w:rsidRPr="001D1D78" w:rsidRDefault="00AE74AC" w:rsidP="156772DB">
      <w:pPr>
        <w:spacing w:before="100" w:beforeAutospacing="1" w:after="100" w:afterAutospacing="1" w:line="240" w:lineRule="auto"/>
        <w:rPr>
          <w:rFonts w:ascii="Times New Roman" w:hAnsi="Times New Roman" w:cs="Times New Roman"/>
          <w:lang w:eastAsia="en-GB"/>
        </w:rPr>
      </w:pPr>
    </w:p>
    <w:p w14:paraId="5A23C032" w14:textId="0BFBD4DB" w:rsidR="156772DB" w:rsidRDefault="156772DB" w:rsidP="0E95422E">
      <w:pPr>
        <w:spacing w:beforeAutospacing="1" w:afterAutospacing="1" w:line="240" w:lineRule="auto"/>
        <w:rPr>
          <w:rFonts w:ascii="Times New Roman" w:hAnsi="Times New Roman" w:cs="Times New Roman"/>
          <w:lang w:eastAsia="en-GB"/>
        </w:rPr>
      </w:pPr>
    </w:p>
    <w:p w14:paraId="5DECC65C" w14:textId="3358DC63" w:rsidR="0E95422E" w:rsidRDefault="0E95422E" w:rsidP="0E95422E">
      <w:pPr>
        <w:spacing w:beforeAutospacing="1" w:afterAutospacing="1" w:line="240" w:lineRule="auto"/>
        <w:rPr>
          <w:rFonts w:ascii="Times New Roman" w:hAnsi="Times New Roman" w:cs="Times New Roman"/>
          <w:lang w:eastAsia="en-GB"/>
        </w:rPr>
      </w:pPr>
    </w:p>
    <w:p w14:paraId="5D74D18F" w14:textId="0E424720" w:rsidR="0E95422E" w:rsidRDefault="0E95422E" w:rsidP="0E95422E">
      <w:pPr>
        <w:spacing w:beforeAutospacing="1" w:afterAutospacing="1" w:line="240" w:lineRule="auto"/>
        <w:rPr>
          <w:rFonts w:ascii="Times New Roman" w:hAnsi="Times New Roman" w:cs="Times New Roman"/>
          <w:lang w:eastAsia="en-GB"/>
        </w:rPr>
      </w:pPr>
    </w:p>
    <w:p w14:paraId="70D616BF" w14:textId="765D83B8" w:rsidR="0E95422E" w:rsidRDefault="0E95422E" w:rsidP="0E95422E">
      <w:pPr>
        <w:spacing w:beforeAutospacing="1" w:afterAutospacing="1" w:line="240" w:lineRule="auto"/>
        <w:rPr>
          <w:rFonts w:ascii="Times New Roman" w:hAnsi="Times New Roman" w:cs="Times New Roman"/>
          <w:lang w:eastAsia="en-GB"/>
        </w:rPr>
      </w:pPr>
    </w:p>
    <w:p w14:paraId="0F9C1B9A" w14:textId="7ABE986B" w:rsidR="0E95422E" w:rsidRDefault="0E95422E" w:rsidP="0E95422E">
      <w:pPr>
        <w:spacing w:beforeAutospacing="1" w:afterAutospacing="1" w:line="240" w:lineRule="auto"/>
        <w:rPr>
          <w:rFonts w:ascii="Times New Roman" w:hAnsi="Times New Roman" w:cs="Times New Roman"/>
          <w:lang w:eastAsia="en-GB"/>
        </w:rPr>
      </w:pPr>
    </w:p>
    <w:p w14:paraId="0BF9FEB5" w14:textId="333FDB62" w:rsidR="001D1D78" w:rsidRPr="001D1D78" w:rsidRDefault="001D1D78" w:rsidP="156772DB">
      <w:pPr>
        <w:spacing w:before="100" w:beforeAutospacing="1" w:after="100" w:afterAutospacing="1" w:line="240" w:lineRule="auto"/>
        <w:outlineLvl w:val="1"/>
        <w:rPr>
          <w:rFonts w:hint="eastAsia"/>
        </w:rPr>
      </w:pPr>
      <w:r w:rsidRPr="156772DB">
        <w:rPr>
          <w:rFonts w:ascii="Times New Roman" w:eastAsia="Times New Roman" w:hAnsi="Times New Roman" w:cs="Times New Roman"/>
          <w:b/>
          <w:bCs/>
          <w:sz w:val="36"/>
          <w:szCs w:val="36"/>
          <w:lang w:eastAsia="en-GB"/>
        </w:rPr>
        <w:t>Conclusion</w:t>
      </w:r>
    </w:p>
    <w:p w14:paraId="413E774E" w14:textId="7F86C4EC" w:rsidR="156772DB" w:rsidRDefault="156772DB" w:rsidP="156772DB">
      <w:pPr>
        <w:spacing w:beforeAutospacing="1" w:afterAutospacing="1" w:line="240" w:lineRule="auto"/>
        <w:outlineLvl w:val="1"/>
        <w:rPr>
          <w:rFonts w:ascii="Times New Roman" w:eastAsia="Times New Roman" w:hAnsi="Times New Roman" w:cs="Times New Roman"/>
          <w:b/>
          <w:bCs/>
          <w:sz w:val="36"/>
          <w:szCs w:val="36"/>
          <w:lang w:eastAsia="en-GB"/>
        </w:rPr>
      </w:pPr>
    </w:p>
    <w:p w14:paraId="10AD1F61" w14:textId="39567D25" w:rsidR="001D1D78" w:rsidRPr="001D1D78" w:rsidRDefault="001D1D78" w:rsidP="001D1D78">
      <w:pPr>
        <w:spacing w:before="100" w:beforeAutospacing="1" w:after="100" w:afterAutospacing="1" w:line="240" w:lineRule="auto"/>
        <w:rPr>
          <w:rFonts w:ascii="Times New Roman" w:hAnsi="Times New Roman" w:cs="Times New Roman"/>
          <w:lang w:eastAsia="en-GB"/>
        </w:rPr>
      </w:pPr>
      <w:r w:rsidRPr="001D1D78">
        <w:rPr>
          <w:rFonts w:ascii="Times New Roman" w:hAnsi="Times New Roman" w:cs="Times New Roman"/>
          <w:lang w:eastAsia="en-GB"/>
        </w:rPr>
        <w:t>This report has examined three significant contemporary HR challenges affecting Marks &amp; Spencer: adapting to technological advancements, attracting and retaining talented employees, and promoting diversity, equity and inclusion. These challenges are closely interconnected and have a direct influence on organisational performance, employee engagement and long-term sustainability. The evaluation demonstrated that contemporary HR practices, including digital HR systems, workforce analytics, strategic workforce planning, employer branding, inclusive recruitment and leadership development, can provide effective solutions when implemented as part of an integrated HR strategy rather than as isolated initiatives.</w:t>
      </w:r>
    </w:p>
    <w:p w14:paraId="5C997380" w14:textId="1154E9EF" w:rsidR="001D1D78" w:rsidRPr="001D1D78" w:rsidRDefault="001D1D78" w:rsidP="001D1D78">
      <w:pPr>
        <w:spacing w:before="100" w:beforeAutospacing="1" w:after="100" w:afterAutospacing="1" w:line="240" w:lineRule="auto"/>
        <w:rPr>
          <w:rFonts w:ascii="Times New Roman" w:hAnsi="Times New Roman" w:cs="Times New Roman"/>
          <w:lang w:eastAsia="en-GB"/>
        </w:rPr>
      </w:pPr>
      <w:r w:rsidRPr="001D1D78">
        <w:rPr>
          <w:rFonts w:ascii="Times New Roman" w:hAnsi="Times New Roman" w:cs="Times New Roman"/>
          <w:lang w:eastAsia="en-GB"/>
        </w:rPr>
        <w:t>The report also highlighted that successful implementation depends largely on departmental managers, whose leadership, communication, performance monitoring and commitment to an inclusive organisational culture determine whether HR practices achieve meaningful outcomes. Although challenges such as resistance to change, resource limitations and competing operational priorities may hinder implementation, these barriers can be reduced through accountable leadership, continuous learning and evidence-based decision-making. Overall, by adopting a strategic and people-centred approach to HR management, Marks &amp; Spencer will be better positioned to strengthen employee engagement, improve organisational performance and maintain its competitiveness within the rapidly evolving UK retail sector.</w:t>
      </w:r>
    </w:p>
    <w:p w14:paraId="1A46D84C" w14:textId="48FF1BE2" w:rsidR="001D1D78" w:rsidRDefault="001D1D78">
      <w:pPr>
        <w:rPr>
          <w:rFonts w:hint="eastAsia"/>
        </w:rPr>
      </w:pPr>
    </w:p>
    <w:p w14:paraId="0181C4D0" w14:textId="0CD48AA5" w:rsidR="71601E1C" w:rsidRDefault="71601E1C">
      <w:pPr>
        <w:rPr>
          <w:rFonts w:hint="eastAsia"/>
        </w:rPr>
      </w:pPr>
    </w:p>
    <w:p w14:paraId="0A7E9B5A" w14:textId="40B519D9" w:rsidR="71601E1C" w:rsidRDefault="71601E1C">
      <w:pPr>
        <w:rPr>
          <w:rFonts w:hint="eastAsia"/>
        </w:rPr>
      </w:pPr>
    </w:p>
    <w:p w14:paraId="54E21953" w14:textId="77777777" w:rsidR="00F209D6" w:rsidRDefault="00F209D6">
      <w:pPr>
        <w:rPr>
          <w:rFonts w:hint="eastAsia"/>
        </w:rPr>
      </w:pPr>
    </w:p>
    <w:p w14:paraId="6CCB8C99" w14:textId="320537D9" w:rsidR="00F209D6" w:rsidRDefault="00F209D6">
      <w:pPr>
        <w:rPr>
          <w:rFonts w:hint="eastAsia"/>
        </w:rPr>
      </w:pPr>
    </w:p>
    <w:p w14:paraId="40C0DCC8" w14:textId="7CFFFB48" w:rsidR="68FA0DFF" w:rsidRDefault="68FA0DFF">
      <w:pPr>
        <w:rPr>
          <w:rFonts w:hint="eastAsia"/>
        </w:rPr>
      </w:pPr>
    </w:p>
    <w:p w14:paraId="4861B49D" w14:textId="0F3B7B90" w:rsidR="68FA0DFF" w:rsidRDefault="68FA0DFF">
      <w:pPr>
        <w:rPr>
          <w:rFonts w:hint="eastAsia"/>
        </w:rPr>
      </w:pPr>
    </w:p>
    <w:p w14:paraId="3E79AB5C" w14:textId="6653AB7A" w:rsidR="68FA0DFF" w:rsidRDefault="68FA0DFF">
      <w:pPr>
        <w:rPr>
          <w:rFonts w:hint="eastAsia"/>
        </w:rPr>
      </w:pPr>
    </w:p>
    <w:p w14:paraId="3CFAAFB9" w14:textId="21CC33FF" w:rsidR="156772DB" w:rsidRDefault="156772DB">
      <w:pPr>
        <w:rPr>
          <w:rFonts w:hint="eastAsia"/>
        </w:rPr>
      </w:pPr>
    </w:p>
    <w:p w14:paraId="69D2528B" w14:textId="63B094C3" w:rsidR="0E95422E" w:rsidRDefault="0E95422E" w:rsidP="0E95422E"/>
    <w:p w14:paraId="1A060728" w14:textId="77777777" w:rsidR="000268B2" w:rsidRDefault="000268B2" w:rsidP="0E95422E">
      <w:pPr>
        <w:rPr>
          <w:rFonts w:hint="eastAsia"/>
        </w:rPr>
      </w:pPr>
    </w:p>
    <w:p w14:paraId="7E926D64" w14:textId="77777777" w:rsidR="00F209D6" w:rsidRPr="00F209D6" w:rsidRDefault="0D9D1881" w:rsidP="0E95422E">
      <w:pPr>
        <w:spacing w:before="100" w:beforeAutospacing="1" w:after="100" w:afterAutospacing="1" w:line="240" w:lineRule="auto"/>
        <w:outlineLvl w:val="0"/>
        <w:rPr>
          <w:rFonts w:hint="eastAsia"/>
        </w:rPr>
      </w:pPr>
      <w:r w:rsidRPr="00F209D6">
        <w:rPr>
          <w:rFonts w:ascii="Times New Roman" w:eastAsia="Times New Roman" w:hAnsi="Times New Roman" w:cs="Times New Roman"/>
          <w:b/>
          <w:bCs/>
          <w:kern w:val="36"/>
          <w:sz w:val="48"/>
          <w:szCs w:val="48"/>
          <w:lang w:eastAsia="en-GB"/>
        </w:rPr>
        <w:lastRenderedPageBreak/>
        <w:t>Reference List</w:t>
      </w:r>
    </w:p>
    <w:p w14:paraId="2BE22754" w14:textId="77777777" w:rsidR="00F209D6" w:rsidRPr="00F209D6" w:rsidRDefault="0D9D1881" w:rsidP="0E95422E">
      <w:pPr>
        <w:spacing w:before="100" w:beforeAutospacing="1" w:after="100" w:afterAutospacing="1" w:line="240" w:lineRule="auto"/>
        <w:rPr>
          <w:rFonts w:ascii="Times New Roman" w:hAnsi="Times New Roman" w:cs="Times New Roman"/>
          <w:sz w:val="22"/>
          <w:szCs w:val="22"/>
          <w:lang w:eastAsia="en-GB"/>
        </w:rPr>
      </w:pPr>
      <w:r w:rsidRPr="0E95422E">
        <w:rPr>
          <w:rFonts w:ascii="Times New Roman" w:hAnsi="Times New Roman" w:cs="Times New Roman"/>
          <w:sz w:val="22"/>
          <w:szCs w:val="22"/>
          <w:lang w:eastAsia="en-GB"/>
        </w:rPr>
        <w:t xml:space="preserve">ACAS (2024) </w:t>
      </w:r>
      <w:r w:rsidRPr="0E95422E">
        <w:rPr>
          <w:rFonts w:ascii="Times New Roman" w:hAnsi="Times New Roman" w:cs="Times New Roman"/>
          <w:i/>
          <w:iCs/>
          <w:sz w:val="22"/>
          <w:szCs w:val="22"/>
          <w:lang w:eastAsia="en-GB"/>
        </w:rPr>
        <w:t>Equality, diversity and inclusion at work</w:t>
      </w:r>
      <w:r w:rsidRPr="0E95422E">
        <w:rPr>
          <w:rFonts w:ascii="Times New Roman" w:hAnsi="Times New Roman" w:cs="Times New Roman"/>
          <w:sz w:val="22"/>
          <w:szCs w:val="22"/>
          <w:lang w:eastAsia="en-GB"/>
        </w:rPr>
        <w:t xml:space="preserve">. Available at: </w:t>
      </w:r>
      <w:hyperlink r:id="rId10">
        <w:r w:rsidRPr="0E95422E">
          <w:rPr>
            <w:rFonts w:ascii="Times New Roman" w:hAnsi="Times New Roman" w:cs="Times New Roman"/>
            <w:color w:val="0000FF"/>
            <w:sz w:val="22"/>
            <w:szCs w:val="22"/>
            <w:u w:val="single"/>
            <w:lang w:eastAsia="en-GB"/>
          </w:rPr>
          <w:t>https://www.acas.org.uk</w:t>
        </w:r>
      </w:hyperlink>
      <w:r w:rsidRPr="0E95422E">
        <w:rPr>
          <w:rFonts w:ascii="Times New Roman" w:hAnsi="Times New Roman" w:cs="Times New Roman"/>
          <w:sz w:val="22"/>
          <w:szCs w:val="22"/>
          <w:lang w:eastAsia="en-GB"/>
        </w:rPr>
        <w:t xml:space="preserve"> (Accessed: 5 August 2026).</w:t>
      </w:r>
    </w:p>
    <w:p w14:paraId="1E0B9D61" w14:textId="77777777" w:rsidR="00F209D6" w:rsidRPr="00F209D6" w:rsidRDefault="0D9D1881" w:rsidP="0E95422E">
      <w:pPr>
        <w:spacing w:before="100" w:beforeAutospacing="1" w:after="100" w:afterAutospacing="1" w:line="240" w:lineRule="auto"/>
        <w:rPr>
          <w:rFonts w:ascii="Times New Roman" w:hAnsi="Times New Roman" w:cs="Times New Roman"/>
          <w:sz w:val="22"/>
          <w:szCs w:val="22"/>
          <w:lang w:eastAsia="en-GB"/>
        </w:rPr>
      </w:pPr>
      <w:r w:rsidRPr="0E95422E">
        <w:rPr>
          <w:rFonts w:ascii="Times New Roman" w:hAnsi="Times New Roman" w:cs="Times New Roman"/>
          <w:sz w:val="22"/>
          <w:szCs w:val="22"/>
          <w:lang w:eastAsia="en-GB"/>
        </w:rPr>
        <w:t xml:space="preserve">Armstrong, M. and Taylor, S. (2023) </w:t>
      </w:r>
      <w:r w:rsidRPr="0E95422E">
        <w:rPr>
          <w:rFonts w:ascii="Times New Roman" w:hAnsi="Times New Roman" w:cs="Times New Roman"/>
          <w:i/>
          <w:iCs/>
          <w:sz w:val="22"/>
          <w:szCs w:val="22"/>
          <w:lang w:eastAsia="en-GB"/>
        </w:rPr>
        <w:t>Armstrong’s Handbook of Human Resource Management Practice</w:t>
      </w:r>
      <w:r w:rsidRPr="0E95422E">
        <w:rPr>
          <w:rFonts w:ascii="Times New Roman" w:hAnsi="Times New Roman" w:cs="Times New Roman"/>
          <w:sz w:val="22"/>
          <w:szCs w:val="22"/>
          <w:lang w:eastAsia="en-GB"/>
        </w:rPr>
        <w:t xml:space="preserve">. 16th </w:t>
      </w:r>
      <w:proofErr w:type="spellStart"/>
      <w:r w:rsidRPr="0E95422E">
        <w:rPr>
          <w:rFonts w:ascii="Times New Roman" w:hAnsi="Times New Roman" w:cs="Times New Roman"/>
          <w:sz w:val="22"/>
          <w:szCs w:val="22"/>
          <w:lang w:eastAsia="en-GB"/>
        </w:rPr>
        <w:t>edn</w:t>
      </w:r>
      <w:proofErr w:type="spellEnd"/>
      <w:r w:rsidRPr="0E95422E">
        <w:rPr>
          <w:rFonts w:ascii="Times New Roman" w:hAnsi="Times New Roman" w:cs="Times New Roman"/>
          <w:sz w:val="22"/>
          <w:szCs w:val="22"/>
          <w:lang w:eastAsia="en-GB"/>
        </w:rPr>
        <w:t>. London: Kogan Page.</w:t>
      </w:r>
    </w:p>
    <w:p w14:paraId="3EA1603D" w14:textId="77777777" w:rsidR="00F209D6" w:rsidRPr="00F209D6" w:rsidRDefault="0D9D1881" w:rsidP="0E95422E">
      <w:pPr>
        <w:spacing w:before="100" w:beforeAutospacing="1" w:after="100" w:afterAutospacing="1" w:line="240" w:lineRule="auto"/>
        <w:rPr>
          <w:rFonts w:ascii="Times New Roman" w:hAnsi="Times New Roman" w:cs="Times New Roman"/>
          <w:sz w:val="22"/>
          <w:szCs w:val="22"/>
          <w:lang w:eastAsia="en-GB"/>
        </w:rPr>
      </w:pPr>
      <w:r w:rsidRPr="0E95422E">
        <w:rPr>
          <w:rFonts w:ascii="Times New Roman" w:hAnsi="Times New Roman" w:cs="Times New Roman"/>
          <w:sz w:val="22"/>
          <w:szCs w:val="22"/>
          <w:lang w:eastAsia="en-GB"/>
        </w:rPr>
        <w:t xml:space="preserve">Barney, J. (1991) ‘Firm resources and sustained competitive advantage’, </w:t>
      </w:r>
      <w:r w:rsidRPr="0E95422E">
        <w:rPr>
          <w:rFonts w:ascii="Times New Roman" w:hAnsi="Times New Roman" w:cs="Times New Roman"/>
          <w:i/>
          <w:iCs/>
          <w:sz w:val="22"/>
          <w:szCs w:val="22"/>
          <w:lang w:eastAsia="en-GB"/>
        </w:rPr>
        <w:t>Journal of Management</w:t>
      </w:r>
      <w:r w:rsidRPr="0E95422E">
        <w:rPr>
          <w:rFonts w:ascii="Times New Roman" w:hAnsi="Times New Roman" w:cs="Times New Roman"/>
          <w:sz w:val="22"/>
          <w:szCs w:val="22"/>
          <w:lang w:eastAsia="en-GB"/>
        </w:rPr>
        <w:t>, 17(1), pp. 99–120.</w:t>
      </w:r>
    </w:p>
    <w:p w14:paraId="1331C42D" w14:textId="138124D3" w:rsidR="00F209D6" w:rsidRPr="00F209D6" w:rsidRDefault="0D9D1881" w:rsidP="0E95422E">
      <w:pPr>
        <w:spacing w:before="100" w:beforeAutospacing="1" w:after="100" w:afterAutospacing="1" w:line="240" w:lineRule="auto"/>
        <w:rPr>
          <w:rFonts w:ascii="Times New Roman" w:hAnsi="Times New Roman" w:cs="Times New Roman"/>
          <w:sz w:val="22"/>
          <w:szCs w:val="22"/>
          <w:lang w:eastAsia="en-GB"/>
        </w:rPr>
      </w:pPr>
      <w:r w:rsidRPr="0E95422E">
        <w:rPr>
          <w:rFonts w:ascii="Times New Roman" w:hAnsi="Times New Roman" w:cs="Times New Roman"/>
          <w:sz w:val="22"/>
          <w:szCs w:val="22"/>
          <w:lang w:eastAsia="en-GB"/>
        </w:rPr>
        <w:t>Brougham, D. and Haar, J. (2022) ‘Technological disruption and the future of human resource management: Implications of artificial intelligence for employee management’</w:t>
      </w:r>
    </w:p>
    <w:p w14:paraId="4FF5E15F" w14:textId="37E5B8AE" w:rsidR="00F209D6" w:rsidRPr="00F209D6" w:rsidRDefault="0D9D1881" w:rsidP="0E95422E">
      <w:pPr>
        <w:spacing w:before="100" w:beforeAutospacing="1" w:after="100" w:afterAutospacing="1" w:line="240" w:lineRule="auto"/>
        <w:rPr>
          <w:rFonts w:ascii="Times New Roman" w:hAnsi="Times New Roman" w:cs="Times New Roman"/>
          <w:sz w:val="22"/>
          <w:szCs w:val="22"/>
          <w:lang w:eastAsia="en-GB"/>
        </w:rPr>
      </w:pPr>
      <w:r w:rsidRPr="0E95422E">
        <w:rPr>
          <w:rFonts w:ascii="Times New Roman" w:hAnsi="Times New Roman" w:cs="Times New Roman"/>
          <w:i/>
          <w:iCs/>
          <w:sz w:val="22"/>
          <w:szCs w:val="22"/>
          <w:lang w:eastAsia="en-GB"/>
        </w:rPr>
        <w:t>Human Resource Management Review</w:t>
      </w:r>
      <w:r w:rsidRPr="0E95422E">
        <w:rPr>
          <w:rFonts w:ascii="Times New Roman" w:hAnsi="Times New Roman" w:cs="Times New Roman"/>
          <w:sz w:val="22"/>
          <w:szCs w:val="22"/>
          <w:lang w:eastAsia="en-GB"/>
        </w:rPr>
        <w:t>, 32(2), Article 100857.</w:t>
      </w:r>
    </w:p>
    <w:p w14:paraId="26D3D1DB" w14:textId="77777777" w:rsidR="00F209D6" w:rsidRPr="00F209D6" w:rsidRDefault="0D9D1881" w:rsidP="0E95422E">
      <w:pPr>
        <w:spacing w:before="100" w:beforeAutospacing="1" w:after="100" w:afterAutospacing="1" w:line="240" w:lineRule="auto"/>
        <w:rPr>
          <w:rFonts w:ascii="Times New Roman" w:hAnsi="Times New Roman" w:cs="Times New Roman"/>
          <w:sz w:val="22"/>
          <w:szCs w:val="22"/>
          <w:lang w:eastAsia="en-GB"/>
        </w:rPr>
      </w:pPr>
      <w:r w:rsidRPr="0E95422E">
        <w:rPr>
          <w:rFonts w:ascii="Times New Roman" w:hAnsi="Times New Roman" w:cs="Times New Roman"/>
          <w:sz w:val="22"/>
          <w:szCs w:val="22"/>
          <w:lang w:eastAsia="en-GB"/>
        </w:rPr>
        <w:t xml:space="preserve">Chartered Institute of Personnel and Development (CIPD) (2024) </w:t>
      </w:r>
      <w:r w:rsidRPr="0E95422E">
        <w:rPr>
          <w:rFonts w:ascii="Times New Roman" w:hAnsi="Times New Roman" w:cs="Times New Roman"/>
          <w:i/>
          <w:iCs/>
          <w:sz w:val="22"/>
          <w:szCs w:val="22"/>
          <w:lang w:eastAsia="en-GB"/>
        </w:rPr>
        <w:t>Good Work Index 2024</w:t>
      </w:r>
      <w:r w:rsidRPr="0E95422E">
        <w:rPr>
          <w:rFonts w:ascii="Times New Roman" w:hAnsi="Times New Roman" w:cs="Times New Roman"/>
          <w:sz w:val="22"/>
          <w:szCs w:val="22"/>
          <w:lang w:eastAsia="en-GB"/>
        </w:rPr>
        <w:t xml:space="preserve">. London: CIPD. Available at: </w:t>
      </w:r>
      <w:hyperlink r:id="rId11">
        <w:r w:rsidRPr="0E95422E">
          <w:rPr>
            <w:rFonts w:ascii="Times New Roman" w:hAnsi="Times New Roman" w:cs="Times New Roman"/>
            <w:color w:val="0000FF"/>
            <w:sz w:val="22"/>
            <w:szCs w:val="22"/>
            <w:u w:val="single"/>
            <w:lang w:eastAsia="en-GB"/>
          </w:rPr>
          <w:t>https://www.cipd.org</w:t>
        </w:r>
      </w:hyperlink>
      <w:r w:rsidRPr="0E95422E">
        <w:rPr>
          <w:rFonts w:ascii="Times New Roman" w:hAnsi="Times New Roman" w:cs="Times New Roman"/>
          <w:sz w:val="22"/>
          <w:szCs w:val="22"/>
          <w:lang w:eastAsia="en-GB"/>
        </w:rPr>
        <w:t xml:space="preserve"> (Accessed: 5 August 2026).</w:t>
      </w:r>
    </w:p>
    <w:p w14:paraId="272677F5" w14:textId="77777777" w:rsidR="00F209D6" w:rsidRPr="00F209D6" w:rsidRDefault="0D9D1881" w:rsidP="0E95422E">
      <w:pPr>
        <w:spacing w:before="100" w:beforeAutospacing="1" w:after="100" w:afterAutospacing="1" w:line="240" w:lineRule="auto"/>
        <w:rPr>
          <w:rFonts w:ascii="Times New Roman" w:hAnsi="Times New Roman" w:cs="Times New Roman"/>
          <w:sz w:val="22"/>
          <w:szCs w:val="22"/>
          <w:lang w:eastAsia="en-GB"/>
        </w:rPr>
      </w:pPr>
      <w:r w:rsidRPr="0E95422E">
        <w:rPr>
          <w:rFonts w:ascii="Times New Roman" w:hAnsi="Times New Roman" w:cs="Times New Roman"/>
          <w:sz w:val="22"/>
          <w:szCs w:val="22"/>
          <w:lang w:eastAsia="en-GB"/>
        </w:rPr>
        <w:t xml:space="preserve">Chartered Institute of Personnel and Development (CIPD) (2024) </w:t>
      </w:r>
      <w:r w:rsidRPr="0E95422E">
        <w:rPr>
          <w:rFonts w:ascii="Times New Roman" w:hAnsi="Times New Roman" w:cs="Times New Roman"/>
          <w:i/>
          <w:iCs/>
          <w:sz w:val="22"/>
          <w:szCs w:val="22"/>
          <w:lang w:eastAsia="en-GB"/>
        </w:rPr>
        <w:t>People Profession Survey 2024</w:t>
      </w:r>
      <w:r w:rsidRPr="0E95422E">
        <w:rPr>
          <w:rFonts w:ascii="Times New Roman" w:hAnsi="Times New Roman" w:cs="Times New Roman"/>
          <w:sz w:val="22"/>
          <w:szCs w:val="22"/>
          <w:lang w:eastAsia="en-GB"/>
        </w:rPr>
        <w:t xml:space="preserve">. London: CIPD. Available at: </w:t>
      </w:r>
      <w:hyperlink r:id="rId12">
        <w:r w:rsidRPr="0E95422E">
          <w:rPr>
            <w:rFonts w:ascii="Times New Roman" w:hAnsi="Times New Roman" w:cs="Times New Roman"/>
            <w:color w:val="0000FF"/>
            <w:sz w:val="22"/>
            <w:szCs w:val="22"/>
            <w:u w:val="single"/>
            <w:lang w:eastAsia="en-GB"/>
          </w:rPr>
          <w:t>https://www.cipd.org</w:t>
        </w:r>
      </w:hyperlink>
      <w:r w:rsidRPr="0E95422E">
        <w:rPr>
          <w:rFonts w:ascii="Times New Roman" w:hAnsi="Times New Roman" w:cs="Times New Roman"/>
          <w:sz w:val="22"/>
          <w:szCs w:val="22"/>
          <w:lang w:eastAsia="en-GB"/>
        </w:rPr>
        <w:t xml:space="preserve"> (Accessed: 5 August 2026).</w:t>
      </w:r>
    </w:p>
    <w:p w14:paraId="09D4AABA" w14:textId="77777777" w:rsidR="00F209D6" w:rsidRPr="00F209D6" w:rsidRDefault="0D9D1881" w:rsidP="0E95422E">
      <w:pPr>
        <w:spacing w:before="100" w:beforeAutospacing="1" w:after="100" w:afterAutospacing="1" w:line="240" w:lineRule="auto"/>
        <w:rPr>
          <w:rFonts w:ascii="Times New Roman" w:hAnsi="Times New Roman" w:cs="Times New Roman"/>
          <w:sz w:val="22"/>
          <w:szCs w:val="22"/>
          <w:lang w:eastAsia="en-GB"/>
        </w:rPr>
      </w:pPr>
      <w:r w:rsidRPr="0E95422E">
        <w:rPr>
          <w:rFonts w:ascii="Times New Roman" w:hAnsi="Times New Roman" w:cs="Times New Roman"/>
          <w:sz w:val="22"/>
          <w:szCs w:val="22"/>
          <w:lang w:eastAsia="en-GB"/>
        </w:rPr>
        <w:t xml:space="preserve">Chartered Institute of Personnel and Development (CIPD) (2024) </w:t>
      </w:r>
      <w:r w:rsidRPr="0E95422E">
        <w:rPr>
          <w:rFonts w:ascii="Times New Roman" w:hAnsi="Times New Roman" w:cs="Times New Roman"/>
          <w:i/>
          <w:iCs/>
          <w:sz w:val="22"/>
          <w:szCs w:val="22"/>
          <w:lang w:eastAsia="en-GB"/>
        </w:rPr>
        <w:t>Technology and the Future of Work</w:t>
      </w:r>
      <w:r w:rsidRPr="0E95422E">
        <w:rPr>
          <w:rFonts w:ascii="Times New Roman" w:hAnsi="Times New Roman" w:cs="Times New Roman"/>
          <w:sz w:val="22"/>
          <w:szCs w:val="22"/>
          <w:lang w:eastAsia="en-GB"/>
        </w:rPr>
        <w:t xml:space="preserve">. London: CIPD. Available at: </w:t>
      </w:r>
      <w:hyperlink r:id="rId13">
        <w:r w:rsidRPr="0E95422E">
          <w:rPr>
            <w:rFonts w:ascii="Times New Roman" w:hAnsi="Times New Roman" w:cs="Times New Roman"/>
            <w:color w:val="0000FF"/>
            <w:sz w:val="22"/>
            <w:szCs w:val="22"/>
            <w:u w:val="single"/>
            <w:lang w:eastAsia="en-GB"/>
          </w:rPr>
          <w:t>https://www.cipd.org</w:t>
        </w:r>
      </w:hyperlink>
      <w:r w:rsidRPr="0E95422E">
        <w:rPr>
          <w:rFonts w:ascii="Times New Roman" w:hAnsi="Times New Roman" w:cs="Times New Roman"/>
          <w:sz w:val="22"/>
          <w:szCs w:val="22"/>
          <w:lang w:eastAsia="en-GB"/>
        </w:rPr>
        <w:t xml:space="preserve"> (Accessed: 5 August 2026).</w:t>
      </w:r>
    </w:p>
    <w:p w14:paraId="3EA6684E" w14:textId="77777777" w:rsidR="00F209D6" w:rsidRPr="00F209D6" w:rsidRDefault="0D9D1881" w:rsidP="0E95422E">
      <w:pPr>
        <w:spacing w:before="100" w:beforeAutospacing="1" w:after="100" w:afterAutospacing="1" w:line="240" w:lineRule="auto"/>
        <w:rPr>
          <w:rFonts w:ascii="Times New Roman" w:hAnsi="Times New Roman" w:cs="Times New Roman"/>
          <w:sz w:val="22"/>
          <w:szCs w:val="22"/>
          <w:lang w:eastAsia="en-GB"/>
        </w:rPr>
      </w:pPr>
      <w:r w:rsidRPr="0E95422E">
        <w:rPr>
          <w:rFonts w:ascii="Times New Roman" w:hAnsi="Times New Roman" w:cs="Times New Roman"/>
          <w:sz w:val="22"/>
          <w:szCs w:val="22"/>
          <w:lang w:eastAsia="en-GB"/>
        </w:rPr>
        <w:t xml:space="preserve">Herzberg, F. (1968) ‘One more time: How do you motivate employees?’, </w:t>
      </w:r>
      <w:r w:rsidRPr="0E95422E">
        <w:rPr>
          <w:rFonts w:ascii="Times New Roman" w:hAnsi="Times New Roman" w:cs="Times New Roman"/>
          <w:i/>
          <w:iCs/>
          <w:sz w:val="22"/>
          <w:szCs w:val="22"/>
          <w:lang w:eastAsia="en-GB"/>
        </w:rPr>
        <w:t>Harvard Business Review</w:t>
      </w:r>
      <w:r w:rsidRPr="0E95422E">
        <w:rPr>
          <w:rFonts w:ascii="Times New Roman" w:hAnsi="Times New Roman" w:cs="Times New Roman"/>
          <w:sz w:val="22"/>
          <w:szCs w:val="22"/>
          <w:lang w:eastAsia="en-GB"/>
        </w:rPr>
        <w:t>, 46(1), pp. 53–62.</w:t>
      </w:r>
    </w:p>
    <w:p w14:paraId="10FC3DCC" w14:textId="77777777" w:rsidR="00F209D6" w:rsidRPr="00F209D6" w:rsidRDefault="0D9D1881" w:rsidP="0E95422E">
      <w:pPr>
        <w:spacing w:before="100" w:beforeAutospacing="1" w:after="100" w:afterAutospacing="1" w:line="240" w:lineRule="auto"/>
        <w:rPr>
          <w:rFonts w:ascii="Times New Roman" w:hAnsi="Times New Roman" w:cs="Times New Roman"/>
          <w:sz w:val="22"/>
          <w:szCs w:val="22"/>
          <w:lang w:eastAsia="en-GB"/>
        </w:rPr>
      </w:pPr>
      <w:r w:rsidRPr="0E95422E">
        <w:rPr>
          <w:rFonts w:ascii="Times New Roman" w:hAnsi="Times New Roman" w:cs="Times New Roman"/>
          <w:sz w:val="22"/>
          <w:szCs w:val="22"/>
          <w:lang w:eastAsia="en-GB"/>
        </w:rPr>
        <w:t xml:space="preserve">Kotter, J.P. (1996) </w:t>
      </w:r>
      <w:r w:rsidRPr="0E95422E">
        <w:rPr>
          <w:rFonts w:ascii="Times New Roman" w:hAnsi="Times New Roman" w:cs="Times New Roman"/>
          <w:i/>
          <w:iCs/>
          <w:sz w:val="22"/>
          <w:szCs w:val="22"/>
          <w:lang w:eastAsia="en-GB"/>
        </w:rPr>
        <w:t>Leading Change</w:t>
      </w:r>
      <w:r w:rsidRPr="0E95422E">
        <w:rPr>
          <w:rFonts w:ascii="Times New Roman" w:hAnsi="Times New Roman" w:cs="Times New Roman"/>
          <w:sz w:val="22"/>
          <w:szCs w:val="22"/>
          <w:lang w:eastAsia="en-GB"/>
        </w:rPr>
        <w:t>. Boston, MA: Harvard Business School Press.</w:t>
      </w:r>
    </w:p>
    <w:p w14:paraId="37DB7D32" w14:textId="77777777" w:rsidR="00F209D6" w:rsidRPr="00F209D6" w:rsidRDefault="0D9D1881" w:rsidP="0E95422E">
      <w:pPr>
        <w:spacing w:before="100" w:beforeAutospacing="1" w:after="100" w:afterAutospacing="1" w:line="240" w:lineRule="auto"/>
        <w:rPr>
          <w:rFonts w:ascii="Times New Roman" w:hAnsi="Times New Roman" w:cs="Times New Roman"/>
          <w:sz w:val="22"/>
          <w:szCs w:val="22"/>
          <w:lang w:eastAsia="en-GB"/>
        </w:rPr>
      </w:pPr>
      <w:r w:rsidRPr="0E95422E">
        <w:rPr>
          <w:rFonts w:ascii="Times New Roman" w:hAnsi="Times New Roman" w:cs="Times New Roman"/>
          <w:sz w:val="22"/>
          <w:szCs w:val="22"/>
          <w:lang w:eastAsia="en-GB"/>
        </w:rPr>
        <w:t xml:space="preserve">Lewin, K. (1951) </w:t>
      </w:r>
      <w:r w:rsidRPr="0E95422E">
        <w:rPr>
          <w:rFonts w:ascii="Times New Roman" w:hAnsi="Times New Roman" w:cs="Times New Roman"/>
          <w:i/>
          <w:iCs/>
          <w:sz w:val="22"/>
          <w:szCs w:val="22"/>
          <w:lang w:eastAsia="en-GB"/>
        </w:rPr>
        <w:t>Field Theory in Social Science</w:t>
      </w:r>
      <w:r w:rsidRPr="0E95422E">
        <w:rPr>
          <w:rFonts w:ascii="Times New Roman" w:hAnsi="Times New Roman" w:cs="Times New Roman"/>
          <w:sz w:val="22"/>
          <w:szCs w:val="22"/>
          <w:lang w:eastAsia="en-GB"/>
        </w:rPr>
        <w:t>. New York: Harper &amp; Row.</w:t>
      </w:r>
    </w:p>
    <w:p w14:paraId="7A5EC8F1" w14:textId="77777777" w:rsidR="00F209D6" w:rsidRPr="00F209D6" w:rsidRDefault="0D9D1881" w:rsidP="0E95422E">
      <w:pPr>
        <w:spacing w:before="100" w:beforeAutospacing="1" w:after="100" w:afterAutospacing="1" w:line="240" w:lineRule="auto"/>
        <w:rPr>
          <w:rFonts w:ascii="Times New Roman" w:hAnsi="Times New Roman" w:cs="Times New Roman"/>
          <w:sz w:val="22"/>
          <w:szCs w:val="22"/>
          <w:lang w:eastAsia="en-GB"/>
        </w:rPr>
      </w:pPr>
      <w:r w:rsidRPr="0E95422E">
        <w:rPr>
          <w:rFonts w:ascii="Times New Roman" w:hAnsi="Times New Roman" w:cs="Times New Roman"/>
          <w:sz w:val="22"/>
          <w:szCs w:val="22"/>
          <w:lang w:eastAsia="en-GB"/>
        </w:rPr>
        <w:t xml:space="preserve">Marks and Spencer Group plc (2025) </w:t>
      </w:r>
      <w:r w:rsidRPr="0E95422E">
        <w:rPr>
          <w:rFonts w:ascii="Times New Roman" w:hAnsi="Times New Roman" w:cs="Times New Roman"/>
          <w:i/>
          <w:iCs/>
          <w:sz w:val="22"/>
          <w:szCs w:val="22"/>
          <w:lang w:eastAsia="en-GB"/>
        </w:rPr>
        <w:t>Annual Report and Financial Statements 2025</w:t>
      </w:r>
      <w:r w:rsidRPr="0E95422E">
        <w:rPr>
          <w:rFonts w:ascii="Times New Roman" w:hAnsi="Times New Roman" w:cs="Times New Roman"/>
          <w:sz w:val="22"/>
          <w:szCs w:val="22"/>
          <w:lang w:eastAsia="en-GB"/>
        </w:rPr>
        <w:t xml:space="preserve">. London: Marks and Spencer Group plc. Available at: </w:t>
      </w:r>
      <w:hyperlink r:id="rId14">
        <w:r w:rsidRPr="0E95422E">
          <w:rPr>
            <w:rFonts w:ascii="Times New Roman" w:hAnsi="Times New Roman" w:cs="Times New Roman"/>
            <w:color w:val="0000FF"/>
            <w:sz w:val="22"/>
            <w:szCs w:val="22"/>
            <w:u w:val="single"/>
            <w:lang w:eastAsia="en-GB"/>
          </w:rPr>
          <w:t>https://corporate.marksandspencer.com/investors</w:t>
        </w:r>
      </w:hyperlink>
      <w:r w:rsidRPr="0E95422E">
        <w:rPr>
          <w:rFonts w:ascii="Times New Roman" w:hAnsi="Times New Roman" w:cs="Times New Roman"/>
          <w:sz w:val="22"/>
          <w:szCs w:val="22"/>
          <w:lang w:eastAsia="en-GB"/>
        </w:rPr>
        <w:t xml:space="preserve"> (Accessed: 5 August 2026).</w:t>
      </w:r>
    </w:p>
    <w:p w14:paraId="214FC754" w14:textId="77777777" w:rsidR="00F209D6" w:rsidRPr="00F209D6" w:rsidRDefault="0D9D1881" w:rsidP="0E95422E">
      <w:pPr>
        <w:spacing w:before="100" w:beforeAutospacing="1" w:after="100" w:afterAutospacing="1" w:line="240" w:lineRule="auto"/>
        <w:rPr>
          <w:rFonts w:ascii="Times New Roman" w:hAnsi="Times New Roman" w:cs="Times New Roman"/>
          <w:sz w:val="22"/>
          <w:szCs w:val="22"/>
          <w:lang w:eastAsia="en-GB"/>
        </w:rPr>
      </w:pPr>
      <w:r w:rsidRPr="0E95422E">
        <w:rPr>
          <w:rFonts w:ascii="Times New Roman" w:hAnsi="Times New Roman" w:cs="Times New Roman"/>
          <w:sz w:val="22"/>
          <w:szCs w:val="22"/>
          <w:lang w:eastAsia="en-GB"/>
        </w:rPr>
        <w:t xml:space="preserve">McKinsey &amp; Company (2024) </w:t>
      </w:r>
      <w:r w:rsidRPr="0E95422E">
        <w:rPr>
          <w:rFonts w:ascii="Times New Roman" w:hAnsi="Times New Roman" w:cs="Times New Roman"/>
          <w:i/>
          <w:iCs/>
          <w:sz w:val="22"/>
          <w:szCs w:val="22"/>
          <w:lang w:eastAsia="en-GB"/>
        </w:rPr>
        <w:t>The State of Organizations 2024</w:t>
      </w:r>
      <w:r w:rsidRPr="0E95422E">
        <w:rPr>
          <w:rFonts w:ascii="Times New Roman" w:hAnsi="Times New Roman" w:cs="Times New Roman"/>
          <w:sz w:val="22"/>
          <w:szCs w:val="22"/>
          <w:lang w:eastAsia="en-GB"/>
        </w:rPr>
        <w:t xml:space="preserve">. Available at: </w:t>
      </w:r>
      <w:hyperlink r:id="rId15">
        <w:r w:rsidRPr="0E95422E">
          <w:rPr>
            <w:rFonts w:ascii="Times New Roman" w:hAnsi="Times New Roman" w:cs="Times New Roman"/>
            <w:color w:val="0000FF"/>
            <w:sz w:val="22"/>
            <w:szCs w:val="22"/>
            <w:u w:val="single"/>
            <w:lang w:eastAsia="en-GB"/>
          </w:rPr>
          <w:t>https://www.mckinsey.com</w:t>
        </w:r>
      </w:hyperlink>
      <w:r w:rsidRPr="0E95422E">
        <w:rPr>
          <w:rFonts w:ascii="Times New Roman" w:hAnsi="Times New Roman" w:cs="Times New Roman"/>
          <w:sz w:val="22"/>
          <w:szCs w:val="22"/>
          <w:lang w:eastAsia="en-GB"/>
        </w:rPr>
        <w:t xml:space="preserve"> (Accessed: 5 August 2026).</w:t>
      </w:r>
    </w:p>
    <w:p w14:paraId="0C9EAC13" w14:textId="77777777" w:rsidR="00F209D6" w:rsidRPr="00F209D6" w:rsidRDefault="0D9D1881" w:rsidP="0E95422E">
      <w:pPr>
        <w:spacing w:before="100" w:beforeAutospacing="1" w:after="100" w:afterAutospacing="1" w:line="240" w:lineRule="auto"/>
        <w:rPr>
          <w:rFonts w:ascii="Times New Roman" w:hAnsi="Times New Roman" w:cs="Times New Roman"/>
          <w:sz w:val="22"/>
          <w:szCs w:val="22"/>
          <w:lang w:eastAsia="en-GB"/>
        </w:rPr>
      </w:pPr>
      <w:r w:rsidRPr="0E95422E">
        <w:rPr>
          <w:rFonts w:ascii="Times New Roman" w:hAnsi="Times New Roman" w:cs="Times New Roman"/>
          <w:sz w:val="22"/>
          <w:szCs w:val="22"/>
          <w:lang w:eastAsia="en-GB"/>
        </w:rPr>
        <w:t xml:space="preserve">Office for National Statistics (ONS) (2024) </w:t>
      </w:r>
      <w:r w:rsidRPr="0E95422E">
        <w:rPr>
          <w:rFonts w:ascii="Times New Roman" w:hAnsi="Times New Roman" w:cs="Times New Roman"/>
          <w:i/>
          <w:iCs/>
          <w:sz w:val="22"/>
          <w:szCs w:val="22"/>
          <w:lang w:eastAsia="en-GB"/>
        </w:rPr>
        <w:t>Labour market overview, UK</w:t>
      </w:r>
      <w:r w:rsidRPr="0E95422E">
        <w:rPr>
          <w:rFonts w:ascii="Times New Roman" w:hAnsi="Times New Roman" w:cs="Times New Roman"/>
          <w:sz w:val="22"/>
          <w:szCs w:val="22"/>
          <w:lang w:eastAsia="en-GB"/>
        </w:rPr>
        <w:t xml:space="preserve">. Available at: </w:t>
      </w:r>
      <w:hyperlink r:id="rId16">
        <w:r w:rsidRPr="0E95422E">
          <w:rPr>
            <w:rFonts w:ascii="Times New Roman" w:hAnsi="Times New Roman" w:cs="Times New Roman"/>
            <w:color w:val="0000FF"/>
            <w:sz w:val="22"/>
            <w:szCs w:val="22"/>
            <w:u w:val="single"/>
            <w:lang w:eastAsia="en-GB"/>
          </w:rPr>
          <w:t>https://www.ons.gov.uk</w:t>
        </w:r>
      </w:hyperlink>
      <w:r w:rsidRPr="0E95422E">
        <w:rPr>
          <w:rFonts w:ascii="Times New Roman" w:hAnsi="Times New Roman" w:cs="Times New Roman"/>
          <w:sz w:val="22"/>
          <w:szCs w:val="22"/>
          <w:lang w:eastAsia="en-GB"/>
        </w:rPr>
        <w:t xml:space="preserve"> (Accessed: 5 August 2026).</w:t>
      </w:r>
    </w:p>
    <w:p w14:paraId="3E3BFE1D" w14:textId="77777777" w:rsidR="00F209D6" w:rsidRPr="00F209D6" w:rsidRDefault="0D9D1881" w:rsidP="0E95422E">
      <w:pPr>
        <w:spacing w:before="100" w:beforeAutospacing="1" w:after="100" w:afterAutospacing="1" w:line="240" w:lineRule="auto"/>
        <w:rPr>
          <w:rFonts w:ascii="Times New Roman" w:hAnsi="Times New Roman" w:cs="Times New Roman"/>
          <w:sz w:val="22"/>
          <w:szCs w:val="22"/>
          <w:lang w:eastAsia="en-GB"/>
        </w:rPr>
      </w:pPr>
      <w:r w:rsidRPr="0E95422E">
        <w:rPr>
          <w:rFonts w:ascii="Times New Roman" w:hAnsi="Times New Roman" w:cs="Times New Roman"/>
          <w:sz w:val="22"/>
          <w:szCs w:val="22"/>
          <w:lang w:eastAsia="en-GB"/>
        </w:rPr>
        <w:t xml:space="preserve">Shore, L.M., Cleveland, J.N. and Sanchez, D. (2022) ‘Inclusive workplaces: A review and model for future research’, </w:t>
      </w:r>
      <w:r w:rsidRPr="0E95422E">
        <w:rPr>
          <w:rFonts w:ascii="Times New Roman" w:hAnsi="Times New Roman" w:cs="Times New Roman"/>
          <w:i/>
          <w:iCs/>
          <w:sz w:val="22"/>
          <w:szCs w:val="22"/>
          <w:lang w:eastAsia="en-GB"/>
        </w:rPr>
        <w:t>Human Resource Management Review</w:t>
      </w:r>
      <w:r w:rsidRPr="0E95422E">
        <w:rPr>
          <w:rFonts w:ascii="Times New Roman" w:hAnsi="Times New Roman" w:cs="Times New Roman"/>
          <w:sz w:val="22"/>
          <w:szCs w:val="22"/>
          <w:lang w:eastAsia="en-GB"/>
        </w:rPr>
        <w:t>, 32(3), Article 100857.</w:t>
      </w:r>
    </w:p>
    <w:p w14:paraId="1E9074A1" w14:textId="77777777" w:rsidR="00F209D6" w:rsidRPr="00F209D6" w:rsidRDefault="0D9D1881" w:rsidP="0E95422E">
      <w:pPr>
        <w:spacing w:before="100" w:beforeAutospacing="1" w:after="100" w:afterAutospacing="1" w:line="240" w:lineRule="auto"/>
        <w:rPr>
          <w:rFonts w:ascii="Times New Roman" w:hAnsi="Times New Roman" w:cs="Times New Roman"/>
          <w:sz w:val="22"/>
          <w:szCs w:val="22"/>
          <w:lang w:eastAsia="en-GB"/>
        </w:rPr>
      </w:pPr>
      <w:r w:rsidRPr="0E95422E">
        <w:rPr>
          <w:rFonts w:ascii="Times New Roman" w:hAnsi="Times New Roman" w:cs="Times New Roman"/>
          <w:sz w:val="22"/>
          <w:szCs w:val="22"/>
          <w:lang w:eastAsia="en-GB"/>
        </w:rPr>
        <w:t xml:space="preserve">Society for Human Resource Management (SHRM) (2024) </w:t>
      </w:r>
      <w:r w:rsidRPr="0E95422E">
        <w:rPr>
          <w:rFonts w:ascii="Times New Roman" w:hAnsi="Times New Roman" w:cs="Times New Roman"/>
          <w:i/>
          <w:iCs/>
          <w:sz w:val="22"/>
          <w:szCs w:val="22"/>
          <w:lang w:eastAsia="en-GB"/>
        </w:rPr>
        <w:t>The State of the Workplace 2024</w:t>
      </w:r>
      <w:r w:rsidRPr="0E95422E">
        <w:rPr>
          <w:rFonts w:ascii="Times New Roman" w:hAnsi="Times New Roman" w:cs="Times New Roman"/>
          <w:sz w:val="22"/>
          <w:szCs w:val="22"/>
          <w:lang w:eastAsia="en-GB"/>
        </w:rPr>
        <w:t xml:space="preserve">. Alexandria, VA: SHRM. Available at: </w:t>
      </w:r>
      <w:hyperlink r:id="rId17">
        <w:r w:rsidRPr="0E95422E">
          <w:rPr>
            <w:rFonts w:ascii="Times New Roman" w:hAnsi="Times New Roman" w:cs="Times New Roman"/>
            <w:color w:val="0000FF"/>
            <w:sz w:val="22"/>
            <w:szCs w:val="22"/>
            <w:u w:val="single"/>
            <w:lang w:eastAsia="en-GB"/>
          </w:rPr>
          <w:t>https://www.shrm.org</w:t>
        </w:r>
      </w:hyperlink>
      <w:r w:rsidRPr="0E95422E">
        <w:rPr>
          <w:rFonts w:ascii="Times New Roman" w:hAnsi="Times New Roman" w:cs="Times New Roman"/>
          <w:sz w:val="22"/>
          <w:szCs w:val="22"/>
          <w:lang w:eastAsia="en-GB"/>
        </w:rPr>
        <w:t xml:space="preserve"> (Accessed: 5 August 2026).</w:t>
      </w:r>
    </w:p>
    <w:p w14:paraId="7D95DF5A" w14:textId="02A96027" w:rsidR="000268B2" w:rsidRPr="00F209D6" w:rsidRDefault="0D9D1881" w:rsidP="0E95422E">
      <w:pPr>
        <w:spacing w:before="100" w:beforeAutospacing="1" w:after="100" w:afterAutospacing="1" w:line="240" w:lineRule="auto"/>
        <w:rPr>
          <w:rFonts w:ascii="Times New Roman" w:hAnsi="Times New Roman" w:cs="Times New Roman"/>
          <w:sz w:val="22"/>
          <w:szCs w:val="22"/>
          <w:lang w:eastAsia="en-GB"/>
        </w:rPr>
      </w:pPr>
      <w:r w:rsidRPr="0E95422E">
        <w:rPr>
          <w:rFonts w:ascii="Times New Roman" w:hAnsi="Times New Roman" w:cs="Times New Roman"/>
          <w:sz w:val="22"/>
          <w:szCs w:val="22"/>
          <w:lang w:eastAsia="en-GB"/>
        </w:rPr>
        <w:t xml:space="preserve">Taylor, P. (2023) </w:t>
      </w:r>
      <w:r w:rsidRPr="0E95422E">
        <w:rPr>
          <w:rFonts w:ascii="Times New Roman" w:hAnsi="Times New Roman" w:cs="Times New Roman"/>
          <w:i/>
          <w:iCs/>
          <w:sz w:val="22"/>
          <w:szCs w:val="22"/>
          <w:lang w:eastAsia="en-GB"/>
        </w:rPr>
        <w:t>Contemporary Issues in Human Resource Management</w:t>
      </w:r>
      <w:r w:rsidRPr="0E95422E">
        <w:rPr>
          <w:rFonts w:ascii="Times New Roman" w:hAnsi="Times New Roman" w:cs="Times New Roman"/>
          <w:sz w:val="22"/>
          <w:szCs w:val="22"/>
          <w:lang w:eastAsia="en-GB"/>
        </w:rPr>
        <w:t xml:space="preserve">. 2nd </w:t>
      </w:r>
      <w:proofErr w:type="spellStart"/>
      <w:r w:rsidRPr="0E95422E">
        <w:rPr>
          <w:rFonts w:ascii="Times New Roman" w:hAnsi="Times New Roman" w:cs="Times New Roman"/>
          <w:sz w:val="22"/>
          <w:szCs w:val="22"/>
          <w:lang w:eastAsia="en-GB"/>
        </w:rPr>
        <w:t>edn</w:t>
      </w:r>
      <w:proofErr w:type="spellEnd"/>
      <w:r w:rsidRPr="0E95422E">
        <w:rPr>
          <w:rFonts w:ascii="Times New Roman" w:hAnsi="Times New Roman" w:cs="Times New Roman"/>
          <w:sz w:val="22"/>
          <w:szCs w:val="22"/>
          <w:lang w:eastAsia="en-GB"/>
        </w:rPr>
        <w:t>. London: Routledge</w:t>
      </w:r>
      <w:r w:rsidR="000268B2">
        <w:rPr>
          <w:rFonts w:ascii="Times New Roman" w:hAnsi="Times New Roman" w:cs="Times New Roman"/>
          <w:sz w:val="22"/>
          <w:szCs w:val="22"/>
          <w:lang w:eastAsia="en-GB"/>
        </w:rPr>
        <w:t>.</w:t>
      </w:r>
    </w:p>
    <w:p w14:paraId="240141B8" w14:textId="77777777" w:rsidR="00F209D6" w:rsidRPr="00F209D6" w:rsidRDefault="0D9D1881" w:rsidP="0E95422E">
      <w:pPr>
        <w:spacing w:before="100" w:beforeAutospacing="1" w:after="100" w:afterAutospacing="1" w:line="240" w:lineRule="auto"/>
        <w:rPr>
          <w:rFonts w:ascii="Times New Roman" w:hAnsi="Times New Roman" w:cs="Times New Roman"/>
          <w:sz w:val="22"/>
          <w:szCs w:val="22"/>
          <w:lang w:eastAsia="en-GB"/>
        </w:rPr>
      </w:pPr>
      <w:r w:rsidRPr="0E95422E">
        <w:rPr>
          <w:rFonts w:ascii="Times New Roman" w:hAnsi="Times New Roman" w:cs="Times New Roman"/>
          <w:sz w:val="22"/>
          <w:szCs w:val="22"/>
          <w:lang w:eastAsia="en-GB"/>
        </w:rPr>
        <w:lastRenderedPageBreak/>
        <w:t xml:space="preserve">World Economic Forum (2025) </w:t>
      </w:r>
      <w:r w:rsidRPr="0E95422E">
        <w:rPr>
          <w:rFonts w:ascii="Times New Roman" w:hAnsi="Times New Roman" w:cs="Times New Roman"/>
          <w:i/>
          <w:iCs/>
          <w:sz w:val="22"/>
          <w:szCs w:val="22"/>
          <w:lang w:eastAsia="en-GB"/>
        </w:rPr>
        <w:t>The Future of Jobs Report 2025</w:t>
      </w:r>
      <w:r w:rsidRPr="0E95422E">
        <w:rPr>
          <w:rFonts w:ascii="Times New Roman" w:hAnsi="Times New Roman" w:cs="Times New Roman"/>
          <w:sz w:val="22"/>
          <w:szCs w:val="22"/>
          <w:lang w:eastAsia="en-GB"/>
        </w:rPr>
        <w:t xml:space="preserve">. Geneva: World Economic Forum. Available at: </w:t>
      </w:r>
      <w:hyperlink r:id="rId18">
        <w:r w:rsidRPr="0E95422E">
          <w:rPr>
            <w:rFonts w:ascii="Times New Roman" w:hAnsi="Times New Roman" w:cs="Times New Roman"/>
            <w:color w:val="0000FF"/>
            <w:sz w:val="22"/>
            <w:szCs w:val="22"/>
            <w:u w:val="single"/>
            <w:lang w:eastAsia="en-GB"/>
          </w:rPr>
          <w:t>https://www.weforum.org</w:t>
        </w:r>
      </w:hyperlink>
      <w:r w:rsidRPr="0E95422E">
        <w:rPr>
          <w:rFonts w:ascii="Times New Roman" w:hAnsi="Times New Roman" w:cs="Times New Roman"/>
          <w:sz w:val="22"/>
          <w:szCs w:val="22"/>
          <w:lang w:eastAsia="en-GB"/>
        </w:rPr>
        <w:t xml:space="preserve"> (Accessed: 5 August 2026).</w:t>
      </w:r>
    </w:p>
    <w:p w14:paraId="03D84ECC" w14:textId="77777777" w:rsidR="00F209D6" w:rsidRDefault="00F209D6" w:rsidP="0E95422E">
      <w:pPr>
        <w:rPr>
          <w:rFonts w:hint="eastAsia"/>
          <w:sz w:val="22"/>
          <w:szCs w:val="22"/>
        </w:rPr>
      </w:pPr>
    </w:p>
    <w:p w14:paraId="5E859F50" w14:textId="66C3ECCD" w:rsidR="71601E1C" w:rsidRDefault="71601E1C" w:rsidP="0E95422E">
      <w:pPr>
        <w:rPr>
          <w:rFonts w:hint="eastAsia"/>
          <w:sz w:val="22"/>
          <w:szCs w:val="22"/>
        </w:rPr>
      </w:pPr>
    </w:p>
    <w:p w14:paraId="22217AB9" w14:textId="297BFBBE" w:rsidR="71601E1C" w:rsidRDefault="71601E1C">
      <w:pPr>
        <w:rPr>
          <w:rFonts w:hint="eastAsia"/>
        </w:rPr>
      </w:pPr>
    </w:p>
    <w:p w14:paraId="08003496" w14:textId="1DFBE9D3" w:rsidR="71601E1C" w:rsidRDefault="71601E1C">
      <w:pPr>
        <w:rPr>
          <w:rFonts w:hint="eastAsia"/>
        </w:rPr>
      </w:pPr>
    </w:p>
    <w:sectPr w:rsidR="71601E1C">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15B9A09" w14:textId="77777777" w:rsidR="001D41BA" w:rsidRDefault="001D41BA" w:rsidP="00250BF9">
      <w:pPr>
        <w:spacing w:after="0" w:line="240" w:lineRule="auto"/>
        <w:rPr>
          <w:rFonts w:hint="eastAsia"/>
        </w:rPr>
      </w:pPr>
      <w:r>
        <w:separator/>
      </w:r>
    </w:p>
  </w:endnote>
  <w:endnote w:type="continuationSeparator" w:id="0">
    <w:p w14:paraId="17AD9831" w14:textId="77777777" w:rsidR="001D41BA" w:rsidRDefault="001D41BA" w:rsidP="00250BF9">
      <w:pPr>
        <w:spacing w:after="0" w:line="240" w:lineRule="auto"/>
        <w:rPr>
          <w:rFonts w:hint="eastAsia"/>
        </w:rPr>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altName w:val="Calibri"/>
    <w:charset w:val="00"/>
    <w:family w:val="roman"/>
    <w:pitch w:val="default"/>
  </w:font>
  <w:font w:name="MS Mincho">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Aptos Display">
    <w:altName w:val="Calibri"/>
    <w:charset w:val="00"/>
    <w:family w:val="roman"/>
    <w:pitch w:val="default"/>
  </w:font>
  <w:font w:name="MS Gothic">
    <w:altName w:val="ＭＳ ゴシック"/>
    <w:panose1 w:val="020B0609070205080204"/>
    <w:charset w:val="80"/>
    <w:family w:val="modern"/>
    <w:pitch w:val="fixed"/>
    <w:sig w:usb0="E00002FF" w:usb1="6AC7FDFB" w:usb2="08000012" w:usb3="00000000" w:csb0="0002009F" w:csb1="00000000"/>
  </w:font>
  <w:font w:name="Times New Roman">
    <w:panose1 w:val="02020603050405020304"/>
    <w:charset w:val="00"/>
    <w:family w:val="roman"/>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988DE2C" w14:textId="77777777" w:rsidR="001D41BA" w:rsidRDefault="001D41BA" w:rsidP="00250BF9">
      <w:pPr>
        <w:spacing w:after="0" w:line="240" w:lineRule="auto"/>
        <w:rPr>
          <w:rFonts w:hint="eastAsia"/>
        </w:rPr>
      </w:pPr>
      <w:r>
        <w:separator/>
      </w:r>
    </w:p>
  </w:footnote>
  <w:footnote w:type="continuationSeparator" w:id="0">
    <w:p w14:paraId="2AC9D495" w14:textId="77777777" w:rsidR="001D41BA" w:rsidRDefault="001D41BA" w:rsidP="00250BF9">
      <w:pPr>
        <w:spacing w:after="0" w:line="240" w:lineRule="auto"/>
        <w:rPr>
          <w:rFonts w:hint="eastAsia"/>
        </w:rPr>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0E16E48"/>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52887759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8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334C218"/>
    <w:rsid w:val="000268B2"/>
    <w:rsid w:val="00072816"/>
    <w:rsid w:val="000855C4"/>
    <w:rsid w:val="000A5CED"/>
    <w:rsid w:val="000B464D"/>
    <w:rsid w:val="001809C2"/>
    <w:rsid w:val="001C7170"/>
    <w:rsid w:val="001D0334"/>
    <w:rsid w:val="001D1D78"/>
    <w:rsid w:val="001D41BA"/>
    <w:rsid w:val="00206317"/>
    <w:rsid w:val="002169CD"/>
    <w:rsid w:val="00242161"/>
    <w:rsid w:val="00250BF9"/>
    <w:rsid w:val="002973EA"/>
    <w:rsid w:val="002F5596"/>
    <w:rsid w:val="00347A6B"/>
    <w:rsid w:val="00360BAA"/>
    <w:rsid w:val="0036193C"/>
    <w:rsid w:val="003B10E2"/>
    <w:rsid w:val="003F5514"/>
    <w:rsid w:val="00444F87"/>
    <w:rsid w:val="00451493"/>
    <w:rsid w:val="00485D22"/>
    <w:rsid w:val="004B10E2"/>
    <w:rsid w:val="004C77E3"/>
    <w:rsid w:val="004D68E3"/>
    <w:rsid w:val="004E5C84"/>
    <w:rsid w:val="00551451"/>
    <w:rsid w:val="005A2D46"/>
    <w:rsid w:val="005A33CC"/>
    <w:rsid w:val="005A5E5C"/>
    <w:rsid w:val="0061381D"/>
    <w:rsid w:val="00694561"/>
    <w:rsid w:val="00711AAB"/>
    <w:rsid w:val="00754454"/>
    <w:rsid w:val="0079243B"/>
    <w:rsid w:val="007B582E"/>
    <w:rsid w:val="007D2BC6"/>
    <w:rsid w:val="007E1EED"/>
    <w:rsid w:val="007E4B5C"/>
    <w:rsid w:val="00831E56"/>
    <w:rsid w:val="0087577F"/>
    <w:rsid w:val="008D648C"/>
    <w:rsid w:val="008F01CA"/>
    <w:rsid w:val="009168F2"/>
    <w:rsid w:val="0093161A"/>
    <w:rsid w:val="009A67A5"/>
    <w:rsid w:val="009B3CD9"/>
    <w:rsid w:val="009D2749"/>
    <w:rsid w:val="00A645A5"/>
    <w:rsid w:val="00A72899"/>
    <w:rsid w:val="00A72FA5"/>
    <w:rsid w:val="00AA5680"/>
    <w:rsid w:val="00AA752F"/>
    <w:rsid w:val="00AB37F6"/>
    <w:rsid w:val="00AB4967"/>
    <w:rsid w:val="00AE7221"/>
    <w:rsid w:val="00AE74AC"/>
    <w:rsid w:val="00B11992"/>
    <w:rsid w:val="00B25A49"/>
    <w:rsid w:val="00B8532D"/>
    <w:rsid w:val="00BA5E6C"/>
    <w:rsid w:val="00BC7BCD"/>
    <w:rsid w:val="00BD02C2"/>
    <w:rsid w:val="00C61FB3"/>
    <w:rsid w:val="00C9702D"/>
    <w:rsid w:val="00CB746B"/>
    <w:rsid w:val="00CC157A"/>
    <w:rsid w:val="00CF06A2"/>
    <w:rsid w:val="00D249F4"/>
    <w:rsid w:val="00D43AE2"/>
    <w:rsid w:val="00DF1274"/>
    <w:rsid w:val="00E0274F"/>
    <w:rsid w:val="00E369F9"/>
    <w:rsid w:val="00E371A6"/>
    <w:rsid w:val="00E53005"/>
    <w:rsid w:val="00E77437"/>
    <w:rsid w:val="00EB6319"/>
    <w:rsid w:val="00EF5D0B"/>
    <w:rsid w:val="00F209D6"/>
    <w:rsid w:val="00F46B78"/>
    <w:rsid w:val="00FB3024"/>
    <w:rsid w:val="00FC0D2D"/>
    <w:rsid w:val="00FE48AE"/>
    <w:rsid w:val="01B5D578"/>
    <w:rsid w:val="06A2635A"/>
    <w:rsid w:val="074B5E7B"/>
    <w:rsid w:val="0B50B82C"/>
    <w:rsid w:val="0CC0C790"/>
    <w:rsid w:val="0D9D1881"/>
    <w:rsid w:val="0E94BD98"/>
    <w:rsid w:val="0E95422E"/>
    <w:rsid w:val="0F310CF5"/>
    <w:rsid w:val="0F746109"/>
    <w:rsid w:val="10DAD57A"/>
    <w:rsid w:val="12B869B9"/>
    <w:rsid w:val="1334C218"/>
    <w:rsid w:val="14A1E38D"/>
    <w:rsid w:val="156772DB"/>
    <w:rsid w:val="15E21DC1"/>
    <w:rsid w:val="17481F1B"/>
    <w:rsid w:val="1881126F"/>
    <w:rsid w:val="19B32CB0"/>
    <w:rsid w:val="1BB5075D"/>
    <w:rsid w:val="1C512FA9"/>
    <w:rsid w:val="1C7D95F4"/>
    <w:rsid w:val="1CF9BFC1"/>
    <w:rsid w:val="21D2A3F1"/>
    <w:rsid w:val="2777F7A9"/>
    <w:rsid w:val="287CFA12"/>
    <w:rsid w:val="2A4B93F5"/>
    <w:rsid w:val="2AE4F0A3"/>
    <w:rsid w:val="2BE40426"/>
    <w:rsid w:val="2D1ABC3F"/>
    <w:rsid w:val="2E2C0C2F"/>
    <w:rsid w:val="315D82C2"/>
    <w:rsid w:val="34CACEDC"/>
    <w:rsid w:val="3654EF71"/>
    <w:rsid w:val="3AD25D39"/>
    <w:rsid w:val="3E252B08"/>
    <w:rsid w:val="4170C601"/>
    <w:rsid w:val="42B3EF05"/>
    <w:rsid w:val="4514D29C"/>
    <w:rsid w:val="4ACA07A3"/>
    <w:rsid w:val="4B2CFFC8"/>
    <w:rsid w:val="4CE1A713"/>
    <w:rsid w:val="4EBEE2A5"/>
    <w:rsid w:val="4F3EEB16"/>
    <w:rsid w:val="4F9C8086"/>
    <w:rsid w:val="54748D9F"/>
    <w:rsid w:val="55066509"/>
    <w:rsid w:val="5520BE67"/>
    <w:rsid w:val="55642A1B"/>
    <w:rsid w:val="55D005AC"/>
    <w:rsid w:val="57F1276A"/>
    <w:rsid w:val="5B56EB47"/>
    <w:rsid w:val="5C72890E"/>
    <w:rsid w:val="5C9544BE"/>
    <w:rsid w:val="634D9152"/>
    <w:rsid w:val="65361A43"/>
    <w:rsid w:val="660C4857"/>
    <w:rsid w:val="6634C3AE"/>
    <w:rsid w:val="68FA0DFF"/>
    <w:rsid w:val="69BADFD1"/>
    <w:rsid w:val="6A51CAA0"/>
    <w:rsid w:val="6F6FEA33"/>
    <w:rsid w:val="71601E1C"/>
    <w:rsid w:val="72FCEA01"/>
    <w:rsid w:val="754727A0"/>
    <w:rsid w:val="754CDD12"/>
    <w:rsid w:val="756ABA94"/>
    <w:rsid w:val="79BCB0A9"/>
    <w:rsid w:val="7B4E54DA"/>
    <w:rsid w:val="7F251FC5"/>
    <w:rsid w:val="7F641EDB"/>
    <w:rsid w:val="7F6995D7"/>
    <w:rsid w:val="7FD63D7F"/>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0D4E12D"/>
  <w15:chartTrackingRefBased/>
  <w15:docId w15:val="{38588EBA-919F-4F7F-8507-847233897C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E1EE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E722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AE7221"/>
    <w:rPr>
      <w:rFonts w:asciiTheme="majorHAnsi" w:eastAsiaTheme="majorEastAsia" w:hAnsiTheme="majorHAnsi" w:cstheme="majorBidi"/>
      <w:color w:val="0F4761" w:themeColor="accent1" w:themeShade="BF"/>
      <w:sz w:val="32"/>
      <w:szCs w:val="32"/>
    </w:rPr>
  </w:style>
  <w:style w:type="character" w:customStyle="1" w:styleId="s1">
    <w:name w:val="s1"/>
    <w:basedOn w:val="DefaultParagraphFont"/>
    <w:rsid w:val="00AE7221"/>
  </w:style>
  <w:style w:type="paragraph" w:customStyle="1" w:styleId="p2">
    <w:name w:val="p2"/>
    <w:basedOn w:val="Normal"/>
    <w:rsid w:val="00AE7221"/>
    <w:pPr>
      <w:spacing w:before="100" w:beforeAutospacing="1" w:after="100" w:afterAutospacing="1" w:line="240" w:lineRule="auto"/>
    </w:pPr>
    <w:rPr>
      <w:rFonts w:ascii="Times New Roman" w:hAnsi="Times New Roman" w:cs="Times New Roman"/>
      <w:lang w:eastAsia="en-GB"/>
    </w:rPr>
  </w:style>
  <w:style w:type="paragraph" w:customStyle="1" w:styleId="p3">
    <w:name w:val="p3"/>
    <w:basedOn w:val="Normal"/>
    <w:rsid w:val="00AE7221"/>
    <w:pPr>
      <w:spacing w:before="100" w:beforeAutospacing="1" w:after="100" w:afterAutospacing="1" w:line="240" w:lineRule="auto"/>
    </w:pPr>
    <w:rPr>
      <w:rFonts w:ascii="Times New Roman" w:hAnsi="Times New Roman" w:cs="Times New Roman"/>
      <w:lang w:eastAsia="en-GB"/>
    </w:rPr>
  </w:style>
  <w:style w:type="paragraph" w:customStyle="1" w:styleId="p1">
    <w:name w:val="p1"/>
    <w:basedOn w:val="Normal"/>
    <w:rsid w:val="00C61FB3"/>
    <w:pPr>
      <w:spacing w:before="100" w:beforeAutospacing="1" w:after="100" w:afterAutospacing="1" w:line="240" w:lineRule="auto"/>
    </w:pPr>
    <w:rPr>
      <w:rFonts w:ascii="Times New Roman" w:hAnsi="Times New Roman" w:cs="Times New Roman"/>
      <w:lang w:eastAsia="en-GB"/>
    </w:rPr>
  </w:style>
  <w:style w:type="character" w:customStyle="1" w:styleId="s2">
    <w:name w:val="s2"/>
    <w:basedOn w:val="DefaultParagraphFont"/>
    <w:rsid w:val="00C61FB3"/>
  </w:style>
  <w:style w:type="character" w:customStyle="1" w:styleId="s3">
    <w:name w:val="s3"/>
    <w:basedOn w:val="DefaultParagraphFont"/>
    <w:rsid w:val="00C61FB3"/>
  </w:style>
  <w:style w:type="character" w:customStyle="1" w:styleId="Heading1Char">
    <w:name w:val="Heading 1 Char"/>
    <w:basedOn w:val="DefaultParagraphFont"/>
    <w:link w:val="Heading1"/>
    <w:uiPriority w:val="9"/>
    <w:rsid w:val="007E1EED"/>
    <w:rPr>
      <w:rFonts w:asciiTheme="majorHAnsi" w:eastAsiaTheme="majorEastAsia" w:hAnsiTheme="majorHAnsi" w:cstheme="majorBidi"/>
      <w:color w:val="0F4761" w:themeColor="accent1" w:themeShade="BF"/>
      <w:sz w:val="40"/>
      <w:szCs w:val="40"/>
    </w:rPr>
  </w:style>
  <w:style w:type="character" w:styleId="Hyperlink">
    <w:name w:val="Hyperlink"/>
    <w:basedOn w:val="DefaultParagraphFont"/>
    <w:uiPriority w:val="99"/>
    <w:semiHidden/>
    <w:unhideWhenUsed/>
    <w:rsid w:val="00FE48AE"/>
    <w:rPr>
      <w:color w:val="0000FF"/>
      <w:u w:val="single"/>
    </w:rPr>
  </w:style>
  <w:style w:type="paragraph" w:styleId="Header">
    <w:name w:val="header"/>
    <w:basedOn w:val="Normal"/>
    <w:link w:val="HeaderChar"/>
    <w:uiPriority w:val="99"/>
    <w:unhideWhenUsed/>
    <w:rsid w:val="00250BF9"/>
    <w:pPr>
      <w:tabs>
        <w:tab w:val="center" w:pos="4513"/>
        <w:tab w:val="right" w:pos="9026"/>
      </w:tabs>
      <w:spacing w:after="0" w:line="240" w:lineRule="auto"/>
    </w:pPr>
  </w:style>
  <w:style w:type="character" w:customStyle="1" w:styleId="HeaderChar">
    <w:name w:val="Header Char"/>
    <w:basedOn w:val="DefaultParagraphFont"/>
    <w:link w:val="Header"/>
    <w:uiPriority w:val="99"/>
    <w:rsid w:val="00250BF9"/>
  </w:style>
  <w:style w:type="paragraph" w:styleId="Footer">
    <w:name w:val="footer"/>
    <w:basedOn w:val="Normal"/>
    <w:link w:val="FooterChar"/>
    <w:uiPriority w:val="99"/>
    <w:unhideWhenUsed/>
    <w:rsid w:val="00250BF9"/>
    <w:pPr>
      <w:tabs>
        <w:tab w:val="center" w:pos="4513"/>
        <w:tab w:val="right" w:pos="9026"/>
      </w:tabs>
      <w:spacing w:after="0" w:line="240" w:lineRule="auto"/>
    </w:pPr>
  </w:style>
  <w:style w:type="character" w:customStyle="1" w:styleId="FooterChar">
    <w:name w:val="Footer Char"/>
    <w:basedOn w:val="DefaultParagraphFont"/>
    <w:link w:val="Footer"/>
    <w:uiPriority w:val="99"/>
    <w:rsid w:val="00250BF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encoding w:val="macintos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13" Type="http://schemas.openxmlformats.org/officeDocument/2006/relationships/hyperlink" Target="https://www.cipd.org" TargetMode="External"/><Relationship Id="rId18" Type="http://schemas.openxmlformats.org/officeDocument/2006/relationships/hyperlink" Target="https://www.weforum.org"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cipd.org" TargetMode="External"/><Relationship Id="rId17" Type="http://schemas.openxmlformats.org/officeDocument/2006/relationships/hyperlink" Target="https://www.shrm.org" TargetMode="External"/><Relationship Id="rId2" Type="http://schemas.openxmlformats.org/officeDocument/2006/relationships/styles" Target="styles.xml"/><Relationship Id="rId16" Type="http://schemas.openxmlformats.org/officeDocument/2006/relationships/hyperlink" Target="https://www.ons.gov.uk"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ipd.org" TargetMode="External"/><Relationship Id="rId5" Type="http://schemas.openxmlformats.org/officeDocument/2006/relationships/footnotes" Target="footnotes.xml"/><Relationship Id="rId15" Type="http://schemas.openxmlformats.org/officeDocument/2006/relationships/hyperlink" Target="https://www.mckinsey.com" TargetMode="External"/><Relationship Id="rId10" Type="http://schemas.openxmlformats.org/officeDocument/2006/relationships/hyperlink" Target="https://www.acas.org.uk"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dailymail.com/news/article-14893033/Two-British-teenagers-Latvian-19-woman-20-arrested-cyber-attacks-crippled-M-S-op-Harrods.html" TargetMode="External"/><Relationship Id="rId14" Type="http://schemas.openxmlformats.org/officeDocument/2006/relationships/hyperlink" Target="https://corporate.marksandspencer.com/investor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12</Pages>
  <Words>4054</Words>
  <Characters>23110</Characters>
  <Application>Microsoft Office Word</Application>
  <DocSecurity>0</DocSecurity>
  <Lines>192</Lines>
  <Paragraphs>54</Paragraphs>
  <ScaleCrop>false</ScaleCrop>
  <Company/>
  <LinksUpToDate>false</LinksUpToDate>
  <CharactersWithSpaces>27110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Denise Natalie McFarlane (2441388)</dc:creator>
  <cp:keywords/>
  <dc:description/>
  <cp:lastModifiedBy>Denise Natalie McFarlane (2441388)</cp:lastModifiedBy>
  <cp:revision>2</cp:revision>
  <dcterms:created xsi:type="dcterms:W3CDTF">2026-08-13T14:27:00Z</dcterms:created>
  <dcterms:modified xsi:type="dcterms:W3CDTF">2026-08-13T14:27:00Z</dcterms:modified>
</cp:coreProperties>
</file>