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D8277C" w14:textId="79A59AEE" w:rsidR="00942158" w:rsidRDefault="00942158" w:rsidP="006B742B">
      <w:pPr>
        <w:jc w:val="center"/>
      </w:pPr>
    </w:p>
    <w:p w14:paraId="686BB603" w14:textId="77777777" w:rsidR="00853BDC" w:rsidRDefault="00853BDC" w:rsidP="006B742B">
      <w:pPr>
        <w:jc w:val="center"/>
      </w:pPr>
    </w:p>
    <w:p w14:paraId="4F6F71B9" w14:textId="61358C07" w:rsidR="00942158" w:rsidRDefault="00942158" w:rsidP="006B742B">
      <w:pPr>
        <w:spacing w:after="158"/>
        <w:ind w:left="49"/>
        <w:jc w:val="center"/>
      </w:pPr>
      <w:r>
        <w:rPr>
          <w:noProof/>
        </w:rPr>
        <w:drawing>
          <wp:inline distT="0" distB="0" distL="0" distR="0" wp14:anchorId="378A9CA7" wp14:editId="5BA879A0">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016AB076" w14:textId="5E49D437" w:rsidR="00942158" w:rsidRDefault="00942158" w:rsidP="006B742B">
      <w:pPr>
        <w:ind w:left="49"/>
        <w:jc w:val="center"/>
      </w:pPr>
    </w:p>
    <w:p w14:paraId="750041B5" w14:textId="515F1C7E" w:rsidR="00942158" w:rsidRDefault="00942158" w:rsidP="006B742B">
      <w:pPr>
        <w:spacing w:after="287"/>
        <w:ind w:left="49"/>
        <w:jc w:val="center"/>
      </w:pPr>
    </w:p>
    <w:p w14:paraId="25E5A85B" w14:textId="48D4F7CC" w:rsidR="00942158" w:rsidRPr="00B06F41" w:rsidRDefault="00942158" w:rsidP="006B742B">
      <w:pPr>
        <w:spacing w:after="100" w:line="276" w:lineRule="auto"/>
        <w:jc w:val="center"/>
        <w:rPr>
          <w:sz w:val="28"/>
          <w:szCs w:val="28"/>
        </w:rPr>
      </w:pPr>
      <w:r w:rsidRPr="00B06F41">
        <w:rPr>
          <w:rFonts w:ascii="Arial" w:eastAsia="Arial" w:hAnsi="Arial" w:cs="Arial"/>
          <w:b/>
          <w:bCs/>
          <w:color w:val="1F4E79"/>
          <w:sz w:val="32"/>
          <w:szCs w:val="32"/>
        </w:rPr>
        <w:t>An Analysis of Barriers Causing Long Waiting Times in</w:t>
      </w:r>
    </w:p>
    <w:p w14:paraId="767863C7" w14:textId="77777777" w:rsidR="00942158" w:rsidRPr="00B06F41" w:rsidRDefault="00942158" w:rsidP="006B742B">
      <w:pPr>
        <w:spacing w:after="100" w:line="276" w:lineRule="auto"/>
        <w:jc w:val="center"/>
        <w:rPr>
          <w:sz w:val="28"/>
          <w:szCs w:val="28"/>
        </w:rPr>
      </w:pPr>
      <w:r w:rsidRPr="00B06F41">
        <w:rPr>
          <w:rFonts w:ascii="Arial" w:eastAsia="Arial" w:hAnsi="Arial" w:cs="Arial"/>
          <w:b/>
          <w:bCs/>
          <w:color w:val="1F4E79"/>
          <w:sz w:val="32"/>
          <w:szCs w:val="32"/>
        </w:rPr>
        <w:t>Child and Adolescent Mental Health Services</w:t>
      </w:r>
    </w:p>
    <w:p w14:paraId="0398B664" w14:textId="77777777" w:rsidR="00942158" w:rsidRPr="007F3292" w:rsidRDefault="00942158" w:rsidP="006B742B">
      <w:pPr>
        <w:spacing w:after="157"/>
        <w:ind w:left="89"/>
        <w:jc w:val="center"/>
        <w:rPr>
          <w:rFonts w:asciiTheme="minorBidi" w:hAnsiTheme="minorBidi"/>
        </w:rPr>
      </w:pPr>
      <w:r w:rsidRPr="00B06F41">
        <w:rPr>
          <w:rFonts w:ascii="Arial" w:eastAsia="Arial" w:hAnsi="Arial" w:cs="Arial"/>
          <w:b/>
          <w:bCs/>
          <w:color w:val="1F4E79"/>
          <w:sz w:val="32"/>
          <w:szCs w:val="32"/>
        </w:rPr>
        <w:t>(CAMHS) in England</w:t>
      </w:r>
    </w:p>
    <w:p w14:paraId="1499DFCA" w14:textId="2D3327C6" w:rsidR="00942158" w:rsidRDefault="00942158" w:rsidP="006B742B">
      <w:pPr>
        <w:spacing w:after="42"/>
        <w:ind w:left="89"/>
        <w:jc w:val="center"/>
      </w:pPr>
    </w:p>
    <w:p w14:paraId="6E2B0A78" w14:textId="1E89A887" w:rsidR="00942158" w:rsidRPr="007F3292" w:rsidRDefault="00942158" w:rsidP="006B742B">
      <w:pPr>
        <w:spacing w:after="157"/>
        <w:ind w:left="2367" w:right="2358"/>
        <w:jc w:val="center"/>
        <w:rPr>
          <w:rFonts w:asciiTheme="minorBidi" w:hAnsiTheme="minorBidi"/>
        </w:rPr>
      </w:pPr>
      <w:r w:rsidRPr="007F3292">
        <w:rPr>
          <w:rFonts w:asciiTheme="minorBidi" w:hAnsiTheme="minorBidi"/>
        </w:rPr>
        <w:t>by</w:t>
      </w:r>
    </w:p>
    <w:p w14:paraId="043D7F61" w14:textId="22131577" w:rsidR="00942158" w:rsidRPr="007F3292" w:rsidRDefault="00942158" w:rsidP="006B742B">
      <w:pPr>
        <w:spacing w:after="158"/>
        <w:ind w:left="59"/>
        <w:jc w:val="center"/>
        <w:rPr>
          <w:rFonts w:asciiTheme="minorBidi" w:hAnsiTheme="minorBidi"/>
        </w:rPr>
      </w:pPr>
    </w:p>
    <w:p w14:paraId="464C615D" w14:textId="274CAB25" w:rsidR="00942158" w:rsidRPr="001C5DBB" w:rsidRDefault="00FA7EA8" w:rsidP="00FA7EA8">
      <w:pPr>
        <w:tabs>
          <w:tab w:val="left" w:pos="3270"/>
          <w:tab w:val="center" w:pos="4517"/>
        </w:tabs>
        <w:spacing w:after="157"/>
        <w:ind w:left="2367" w:right="2359"/>
        <w:rPr>
          <w:rFonts w:asciiTheme="minorBidi" w:hAnsiTheme="minorBidi"/>
          <w:u w:val="single"/>
        </w:rPr>
      </w:pPr>
      <w:r>
        <w:rPr>
          <w:rFonts w:asciiTheme="minorBidi" w:hAnsiTheme="minorBidi"/>
          <w:b/>
          <w:bCs/>
        </w:rPr>
        <w:tab/>
      </w:r>
      <w:r>
        <w:rPr>
          <w:rFonts w:asciiTheme="minorBidi" w:hAnsiTheme="minorBidi"/>
          <w:b/>
          <w:bCs/>
        </w:rPr>
        <w:tab/>
      </w:r>
      <w:r w:rsidR="00942158" w:rsidRPr="001C5DBB">
        <w:rPr>
          <w:rFonts w:asciiTheme="minorBidi" w:hAnsiTheme="minorBidi"/>
          <w:u w:val="single"/>
        </w:rPr>
        <w:t>Ronak Yusuf Sheikh</w:t>
      </w:r>
    </w:p>
    <w:p w14:paraId="20D5F6B6" w14:textId="0EE057F2" w:rsidR="00942158" w:rsidRPr="001C5DBB" w:rsidRDefault="00942158" w:rsidP="006B742B">
      <w:pPr>
        <w:spacing w:after="158"/>
        <w:rPr>
          <w:u w:val="single"/>
        </w:rPr>
      </w:pPr>
    </w:p>
    <w:p w14:paraId="4B667617" w14:textId="4F9A87AD" w:rsidR="00942158" w:rsidRDefault="00942158" w:rsidP="006B742B">
      <w:pPr>
        <w:spacing w:after="158"/>
        <w:ind w:left="59"/>
        <w:jc w:val="center"/>
      </w:pPr>
    </w:p>
    <w:p w14:paraId="34CD1F42" w14:textId="7653CA7E" w:rsidR="00942158" w:rsidRPr="007F3292" w:rsidRDefault="00942158" w:rsidP="006B742B">
      <w:pPr>
        <w:spacing w:after="158"/>
        <w:ind w:left="59"/>
        <w:jc w:val="center"/>
        <w:rPr>
          <w:rFonts w:asciiTheme="minorBidi" w:hAnsiTheme="minorBidi"/>
        </w:rPr>
      </w:pPr>
    </w:p>
    <w:p w14:paraId="3C34E4B8" w14:textId="77777777" w:rsidR="00942158" w:rsidRPr="007F3292" w:rsidRDefault="00942158" w:rsidP="006B742B">
      <w:pPr>
        <w:spacing w:after="156"/>
        <w:ind w:left="59"/>
        <w:jc w:val="center"/>
        <w:rPr>
          <w:rFonts w:asciiTheme="minorBidi" w:hAnsiTheme="minorBidi"/>
        </w:rPr>
      </w:pPr>
      <w:r w:rsidRPr="007F3292">
        <w:rPr>
          <w:rFonts w:asciiTheme="minorBidi" w:hAnsiTheme="minorBidi"/>
        </w:rPr>
        <w:t>A Dissertation submitted in partial fulfilment of the requirements for the degree of Masters of Science in Public Health and Social Care in Practice</w:t>
      </w:r>
    </w:p>
    <w:p w14:paraId="54373418" w14:textId="77777777" w:rsidR="00942158" w:rsidRPr="007F3292" w:rsidRDefault="00942158" w:rsidP="006B742B">
      <w:pPr>
        <w:spacing w:after="156"/>
        <w:ind w:left="59"/>
        <w:jc w:val="center"/>
        <w:rPr>
          <w:rFonts w:asciiTheme="minorBidi" w:hAnsiTheme="minorBidi"/>
        </w:rPr>
      </w:pPr>
    </w:p>
    <w:p w14:paraId="64D660F9" w14:textId="77777777" w:rsidR="00942158" w:rsidRPr="007F3292" w:rsidRDefault="00942158" w:rsidP="006B742B">
      <w:pPr>
        <w:spacing w:after="169"/>
        <w:jc w:val="center"/>
        <w:rPr>
          <w:rFonts w:asciiTheme="minorBidi" w:hAnsiTheme="minorBidi"/>
          <w:b/>
          <w:bCs/>
        </w:rPr>
      </w:pPr>
    </w:p>
    <w:p w14:paraId="0F530BA6" w14:textId="77777777" w:rsidR="00942158" w:rsidRPr="007F3292" w:rsidRDefault="00942158" w:rsidP="006B742B">
      <w:pPr>
        <w:spacing w:after="169"/>
        <w:jc w:val="center"/>
        <w:rPr>
          <w:rFonts w:asciiTheme="minorBidi" w:hAnsiTheme="minorBidi"/>
          <w:b/>
          <w:bCs/>
        </w:rPr>
      </w:pPr>
    </w:p>
    <w:p w14:paraId="7FF294F3" w14:textId="77777777" w:rsidR="00942158" w:rsidRPr="007F3292" w:rsidRDefault="00942158" w:rsidP="006B742B">
      <w:pPr>
        <w:spacing w:after="169"/>
        <w:jc w:val="center"/>
        <w:rPr>
          <w:rFonts w:asciiTheme="minorBidi" w:hAnsiTheme="minorBidi"/>
          <w:b/>
          <w:bCs/>
        </w:rPr>
      </w:pPr>
      <w:r w:rsidRPr="007F3292">
        <w:rPr>
          <w:rFonts w:asciiTheme="minorBidi" w:hAnsiTheme="minorBidi"/>
          <w:b/>
          <w:bCs/>
        </w:rPr>
        <w:t>The Institute of Inner-City Learning</w:t>
      </w:r>
    </w:p>
    <w:p w14:paraId="18493095" w14:textId="77777777" w:rsidR="00942158" w:rsidRPr="007F3292" w:rsidRDefault="00942158" w:rsidP="006B742B">
      <w:pPr>
        <w:spacing w:after="169"/>
        <w:jc w:val="center"/>
        <w:rPr>
          <w:rFonts w:asciiTheme="minorBidi" w:hAnsiTheme="minorBidi"/>
          <w:b/>
          <w:bCs/>
        </w:rPr>
      </w:pPr>
      <w:r w:rsidRPr="007F3292">
        <w:rPr>
          <w:rFonts w:asciiTheme="minorBidi" w:hAnsiTheme="minorBidi"/>
          <w:b/>
          <w:bCs/>
        </w:rPr>
        <w:t>University of Wales Trinity Saint David – London Campus</w:t>
      </w:r>
    </w:p>
    <w:p w14:paraId="4AD972CF" w14:textId="77777777" w:rsidR="00942158" w:rsidRPr="007F3292" w:rsidRDefault="00942158" w:rsidP="006B742B">
      <w:pPr>
        <w:spacing w:after="157"/>
        <w:ind w:left="2367" w:right="2357"/>
        <w:jc w:val="center"/>
        <w:rPr>
          <w:rFonts w:asciiTheme="minorBidi" w:hAnsiTheme="minorBidi"/>
          <w:b/>
          <w:bCs/>
        </w:rPr>
      </w:pPr>
    </w:p>
    <w:p w14:paraId="13164F43" w14:textId="77777777" w:rsidR="00942158" w:rsidRPr="007F3292" w:rsidRDefault="00942158" w:rsidP="006B742B">
      <w:pPr>
        <w:spacing w:after="157"/>
        <w:ind w:left="2367" w:right="2357"/>
        <w:jc w:val="center"/>
        <w:rPr>
          <w:rFonts w:asciiTheme="minorBidi" w:hAnsiTheme="minorBidi"/>
          <w:b/>
          <w:bCs/>
        </w:rPr>
      </w:pPr>
    </w:p>
    <w:p w14:paraId="5F772A7B" w14:textId="3C7626BD" w:rsidR="006B742B" w:rsidRDefault="00774EC7" w:rsidP="006B742B">
      <w:pPr>
        <w:spacing w:after="0" w:line="360" w:lineRule="auto"/>
        <w:jc w:val="center"/>
        <w:rPr>
          <w:rFonts w:asciiTheme="minorBidi" w:hAnsiTheme="minorBidi"/>
          <w:b/>
          <w:bCs/>
        </w:rPr>
      </w:pPr>
      <w:r>
        <w:rPr>
          <w:rFonts w:asciiTheme="minorBidi" w:hAnsiTheme="minorBidi"/>
          <w:b/>
          <w:bCs/>
        </w:rPr>
        <w:t>(</w:t>
      </w:r>
      <w:r w:rsidR="00C40D05">
        <w:rPr>
          <w:rFonts w:asciiTheme="minorBidi" w:hAnsiTheme="minorBidi"/>
          <w:b/>
          <w:bCs/>
        </w:rPr>
        <w:t>October 202</w:t>
      </w:r>
      <w:r w:rsidR="00497529">
        <w:rPr>
          <w:rFonts w:asciiTheme="minorBidi" w:hAnsiTheme="minorBidi"/>
          <w:b/>
          <w:bCs/>
        </w:rPr>
        <w:t>5-2026</w:t>
      </w:r>
      <w:r>
        <w:rPr>
          <w:rFonts w:asciiTheme="minorBidi" w:hAnsiTheme="minorBidi"/>
          <w:b/>
          <w:bCs/>
        </w:rPr>
        <w:t>)</w:t>
      </w:r>
    </w:p>
    <w:p w14:paraId="6A4E0236" w14:textId="77777777" w:rsidR="006B742B" w:rsidRDefault="006B742B">
      <w:pPr>
        <w:rPr>
          <w:rFonts w:asciiTheme="minorBidi" w:hAnsiTheme="minorBidi"/>
          <w:b/>
          <w:bCs/>
        </w:rPr>
      </w:pPr>
      <w:r>
        <w:rPr>
          <w:rFonts w:asciiTheme="minorBidi" w:hAnsiTheme="minorBidi"/>
          <w:b/>
          <w:bCs/>
        </w:rPr>
        <w:br w:type="page"/>
      </w:r>
    </w:p>
    <w:p w14:paraId="1ABB718B" w14:textId="5B3D7325" w:rsidR="00FB0677" w:rsidRDefault="00FB0677" w:rsidP="00942158">
      <w:pPr>
        <w:spacing w:after="0" w:line="360" w:lineRule="auto"/>
        <w:rPr>
          <w:rFonts w:ascii="Arial" w:eastAsia="Times New Roman" w:hAnsi="Arial" w:cs="Arial"/>
          <w:b/>
          <w:bCs/>
          <w:color w:val="000000" w:themeColor="text1"/>
          <w:sz w:val="32"/>
          <w:szCs w:val="32"/>
          <w:lang w:val="hr-HR"/>
        </w:rPr>
      </w:pPr>
      <w:r w:rsidRPr="003D665C">
        <w:rPr>
          <w:rFonts w:ascii="Arial" w:eastAsia="Times New Roman" w:hAnsi="Arial" w:cs="Arial"/>
          <w:b/>
          <w:bCs/>
          <w:color w:val="000000" w:themeColor="text1"/>
          <w:sz w:val="32"/>
          <w:szCs w:val="32"/>
          <w:lang w:val="hr-HR"/>
        </w:rPr>
        <w:lastRenderedPageBreak/>
        <w:t>DECLARATION</w:t>
      </w:r>
    </w:p>
    <w:p w14:paraId="6E61D21A" w14:textId="77777777" w:rsidR="003D665C" w:rsidRPr="003D665C" w:rsidRDefault="003D665C" w:rsidP="00C51AE7">
      <w:pPr>
        <w:spacing w:after="0" w:line="360" w:lineRule="auto"/>
        <w:rPr>
          <w:rFonts w:ascii="Arial" w:eastAsia="Times New Roman" w:hAnsi="Arial" w:cs="Arial"/>
          <w:b/>
          <w:bCs/>
          <w:color w:val="000000" w:themeColor="text1"/>
          <w:sz w:val="32"/>
          <w:szCs w:val="32"/>
          <w:lang w:val="hr-HR"/>
        </w:rPr>
      </w:pPr>
    </w:p>
    <w:p w14:paraId="00ACBA76" w14:textId="07089E33" w:rsidR="00644DCC" w:rsidRDefault="00644DCC" w:rsidP="00C51AE7">
      <w:pPr>
        <w:spacing w:after="0" w:line="360" w:lineRule="auto"/>
        <w:jc w:val="both"/>
        <w:rPr>
          <w:rFonts w:ascii="Arial" w:eastAsia="Times New Roman" w:hAnsi="Arial" w:cs="Arial"/>
          <w:color w:val="000000" w:themeColor="text1"/>
        </w:rPr>
      </w:pPr>
      <w:r w:rsidRPr="00644DCC">
        <w:rPr>
          <w:rFonts w:ascii="Arial" w:eastAsia="Times New Roman" w:hAnsi="Arial" w:cs="Arial"/>
          <w:color w:val="000000" w:themeColor="text1"/>
        </w:rPr>
        <w:t>I, Ronak Yusuf Sheikh (Student Number: 2436884), declare that this dissertation</w:t>
      </w:r>
      <w:r w:rsidR="00E86C15">
        <w:rPr>
          <w:rFonts w:ascii="Arial" w:eastAsia="Times New Roman" w:hAnsi="Arial" w:cs="Arial"/>
          <w:color w:val="000000" w:themeColor="text1"/>
        </w:rPr>
        <w:t>,</w:t>
      </w:r>
      <w:r w:rsidRPr="00644DCC">
        <w:rPr>
          <w:rFonts w:ascii="Arial" w:eastAsia="Times New Roman" w:hAnsi="Arial" w:cs="Arial"/>
          <w:color w:val="000000" w:themeColor="text1"/>
        </w:rPr>
        <w:t xml:space="preserve"> submitted in partial fulfilment of the requirements for the degree of MSc Public Health and Social Care at the University of Wales Trinity Saint David</w:t>
      </w:r>
      <w:r w:rsidR="00E86C15">
        <w:rPr>
          <w:rFonts w:ascii="Arial" w:eastAsia="Times New Roman" w:hAnsi="Arial" w:cs="Arial"/>
          <w:color w:val="000000" w:themeColor="text1"/>
        </w:rPr>
        <w:t>,</w:t>
      </w:r>
      <w:r w:rsidRPr="00644DCC">
        <w:rPr>
          <w:rFonts w:ascii="Arial" w:eastAsia="Times New Roman" w:hAnsi="Arial" w:cs="Arial"/>
          <w:color w:val="000000" w:themeColor="text1"/>
        </w:rPr>
        <w:t xml:space="preserve"> is entirely my own work. It has not been submitted for any other degree or qualification. All sources consulted have been fully acknowledged and referenced in accordance with the Harvard referencing system.</w:t>
      </w:r>
    </w:p>
    <w:p w14:paraId="01B7754C" w14:textId="77777777" w:rsidR="003D665C" w:rsidRDefault="003D665C" w:rsidP="00C51AE7">
      <w:pPr>
        <w:spacing w:after="0" w:line="360" w:lineRule="auto"/>
        <w:jc w:val="both"/>
        <w:rPr>
          <w:rFonts w:ascii="Arial" w:eastAsia="Times New Roman" w:hAnsi="Arial" w:cs="Arial"/>
          <w:color w:val="000000" w:themeColor="text1"/>
        </w:rPr>
      </w:pPr>
    </w:p>
    <w:p w14:paraId="246D756B" w14:textId="77777777" w:rsidR="003D665C" w:rsidRPr="00644DCC" w:rsidRDefault="003D665C" w:rsidP="00C51AE7">
      <w:pPr>
        <w:spacing w:after="0" w:line="360" w:lineRule="auto"/>
        <w:jc w:val="both"/>
        <w:rPr>
          <w:rFonts w:ascii="Arial" w:eastAsia="Times New Roman" w:hAnsi="Arial" w:cs="Arial"/>
          <w:color w:val="000000" w:themeColor="text1"/>
        </w:rPr>
      </w:pPr>
    </w:p>
    <w:p w14:paraId="7D79EA99" w14:textId="1CC2D627" w:rsidR="00644DCC" w:rsidRPr="00844B2F" w:rsidRDefault="00644DCC" w:rsidP="00C51AE7">
      <w:pPr>
        <w:spacing w:after="0" w:line="360" w:lineRule="auto"/>
        <w:jc w:val="both"/>
        <w:rPr>
          <w:rFonts w:ascii="Arial" w:eastAsia="Times New Roman" w:hAnsi="Arial" w:cs="Arial"/>
          <w:color w:val="000000" w:themeColor="text1"/>
          <w:u w:val="single"/>
        </w:rPr>
      </w:pPr>
      <w:r w:rsidRPr="00644DCC">
        <w:rPr>
          <w:rFonts w:ascii="Arial" w:eastAsia="Times New Roman" w:hAnsi="Arial" w:cs="Arial"/>
          <w:color w:val="000000" w:themeColor="text1"/>
        </w:rPr>
        <w:t xml:space="preserve">Signed: </w:t>
      </w:r>
      <w:r w:rsidR="00844B2F">
        <w:rPr>
          <w:rFonts w:ascii="Arial" w:eastAsia="Times New Roman" w:hAnsi="Arial" w:cs="Arial"/>
          <w:color w:val="000000" w:themeColor="text1"/>
          <w:u w:val="single"/>
        </w:rPr>
        <w:t>Ronak</w:t>
      </w:r>
    </w:p>
    <w:p w14:paraId="4929F674" w14:textId="7289C54C" w:rsidR="00E86C15" w:rsidRPr="00EB3CF4" w:rsidRDefault="00644DCC" w:rsidP="00C51AE7">
      <w:pPr>
        <w:spacing w:after="0" w:line="360" w:lineRule="auto"/>
        <w:jc w:val="both"/>
        <w:rPr>
          <w:rFonts w:ascii="Arial" w:eastAsia="Times New Roman" w:hAnsi="Arial" w:cs="Arial"/>
          <w:color w:val="000000" w:themeColor="text1"/>
          <w:highlight w:val="yellow"/>
          <w:u w:val="single"/>
        </w:rPr>
      </w:pPr>
      <w:r w:rsidRPr="00644DCC">
        <w:rPr>
          <w:rFonts w:ascii="Arial" w:eastAsia="Times New Roman" w:hAnsi="Arial" w:cs="Arial"/>
          <w:color w:val="000000" w:themeColor="text1"/>
        </w:rPr>
        <w:t>Date:</w:t>
      </w:r>
      <w:r w:rsidR="00240206">
        <w:rPr>
          <w:rFonts w:ascii="Arial" w:eastAsia="Times New Roman" w:hAnsi="Arial" w:cs="Arial"/>
          <w:color w:val="000000" w:themeColor="text1"/>
        </w:rPr>
        <w:t xml:space="preserve"> </w:t>
      </w:r>
      <w:r w:rsidR="00EB3CF4">
        <w:rPr>
          <w:rFonts w:ascii="Arial" w:eastAsia="Times New Roman" w:hAnsi="Arial" w:cs="Arial"/>
          <w:color w:val="000000" w:themeColor="text1"/>
          <w:u w:val="single"/>
        </w:rPr>
        <w:t>24 September 2026</w:t>
      </w:r>
    </w:p>
    <w:p w14:paraId="07A1364F" w14:textId="77777777" w:rsidR="00E86C15" w:rsidRDefault="00E86C15">
      <w:pPr>
        <w:rPr>
          <w:rFonts w:ascii="Arial" w:eastAsia="Times New Roman" w:hAnsi="Arial" w:cs="Arial"/>
          <w:color w:val="000000" w:themeColor="text1"/>
          <w:highlight w:val="yellow"/>
        </w:rPr>
      </w:pPr>
      <w:r>
        <w:rPr>
          <w:rFonts w:ascii="Arial" w:eastAsia="Times New Roman" w:hAnsi="Arial" w:cs="Arial"/>
          <w:color w:val="000000" w:themeColor="text1"/>
          <w:highlight w:val="yellow"/>
        </w:rPr>
        <w:br w:type="page"/>
      </w:r>
    </w:p>
    <w:p w14:paraId="02078C81" w14:textId="74A30973" w:rsidR="00D55A00" w:rsidRDefault="00E86C15" w:rsidP="00C51AE7">
      <w:pPr>
        <w:spacing w:after="0" w:line="360" w:lineRule="auto"/>
        <w:rPr>
          <w:rFonts w:ascii="Arial" w:eastAsia="Times New Roman" w:hAnsi="Arial" w:cs="Arial"/>
          <w:b/>
          <w:bCs/>
          <w:color w:val="000000" w:themeColor="text1"/>
          <w:sz w:val="32"/>
          <w:szCs w:val="32"/>
          <w:lang w:val="hr-HR"/>
        </w:rPr>
      </w:pPr>
      <w:r w:rsidRPr="00D55A00">
        <w:rPr>
          <w:rFonts w:ascii="Arial" w:eastAsia="Times New Roman" w:hAnsi="Arial" w:cs="Arial"/>
          <w:b/>
          <w:bCs/>
          <w:color w:val="000000" w:themeColor="text1"/>
          <w:sz w:val="32"/>
          <w:szCs w:val="32"/>
          <w:lang w:val="hr-HR"/>
        </w:rPr>
        <w:lastRenderedPageBreak/>
        <w:t>Acknowledgements</w:t>
      </w:r>
    </w:p>
    <w:p w14:paraId="1780726C" w14:textId="1740B0BF" w:rsidR="003D665C" w:rsidRPr="00D55A00" w:rsidRDefault="003D665C" w:rsidP="00C51AE7">
      <w:pPr>
        <w:spacing w:after="0" w:line="360" w:lineRule="auto"/>
        <w:rPr>
          <w:rFonts w:ascii="Arial" w:eastAsia="Times New Roman" w:hAnsi="Arial" w:cs="Arial"/>
          <w:b/>
          <w:bCs/>
          <w:color w:val="000000" w:themeColor="text1"/>
          <w:sz w:val="32"/>
          <w:szCs w:val="32"/>
          <w:lang w:val="hr-HR"/>
        </w:rPr>
      </w:pPr>
    </w:p>
    <w:p w14:paraId="6D97E561" w14:textId="77777777" w:rsidR="00E86C15" w:rsidRPr="006F0382" w:rsidRDefault="00E86C15" w:rsidP="00C51AE7">
      <w:pPr>
        <w:spacing w:after="0" w:line="360" w:lineRule="auto"/>
        <w:jc w:val="both"/>
        <w:rPr>
          <w:rFonts w:ascii="Arial" w:hAnsi="Arial" w:cs="Arial"/>
        </w:rPr>
      </w:pPr>
      <w:r>
        <w:rPr>
          <w:rFonts w:ascii="Arial" w:hAnsi="Arial" w:cs="Arial"/>
        </w:rPr>
        <w:t>This</w:t>
      </w:r>
      <w:r w:rsidRPr="006F0382">
        <w:rPr>
          <w:rFonts w:ascii="Arial" w:hAnsi="Arial" w:cs="Arial"/>
        </w:rPr>
        <w:t xml:space="preserve"> is as a result of the assistance, counsel, and motivation of a few people</w:t>
      </w:r>
      <w:r>
        <w:rPr>
          <w:rFonts w:ascii="Arial" w:hAnsi="Arial" w:cs="Arial"/>
        </w:rPr>
        <w:t xml:space="preserve"> to</w:t>
      </w:r>
      <w:r w:rsidRPr="006F0382">
        <w:rPr>
          <w:rFonts w:ascii="Arial" w:hAnsi="Arial" w:cs="Arial"/>
        </w:rPr>
        <w:t xml:space="preserve"> whom I would like to express my gratitude.</w:t>
      </w:r>
    </w:p>
    <w:p w14:paraId="77479C9E" w14:textId="25F1E32C" w:rsidR="00E86C15" w:rsidRPr="006F0382" w:rsidRDefault="00E86C15" w:rsidP="00C51AE7">
      <w:pPr>
        <w:spacing w:after="0" w:line="360" w:lineRule="auto"/>
        <w:jc w:val="both"/>
        <w:rPr>
          <w:rFonts w:ascii="Arial" w:hAnsi="Arial" w:cs="Arial"/>
        </w:rPr>
      </w:pPr>
      <w:r w:rsidRPr="006F0382">
        <w:rPr>
          <w:rFonts w:ascii="Arial" w:hAnsi="Arial" w:cs="Arial"/>
        </w:rPr>
        <w:t xml:space="preserve">To begin with, I want to say that I am most grateful to my supervisor, Dr </w:t>
      </w:r>
      <w:r w:rsidR="00B6735E">
        <w:rPr>
          <w:rFonts w:ascii="Arial" w:hAnsi="Arial" w:cs="Arial"/>
        </w:rPr>
        <w:t>Ping Wu</w:t>
      </w:r>
      <w:r w:rsidRPr="006F0382">
        <w:rPr>
          <w:rFonts w:ascii="Arial" w:hAnsi="Arial" w:cs="Arial"/>
        </w:rPr>
        <w:t xml:space="preserve">, whose professional advice, positive comments, and support, without </w:t>
      </w:r>
      <w:r>
        <w:rPr>
          <w:rFonts w:ascii="Arial" w:hAnsi="Arial" w:cs="Arial"/>
        </w:rPr>
        <w:t>compromise</w:t>
      </w:r>
      <w:r w:rsidRPr="006F0382">
        <w:rPr>
          <w:rFonts w:ascii="Arial" w:hAnsi="Arial" w:cs="Arial"/>
        </w:rPr>
        <w:t xml:space="preserve">, have played a crucial role in this research process. She has been an inspiration </w:t>
      </w:r>
      <w:r>
        <w:rPr>
          <w:rFonts w:ascii="Arial" w:hAnsi="Arial" w:cs="Arial"/>
        </w:rPr>
        <w:t>in</w:t>
      </w:r>
      <w:r w:rsidRPr="006F0382">
        <w:rPr>
          <w:rFonts w:ascii="Arial" w:hAnsi="Arial" w:cs="Arial"/>
        </w:rPr>
        <w:t xml:space="preserve"> her patience and dedication.</w:t>
      </w:r>
    </w:p>
    <w:p w14:paraId="11504646" w14:textId="77777777" w:rsidR="00E86C15" w:rsidRPr="006F0382" w:rsidRDefault="00E86C15" w:rsidP="00C51AE7">
      <w:pPr>
        <w:spacing w:after="0" w:line="360" w:lineRule="auto"/>
        <w:jc w:val="both"/>
        <w:rPr>
          <w:rFonts w:ascii="Arial" w:hAnsi="Arial" w:cs="Arial"/>
        </w:rPr>
      </w:pPr>
      <w:r w:rsidRPr="006F0382">
        <w:rPr>
          <w:rFonts w:ascii="Arial" w:hAnsi="Arial" w:cs="Arial"/>
        </w:rPr>
        <w:t xml:space="preserve">I would also like to thank the University of Wales Trinity Saint David and the staff of the College of Health and Social Care </w:t>
      </w:r>
      <w:r>
        <w:rPr>
          <w:rFonts w:ascii="Arial" w:hAnsi="Arial" w:cs="Arial"/>
        </w:rPr>
        <w:t>for</w:t>
      </w:r>
      <w:r w:rsidRPr="006F0382">
        <w:rPr>
          <w:rFonts w:ascii="Arial" w:hAnsi="Arial" w:cs="Arial"/>
        </w:rPr>
        <w:t xml:space="preserve"> enabling me to have an </w:t>
      </w:r>
      <w:r>
        <w:rPr>
          <w:rFonts w:ascii="Arial" w:hAnsi="Arial" w:cs="Arial"/>
        </w:rPr>
        <w:t>academically</w:t>
      </w:r>
      <w:r w:rsidRPr="006F0382">
        <w:rPr>
          <w:rFonts w:ascii="Arial" w:hAnsi="Arial" w:cs="Arial"/>
        </w:rPr>
        <w:t xml:space="preserve"> stimulating environment, as well as the faculty, which has provided me with the resources needed to conduct this research.</w:t>
      </w:r>
    </w:p>
    <w:p w14:paraId="4FA49C0F" w14:textId="77777777" w:rsidR="00E86C15" w:rsidRPr="006F0382" w:rsidRDefault="00E86C15" w:rsidP="00C51AE7">
      <w:pPr>
        <w:spacing w:after="0" w:line="360" w:lineRule="auto"/>
        <w:jc w:val="both"/>
        <w:rPr>
          <w:rFonts w:ascii="Arial" w:hAnsi="Arial" w:cs="Arial"/>
        </w:rPr>
      </w:pPr>
      <w:r w:rsidRPr="006F0382">
        <w:rPr>
          <w:rFonts w:ascii="Arial" w:hAnsi="Arial" w:cs="Arial"/>
        </w:rPr>
        <w:t>I would like to heartily appreciate the researchers, clinicians, policymakers, and the youth whose published experiences and findings were the basis of this systematic review. It is based on their work in the field of child and adolescent mental health.</w:t>
      </w:r>
    </w:p>
    <w:p w14:paraId="7903C0DD" w14:textId="77777777" w:rsidR="00E86C15" w:rsidRPr="006F0382" w:rsidRDefault="00E86C15" w:rsidP="00C51AE7">
      <w:pPr>
        <w:spacing w:after="0" w:line="360" w:lineRule="auto"/>
        <w:jc w:val="both"/>
        <w:rPr>
          <w:rFonts w:ascii="Arial" w:hAnsi="Arial" w:cs="Arial"/>
        </w:rPr>
      </w:pPr>
      <w:r w:rsidRPr="006F0382">
        <w:rPr>
          <w:rFonts w:ascii="Arial" w:hAnsi="Arial" w:cs="Arial"/>
        </w:rPr>
        <w:t xml:space="preserve">I want to extend my </w:t>
      </w:r>
      <w:r>
        <w:rPr>
          <w:rFonts w:ascii="Arial" w:hAnsi="Arial" w:cs="Arial"/>
        </w:rPr>
        <w:t>heartfelt</w:t>
      </w:r>
      <w:r w:rsidRPr="006F0382">
        <w:rPr>
          <w:rFonts w:ascii="Arial" w:hAnsi="Arial" w:cs="Arial"/>
        </w:rPr>
        <w:t xml:space="preserve"> gratitude to my family</w:t>
      </w:r>
      <w:r>
        <w:rPr>
          <w:rFonts w:ascii="Arial" w:hAnsi="Arial" w:cs="Arial"/>
        </w:rPr>
        <w:t xml:space="preserve"> and</w:t>
      </w:r>
      <w:r w:rsidRPr="006F0382">
        <w:rPr>
          <w:rFonts w:ascii="Arial" w:hAnsi="Arial" w:cs="Arial"/>
        </w:rPr>
        <w:t xml:space="preserve"> friends, who have been unconditionally supportive, patient, and understanding of me through the course of my studies. They have been encouraging at times of need</w:t>
      </w:r>
      <w:r>
        <w:rPr>
          <w:rFonts w:ascii="Arial" w:hAnsi="Arial" w:cs="Arial"/>
        </w:rPr>
        <w:t>,</w:t>
      </w:r>
      <w:r w:rsidRPr="006F0382">
        <w:rPr>
          <w:rFonts w:ascii="Arial" w:hAnsi="Arial" w:cs="Arial"/>
        </w:rPr>
        <w:t xml:space="preserve"> and their words are priceless.</w:t>
      </w:r>
    </w:p>
    <w:p w14:paraId="48EEAB8C" w14:textId="200AE130" w:rsidR="00644DCC" w:rsidRPr="00644DCC" w:rsidRDefault="00E86C15" w:rsidP="00C51AE7">
      <w:pPr>
        <w:spacing w:after="0" w:line="360" w:lineRule="auto"/>
        <w:jc w:val="both"/>
        <w:rPr>
          <w:rFonts w:ascii="Arial" w:eastAsia="Times New Roman" w:hAnsi="Arial" w:cs="Arial"/>
          <w:b/>
          <w:bCs/>
          <w:color w:val="000000" w:themeColor="text1"/>
        </w:rPr>
      </w:pPr>
      <w:r w:rsidRPr="006F0382">
        <w:rPr>
          <w:rFonts w:ascii="Arial" w:hAnsi="Arial" w:cs="Arial"/>
        </w:rPr>
        <w:t xml:space="preserve">Lastly, I would like to </w:t>
      </w:r>
      <w:r>
        <w:rPr>
          <w:rFonts w:ascii="Arial" w:hAnsi="Arial" w:cs="Arial"/>
        </w:rPr>
        <w:t>recognise</w:t>
      </w:r>
      <w:r w:rsidRPr="006F0382">
        <w:rPr>
          <w:rFonts w:ascii="Arial" w:hAnsi="Arial" w:cs="Arial"/>
        </w:rPr>
        <w:t xml:space="preserve"> and appreciate all those people who work round the clock in CAMHS and the </w:t>
      </w:r>
      <w:r>
        <w:rPr>
          <w:rFonts w:ascii="Arial" w:hAnsi="Arial" w:cs="Arial"/>
        </w:rPr>
        <w:t>children's</w:t>
      </w:r>
      <w:r w:rsidRPr="006F0382">
        <w:rPr>
          <w:rFonts w:ascii="Arial" w:hAnsi="Arial" w:cs="Arial"/>
        </w:rPr>
        <w:t xml:space="preserve"> mental health sector in general. This dissertation is devoted to changing the fate of all young people who have been deprived of the support that they need </w:t>
      </w:r>
      <w:r>
        <w:rPr>
          <w:rFonts w:ascii="Arial" w:hAnsi="Arial" w:cs="Arial"/>
        </w:rPr>
        <w:t xml:space="preserve">for </w:t>
      </w:r>
      <w:r w:rsidRPr="006F0382">
        <w:rPr>
          <w:rFonts w:ascii="Arial" w:hAnsi="Arial" w:cs="Arial"/>
        </w:rPr>
        <w:t>too long.</w:t>
      </w:r>
    </w:p>
    <w:p w14:paraId="0C7AF3BD" w14:textId="77777777" w:rsidR="00FB0677" w:rsidRDefault="00FB0677">
      <w:pPr>
        <w:rPr>
          <w:rFonts w:ascii="Arial" w:eastAsia="Times New Roman" w:hAnsi="Arial" w:cs="Arial"/>
          <w:b/>
          <w:bCs/>
          <w:color w:val="000000" w:themeColor="text1"/>
          <w:lang w:val="hr-HR"/>
        </w:rPr>
      </w:pPr>
      <w:r>
        <w:rPr>
          <w:rFonts w:ascii="Arial" w:eastAsia="Times New Roman" w:hAnsi="Arial" w:cs="Arial"/>
          <w:b/>
          <w:bCs/>
          <w:color w:val="000000" w:themeColor="text1"/>
          <w:lang w:val="hr-HR"/>
        </w:rPr>
        <w:br w:type="page"/>
      </w:r>
    </w:p>
    <w:p w14:paraId="17D82ABE" w14:textId="4B672E10" w:rsidR="00532ADF" w:rsidRDefault="00532ADF" w:rsidP="004C0ECA">
      <w:pPr>
        <w:pStyle w:val="Heading1"/>
      </w:pPr>
      <w:bookmarkStart w:id="0" w:name="_Toc241025621"/>
      <w:r>
        <w:lastRenderedPageBreak/>
        <w:t>ABSTRACT</w:t>
      </w:r>
      <w:bookmarkEnd w:id="0"/>
    </w:p>
    <w:p w14:paraId="5AEC777D" w14:textId="4C35B61C" w:rsidR="00532ADF" w:rsidRPr="00532ADF" w:rsidRDefault="00532ADF" w:rsidP="00532ADF">
      <w:pPr>
        <w:spacing w:line="360" w:lineRule="auto"/>
        <w:jc w:val="both"/>
        <w:rPr>
          <w:rFonts w:ascii="Arial" w:hAnsi="Arial" w:cs="Arial"/>
        </w:rPr>
      </w:pPr>
      <w:r w:rsidRPr="00532ADF">
        <w:rPr>
          <w:rFonts w:ascii="Arial" w:hAnsi="Arial" w:cs="Arial"/>
        </w:rPr>
        <w:t xml:space="preserve">Background: Child and Adolescent Mental Health Services (CAMHS) in England have a long-standing access crisis. A fifth of all children between the ages of 8 and 16 years have the threshold of probable mental disorder, although less than half of the number of children with probable disorder, estimated to be 1.4 million, receive any specialist provision. In 2023–24, 320,000 children remained untreated at the close of the reporting year, and approximately 60,000 were referred at crisis level. Although policy promises have been made over the years, such as the NHS </w:t>
      </w:r>
      <w:r w:rsidR="00204059">
        <w:rPr>
          <w:rFonts w:ascii="Arial" w:hAnsi="Arial" w:cs="Arial"/>
        </w:rPr>
        <w:t>Long-Term Plan</w:t>
      </w:r>
      <w:r w:rsidRPr="00532ADF">
        <w:rPr>
          <w:rFonts w:ascii="Arial" w:hAnsi="Arial" w:cs="Arial"/>
        </w:rPr>
        <w:t xml:space="preserve"> (2019) and the Ten</w:t>
      </w:r>
      <w:r w:rsidR="00B06F41">
        <w:rPr>
          <w:rFonts w:ascii="Arial" w:hAnsi="Arial" w:cs="Arial"/>
        </w:rPr>
        <w:t xml:space="preserve"> </w:t>
      </w:r>
      <w:r w:rsidRPr="00532ADF">
        <w:rPr>
          <w:rFonts w:ascii="Arial" w:hAnsi="Arial" w:cs="Arial"/>
        </w:rPr>
        <w:t>Year Health Plan (2025), waiting times continue to be unacceptably long and geographically disproportionate, with a difference of seventeen times recorded across Integrated Care Boards.</w:t>
      </w:r>
    </w:p>
    <w:p w14:paraId="698D7240" w14:textId="77777777" w:rsidR="00532ADF" w:rsidRPr="00532ADF" w:rsidRDefault="00532ADF" w:rsidP="00532ADF">
      <w:pPr>
        <w:spacing w:line="360" w:lineRule="auto"/>
        <w:jc w:val="both"/>
        <w:rPr>
          <w:rFonts w:ascii="Arial" w:hAnsi="Arial" w:cs="Arial"/>
        </w:rPr>
      </w:pPr>
      <w:r w:rsidRPr="00532ADF">
        <w:rPr>
          <w:rFonts w:ascii="Arial" w:hAnsi="Arial" w:cs="Arial"/>
        </w:rPr>
        <w:t>Purpose: The purpose of this systematic review was to determine and synthesise the barriers that lead to long waiting times in CAMHS in England, and to review what can be done to effectively reduce these delays.</w:t>
      </w:r>
    </w:p>
    <w:p w14:paraId="2734F97B" w14:textId="252370B7" w:rsidR="00532ADF" w:rsidRPr="00532ADF" w:rsidRDefault="00204059" w:rsidP="00532ADF">
      <w:pPr>
        <w:spacing w:line="360" w:lineRule="auto"/>
        <w:jc w:val="both"/>
        <w:rPr>
          <w:rFonts w:ascii="Arial" w:hAnsi="Arial" w:cs="Arial"/>
        </w:rPr>
      </w:pPr>
      <w:r w:rsidRPr="00204059">
        <w:rPr>
          <w:rFonts w:ascii="Arial" w:hAnsi="Arial" w:cs="Arial"/>
        </w:rPr>
        <w:t>Methodology: A systematic review of the literature was performed</w:t>
      </w:r>
      <w:r w:rsidR="00532ADF" w:rsidRPr="00532ADF">
        <w:rPr>
          <w:rFonts w:ascii="Arial" w:hAnsi="Arial" w:cs="Arial"/>
        </w:rPr>
        <w:t xml:space="preserve"> on the desk and in line with the PRISMA 2020 guidelines. The structured search of PubMed, PsycINFO, CINAHL and grey literature sources identified twelve articles published between 2017 and 2026 and assessed their validity using the Critical Appraisal Skills Programme (CASP) checklist and Newcastle-Ottawa Scale. The synthesised results were interpreted using the Patient-Centred Access to Health Care framework proposed by Levesque, Harris and Russell (2013), and synthesised using narrative synthesis.</w:t>
      </w:r>
    </w:p>
    <w:p w14:paraId="40EEC527" w14:textId="16AAA4F4" w:rsidR="00532ADF" w:rsidRPr="00532ADF" w:rsidRDefault="00532ADF" w:rsidP="00532ADF">
      <w:pPr>
        <w:spacing w:line="360" w:lineRule="auto"/>
        <w:jc w:val="both"/>
        <w:rPr>
          <w:rFonts w:ascii="Arial" w:hAnsi="Arial" w:cs="Arial"/>
        </w:rPr>
      </w:pPr>
      <w:r w:rsidRPr="00532ADF">
        <w:rPr>
          <w:rFonts w:ascii="Arial" w:hAnsi="Arial" w:cs="Arial"/>
        </w:rPr>
        <w:t>Findings: Four interdependent theme barriers were found: systemic and structural barriers, such as a seventeen-fold Integrated Care Board difference in waiting times and chronic underfunding of early intervention; organisational and workforce barriers, such as a 36.8 per cent consultant psychiatry vacancy rate and widespread burnout; referral and pathway barriers, such as a 26 per cent national referral rejection rate and lack of structured while-you-wait support; and policy and commissioning barriers, such as non-enforceable waiting-time standards and chronic data accountability gaps.</w:t>
      </w:r>
    </w:p>
    <w:p w14:paraId="73504ADD" w14:textId="19C62A4C" w:rsidR="00532ADF" w:rsidRPr="00532ADF" w:rsidRDefault="00532ADF" w:rsidP="00532ADF">
      <w:pPr>
        <w:spacing w:line="360" w:lineRule="auto"/>
        <w:jc w:val="both"/>
        <w:rPr>
          <w:rFonts w:ascii="Arial" w:hAnsi="Arial" w:cs="Arial"/>
        </w:rPr>
      </w:pPr>
      <w:r w:rsidRPr="00532ADF">
        <w:rPr>
          <w:rFonts w:ascii="Arial" w:hAnsi="Arial" w:cs="Arial"/>
        </w:rPr>
        <w:t xml:space="preserve">Conclusion: A co-ordinated policy response is necessary to reduce waiting time in CAMHS. This review suggests implementing a ringfenced, enforceable waiting-time standard similar to cancer access goals; mandatory reporting of referral rejection rates </w:t>
      </w:r>
      <w:r w:rsidRPr="00532ADF">
        <w:rPr>
          <w:rFonts w:ascii="Arial" w:hAnsi="Arial" w:cs="Arial"/>
        </w:rPr>
        <w:lastRenderedPageBreak/>
        <w:t xml:space="preserve">by Integrated Care </w:t>
      </w:r>
      <w:r w:rsidR="00625103">
        <w:rPr>
          <w:rFonts w:ascii="Arial" w:hAnsi="Arial" w:cs="Arial"/>
        </w:rPr>
        <w:t>Boards</w:t>
      </w:r>
      <w:r w:rsidRPr="00532ADF">
        <w:rPr>
          <w:rFonts w:ascii="Arial" w:hAnsi="Arial" w:cs="Arial"/>
        </w:rPr>
        <w:t>; standardisation of referral documentation and eligibility criteria; and investment in organised while-you-wait provision. These structural changes should be supported by a sustained increase in workforce, without which redesign of pathways will not be enough to reach equitable, timely access.</w:t>
      </w:r>
    </w:p>
    <w:p w14:paraId="60C0E623" w14:textId="1353AD7D" w:rsidR="009B0A1C" w:rsidRDefault="00532ADF" w:rsidP="00532ADF">
      <w:pPr>
        <w:spacing w:line="360" w:lineRule="auto"/>
        <w:jc w:val="both"/>
        <w:rPr>
          <w:rFonts w:ascii="Arial" w:hAnsi="Arial" w:cs="Arial"/>
        </w:rPr>
      </w:pPr>
      <w:r w:rsidRPr="00532ADF">
        <w:rPr>
          <w:rFonts w:ascii="Arial" w:hAnsi="Arial" w:cs="Arial"/>
        </w:rPr>
        <w:t>Keywords: CAMHS; waiting times; barriers; access; mental health; children and young people; England; systematic review</w:t>
      </w:r>
    </w:p>
    <w:p w14:paraId="0C334C29" w14:textId="77777777" w:rsidR="009B0A1C" w:rsidRDefault="009B0A1C">
      <w:pPr>
        <w:rPr>
          <w:rFonts w:ascii="Arial" w:hAnsi="Arial" w:cs="Arial"/>
        </w:rPr>
      </w:pPr>
      <w:r>
        <w:rPr>
          <w:rFonts w:ascii="Arial" w:hAnsi="Arial" w:cs="Arial"/>
        </w:rPr>
        <w:br w:type="page"/>
      </w:r>
    </w:p>
    <w:sdt>
      <w:sdtPr>
        <w:rPr>
          <w:rFonts w:ascii="Arial" w:eastAsiaTheme="minorHAnsi" w:hAnsi="Arial" w:cs="Arial"/>
          <w:b/>
          <w:bCs/>
          <w:color w:val="auto"/>
          <w:kern w:val="2"/>
          <w:sz w:val="24"/>
          <w:szCs w:val="24"/>
          <w:lang w:val="en-GB"/>
          <w14:ligatures w14:val="standardContextual"/>
        </w:rPr>
        <w:id w:val="1478799161"/>
        <w:docPartObj>
          <w:docPartGallery w:val="Table of Contents"/>
          <w:docPartUnique/>
        </w:docPartObj>
      </w:sdtPr>
      <w:sdtEndPr>
        <w:rPr>
          <w:noProof/>
        </w:rPr>
      </w:sdtEndPr>
      <w:sdtContent>
        <w:p w14:paraId="6EB368CC" w14:textId="262672E4" w:rsidR="00BA57CC" w:rsidRPr="00D8217E" w:rsidRDefault="00BA57CC" w:rsidP="00D8217E">
          <w:pPr>
            <w:pStyle w:val="TOCHeading"/>
            <w:spacing w:line="360" w:lineRule="auto"/>
            <w:rPr>
              <w:rFonts w:ascii="Arial" w:hAnsi="Arial" w:cs="Arial"/>
              <w:b/>
              <w:bCs/>
            </w:rPr>
          </w:pPr>
          <w:r w:rsidRPr="00D8217E">
            <w:rPr>
              <w:rFonts w:ascii="Arial" w:hAnsi="Arial" w:cs="Arial"/>
              <w:b/>
              <w:bCs/>
            </w:rPr>
            <w:t>Table of Contents</w:t>
          </w:r>
        </w:p>
        <w:p w14:paraId="213C189A" w14:textId="2BAE5BAA" w:rsidR="00BB6309" w:rsidRPr="00D8217E" w:rsidRDefault="00BA57CC" w:rsidP="00D8217E">
          <w:pPr>
            <w:pStyle w:val="TOC1"/>
            <w:tabs>
              <w:tab w:val="right" w:leader="dot" w:pos="9016"/>
            </w:tabs>
            <w:spacing w:line="360" w:lineRule="auto"/>
            <w:rPr>
              <w:rFonts w:ascii="Arial" w:eastAsiaTheme="minorEastAsia" w:hAnsi="Arial" w:cs="Arial"/>
              <w:noProof/>
              <w:lang w:eastAsia="en-GB"/>
            </w:rPr>
          </w:pPr>
          <w:r w:rsidRPr="00D8217E">
            <w:rPr>
              <w:rFonts w:ascii="Arial" w:hAnsi="Arial" w:cs="Arial"/>
            </w:rPr>
            <w:fldChar w:fldCharType="begin"/>
          </w:r>
          <w:r w:rsidRPr="00D8217E">
            <w:rPr>
              <w:rFonts w:ascii="Arial" w:hAnsi="Arial" w:cs="Arial"/>
            </w:rPr>
            <w:instrText xml:space="preserve"> TOC \o "1-3" \h \z \u </w:instrText>
          </w:r>
          <w:r w:rsidRPr="00D8217E">
            <w:rPr>
              <w:rFonts w:ascii="Arial" w:hAnsi="Arial" w:cs="Arial"/>
            </w:rPr>
            <w:fldChar w:fldCharType="separate"/>
          </w:r>
          <w:hyperlink w:anchor="_Toc241025621" w:history="1">
            <w:r w:rsidR="00BB6309" w:rsidRPr="00D8217E">
              <w:rPr>
                <w:rStyle w:val="Hyperlink"/>
                <w:rFonts w:ascii="Arial" w:hAnsi="Arial" w:cs="Arial"/>
                <w:noProof/>
              </w:rPr>
              <w:t>ABSTRACT</w:t>
            </w:r>
            <w:r w:rsidR="00BB6309" w:rsidRPr="00D8217E">
              <w:rPr>
                <w:rFonts w:ascii="Arial" w:hAnsi="Arial" w:cs="Arial"/>
                <w:noProof/>
                <w:webHidden/>
              </w:rPr>
              <w:tab/>
            </w:r>
            <w:r w:rsidR="00BB6309" w:rsidRPr="00D8217E">
              <w:rPr>
                <w:rFonts w:ascii="Arial" w:hAnsi="Arial" w:cs="Arial"/>
                <w:noProof/>
                <w:webHidden/>
              </w:rPr>
              <w:fldChar w:fldCharType="begin"/>
            </w:r>
            <w:r w:rsidR="00BB6309" w:rsidRPr="00D8217E">
              <w:rPr>
                <w:rFonts w:ascii="Arial" w:hAnsi="Arial" w:cs="Arial"/>
                <w:noProof/>
                <w:webHidden/>
              </w:rPr>
              <w:instrText xml:space="preserve"> PAGEREF _Toc241025621 \h </w:instrText>
            </w:r>
            <w:r w:rsidR="00BB6309" w:rsidRPr="00D8217E">
              <w:rPr>
                <w:rFonts w:ascii="Arial" w:hAnsi="Arial" w:cs="Arial"/>
                <w:noProof/>
                <w:webHidden/>
              </w:rPr>
            </w:r>
            <w:r w:rsidR="00BB6309" w:rsidRPr="00D8217E">
              <w:rPr>
                <w:rFonts w:ascii="Arial" w:hAnsi="Arial" w:cs="Arial"/>
                <w:noProof/>
                <w:webHidden/>
              </w:rPr>
              <w:fldChar w:fldCharType="separate"/>
            </w:r>
            <w:r w:rsidR="00BB6309" w:rsidRPr="00D8217E">
              <w:rPr>
                <w:rFonts w:ascii="Arial" w:hAnsi="Arial" w:cs="Arial"/>
                <w:noProof/>
                <w:webHidden/>
              </w:rPr>
              <w:t>4</w:t>
            </w:r>
            <w:r w:rsidR="00BB6309" w:rsidRPr="00D8217E">
              <w:rPr>
                <w:rFonts w:ascii="Arial" w:hAnsi="Arial" w:cs="Arial"/>
                <w:noProof/>
                <w:webHidden/>
              </w:rPr>
              <w:fldChar w:fldCharType="end"/>
            </w:r>
          </w:hyperlink>
        </w:p>
        <w:p w14:paraId="1988826C" w14:textId="11C42146"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22" w:history="1">
            <w:r w:rsidRPr="00D8217E">
              <w:rPr>
                <w:rStyle w:val="Hyperlink"/>
                <w:rFonts w:ascii="Arial" w:hAnsi="Arial" w:cs="Arial"/>
                <w:noProof/>
              </w:rPr>
              <w:t>List of figures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_Toc241025622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9</w:t>
            </w:r>
            <w:r w:rsidRPr="00D8217E">
              <w:rPr>
                <w:rFonts w:ascii="Arial" w:hAnsi="Arial" w:cs="Arial"/>
                <w:noProof/>
                <w:webHidden/>
              </w:rPr>
              <w:fldChar w:fldCharType="end"/>
            </w:r>
          </w:hyperlink>
        </w:p>
        <w:p w14:paraId="25001EBC" w14:textId="45D14404"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23" w:history="1">
            <w:r w:rsidRPr="00D8217E">
              <w:rPr>
                <w:rStyle w:val="Hyperlink"/>
                <w:rFonts w:ascii="Arial" w:hAnsi="Arial" w:cs="Arial"/>
                <w:noProof/>
              </w:rPr>
              <w:t>List of tables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_Toc241025623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10</w:t>
            </w:r>
            <w:r w:rsidRPr="00D8217E">
              <w:rPr>
                <w:rFonts w:ascii="Arial" w:hAnsi="Arial" w:cs="Arial"/>
                <w:noProof/>
                <w:webHidden/>
              </w:rPr>
              <w:fldChar w:fldCharType="end"/>
            </w:r>
          </w:hyperlink>
        </w:p>
        <w:p w14:paraId="10A7E04D" w14:textId="7C6C6472"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24" w:history="1">
            <w:r w:rsidRPr="00D8217E">
              <w:rPr>
                <w:rStyle w:val="Hyperlink"/>
                <w:rFonts w:ascii="Arial" w:hAnsi="Arial" w:cs="Arial"/>
                <w:noProof/>
              </w:rPr>
              <w:t>List of abbreviations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_Toc241025624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11</w:t>
            </w:r>
            <w:r w:rsidRPr="00D8217E">
              <w:rPr>
                <w:rFonts w:ascii="Arial" w:hAnsi="Arial" w:cs="Arial"/>
                <w:noProof/>
                <w:webHidden/>
              </w:rPr>
              <w:fldChar w:fldCharType="end"/>
            </w:r>
          </w:hyperlink>
        </w:p>
        <w:p w14:paraId="1354A0D3" w14:textId="400499CD"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25" w:history="1">
            <w:r w:rsidRPr="00D8217E">
              <w:rPr>
                <w:rStyle w:val="Hyperlink"/>
                <w:rFonts w:ascii="Arial" w:hAnsi="Arial" w:cs="Arial"/>
                <w:noProof/>
              </w:rPr>
              <w:t>CHAPTER 1: INTRODUCTION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_Toc241025625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12</w:t>
            </w:r>
            <w:r w:rsidRPr="00D8217E">
              <w:rPr>
                <w:rFonts w:ascii="Arial" w:hAnsi="Arial" w:cs="Arial"/>
                <w:noProof/>
                <w:webHidden/>
              </w:rPr>
              <w:fldChar w:fldCharType="end"/>
            </w:r>
          </w:hyperlink>
        </w:p>
        <w:p w14:paraId="30AA70A1" w14:textId="3EBA35CC"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26" w:history="1">
            <w:r w:rsidRPr="00D8217E">
              <w:rPr>
                <w:rStyle w:val="Hyperlink"/>
                <w:rFonts w:ascii="Arial" w:hAnsi="Arial" w:cs="Arial"/>
                <w:noProof/>
              </w:rPr>
              <w:t>1.1 Background and Context</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_Toc241025626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12</w:t>
            </w:r>
            <w:r w:rsidRPr="00D8217E">
              <w:rPr>
                <w:rFonts w:ascii="Arial" w:hAnsi="Arial" w:cs="Arial"/>
                <w:noProof/>
                <w:webHidden/>
              </w:rPr>
              <w:fldChar w:fldCharType="end"/>
            </w:r>
          </w:hyperlink>
        </w:p>
        <w:p w14:paraId="15AFB040" w14:textId="31E5842A"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27" w:history="1">
            <w:r w:rsidRPr="00D8217E">
              <w:rPr>
                <w:rStyle w:val="Hyperlink"/>
                <w:rFonts w:ascii="Arial" w:hAnsi="Arial" w:cs="Arial"/>
                <w:noProof/>
              </w:rPr>
              <w:t>1.2 Policy Context</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_Toc241025627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15</w:t>
            </w:r>
            <w:r w:rsidRPr="00D8217E">
              <w:rPr>
                <w:rFonts w:ascii="Arial" w:hAnsi="Arial" w:cs="Arial"/>
                <w:noProof/>
                <w:webHidden/>
              </w:rPr>
              <w:fldChar w:fldCharType="end"/>
            </w:r>
          </w:hyperlink>
        </w:p>
        <w:p w14:paraId="10093FF9" w14:textId="6199635E"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28" w:history="1">
            <w:r w:rsidRPr="00D8217E">
              <w:rPr>
                <w:rStyle w:val="Hyperlink"/>
                <w:rFonts w:ascii="Arial" w:hAnsi="Arial" w:cs="Arial"/>
                <w:noProof/>
              </w:rPr>
              <w:t>1.3 Research Question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_Toc241025628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17</w:t>
            </w:r>
            <w:r w:rsidRPr="00D8217E">
              <w:rPr>
                <w:rFonts w:ascii="Arial" w:hAnsi="Arial" w:cs="Arial"/>
                <w:noProof/>
                <w:webHidden/>
              </w:rPr>
              <w:fldChar w:fldCharType="end"/>
            </w:r>
          </w:hyperlink>
        </w:p>
        <w:p w14:paraId="4DE7FA30" w14:textId="335C82A8"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29" w:history="1">
            <w:r w:rsidRPr="00D8217E">
              <w:rPr>
                <w:rStyle w:val="Hyperlink"/>
                <w:rFonts w:ascii="Arial" w:hAnsi="Arial" w:cs="Arial"/>
                <w:noProof/>
              </w:rPr>
              <w:t>1.4 Rationale and Significance of the Study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_Toc241025629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17</w:t>
            </w:r>
            <w:r w:rsidRPr="00D8217E">
              <w:rPr>
                <w:rFonts w:ascii="Arial" w:hAnsi="Arial" w:cs="Arial"/>
                <w:noProof/>
                <w:webHidden/>
              </w:rPr>
              <w:fldChar w:fldCharType="end"/>
            </w:r>
          </w:hyperlink>
        </w:p>
        <w:p w14:paraId="5775EF42" w14:textId="3881B393"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0" w:history="1">
            <w:r w:rsidRPr="00D8217E">
              <w:rPr>
                <w:rStyle w:val="Hyperlink"/>
                <w:rFonts w:ascii="Arial" w:hAnsi="Arial" w:cs="Arial"/>
                <w:noProof/>
              </w:rPr>
              <w:t>1.5 Aim of the Study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_Toc241025630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18</w:t>
            </w:r>
            <w:r w:rsidRPr="00D8217E">
              <w:rPr>
                <w:rFonts w:ascii="Arial" w:hAnsi="Arial" w:cs="Arial"/>
                <w:noProof/>
                <w:webHidden/>
              </w:rPr>
              <w:fldChar w:fldCharType="end"/>
            </w:r>
          </w:hyperlink>
        </w:p>
        <w:p w14:paraId="62689F6D" w14:textId="502A23F0"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1" w:history="1">
            <w:r w:rsidRPr="00D8217E">
              <w:rPr>
                <w:rStyle w:val="Hyperlink"/>
                <w:rFonts w:ascii="Arial" w:hAnsi="Arial" w:cs="Arial"/>
                <w:noProof/>
              </w:rPr>
              <w:t>1.6 Research Objectives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_Toc241025631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18</w:t>
            </w:r>
            <w:r w:rsidRPr="00D8217E">
              <w:rPr>
                <w:rFonts w:ascii="Arial" w:hAnsi="Arial" w:cs="Arial"/>
                <w:noProof/>
                <w:webHidden/>
              </w:rPr>
              <w:fldChar w:fldCharType="end"/>
            </w:r>
          </w:hyperlink>
        </w:p>
        <w:p w14:paraId="62B8FA61" w14:textId="636ED537"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2" w:history="1">
            <w:r w:rsidRPr="00D8217E">
              <w:rPr>
                <w:rStyle w:val="Hyperlink"/>
                <w:rFonts w:ascii="Arial" w:hAnsi="Arial" w:cs="Arial"/>
                <w:noProof/>
              </w:rPr>
              <w:t>1.7 Scope and Boundaries of the Study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18</w:t>
            </w:r>
            <w:r w:rsidRPr="00D8217E">
              <w:rPr>
                <w:rFonts w:ascii="Arial" w:hAnsi="Arial" w:cs="Arial"/>
                <w:noProof/>
                <w:webHidden/>
              </w:rPr>
              <w:fldChar w:fldCharType="end"/>
            </w:r>
          </w:hyperlink>
        </w:p>
        <w:p w14:paraId="6D6A36A6" w14:textId="6620C3F5"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3" w:history="1">
            <w:r w:rsidRPr="00D8217E">
              <w:rPr>
                <w:rStyle w:val="Hyperlink"/>
                <w:rFonts w:ascii="Arial" w:hAnsi="Arial" w:cs="Arial"/>
                <w:noProof/>
              </w:rPr>
              <w:t>1.8 Structure of the Dissertation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19</w:t>
            </w:r>
            <w:r w:rsidRPr="00D8217E">
              <w:rPr>
                <w:rFonts w:ascii="Arial" w:hAnsi="Arial" w:cs="Arial"/>
                <w:noProof/>
                <w:webHidden/>
              </w:rPr>
              <w:fldChar w:fldCharType="end"/>
            </w:r>
          </w:hyperlink>
        </w:p>
        <w:p w14:paraId="1EBF6F39" w14:textId="34A056BF"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34" w:history="1">
            <w:r w:rsidRPr="00D8217E">
              <w:rPr>
                <w:rStyle w:val="Hyperlink"/>
                <w:rFonts w:ascii="Arial" w:hAnsi="Arial" w:cs="Arial"/>
                <w:noProof/>
              </w:rPr>
              <w:t>CHAPTER 2 LITERATURE REVIEW AND THEORETICAL FRAMEWORK</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20</w:t>
            </w:r>
            <w:r w:rsidRPr="00D8217E">
              <w:rPr>
                <w:rFonts w:ascii="Arial" w:hAnsi="Arial" w:cs="Arial"/>
                <w:noProof/>
                <w:webHidden/>
              </w:rPr>
              <w:fldChar w:fldCharType="end"/>
            </w:r>
          </w:hyperlink>
        </w:p>
        <w:p w14:paraId="311AAD5B" w14:textId="78ACA9B6"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5" w:history="1">
            <w:r w:rsidRPr="00D8217E">
              <w:rPr>
                <w:rStyle w:val="Hyperlink"/>
                <w:rFonts w:ascii="Arial" w:hAnsi="Arial" w:cs="Arial"/>
                <w:noProof/>
              </w:rPr>
              <w:t>2.1 Introduction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20</w:t>
            </w:r>
            <w:r w:rsidRPr="00D8217E">
              <w:rPr>
                <w:rFonts w:ascii="Arial" w:hAnsi="Arial" w:cs="Arial"/>
                <w:noProof/>
                <w:webHidden/>
              </w:rPr>
              <w:fldChar w:fldCharType="end"/>
            </w:r>
          </w:hyperlink>
        </w:p>
        <w:p w14:paraId="6779591E" w14:textId="3FA59ADE"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6" w:history="1">
            <w:r w:rsidRPr="00D8217E">
              <w:rPr>
                <w:rStyle w:val="Hyperlink"/>
                <w:rFonts w:ascii="Arial" w:hAnsi="Arial" w:cs="Arial"/>
                <w:noProof/>
              </w:rPr>
              <w:t>2.2 Overview of CAMHS in England</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_Toc241025636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21</w:t>
            </w:r>
            <w:r w:rsidRPr="00D8217E">
              <w:rPr>
                <w:rFonts w:ascii="Arial" w:hAnsi="Arial" w:cs="Arial"/>
                <w:noProof/>
                <w:webHidden/>
              </w:rPr>
              <w:fldChar w:fldCharType="end"/>
            </w:r>
          </w:hyperlink>
        </w:p>
        <w:p w14:paraId="355CC4AB" w14:textId="7531BB66"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7" w:history="1">
            <w:r w:rsidRPr="00D8217E">
              <w:rPr>
                <w:rStyle w:val="Hyperlink"/>
                <w:rFonts w:ascii="Arial" w:hAnsi="Arial" w:cs="Arial"/>
                <w:noProof/>
              </w:rPr>
              <w:t>2.3 Policy Framework: 2015–2025</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_Toc241025637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22</w:t>
            </w:r>
            <w:r w:rsidRPr="00D8217E">
              <w:rPr>
                <w:rFonts w:ascii="Arial" w:hAnsi="Arial" w:cs="Arial"/>
                <w:noProof/>
                <w:webHidden/>
              </w:rPr>
              <w:fldChar w:fldCharType="end"/>
            </w:r>
          </w:hyperlink>
        </w:p>
        <w:p w14:paraId="42F195C2" w14:textId="64F548D3"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8" w:history="1">
            <w:r w:rsidRPr="00D8217E">
              <w:rPr>
                <w:rStyle w:val="Hyperlink"/>
                <w:rFonts w:ascii="Arial" w:hAnsi="Arial" w:cs="Arial"/>
                <w:noProof/>
              </w:rPr>
              <w:t>2.4 Epidemiology of Child and Adolescent Mental Health in England</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_Toc241025638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23</w:t>
            </w:r>
            <w:r w:rsidRPr="00D8217E">
              <w:rPr>
                <w:rFonts w:ascii="Arial" w:hAnsi="Arial" w:cs="Arial"/>
                <w:noProof/>
                <w:webHidden/>
              </w:rPr>
              <w:fldChar w:fldCharType="end"/>
            </w:r>
          </w:hyperlink>
        </w:p>
        <w:p w14:paraId="490B11D0" w14:textId="2B723E4B"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39" w:history="1">
            <w:r w:rsidRPr="00D8217E">
              <w:rPr>
                <w:rStyle w:val="Hyperlink"/>
                <w:rFonts w:ascii="Arial" w:hAnsi="Arial" w:cs="Arial"/>
                <w:noProof/>
              </w:rPr>
              <w:t>2.5 CAMHS Waiting Times: Documented Scale and Trends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_Toc241025639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24</w:t>
            </w:r>
            <w:r w:rsidRPr="00D8217E">
              <w:rPr>
                <w:rFonts w:ascii="Arial" w:hAnsi="Arial" w:cs="Arial"/>
                <w:noProof/>
                <w:webHidden/>
              </w:rPr>
              <w:fldChar w:fldCharType="end"/>
            </w:r>
          </w:hyperlink>
        </w:p>
        <w:p w14:paraId="48B72656" w14:textId="3BC49166"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40" w:history="1">
            <w:r w:rsidRPr="00D8217E">
              <w:rPr>
                <w:rStyle w:val="Hyperlink"/>
                <w:rFonts w:ascii="Arial" w:hAnsi="Arial" w:cs="Arial"/>
                <w:noProof/>
              </w:rPr>
              <w:t>2.6 Evidence on Barriers to CAMHS Access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_Toc241025640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25</w:t>
            </w:r>
            <w:r w:rsidRPr="00D8217E">
              <w:rPr>
                <w:rFonts w:ascii="Arial" w:hAnsi="Arial" w:cs="Arial"/>
                <w:noProof/>
                <w:webHidden/>
              </w:rPr>
              <w:fldChar w:fldCharType="end"/>
            </w:r>
          </w:hyperlink>
        </w:p>
        <w:p w14:paraId="35469FEA" w14:textId="5C497C33"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41" w:history="1">
            <w:r w:rsidRPr="00D8217E">
              <w:rPr>
                <w:rStyle w:val="Hyperlink"/>
                <w:rFonts w:ascii="Arial" w:hAnsi="Arial" w:cs="Arial"/>
                <w:noProof/>
              </w:rPr>
              <w:t>2.6.1 Systemic and Structural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_Toc241025641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25</w:t>
            </w:r>
            <w:r w:rsidRPr="00D8217E">
              <w:rPr>
                <w:rFonts w:ascii="Arial" w:hAnsi="Arial" w:cs="Arial"/>
                <w:noProof/>
                <w:webHidden/>
              </w:rPr>
              <w:fldChar w:fldCharType="end"/>
            </w:r>
          </w:hyperlink>
        </w:p>
        <w:p w14:paraId="71719258" w14:textId="37F4B902"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42" w:history="1">
            <w:r w:rsidRPr="00D8217E">
              <w:rPr>
                <w:rStyle w:val="Hyperlink"/>
                <w:rFonts w:ascii="Arial" w:hAnsi="Arial" w:cs="Arial"/>
                <w:noProof/>
              </w:rPr>
              <w:t>2.6.2 Organisational and Workforce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26</w:t>
            </w:r>
            <w:r w:rsidRPr="00D8217E">
              <w:rPr>
                <w:rFonts w:ascii="Arial" w:hAnsi="Arial" w:cs="Arial"/>
                <w:noProof/>
                <w:webHidden/>
              </w:rPr>
              <w:fldChar w:fldCharType="end"/>
            </w:r>
          </w:hyperlink>
        </w:p>
        <w:p w14:paraId="2D083EF8" w14:textId="056A19CD"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43" w:history="1">
            <w:r w:rsidRPr="00D8217E">
              <w:rPr>
                <w:rStyle w:val="Hyperlink"/>
                <w:rFonts w:ascii="Arial" w:hAnsi="Arial" w:cs="Arial"/>
                <w:noProof/>
              </w:rPr>
              <w:t>2.6.3 Referral and Pathway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26</w:t>
            </w:r>
            <w:r w:rsidRPr="00D8217E">
              <w:rPr>
                <w:rFonts w:ascii="Arial" w:hAnsi="Arial" w:cs="Arial"/>
                <w:noProof/>
                <w:webHidden/>
              </w:rPr>
              <w:fldChar w:fldCharType="end"/>
            </w:r>
          </w:hyperlink>
        </w:p>
        <w:p w14:paraId="30647375" w14:textId="25E10FDE"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44" w:history="1">
            <w:r w:rsidRPr="00D8217E">
              <w:rPr>
                <w:rStyle w:val="Hyperlink"/>
                <w:rFonts w:ascii="Arial" w:hAnsi="Arial" w:cs="Arial"/>
                <w:noProof/>
              </w:rPr>
              <w:t>2.6.4 Policy and Commissioning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27</w:t>
            </w:r>
            <w:r w:rsidRPr="00D8217E">
              <w:rPr>
                <w:rFonts w:ascii="Arial" w:hAnsi="Arial" w:cs="Arial"/>
                <w:noProof/>
                <w:webHidden/>
              </w:rPr>
              <w:fldChar w:fldCharType="end"/>
            </w:r>
          </w:hyperlink>
        </w:p>
        <w:p w14:paraId="18AE0E4C" w14:textId="676A591E"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45" w:history="1">
            <w:r w:rsidRPr="00D8217E">
              <w:rPr>
                <w:rStyle w:val="Hyperlink"/>
                <w:rFonts w:ascii="Arial" w:hAnsi="Arial" w:cs="Arial"/>
                <w:noProof/>
              </w:rPr>
              <w:t>2.7 Gaps in the Existing Literature and Justification for This Study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28</w:t>
            </w:r>
            <w:r w:rsidRPr="00D8217E">
              <w:rPr>
                <w:rFonts w:ascii="Arial" w:hAnsi="Arial" w:cs="Arial"/>
                <w:noProof/>
                <w:webHidden/>
              </w:rPr>
              <w:fldChar w:fldCharType="end"/>
            </w:r>
          </w:hyperlink>
        </w:p>
        <w:p w14:paraId="68673553" w14:textId="25278A61"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46" w:history="1">
            <w:r w:rsidRPr="00D8217E">
              <w:rPr>
                <w:rStyle w:val="Hyperlink"/>
                <w:rFonts w:ascii="Arial" w:hAnsi="Arial" w:cs="Arial"/>
                <w:noProof/>
              </w:rPr>
              <w:t>2.8 Theoretical Framework</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_Toc241025646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28</w:t>
            </w:r>
            <w:r w:rsidRPr="00D8217E">
              <w:rPr>
                <w:rFonts w:ascii="Arial" w:hAnsi="Arial" w:cs="Arial"/>
                <w:noProof/>
                <w:webHidden/>
              </w:rPr>
              <w:fldChar w:fldCharType="end"/>
            </w:r>
          </w:hyperlink>
        </w:p>
        <w:p w14:paraId="5A75A870" w14:textId="55B3B82E"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47" w:history="1">
            <w:r w:rsidRPr="00D8217E">
              <w:rPr>
                <w:rStyle w:val="Hyperlink"/>
                <w:rFonts w:ascii="Arial" w:hAnsi="Arial" w:cs="Arial"/>
                <w:noProof/>
              </w:rPr>
              <w:t>Chapter 3: RESEARCH METHODOLOGY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_Toc241025647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30</w:t>
            </w:r>
            <w:r w:rsidRPr="00D8217E">
              <w:rPr>
                <w:rFonts w:ascii="Arial" w:hAnsi="Arial" w:cs="Arial"/>
                <w:noProof/>
                <w:webHidden/>
              </w:rPr>
              <w:fldChar w:fldCharType="end"/>
            </w:r>
          </w:hyperlink>
        </w:p>
        <w:p w14:paraId="6ECBB11E" w14:textId="232751DC"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48" w:history="1">
            <w:r w:rsidRPr="00D8217E">
              <w:rPr>
                <w:rStyle w:val="Hyperlink"/>
                <w:rFonts w:ascii="Arial" w:hAnsi="Arial" w:cs="Arial"/>
                <w:noProof/>
              </w:rPr>
              <w:t>3.1 Introduction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_Toc241025648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30</w:t>
            </w:r>
            <w:r w:rsidRPr="00D8217E">
              <w:rPr>
                <w:rFonts w:ascii="Arial" w:hAnsi="Arial" w:cs="Arial"/>
                <w:noProof/>
                <w:webHidden/>
              </w:rPr>
              <w:fldChar w:fldCharType="end"/>
            </w:r>
          </w:hyperlink>
        </w:p>
        <w:p w14:paraId="1756C356" w14:textId="52F18504"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49" w:history="1">
            <w:r w:rsidRPr="00D8217E">
              <w:rPr>
                <w:rStyle w:val="Hyperlink"/>
                <w:rFonts w:ascii="Arial" w:hAnsi="Arial" w:cs="Arial"/>
                <w:noProof/>
              </w:rPr>
              <w:t>3.2 Research Philosophy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_Toc241025649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30</w:t>
            </w:r>
            <w:r w:rsidRPr="00D8217E">
              <w:rPr>
                <w:rFonts w:ascii="Arial" w:hAnsi="Arial" w:cs="Arial"/>
                <w:noProof/>
                <w:webHidden/>
              </w:rPr>
              <w:fldChar w:fldCharType="end"/>
            </w:r>
          </w:hyperlink>
        </w:p>
        <w:p w14:paraId="76908265" w14:textId="1B549B17"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50" w:history="1">
            <w:r w:rsidRPr="00D8217E">
              <w:rPr>
                <w:rStyle w:val="Hyperlink"/>
                <w:rFonts w:ascii="Arial" w:hAnsi="Arial" w:cs="Arial"/>
                <w:noProof/>
              </w:rPr>
              <w:t>3.3 Research Paradigm and Approach</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_Toc241025650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31</w:t>
            </w:r>
            <w:r w:rsidRPr="00D8217E">
              <w:rPr>
                <w:rFonts w:ascii="Arial" w:hAnsi="Arial" w:cs="Arial"/>
                <w:noProof/>
                <w:webHidden/>
              </w:rPr>
              <w:fldChar w:fldCharType="end"/>
            </w:r>
          </w:hyperlink>
        </w:p>
        <w:p w14:paraId="20E759D3" w14:textId="65D52784"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51" w:history="1">
            <w:r w:rsidRPr="00D8217E">
              <w:rPr>
                <w:rStyle w:val="Hyperlink"/>
                <w:rFonts w:ascii="Arial" w:hAnsi="Arial" w:cs="Arial"/>
                <w:noProof/>
              </w:rPr>
              <w:t>3.4 Systematic Review as Research Design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_Toc241025651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31</w:t>
            </w:r>
            <w:r w:rsidRPr="00D8217E">
              <w:rPr>
                <w:rFonts w:ascii="Arial" w:hAnsi="Arial" w:cs="Arial"/>
                <w:noProof/>
                <w:webHidden/>
              </w:rPr>
              <w:fldChar w:fldCharType="end"/>
            </w:r>
          </w:hyperlink>
        </w:p>
        <w:p w14:paraId="666DB450" w14:textId="3B23419F"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52" w:history="1">
            <w:r w:rsidRPr="00D8217E">
              <w:rPr>
                <w:rStyle w:val="Hyperlink"/>
                <w:rFonts w:ascii="Arial" w:hAnsi="Arial" w:cs="Arial"/>
                <w:noProof/>
              </w:rPr>
              <w:t>3.5 Search Strategy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32</w:t>
            </w:r>
            <w:r w:rsidRPr="00D8217E">
              <w:rPr>
                <w:rFonts w:ascii="Arial" w:hAnsi="Arial" w:cs="Arial"/>
                <w:noProof/>
                <w:webHidden/>
              </w:rPr>
              <w:fldChar w:fldCharType="end"/>
            </w:r>
          </w:hyperlink>
        </w:p>
        <w:p w14:paraId="19AB57E7" w14:textId="5F1778DF"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53" w:history="1">
            <w:r w:rsidRPr="00D8217E">
              <w:rPr>
                <w:rStyle w:val="Hyperlink"/>
                <w:rFonts w:ascii="Arial" w:hAnsi="Arial" w:cs="Arial"/>
                <w:noProof/>
              </w:rPr>
              <w:t>3.5.1 Databases and Grey Literature Sources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32</w:t>
            </w:r>
            <w:r w:rsidRPr="00D8217E">
              <w:rPr>
                <w:rFonts w:ascii="Arial" w:hAnsi="Arial" w:cs="Arial"/>
                <w:noProof/>
                <w:webHidden/>
              </w:rPr>
              <w:fldChar w:fldCharType="end"/>
            </w:r>
          </w:hyperlink>
        </w:p>
        <w:p w14:paraId="5D57EF8A" w14:textId="625DB7B9"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54" w:history="1">
            <w:r w:rsidRPr="00D8217E">
              <w:rPr>
                <w:rStyle w:val="Hyperlink"/>
                <w:rFonts w:ascii="Arial" w:hAnsi="Arial" w:cs="Arial"/>
                <w:noProof/>
              </w:rPr>
              <w:t>3.5.2 Boolean Search Strings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32</w:t>
            </w:r>
            <w:r w:rsidRPr="00D8217E">
              <w:rPr>
                <w:rFonts w:ascii="Arial" w:hAnsi="Arial" w:cs="Arial"/>
                <w:noProof/>
                <w:webHidden/>
              </w:rPr>
              <w:fldChar w:fldCharType="end"/>
            </w:r>
          </w:hyperlink>
        </w:p>
        <w:p w14:paraId="118D6AEF" w14:textId="7444E8E8"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55" w:history="1">
            <w:r w:rsidRPr="00D8217E">
              <w:rPr>
                <w:rStyle w:val="Hyperlink"/>
                <w:rFonts w:ascii="Arial" w:hAnsi="Arial" w:cs="Arial"/>
                <w:noProof/>
              </w:rPr>
              <w:t>3.5.3 Date Range and Language Restriction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33</w:t>
            </w:r>
            <w:r w:rsidRPr="00D8217E">
              <w:rPr>
                <w:rFonts w:ascii="Arial" w:hAnsi="Arial" w:cs="Arial"/>
                <w:noProof/>
                <w:webHidden/>
              </w:rPr>
              <w:fldChar w:fldCharType="end"/>
            </w:r>
          </w:hyperlink>
        </w:p>
        <w:p w14:paraId="794C1894" w14:textId="5283D359"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56" w:history="1">
            <w:r w:rsidRPr="00D8217E">
              <w:rPr>
                <w:rStyle w:val="Hyperlink"/>
                <w:rFonts w:ascii="Arial" w:hAnsi="Arial" w:cs="Arial"/>
                <w:noProof/>
              </w:rPr>
              <w:t>3.6 Inclusion and Exclusion Criteria</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_Toc241025656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33</w:t>
            </w:r>
            <w:r w:rsidRPr="00D8217E">
              <w:rPr>
                <w:rFonts w:ascii="Arial" w:hAnsi="Arial" w:cs="Arial"/>
                <w:noProof/>
                <w:webHidden/>
              </w:rPr>
              <w:fldChar w:fldCharType="end"/>
            </w:r>
          </w:hyperlink>
        </w:p>
        <w:p w14:paraId="7757EA16" w14:textId="5F88A9F5"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57" w:history="1">
            <w:r w:rsidRPr="00D8217E">
              <w:rPr>
                <w:rStyle w:val="Hyperlink"/>
                <w:rFonts w:ascii="Arial" w:hAnsi="Arial" w:cs="Arial"/>
                <w:noProof/>
              </w:rPr>
              <w:t>3.7 Screening and Study Selection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_Toc241025657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34</w:t>
            </w:r>
            <w:r w:rsidRPr="00D8217E">
              <w:rPr>
                <w:rFonts w:ascii="Arial" w:hAnsi="Arial" w:cs="Arial"/>
                <w:noProof/>
                <w:webHidden/>
              </w:rPr>
              <w:fldChar w:fldCharType="end"/>
            </w:r>
          </w:hyperlink>
        </w:p>
        <w:p w14:paraId="02BC45CE" w14:textId="57E1F725"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58" w:history="1">
            <w:r w:rsidRPr="00D8217E">
              <w:rPr>
                <w:rStyle w:val="Hyperlink"/>
                <w:rFonts w:ascii="Arial" w:hAnsi="Arial" w:cs="Arial"/>
                <w:noProof/>
              </w:rPr>
              <w:t>3.8 Data Extraction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_Toc241025658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35</w:t>
            </w:r>
            <w:r w:rsidRPr="00D8217E">
              <w:rPr>
                <w:rFonts w:ascii="Arial" w:hAnsi="Arial" w:cs="Arial"/>
                <w:noProof/>
                <w:webHidden/>
              </w:rPr>
              <w:fldChar w:fldCharType="end"/>
            </w:r>
          </w:hyperlink>
        </w:p>
        <w:p w14:paraId="0BCEB466" w14:textId="4AD1C193"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59" w:history="1">
            <w:r w:rsidRPr="00D8217E">
              <w:rPr>
                <w:rStyle w:val="Hyperlink"/>
                <w:rFonts w:ascii="Arial" w:hAnsi="Arial" w:cs="Arial"/>
                <w:noProof/>
              </w:rPr>
              <w:t>3.9 Quality Appraisal</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_Toc241025659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35</w:t>
            </w:r>
            <w:r w:rsidRPr="00D8217E">
              <w:rPr>
                <w:rFonts w:ascii="Arial" w:hAnsi="Arial" w:cs="Arial"/>
                <w:noProof/>
                <w:webHidden/>
              </w:rPr>
              <w:fldChar w:fldCharType="end"/>
            </w:r>
          </w:hyperlink>
        </w:p>
        <w:p w14:paraId="13EB6841" w14:textId="3E60B62B"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60" w:history="1">
            <w:r w:rsidRPr="00D8217E">
              <w:rPr>
                <w:rStyle w:val="Hyperlink"/>
                <w:rFonts w:ascii="Arial" w:hAnsi="Arial" w:cs="Arial"/>
                <w:noProof/>
              </w:rPr>
              <w:t>3.9.1 CASP Qualitative Checklist</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_Toc241025660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35</w:t>
            </w:r>
            <w:r w:rsidRPr="00D8217E">
              <w:rPr>
                <w:rFonts w:ascii="Arial" w:hAnsi="Arial" w:cs="Arial"/>
                <w:noProof/>
                <w:webHidden/>
              </w:rPr>
              <w:fldChar w:fldCharType="end"/>
            </w:r>
          </w:hyperlink>
        </w:p>
        <w:p w14:paraId="490B3CC0" w14:textId="788FA589"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61" w:history="1">
            <w:r w:rsidRPr="00D8217E">
              <w:rPr>
                <w:rStyle w:val="Hyperlink"/>
                <w:rFonts w:ascii="Arial" w:hAnsi="Arial" w:cs="Arial"/>
                <w:noProof/>
              </w:rPr>
              <w:t>3.9.2 Newcastle-Ottawa Scale</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_Toc241025661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36</w:t>
            </w:r>
            <w:r w:rsidRPr="00D8217E">
              <w:rPr>
                <w:rFonts w:ascii="Arial" w:hAnsi="Arial" w:cs="Arial"/>
                <w:noProof/>
                <w:webHidden/>
              </w:rPr>
              <w:fldChar w:fldCharType="end"/>
            </w:r>
          </w:hyperlink>
        </w:p>
        <w:p w14:paraId="4F2676B7" w14:textId="40F27AFB"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62" w:history="1">
            <w:r w:rsidRPr="00D8217E">
              <w:rPr>
                <w:rStyle w:val="Hyperlink"/>
                <w:rFonts w:ascii="Arial" w:hAnsi="Arial" w:cs="Arial"/>
                <w:noProof/>
              </w:rPr>
              <w:t>3.9.3 AACODS Checklist</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36</w:t>
            </w:r>
            <w:r w:rsidRPr="00D8217E">
              <w:rPr>
                <w:rFonts w:ascii="Arial" w:hAnsi="Arial" w:cs="Arial"/>
                <w:noProof/>
                <w:webHidden/>
              </w:rPr>
              <w:fldChar w:fldCharType="end"/>
            </w:r>
          </w:hyperlink>
        </w:p>
        <w:p w14:paraId="11A52E4A" w14:textId="016FA924"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63" w:history="1">
            <w:r w:rsidRPr="00D8217E">
              <w:rPr>
                <w:rStyle w:val="Hyperlink"/>
                <w:rFonts w:ascii="Arial" w:hAnsi="Arial" w:cs="Arial"/>
                <w:noProof/>
              </w:rPr>
              <w:t>3.10 Data Synthesis: Narrative Synthesis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36</w:t>
            </w:r>
            <w:r w:rsidRPr="00D8217E">
              <w:rPr>
                <w:rFonts w:ascii="Arial" w:hAnsi="Arial" w:cs="Arial"/>
                <w:noProof/>
                <w:webHidden/>
              </w:rPr>
              <w:fldChar w:fldCharType="end"/>
            </w:r>
          </w:hyperlink>
        </w:p>
        <w:p w14:paraId="08ED7E44" w14:textId="48D21575"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64" w:history="1">
            <w:r w:rsidRPr="00D8217E">
              <w:rPr>
                <w:rStyle w:val="Hyperlink"/>
                <w:rFonts w:ascii="Arial" w:hAnsi="Arial" w:cs="Arial"/>
                <w:noProof/>
              </w:rPr>
              <w:t>3.11 Ethical Considerations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37</w:t>
            </w:r>
            <w:r w:rsidRPr="00D8217E">
              <w:rPr>
                <w:rFonts w:ascii="Arial" w:hAnsi="Arial" w:cs="Arial"/>
                <w:noProof/>
                <w:webHidden/>
              </w:rPr>
              <w:fldChar w:fldCharType="end"/>
            </w:r>
          </w:hyperlink>
        </w:p>
        <w:p w14:paraId="1A119EB8" w14:textId="6724DF8E"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65" w:history="1">
            <w:r w:rsidRPr="00D8217E">
              <w:rPr>
                <w:rStyle w:val="Hyperlink"/>
                <w:rFonts w:ascii="Arial" w:hAnsi="Arial" w:cs="Arial"/>
                <w:noProof/>
              </w:rPr>
              <w:t>3.12 Limitations of the Methodology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37</w:t>
            </w:r>
            <w:r w:rsidRPr="00D8217E">
              <w:rPr>
                <w:rFonts w:ascii="Arial" w:hAnsi="Arial" w:cs="Arial"/>
                <w:noProof/>
                <w:webHidden/>
              </w:rPr>
              <w:fldChar w:fldCharType="end"/>
            </w:r>
          </w:hyperlink>
        </w:p>
        <w:p w14:paraId="3102AC2C" w14:textId="228B3B62"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66" w:history="1">
            <w:r w:rsidRPr="00D8217E">
              <w:rPr>
                <w:rStyle w:val="Hyperlink"/>
                <w:rFonts w:ascii="Arial" w:hAnsi="Arial" w:cs="Arial"/>
                <w:noProof/>
              </w:rPr>
              <w:t>CHAPTER 4: RESULTS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_Toc241025666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38</w:t>
            </w:r>
            <w:r w:rsidRPr="00D8217E">
              <w:rPr>
                <w:rFonts w:ascii="Arial" w:hAnsi="Arial" w:cs="Arial"/>
                <w:noProof/>
                <w:webHidden/>
              </w:rPr>
              <w:fldChar w:fldCharType="end"/>
            </w:r>
          </w:hyperlink>
        </w:p>
        <w:p w14:paraId="4E93D7B8" w14:textId="78E1DDE4"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67" w:history="1">
            <w:r w:rsidRPr="00D8217E">
              <w:rPr>
                <w:rStyle w:val="Hyperlink"/>
                <w:rFonts w:ascii="Arial" w:hAnsi="Arial" w:cs="Arial"/>
                <w:noProof/>
              </w:rPr>
              <w:t>4.1 Overview of Included Studies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_Toc241025667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38</w:t>
            </w:r>
            <w:r w:rsidRPr="00D8217E">
              <w:rPr>
                <w:rFonts w:ascii="Arial" w:hAnsi="Arial" w:cs="Arial"/>
                <w:noProof/>
                <w:webHidden/>
              </w:rPr>
              <w:fldChar w:fldCharType="end"/>
            </w:r>
          </w:hyperlink>
        </w:p>
        <w:p w14:paraId="18C78F7A" w14:textId="09B5D5C6"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68" w:history="1">
            <w:r w:rsidRPr="00D8217E">
              <w:rPr>
                <w:rStyle w:val="Hyperlink"/>
                <w:rFonts w:ascii="Arial" w:eastAsia="Times New Roman" w:hAnsi="Arial" w:cs="Arial"/>
                <w:noProof/>
                <w:lang w:eastAsia="en-IN"/>
              </w:rPr>
              <w:t>4.2 Quality Check Results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_Toc241025668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39</w:t>
            </w:r>
            <w:r w:rsidRPr="00D8217E">
              <w:rPr>
                <w:rFonts w:ascii="Arial" w:hAnsi="Arial" w:cs="Arial"/>
                <w:noProof/>
                <w:webHidden/>
              </w:rPr>
              <w:fldChar w:fldCharType="end"/>
            </w:r>
          </w:hyperlink>
        </w:p>
        <w:p w14:paraId="3AD808CC" w14:textId="0F6BE741"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69" w:history="1">
            <w:r w:rsidRPr="00D8217E">
              <w:rPr>
                <w:rStyle w:val="Hyperlink"/>
                <w:rFonts w:ascii="Arial" w:hAnsi="Arial" w:cs="Arial"/>
                <w:noProof/>
              </w:rPr>
              <w:t>4.3 Theme 1: Systemic and Structural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_Toc241025669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40</w:t>
            </w:r>
            <w:r w:rsidRPr="00D8217E">
              <w:rPr>
                <w:rFonts w:ascii="Arial" w:hAnsi="Arial" w:cs="Arial"/>
                <w:noProof/>
                <w:webHidden/>
              </w:rPr>
              <w:fldChar w:fldCharType="end"/>
            </w:r>
          </w:hyperlink>
        </w:p>
        <w:p w14:paraId="0CD64CE9" w14:textId="66A2401E"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70" w:history="1">
            <w:r w:rsidRPr="00D8217E">
              <w:rPr>
                <w:rStyle w:val="Hyperlink"/>
                <w:rFonts w:ascii="Arial" w:hAnsi="Arial" w:cs="Arial"/>
                <w:noProof/>
              </w:rPr>
              <w:t>4.3.1 Demand Outstripping Capacity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_Toc241025670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40</w:t>
            </w:r>
            <w:r w:rsidRPr="00D8217E">
              <w:rPr>
                <w:rFonts w:ascii="Arial" w:hAnsi="Arial" w:cs="Arial"/>
                <w:noProof/>
                <w:webHidden/>
              </w:rPr>
              <w:fldChar w:fldCharType="end"/>
            </w:r>
          </w:hyperlink>
        </w:p>
        <w:p w14:paraId="14512F1C" w14:textId="269F88FE"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71" w:history="1">
            <w:r w:rsidRPr="00D8217E">
              <w:rPr>
                <w:rStyle w:val="Hyperlink"/>
                <w:rFonts w:ascii="Arial" w:hAnsi="Arial" w:cs="Arial"/>
                <w:noProof/>
              </w:rPr>
              <w:t>4.3.2 Geographic Inequality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_Toc241025671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40</w:t>
            </w:r>
            <w:r w:rsidRPr="00D8217E">
              <w:rPr>
                <w:rFonts w:ascii="Arial" w:hAnsi="Arial" w:cs="Arial"/>
                <w:noProof/>
                <w:webHidden/>
              </w:rPr>
              <w:fldChar w:fldCharType="end"/>
            </w:r>
          </w:hyperlink>
        </w:p>
        <w:p w14:paraId="0988FBF3" w14:textId="1A301FAA"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72" w:history="1">
            <w:r w:rsidRPr="00D8217E">
              <w:rPr>
                <w:rStyle w:val="Hyperlink"/>
                <w:rFonts w:ascii="Arial" w:hAnsi="Arial" w:cs="Arial"/>
                <w:noProof/>
              </w:rPr>
              <w:t>4.3.3 Fragmented Commissioning Structures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41</w:t>
            </w:r>
            <w:r w:rsidRPr="00D8217E">
              <w:rPr>
                <w:rFonts w:ascii="Arial" w:hAnsi="Arial" w:cs="Arial"/>
                <w:noProof/>
                <w:webHidden/>
              </w:rPr>
              <w:fldChar w:fldCharType="end"/>
            </w:r>
          </w:hyperlink>
        </w:p>
        <w:p w14:paraId="67364449" w14:textId="5AC63A09"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73" w:history="1">
            <w:r w:rsidRPr="00D8217E">
              <w:rPr>
                <w:rStyle w:val="Hyperlink"/>
                <w:rFonts w:ascii="Arial" w:hAnsi="Arial" w:cs="Arial"/>
                <w:noProof/>
              </w:rPr>
              <w:t>4.4 Theme 2: Organisational and Workforce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41</w:t>
            </w:r>
            <w:r w:rsidRPr="00D8217E">
              <w:rPr>
                <w:rFonts w:ascii="Arial" w:hAnsi="Arial" w:cs="Arial"/>
                <w:noProof/>
                <w:webHidden/>
              </w:rPr>
              <w:fldChar w:fldCharType="end"/>
            </w:r>
          </w:hyperlink>
        </w:p>
        <w:p w14:paraId="27E68867" w14:textId="71FE7549"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74" w:history="1">
            <w:r w:rsidRPr="00D8217E">
              <w:rPr>
                <w:rStyle w:val="Hyperlink"/>
                <w:rFonts w:ascii="Arial" w:hAnsi="Arial" w:cs="Arial"/>
                <w:noProof/>
              </w:rPr>
              <w:t>4.4.1 Workforce Shortages and Vacancy Rates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41</w:t>
            </w:r>
            <w:r w:rsidRPr="00D8217E">
              <w:rPr>
                <w:rFonts w:ascii="Arial" w:hAnsi="Arial" w:cs="Arial"/>
                <w:noProof/>
                <w:webHidden/>
              </w:rPr>
              <w:fldChar w:fldCharType="end"/>
            </w:r>
          </w:hyperlink>
        </w:p>
        <w:p w14:paraId="520B8FC3" w14:textId="275DFDA0"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75" w:history="1">
            <w:r w:rsidRPr="00D8217E">
              <w:rPr>
                <w:rStyle w:val="Hyperlink"/>
                <w:rFonts w:ascii="Arial" w:hAnsi="Arial" w:cs="Arial"/>
                <w:noProof/>
              </w:rPr>
              <w:t>4.4.2 Staff Burnout and Wellbeing</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42</w:t>
            </w:r>
            <w:r w:rsidRPr="00D8217E">
              <w:rPr>
                <w:rFonts w:ascii="Arial" w:hAnsi="Arial" w:cs="Arial"/>
                <w:noProof/>
                <w:webHidden/>
              </w:rPr>
              <w:fldChar w:fldCharType="end"/>
            </w:r>
          </w:hyperlink>
        </w:p>
        <w:p w14:paraId="20971C76" w14:textId="7E764187"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76" w:history="1">
            <w:r w:rsidRPr="00D8217E">
              <w:rPr>
                <w:rStyle w:val="Hyperlink"/>
                <w:rFonts w:ascii="Arial" w:hAnsi="Arial" w:cs="Arial"/>
                <w:noProof/>
              </w:rPr>
              <w:t>4.4.3 Training and Knowledge Gaps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_Toc241025676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42</w:t>
            </w:r>
            <w:r w:rsidRPr="00D8217E">
              <w:rPr>
                <w:rFonts w:ascii="Arial" w:hAnsi="Arial" w:cs="Arial"/>
                <w:noProof/>
                <w:webHidden/>
              </w:rPr>
              <w:fldChar w:fldCharType="end"/>
            </w:r>
          </w:hyperlink>
        </w:p>
        <w:p w14:paraId="602B8E91" w14:textId="7D4D9438" w:rsidR="00BB6309" w:rsidRPr="00D8217E" w:rsidRDefault="00BB6309" w:rsidP="00D8217E">
          <w:pPr>
            <w:pStyle w:val="TOC3"/>
            <w:tabs>
              <w:tab w:val="right" w:leader="dot" w:pos="9016"/>
            </w:tabs>
            <w:spacing w:line="360" w:lineRule="auto"/>
            <w:rPr>
              <w:rFonts w:ascii="Arial" w:eastAsiaTheme="minorEastAsia" w:hAnsi="Arial" w:cs="Arial"/>
              <w:noProof/>
              <w:lang w:eastAsia="en-GB"/>
            </w:rPr>
          </w:pPr>
          <w:hyperlink w:anchor="_Toc241025677" w:history="1">
            <w:r w:rsidRPr="00D8217E">
              <w:rPr>
                <w:rStyle w:val="Hyperlink"/>
                <w:rFonts w:ascii="Arial" w:hAnsi="Arial" w:cs="Arial"/>
                <w:noProof/>
              </w:rPr>
              <w:t>4.4.4 High Workload Constraining Clinical Delivery</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_Toc241025677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42</w:t>
            </w:r>
            <w:r w:rsidRPr="00D8217E">
              <w:rPr>
                <w:rFonts w:ascii="Arial" w:hAnsi="Arial" w:cs="Arial"/>
                <w:noProof/>
                <w:webHidden/>
              </w:rPr>
              <w:fldChar w:fldCharType="end"/>
            </w:r>
          </w:hyperlink>
        </w:p>
        <w:p w14:paraId="02093742" w14:textId="315706EB"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78" w:history="1">
            <w:r w:rsidRPr="00D8217E">
              <w:rPr>
                <w:rStyle w:val="Hyperlink"/>
                <w:rFonts w:ascii="Arial" w:hAnsi="Arial" w:cs="Arial"/>
                <w:noProof/>
              </w:rPr>
              <w:t>4.5 Theme 3: Referral and Pathway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_Toc241025678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43</w:t>
            </w:r>
            <w:r w:rsidRPr="00D8217E">
              <w:rPr>
                <w:rFonts w:ascii="Arial" w:hAnsi="Arial" w:cs="Arial"/>
                <w:noProof/>
                <w:webHidden/>
              </w:rPr>
              <w:fldChar w:fldCharType="end"/>
            </w:r>
          </w:hyperlink>
        </w:p>
        <w:p w14:paraId="369985A4" w14:textId="11F00D87"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79" w:history="1">
            <w:r w:rsidRPr="00D8217E">
              <w:rPr>
                <w:rStyle w:val="Hyperlink"/>
                <w:rFonts w:ascii="Arial" w:hAnsi="Arial" w:cs="Arial"/>
                <w:noProof/>
              </w:rPr>
              <w:t>4.6 Theme 4: Policy and Commissioning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_Toc241025679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45</w:t>
            </w:r>
            <w:r w:rsidRPr="00D8217E">
              <w:rPr>
                <w:rFonts w:ascii="Arial" w:hAnsi="Arial" w:cs="Arial"/>
                <w:noProof/>
                <w:webHidden/>
              </w:rPr>
              <w:fldChar w:fldCharType="end"/>
            </w:r>
          </w:hyperlink>
        </w:p>
        <w:p w14:paraId="3AA8B3EE" w14:textId="5EEE036A"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0" w:history="1">
            <w:r w:rsidRPr="00D8217E">
              <w:rPr>
                <w:rStyle w:val="Hyperlink"/>
                <w:rFonts w:ascii="Arial" w:hAnsi="Arial" w:cs="Arial"/>
                <w:noProof/>
              </w:rPr>
              <w:t>4.7 Identified Interventions and Effective Strategies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_Toc241025680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46</w:t>
            </w:r>
            <w:r w:rsidRPr="00D8217E">
              <w:rPr>
                <w:rFonts w:ascii="Arial" w:hAnsi="Arial" w:cs="Arial"/>
                <w:noProof/>
                <w:webHidden/>
              </w:rPr>
              <w:fldChar w:fldCharType="end"/>
            </w:r>
          </w:hyperlink>
        </w:p>
        <w:p w14:paraId="750B89A6" w14:textId="3736473F"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81" w:history="1">
            <w:r w:rsidRPr="00D8217E">
              <w:rPr>
                <w:rStyle w:val="Hyperlink"/>
                <w:rFonts w:ascii="Arial" w:hAnsi="Arial" w:cs="Arial"/>
                <w:noProof/>
              </w:rPr>
              <w:t>CHAPTER 5: DISCUSSION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_Toc241025681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47</w:t>
            </w:r>
            <w:r w:rsidRPr="00D8217E">
              <w:rPr>
                <w:rFonts w:ascii="Arial" w:hAnsi="Arial" w:cs="Arial"/>
                <w:noProof/>
                <w:webHidden/>
              </w:rPr>
              <w:fldChar w:fldCharType="end"/>
            </w:r>
          </w:hyperlink>
        </w:p>
        <w:p w14:paraId="56AC9D7D" w14:textId="23AB703F"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2" w:history="1">
            <w:r w:rsidRPr="00D8217E">
              <w:rPr>
                <w:rStyle w:val="Hyperlink"/>
                <w:rFonts w:ascii="Arial" w:hAnsi="Arial" w:cs="Arial"/>
                <w:noProof/>
              </w:rPr>
              <w:t>5.1 Introduction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47</w:t>
            </w:r>
            <w:r w:rsidRPr="00D8217E">
              <w:rPr>
                <w:rFonts w:ascii="Arial" w:hAnsi="Arial" w:cs="Arial"/>
                <w:noProof/>
                <w:webHidden/>
              </w:rPr>
              <w:fldChar w:fldCharType="end"/>
            </w:r>
          </w:hyperlink>
        </w:p>
        <w:p w14:paraId="3722ABBD" w14:textId="64044930"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3" w:history="1">
            <w:r w:rsidRPr="00D8217E">
              <w:rPr>
                <w:rStyle w:val="Hyperlink"/>
                <w:rFonts w:ascii="Arial" w:hAnsi="Arial" w:cs="Arial"/>
                <w:noProof/>
              </w:rPr>
              <w:t>5.2 Discussion of Theme 1: Systemic and Structural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47</w:t>
            </w:r>
            <w:r w:rsidRPr="00D8217E">
              <w:rPr>
                <w:rFonts w:ascii="Arial" w:hAnsi="Arial" w:cs="Arial"/>
                <w:noProof/>
                <w:webHidden/>
              </w:rPr>
              <w:fldChar w:fldCharType="end"/>
            </w:r>
          </w:hyperlink>
        </w:p>
        <w:p w14:paraId="482337A5" w14:textId="189C1EE9"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4" w:history="1">
            <w:r w:rsidRPr="00D8217E">
              <w:rPr>
                <w:rStyle w:val="Hyperlink"/>
                <w:rFonts w:ascii="Arial" w:hAnsi="Arial" w:cs="Arial"/>
                <w:noProof/>
              </w:rPr>
              <w:t>5.3 Discussion of Theme 2: Organisational and Workforce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48</w:t>
            </w:r>
            <w:r w:rsidRPr="00D8217E">
              <w:rPr>
                <w:rFonts w:ascii="Arial" w:hAnsi="Arial" w:cs="Arial"/>
                <w:noProof/>
                <w:webHidden/>
              </w:rPr>
              <w:fldChar w:fldCharType="end"/>
            </w:r>
          </w:hyperlink>
        </w:p>
        <w:p w14:paraId="0A1A8172" w14:textId="071AA1F1"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5" w:history="1">
            <w:r w:rsidRPr="00D8217E">
              <w:rPr>
                <w:rStyle w:val="Hyperlink"/>
                <w:rFonts w:ascii="Arial" w:hAnsi="Arial" w:cs="Arial"/>
                <w:noProof/>
              </w:rPr>
              <w:t>5.4 Discussion of Theme 3: Referral and Pathway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49</w:t>
            </w:r>
            <w:r w:rsidRPr="00D8217E">
              <w:rPr>
                <w:rFonts w:ascii="Arial" w:hAnsi="Arial" w:cs="Arial"/>
                <w:noProof/>
                <w:webHidden/>
              </w:rPr>
              <w:fldChar w:fldCharType="end"/>
            </w:r>
          </w:hyperlink>
        </w:p>
        <w:p w14:paraId="35E4B759" w14:textId="1636587C"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6" w:history="1">
            <w:r w:rsidRPr="00D8217E">
              <w:rPr>
                <w:rStyle w:val="Hyperlink"/>
                <w:rFonts w:ascii="Arial" w:hAnsi="Arial" w:cs="Arial"/>
                <w:noProof/>
              </w:rPr>
              <w:t>5.5 Discussion of Theme 4: Policy and Commissioning Barriers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_Toc241025686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50</w:t>
            </w:r>
            <w:r w:rsidRPr="00D8217E">
              <w:rPr>
                <w:rFonts w:ascii="Arial" w:hAnsi="Arial" w:cs="Arial"/>
                <w:noProof/>
                <w:webHidden/>
              </w:rPr>
              <w:fldChar w:fldCharType="end"/>
            </w:r>
          </w:hyperlink>
        </w:p>
        <w:p w14:paraId="225AAF5F" w14:textId="54E1E30B"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7" w:history="1">
            <w:r w:rsidRPr="00D8217E">
              <w:rPr>
                <w:rStyle w:val="Hyperlink"/>
                <w:rFonts w:ascii="Arial" w:hAnsi="Arial" w:cs="Arial"/>
                <w:noProof/>
              </w:rPr>
              <w:t>5.6 Application of the Theoretical Framework</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_Toc241025687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52</w:t>
            </w:r>
            <w:r w:rsidRPr="00D8217E">
              <w:rPr>
                <w:rFonts w:ascii="Arial" w:hAnsi="Arial" w:cs="Arial"/>
                <w:noProof/>
                <w:webHidden/>
              </w:rPr>
              <w:fldChar w:fldCharType="end"/>
            </w:r>
          </w:hyperlink>
        </w:p>
        <w:p w14:paraId="0C06816B" w14:textId="610BB592"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8" w:history="1">
            <w:r w:rsidRPr="00D8217E">
              <w:rPr>
                <w:rStyle w:val="Hyperlink"/>
                <w:rFonts w:ascii="Arial" w:hAnsi="Arial" w:cs="Arial"/>
                <w:noProof/>
              </w:rPr>
              <w:t>5.7 Implications for Policy and Practice</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_Toc241025688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53</w:t>
            </w:r>
            <w:r w:rsidRPr="00D8217E">
              <w:rPr>
                <w:rFonts w:ascii="Arial" w:hAnsi="Arial" w:cs="Arial"/>
                <w:noProof/>
                <w:webHidden/>
              </w:rPr>
              <w:fldChar w:fldCharType="end"/>
            </w:r>
          </w:hyperlink>
        </w:p>
        <w:p w14:paraId="709F984C" w14:textId="03875264"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89" w:history="1">
            <w:r w:rsidRPr="00D8217E">
              <w:rPr>
                <w:rStyle w:val="Hyperlink"/>
                <w:rFonts w:ascii="Arial" w:hAnsi="Arial" w:cs="Arial"/>
                <w:noProof/>
              </w:rPr>
              <w:t>5.8 Strengths and Limitations of This Systematic Review</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_Toc241025689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53</w:t>
            </w:r>
            <w:r w:rsidRPr="00D8217E">
              <w:rPr>
                <w:rFonts w:ascii="Arial" w:hAnsi="Arial" w:cs="Arial"/>
                <w:noProof/>
                <w:webHidden/>
              </w:rPr>
              <w:fldChar w:fldCharType="end"/>
            </w:r>
          </w:hyperlink>
        </w:p>
        <w:p w14:paraId="35A27ED1" w14:textId="6D538A9B"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90" w:history="1">
            <w:r w:rsidRPr="00D8217E">
              <w:rPr>
                <w:rStyle w:val="Hyperlink"/>
                <w:rFonts w:ascii="Arial" w:hAnsi="Arial" w:cs="Arial"/>
                <w:noProof/>
              </w:rPr>
              <w:t>5.9 Recommendations for Future Research</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_Toc241025690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54</w:t>
            </w:r>
            <w:r w:rsidRPr="00D8217E">
              <w:rPr>
                <w:rFonts w:ascii="Arial" w:hAnsi="Arial" w:cs="Arial"/>
                <w:noProof/>
                <w:webHidden/>
              </w:rPr>
              <w:fldChar w:fldCharType="end"/>
            </w:r>
          </w:hyperlink>
        </w:p>
        <w:p w14:paraId="35E7DE49" w14:textId="4F59769D"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91" w:history="1">
            <w:r w:rsidRPr="00D8217E">
              <w:rPr>
                <w:rStyle w:val="Hyperlink"/>
                <w:rFonts w:ascii="Arial" w:hAnsi="Arial" w:cs="Arial"/>
                <w:noProof/>
              </w:rPr>
              <w:t>CHAPTER 6: CONCLUSION AND CRITICAL REFLECTION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_Toc241025691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55</w:t>
            </w:r>
            <w:r w:rsidRPr="00D8217E">
              <w:rPr>
                <w:rFonts w:ascii="Arial" w:hAnsi="Arial" w:cs="Arial"/>
                <w:noProof/>
                <w:webHidden/>
              </w:rPr>
              <w:fldChar w:fldCharType="end"/>
            </w:r>
          </w:hyperlink>
        </w:p>
        <w:p w14:paraId="1B475F81" w14:textId="43E9678D"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92" w:history="1">
            <w:r w:rsidRPr="00D8217E">
              <w:rPr>
                <w:rStyle w:val="Hyperlink"/>
                <w:rFonts w:ascii="Arial" w:hAnsi="Arial" w:cs="Arial"/>
                <w:noProof/>
              </w:rPr>
              <w:t>6.1 Summary of Key Findings and Answer to the Research Question</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55</w:t>
            </w:r>
            <w:r w:rsidRPr="00D8217E">
              <w:rPr>
                <w:rFonts w:ascii="Arial" w:hAnsi="Arial" w:cs="Arial"/>
                <w:noProof/>
                <w:webHidden/>
              </w:rPr>
              <w:fldChar w:fldCharType="end"/>
            </w:r>
          </w:hyperlink>
        </w:p>
        <w:p w14:paraId="1C278832" w14:textId="7EEA9A7D"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93" w:history="1">
            <w:r w:rsidRPr="00D8217E">
              <w:rPr>
                <w:rStyle w:val="Hyperlink"/>
                <w:rFonts w:ascii="Arial" w:hAnsi="Arial" w:cs="Arial"/>
                <w:noProof/>
              </w:rPr>
              <w:t>6.2 Original Contribution to Knowledge</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56</w:t>
            </w:r>
            <w:r w:rsidRPr="00D8217E">
              <w:rPr>
                <w:rFonts w:ascii="Arial" w:hAnsi="Arial" w:cs="Arial"/>
                <w:noProof/>
                <w:webHidden/>
              </w:rPr>
              <w:fldChar w:fldCharType="end"/>
            </w:r>
          </w:hyperlink>
        </w:p>
        <w:p w14:paraId="33A09FB6" w14:textId="6A833B17"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94" w:history="1">
            <w:r w:rsidRPr="00D8217E">
              <w:rPr>
                <w:rStyle w:val="Hyperlink"/>
                <w:rFonts w:ascii="Arial" w:hAnsi="Arial" w:cs="Arial"/>
                <w:noProof/>
              </w:rPr>
              <w:t>6.3 Recommendations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56</w:t>
            </w:r>
            <w:r w:rsidRPr="00D8217E">
              <w:rPr>
                <w:rFonts w:ascii="Arial" w:hAnsi="Arial" w:cs="Arial"/>
                <w:noProof/>
                <w:webHidden/>
              </w:rPr>
              <w:fldChar w:fldCharType="end"/>
            </w:r>
          </w:hyperlink>
        </w:p>
        <w:p w14:paraId="341BCFC7" w14:textId="691322F5"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95" w:history="1">
            <w:r w:rsidRPr="00D8217E">
              <w:rPr>
                <w:rStyle w:val="Hyperlink"/>
                <w:rFonts w:ascii="Arial" w:hAnsi="Arial" w:cs="Arial"/>
                <w:noProof/>
              </w:rPr>
              <w:t>6.4 Critical Reflection on Learning, Academic and Personal Development</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57</w:t>
            </w:r>
            <w:r w:rsidRPr="00D8217E">
              <w:rPr>
                <w:rFonts w:ascii="Arial" w:hAnsi="Arial" w:cs="Arial"/>
                <w:noProof/>
                <w:webHidden/>
              </w:rPr>
              <w:fldChar w:fldCharType="end"/>
            </w:r>
          </w:hyperlink>
        </w:p>
        <w:p w14:paraId="29FEC3C9" w14:textId="57210175"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96" w:history="1">
            <w:r w:rsidRPr="00D8217E">
              <w:rPr>
                <w:rStyle w:val="Hyperlink"/>
                <w:rFonts w:ascii="Arial" w:hAnsi="Arial" w:cs="Arial"/>
                <w:noProof/>
              </w:rPr>
              <w:t>6.5 Concluding Statement</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_Toc241025696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57</w:t>
            </w:r>
            <w:r w:rsidRPr="00D8217E">
              <w:rPr>
                <w:rFonts w:ascii="Arial" w:hAnsi="Arial" w:cs="Arial"/>
                <w:noProof/>
                <w:webHidden/>
              </w:rPr>
              <w:fldChar w:fldCharType="end"/>
            </w:r>
          </w:hyperlink>
        </w:p>
        <w:p w14:paraId="2DA9BC3B" w14:textId="7E16FBF9"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97" w:history="1">
            <w:r w:rsidRPr="00D8217E">
              <w:rPr>
                <w:rStyle w:val="Hyperlink"/>
                <w:rFonts w:ascii="Arial" w:hAnsi="Arial" w:cs="Arial"/>
                <w:noProof/>
              </w:rPr>
              <w:t>REFERENCE LIST</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_Toc241025697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59</w:t>
            </w:r>
            <w:r w:rsidRPr="00D8217E">
              <w:rPr>
                <w:rFonts w:ascii="Arial" w:hAnsi="Arial" w:cs="Arial"/>
                <w:noProof/>
                <w:webHidden/>
              </w:rPr>
              <w:fldChar w:fldCharType="end"/>
            </w:r>
          </w:hyperlink>
        </w:p>
        <w:p w14:paraId="63A6DE7A" w14:textId="2F73B5E8"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698" w:history="1">
            <w:r w:rsidRPr="00D8217E">
              <w:rPr>
                <w:rStyle w:val="Hyperlink"/>
                <w:rFonts w:ascii="Arial" w:hAnsi="Arial" w:cs="Arial"/>
                <w:noProof/>
              </w:rPr>
              <w:t>Appendix 1 — CASP Quality Appraisal Results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_Toc241025698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67</w:t>
            </w:r>
            <w:r w:rsidRPr="00D8217E">
              <w:rPr>
                <w:rFonts w:ascii="Arial" w:hAnsi="Arial" w:cs="Arial"/>
                <w:noProof/>
                <w:webHidden/>
              </w:rPr>
              <w:fldChar w:fldCharType="end"/>
            </w:r>
          </w:hyperlink>
        </w:p>
        <w:p w14:paraId="13B1CD42" w14:textId="43523C34"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699" w:history="1">
            <w:r w:rsidRPr="00D8217E">
              <w:rPr>
                <w:rStyle w:val="Hyperlink"/>
                <w:rFonts w:ascii="Arial" w:hAnsi="Arial" w:cs="Arial"/>
                <w:noProof/>
              </w:rPr>
              <w:t>Table A1.1 — CASP qualitative checklist (qualitative and mixed-methods studies, n = 6)</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_Toc241025699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67</w:t>
            </w:r>
            <w:r w:rsidRPr="00D8217E">
              <w:rPr>
                <w:rFonts w:ascii="Arial" w:hAnsi="Arial" w:cs="Arial"/>
                <w:noProof/>
                <w:webHidden/>
              </w:rPr>
              <w:fldChar w:fldCharType="end"/>
            </w:r>
          </w:hyperlink>
        </w:p>
        <w:p w14:paraId="271C15C6" w14:textId="5A7B4979"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700" w:history="1">
            <w:r w:rsidRPr="00D8217E">
              <w:rPr>
                <w:rStyle w:val="Hyperlink"/>
                <w:rFonts w:ascii="Arial" w:hAnsi="Arial" w:cs="Arial"/>
                <w:noProof/>
              </w:rPr>
              <w:t>Table A1.2 — Newcastle-Ottawa Scale (NOS): quantitative studies (n = 3)</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_Toc241025700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68</w:t>
            </w:r>
            <w:r w:rsidRPr="00D8217E">
              <w:rPr>
                <w:rFonts w:ascii="Arial" w:hAnsi="Arial" w:cs="Arial"/>
                <w:noProof/>
                <w:webHidden/>
              </w:rPr>
              <w:fldChar w:fldCharType="end"/>
            </w:r>
          </w:hyperlink>
        </w:p>
        <w:p w14:paraId="7B7C1AA1" w14:textId="15238680"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701" w:history="1">
            <w:r w:rsidRPr="00D8217E">
              <w:rPr>
                <w:rStyle w:val="Hyperlink"/>
                <w:rFonts w:ascii="Arial" w:hAnsi="Arial" w:cs="Arial"/>
                <w:noProof/>
              </w:rPr>
              <w:t>Table A1.3 — AACODS checklist: grey literature (n = 3)</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_Toc241025701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68</w:t>
            </w:r>
            <w:r w:rsidRPr="00D8217E">
              <w:rPr>
                <w:rFonts w:ascii="Arial" w:hAnsi="Arial" w:cs="Arial"/>
                <w:noProof/>
                <w:webHidden/>
              </w:rPr>
              <w:fldChar w:fldCharType="end"/>
            </w:r>
          </w:hyperlink>
        </w:p>
        <w:p w14:paraId="63167A30" w14:textId="7F668B53"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702" w:history="1">
            <w:r w:rsidRPr="00D8217E">
              <w:rPr>
                <w:rStyle w:val="Hyperlink"/>
                <w:rFonts w:ascii="Arial" w:hAnsi="Arial" w:cs="Arial"/>
                <w:noProof/>
              </w:rPr>
              <w:t>Table A1.4 — Quality appraisal summary: all 12 included studies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_Toc241025702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69</w:t>
            </w:r>
            <w:r w:rsidRPr="00D8217E">
              <w:rPr>
                <w:rFonts w:ascii="Arial" w:hAnsi="Arial" w:cs="Arial"/>
                <w:noProof/>
                <w:webHidden/>
              </w:rPr>
              <w:fldChar w:fldCharType="end"/>
            </w:r>
          </w:hyperlink>
        </w:p>
        <w:p w14:paraId="705A6C42" w14:textId="289384FB" w:rsidR="00BB6309" w:rsidRPr="00D8217E" w:rsidRDefault="00BB6309" w:rsidP="00D8217E">
          <w:pPr>
            <w:pStyle w:val="TOC1"/>
            <w:tabs>
              <w:tab w:val="right" w:leader="dot" w:pos="9016"/>
            </w:tabs>
            <w:spacing w:line="360" w:lineRule="auto"/>
            <w:rPr>
              <w:rFonts w:ascii="Arial" w:eastAsiaTheme="minorEastAsia" w:hAnsi="Arial" w:cs="Arial"/>
              <w:noProof/>
              <w:lang w:eastAsia="en-GB"/>
            </w:rPr>
          </w:pPr>
          <w:hyperlink w:anchor="_Toc241025703" w:history="1">
            <w:r w:rsidRPr="00D8217E">
              <w:rPr>
                <w:rStyle w:val="Hyperlink"/>
                <w:rFonts w:ascii="Arial" w:hAnsi="Arial" w:cs="Arial"/>
                <w:noProof/>
              </w:rPr>
              <w:t>Appendix 2 — Boolean Search Strings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_Toc241025703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70</w:t>
            </w:r>
            <w:r w:rsidRPr="00D8217E">
              <w:rPr>
                <w:rFonts w:ascii="Arial" w:hAnsi="Arial" w:cs="Arial"/>
                <w:noProof/>
                <w:webHidden/>
              </w:rPr>
              <w:fldChar w:fldCharType="end"/>
            </w:r>
          </w:hyperlink>
        </w:p>
        <w:p w14:paraId="57F82499" w14:textId="3793568A"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704" w:history="1">
            <w:r w:rsidRPr="00D8217E">
              <w:rPr>
                <w:rStyle w:val="Hyperlink"/>
                <w:rFonts w:ascii="Arial" w:hAnsi="Arial" w:cs="Arial"/>
                <w:noProof/>
              </w:rPr>
              <w:t>Table A2.1 — Full database search strings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_Toc241025704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70</w:t>
            </w:r>
            <w:r w:rsidRPr="00D8217E">
              <w:rPr>
                <w:rFonts w:ascii="Arial" w:hAnsi="Arial" w:cs="Arial"/>
                <w:noProof/>
                <w:webHidden/>
              </w:rPr>
              <w:fldChar w:fldCharType="end"/>
            </w:r>
          </w:hyperlink>
        </w:p>
        <w:p w14:paraId="65A0EEE7" w14:textId="7F9A4109" w:rsidR="00BB6309" w:rsidRPr="00D8217E" w:rsidRDefault="00BB6309" w:rsidP="00D8217E">
          <w:pPr>
            <w:pStyle w:val="TOC2"/>
            <w:tabs>
              <w:tab w:val="right" w:leader="dot" w:pos="9016"/>
            </w:tabs>
            <w:spacing w:line="360" w:lineRule="auto"/>
            <w:rPr>
              <w:rFonts w:ascii="Arial" w:eastAsiaTheme="minorEastAsia" w:hAnsi="Arial" w:cs="Arial"/>
              <w:noProof/>
              <w:lang w:eastAsia="en-GB"/>
            </w:rPr>
          </w:pPr>
          <w:hyperlink w:anchor="_Toc241025705" w:history="1">
            <w:r w:rsidRPr="00D8217E">
              <w:rPr>
                <w:rStyle w:val="Hyperlink"/>
                <w:rFonts w:ascii="Arial" w:hAnsi="Arial" w:cs="Arial"/>
                <w:noProof/>
              </w:rPr>
              <w:t>Table A2.2 — Sub-theme supplementary search strings</w:t>
            </w:r>
            <w:r w:rsidRPr="00D8217E">
              <w:rPr>
                <w:rFonts w:ascii="Arial" w:hAnsi="Arial" w:cs="Arial"/>
                <w:noProof/>
                <w:webHidden/>
              </w:rPr>
              <w:tab/>
            </w:r>
            <w:r w:rsidRPr="00D8217E">
              <w:rPr>
                <w:rFonts w:ascii="Arial" w:hAnsi="Arial" w:cs="Arial"/>
                <w:noProof/>
                <w:webHidden/>
              </w:rPr>
              <w:fldChar w:fldCharType="begin"/>
            </w:r>
            <w:r w:rsidRPr="00D8217E">
              <w:rPr>
                <w:rFonts w:ascii="Arial" w:hAnsi="Arial" w:cs="Arial"/>
                <w:noProof/>
                <w:webHidden/>
              </w:rPr>
              <w:instrText xml:space="preserve"> PAGEREF _Toc241025705 \h </w:instrText>
            </w:r>
            <w:r w:rsidRPr="00D8217E">
              <w:rPr>
                <w:rFonts w:ascii="Arial" w:hAnsi="Arial" w:cs="Arial"/>
                <w:noProof/>
                <w:webHidden/>
              </w:rPr>
            </w:r>
            <w:r w:rsidRPr="00D8217E">
              <w:rPr>
                <w:rFonts w:ascii="Arial" w:hAnsi="Arial" w:cs="Arial"/>
                <w:noProof/>
                <w:webHidden/>
              </w:rPr>
              <w:fldChar w:fldCharType="separate"/>
            </w:r>
            <w:r w:rsidRPr="00D8217E">
              <w:rPr>
                <w:rFonts w:ascii="Arial" w:hAnsi="Arial" w:cs="Arial"/>
                <w:noProof/>
                <w:webHidden/>
              </w:rPr>
              <w:t>71</w:t>
            </w:r>
            <w:r w:rsidRPr="00D8217E">
              <w:rPr>
                <w:rFonts w:ascii="Arial" w:hAnsi="Arial" w:cs="Arial"/>
                <w:noProof/>
                <w:webHidden/>
              </w:rPr>
              <w:fldChar w:fldCharType="end"/>
            </w:r>
          </w:hyperlink>
        </w:p>
        <w:p w14:paraId="161CC2B8" w14:textId="69F9EE47" w:rsidR="00BB6309" w:rsidRPr="00B07FD3" w:rsidRDefault="00BA57CC" w:rsidP="00D8217E">
          <w:pPr>
            <w:spacing w:line="360" w:lineRule="auto"/>
            <w:rPr>
              <w:rFonts w:ascii="Arial" w:hAnsi="Arial" w:cs="Arial"/>
              <w:b/>
              <w:bCs/>
              <w:noProof/>
            </w:rPr>
          </w:pPr>
          <w:r w:rsidRPr="00D8217E">
            <w:rPr>
              <w:rFonts w:ascii="Arial" w:hAnsi="Arial" w:cs="Arial"/>
              <w:b/>
              <w:bCs/>
              <w:noProof/>
            </w:rPr>
            <w:fldChar w:fldCharType="end"/>
          </w:r>
        </w:p>
      </w:sdtContent>
    </w:sdt>
    <w:p w14:paraId="6B36C887" w14:textId="20490D24" w:rsidR="0040070F" w:rsidRPr="00B07FD3" w:rsidRDefault="0040070F">
      <w:pPr>
        <w:rPr>
          <w:rFonts w:ascii="Arial" w:hAnsi="Arial" w:cs="Arial"/>
        </w:rPr>
      </w:pPr>
      <w:bookmarkStart w:id="1" w:name="_Toc241025622"/>
      <w:r w:rsidRPr="00B07FD3">
        <w:rPr>
          <w:rFonts w:ascii="Arial" w:hAnsi="Arial" w:cs="Arial"/>
        </w:rPr>
        <w:br w:type="page"/>
      </w:r>
    </w:p>
    <w:p w14:paraId="6CE975D5" w14:textId="4A2B1364" w:rsidR="00D92E10" w:rsidRPr="00BB6309" w:rsidRDefault="00D92E10" w:rsidP="00BB6309">
      <w:pPr>
        <w:pStyle w:val="Heading1"/>
        <w:rPr>
          <w:rFonts w:asciiTheme="minorHAnsi" w:hAnsiTheme="minorHAnsi" w:cstheme="minorBidi"/>
        </w:rPr>
      </w:pPr>
      <w:r w:rsidRPr="00C51AE7">
        <w:lastRenderedPageBreak/>
        <w:t>List of figures</w:t>
      </w:r>
      <w:bookmarkEnd w:id="1"/>
    </w:p>
    <w:p w14:paraId="6E4F0A56" w14:textId="1119C879" w:rsidR="00C51AE7" w:rsidRPr="00C51AE7" w:rsidRDefault="001B55C9" w:rsidP="00C51AE7">
      <w:pPr>
        <w:pStyle w:val="TableofFigures"/>
        <w:tabs>
          <w:tab w:val="right" w:leader="dot" w:pos="9016"/>
        </w:tabs>
        <w:spacing w:line="360" w:lineRule="auto"/>
        <w:rPr>
          <w:rFonts w:ascii="Arial" w:eastAsiaTheme="minorEastAsia" w:hAnsi="Arial" w:cs="Arial"/>
          <w:noProof/>
          <w:lang w:eastAsia="en-GB"/>
        </w:rPr>
      </w:pPr>
      <w:r w:rsidRPr="00C51AE7">
        <w:rPr>
          <w:rFonts w:ascii="Arial" w:eastAsia="Times New Roman" w:hAnsi="Arial" w:cs="Arial"/>
          <w:bCs/>
          <w:color w:val="000000"/>
          <w:szCs w:val="22"/>
          <w:lang w:eastAsia="zh-CN"/>
        </w:rPr>
        <w:fldChar w:fldCharType="begin"/>
      </w:r>
      <w:r w:rsidRPr="00C51AE7">
        <w:rPr>
          <w:rFonts w:ascii="Arial" w:eastAsia="Times New Roman" w:hAnsi="Arial" w:cs="Arial"/>
          <w:bCs/>
          <w:color w:val="000000"/>
          <w:szCs w:val="22"/>
          <w:lang w:eastAsia="zh-CN"/>
        </w:rPr>
        <w:instrText xml:space="preserve"> TOC \h \z \c "Figure" </w:instrText>
      </w:r>
      <w:r w:rsidRPr="00C51AE7">
        <w:rPr>
          <w:rFonts w:ascii="Arial" w:eastAsia="Times New Roman" w:hAnsi="Arial" w:cs="Arial"/>
          <w:bCs/>
          <w:color w:val="000000"/>
          <w:szCs w:val="22"/>
          <w:lang w:eastAsia="zh-CN"/>
        </w:rPr>
        <w:fldChar w:fldCharType="separate"/>
      </w:r>
      <w:hyperlink w:anchor="_Toc241025500" w:history="1">
        <w:r w:rsidR="00C51AE7" w:rsidRPr="00C51AE7">
          <w:rPr>
            <w:rStyle w:val="Hyperlink"/>
            <w:rFonts w:ascii="Arial" w:hAnsi="Arial" w:cs="Arial"/>
            <w:noProof/>
          </w:rPr>
          <w:t>Figure 1: Prevalence of probable mental disorders among children and young people in England, 2017–2023.</w:t>
        </w:r>
        <w:r w:rsidR="00C51AE7" w:rsidRPr="00C51AE7">
          <w:rPr>
            <w:rFonts w:ascii="Arial" w:hAnsi="Arial" w:cs="Arial"/>
            <w:noProof/>
            <w:webHidden/>
          </w:rPr>
          <w:tab/>
        </w:r>
        <w:r w:rsidR="00C51AE7" w:rsidRPr="00C51AE7">
          <w:rPr>
            <w:rFonts w:ascii="Arial" w:hAnsi="Arial" w:cs="Arial"/>
            <w:noProof/>
            <w:webHidden/>
          </w:rPr>
          <w:fldChar w:fldCharType="begin"/>
        </w:r>
        <w:r w:rsidR="00C51AE7" w:rsidRPr="00C51AE7">
          <w:rPr>
            <w:rFonts w:ascii="Arial" w:hAnsi="Arial" w:cs="Arial"/>
            <w:noProof/>
            <w:webHidden/>
          </w:rPr>
          <w:instrText xml:space="preserve"> PAGEREF _Toc241025500 \h </w:instrText>
        </w:r>
        <w:r w:rsidR="00C51AE7" w:rsidRPr="00C51AE7">
          <w:rPr>
            <w:rFonts w:ascii="Arial" w:hAnsi="Arial" w:cs="Arial"/>
            <w:noProof/>
            <w:webHidden/>
          </w:rPr>
        </w:r>
        <w:r w:rsidR="00C51AE7" w:rsidRPr="00C51AE7">
          <w:rPr>
            <w:rFonts w:ascii="Arial" w:hAnsi="Arial" w:cs="Arial"/>
            <w:noProof/>
            <w:webHidden/>
          </w:rPr>
          <w:fldChar w:fldCharType="separate"/>
        </w:r>
        <w:r w:rsidR="00C51AE7" w:rsidRPr="00C51AE7">
          <w:rPr>
            <w:rFonts w:ascii="Arial" w:hAnsi="Arial" w:cs="Arial"/>
            <w:noProof/>
            <w:webHidden/>
          </w:rPr>
          <w:t>13</w:t>
        </w:r>
        <w:r w:rsidR="00C51AE7" w:rsidRPr="00C51AE7">
          <w:rPr>
            <w:rFonts w:ascii="Arial" w:hAnsi="Arial" w:cs="Arial"/>
            <w:noProof/>
            <w:webHidden/>
          </w:rPr>
          <w:fldChar w:fldCharType="end"/>
        </w:r>
      </w:hyperlink>
    </w:p>
    <w:p w14:paraId="694C848B" w14:textId="36D4DCFF" w:rsidR="00C51AE7" w:rsidRPr="00C51AE7" w:rsidRDefault="00C51AE7" w:rsidP="00C51AE7">
      <w:pPr>
        <w:pStyle w:val="TableofFigures"/>
        <w:tabs>
          <w:tab w:val="right" w:leader="dot" w:pos="9016"/>
        </w:tabs>
        <w:spacing w:line="360" w:lineRule="auto"/>
        <w:rPr>
          <w:rFonts w:ascii="Arial" w:eastAsiaTheme="minorEastAsia" w:hAnsi="Arial" w:cs="Arial"/>
          <w:noProof/>
          <w:lang w:eastAsia="en-GB"/>
        </w:rPr>
      </w:pPr>
      <w:hyperlink w:anchor="_Toc241025501" w:history="1">
        <w:r w:rsidRPr="00C51AE7">
          <w:rPr>
            <w:rStyle w:val="Hyperlink"/>
            <w:rFonts w:ascii="Arial" w:hAnsi="Arial" w:cs="Arial"/>
            <w:noProof/>
          </w:rPr>
          <w:t>Figure 2: CAMHS access crisis in England, 2023–25 — key statistics.</w:t>
        </w:r>
        <w:r w:rsidRPr="00C51AE7">
          <w:rPr>
            <w:rFonts w:ascii="Arial" w:hAnsi="Arial" w:cs="Arial"/>
            <w:noProof/>
            <w:webHidden/>
          </w:rPr>
          <w:tab/>
        </w:r>
        <w:r w:rsidRPr="00C51AE7">
          <w:rPr>
            <w:rFonts w:ascii="Arial" w:hAnsi="Arial" w:cs="Arial"/>
            <w:noProof/>
            <w:webHidden/>
          </w:rPr>
          <w:fldChar w:fldCharType="begin"/>
        </w:r>
        <w:r w:rsidRPr="00C51AE7">
          <w:rPr>
            <w:rFonts w:ascii="Arial" w:hAnsi="Arial" w:cs="Arial"/>
            <w:noProof/>
            <w:webHidden/>
          </w:rPr>
          <w:instrText xml:space="preserve"> PAGEREF _Toc241025501 \h </w:instrText>
        </w:r>
        <w:r w:rsidRPr="00C51AE7">
          <w:rPr>
            <w:rFonts w:ascii="Arial" w:hAnsi="Arial" w:cs="Arial"/>
            <w:noProof/>
            <w:webHidden/>
          </w:rPr>
        </w:r>
        <w:r w:rsidRPr="00C51AE7">
          <w:rPr>
            <w:rFonts w:ascii="Arial" w:hAnsi="Arial" w:cs="Arial"/>
            <w:noProof/>
            <w:webHidden/>
          </w:rPr>
          <w:fldChar w:fldCharType="separate"/>
        </w:r>
        <w:r w:rsidRPr="00C51AE7">
          <w:rPr>
            <w:rFonts w:ascii="Arial" w:hAnsi="Arial" w:cs="Arial"/>
            <w:noProof/>
            <w:webHidden/>
          </w:rPr>
          <w:t>15</w:t>
        </w:r>
        <w:r w:rsidRPr="00C51AE7">
          <w:rPr>
            <w:rFonts w:ascii="Arial" w:hAnsi="Arial" w:cs="Arial"/>
            <w:noProof/>
            <w:webHidden/>
          </w:rPr>
          <w:fldChar w:fldCharType="end"/>
        </w:r>
      </w:hyperlink>
    </w:p>
    <w:p w14:paraId="3785B9B7" w14:textId="688766C4" w:rsidR="00C51AE7" w:rsidRPr="00C51AE7" w:rsidRDefault="00C51AE7" w:rsidP="00C51AE7">
      <w:pPr>
        <w:pStyle w:val="TableofFigures"/>
        <w:tabs>
          <w:tab w:val="right" w:leader="dot" w:pos="9016"/>
        </w:tabs>
        <w:spacing w:line="360" w:lineRule="auto"/>
        <w:rPr>
          <w:rFonts w:ascii="Arial" w:eastAsiaTheme="minorEastAsia" w:hAnsi="Arial" w:cs="Arial"/>
          <w:noProof/>
          <w:lang w:eastAsia="en-GB"/>
        </w:rPr>
      </w:pPr>
      <w:hyperlink w:anchor="_Toc241025502" w:history="1">
        <w:r w:rsidRPr="00C51AE7">
          <w:rPr>
            <w:rStyle w:val="Hyperlink"/>
            <w:rFonts w:ascii="Arial" w:hAnsi="Arial" w:cs="Arial"/>
            <w:noProof/>
          </w:rPr>
          <w:t>Figure 3: Categories of barriers to Child and Adolescent Mental Health Services access in England: a synthesis of the literature</w:t>
        </w:r>
        <w:r w:rsidRPr="00C51AE7">
          <w:rPr>
            <w:rFonts w:ascii="Arial" w:hAnsi="Arial" w:cs="Arial"/>
            <w:noProof/>
            <w:webHidden/>
          </w:rPr>
          <w:tab/>
        </w:r>
        <w:r w:rsidRPr="00C51AE7">
          <w:rPr>
            <w:rFonts w:ascii="Arial" w:hAnsi="Arial" w:cs="Arial"/>
            <w:noProof/>
            <w:webHidden/>
          </w:rPr>
          <w:fldChar w:fldCharType="begin"/>
        </w:r>
        <w:r w:rsidRPr="00C51AE7">
          <w:rPr>
            <w:rFonts w:ascii="Arial" w:hAnsi="Arial" w:cs="Arial"/>
            <w:noProof/>
            <w:webHidden/>
          </w:rPr>
          <w:instrText xml:space="preserve"> PAGEREF _Toc241025502 \h </w:instrText>
        </w:r>
        <w:r w:rsidRPr="00C51AE7">
          <w:rPr>
            <w:rFonts w:ascii="Arial" w:hAnsi="Arial" w:cs="Arial"/>
            <w:noProof/>
            <w:webHidden/>
          </w:rPr>
        </w:r>
        <w:r w:rsidRPr="00C51AE7">
          <w:rPr>
            <w:rFonts w:ascii="Arial" w:hAnsi="Arial" w:cs="Arial"/>
            <w:noProof/>
            <w:webHidden/>
          </w:rPr>
          <w:fldChar w:fldCharType="separate"/>
        </w:r>
        <w:r w:rsidRPr="00C51AE7">
          <w:rPr>
            <w:rFonts w:ascii="Arial" w:hAnsi="Arial" w:cs="Arial"/>
            <w:noProof/>
            <w:webHidden/>
          </w:rPr>
          <w:t>20</w:t>
        </w:r>
        <w:r w:rsidRPr="00C51AE7">
          <w:rPr>
            <w:rFonts w:ascii="Arial" w:hAnsi="Arial" w:cs="Arial"/>
            <w:noProof/>
            <w:webHidden/>
          </w:rPr>
          <w:fldChar w:fldCharType="end"/>
        </w:r>
      </w:hyperlink>
    </w:p>
    <w:p w14:paraId="20326691" w14:textId="641B98C4" w:rsidR="00C51AE7" w:rsidRPr="00C51AE7" w:rsidRDefault="00C51AE7" w:rsidP="00C51AE7">
      <w:pPr>
        <w:pStyle w:val="TableofFigures"/>
        <w:tabs>
          <w:tab w:val="right" w:leader="dot" w:pos="9016"/>
        </w:tabs>
        <w:spacing w:line="360" w:lineRule="auto"/>
        <w:rPr>
          <w:rFonts w:ascii="Arial" w:eastAsiaTheme="minorEastAsia" w:hAnsi="Arial" w:cs="Arial"/>
          <w:noProof/>
          <w:lang w:eastAsia="en-GB"/>
        </w:rPr>
      </w:pPr>
      <w:hyperlink w:anchor="_Toc241025503" w:history="1">
        <w:r w:rsidRPr="00C51AE7">
          <w:rPr>
            <w:rStyle w:val="Hyperlink"/>
            <w:rFonts w:ascii="Arial" w:hAnsi="Arial" w:cs="Arial"/>
            <w:noProof/>
          </w:rPr>
          <w:t>Figure 4: The Patient-Centred Access to Health Care framework: five supply-side dimensions and five demand-side abilities</w:t>
        </w:r>
        <w:r w:rsidRPr="00C51AE7">
          <w:rPr>
            <w:rFonts w:ascii="Arial" w:hAnsi="Arial" w:cs="Arial"/>
            <w:noProof/>
            <w:webHidden/>
          </w:rPr>
          <w:tab/>
        </w:r>
        <w:r w:rsidRPr="00C51AE7">
          <w:rPr>
            <w:rFonts w:ascii="Arial" w:hAnsi="Arial" w:cs="Arial"/>
            <w:noProof/>
            <w:webHidden/>
          </w:rPr>
          <w:fldChar w:fldCharType="begin"/>
        </w:r>
        <w:r w:rsidRPr="00C51AE7">
          <w:rPr>
            <w:rFonts w:ascii="Arial" w:hAnsi="Arial" w:cs="Arial"/>
            <w:noProof/>
            <w:webHidden/>
          </w:rPr>
          <w:instrText xml:space="preserve"> PAGEREF _Toc241025503 \h </w:instrText>
        </w:r>
        <w:r w:rsidRPr="00C51AE7">
          <w:rPr>
            <w:rFonts w:ascii="Arial" w:hAnsi="Arial" w:cs="Arial"/>
            <w:noProof/>
            <w:webHidden/>
          </w:rPr>
        </w:r>
        <w:r w:rsidRPr="00C51AE7">
          <w:rPr>
            <w:rFonts w:ascii="Arial" w:hAnsi="Arial" w:cs="Arial"/>
            <w:noProof/>
            <w:webHidden/>
          </w:rPr>
          <w:fldChar w:fldCharType="separate"/>
        </w:r>
        <w:r w:rsidRPr="00C51AE7">
          <w:rPr>
            <w:rFonts w:ascii="Arial" w:hAnsi="Arial" w:cs="Arial"/>
            <w:noProof/>
            <w:webHidden/>
          </w:rPr>
          <w:t>25</w:t>
        </w:r>
        <w:r w:rsidRPr="00C51AE7">
          <w:rPr>
            <w:rFonts w:ascii="Arial" w:hAnsi="Arial" w:cs="Arial"/>
            <w:noProof/>
            <w:webHidden/>
          </w:rPr>
          <w:fldChar w:fldCharType="end"/>
        </w:r>
      </w:hyperlink>
    </w:p>
    <w:p w14:paraId="48958E49" w14:textId="1FCBB883" w:rsidR="00C51AE7" w:rsidRPr="00C51AE7" w:rsidRDefault="00C51AE7" w:rsidP="00C51AE7">
      <w:pPr>
        <w:pStyle w:val="TableofFigures"/>
        <w:tabs>
          <w:tab w:val="right" w:leader="dot" w:pos="9016"/>
        </w:tabs>
        <w:spacing w:line="360" w:lineRule="auto"/>
        <w:rPr>
          <w:rFonts w:ascii="Arial" w:eastAsiaTheme="minorEastAsia" w:hAnsi="Arial" w:cs="Arial"/>
          <w:noProof/>
          <w:lang w:eastAsia="en-GB"/>
        </w:rPr>
      </w:pPr>
      <w:hyperlink w:anchor="_Toc241025504" w:history="1">
        <w:r w:rsidRPr="00C51AE7">
          <w:rPr>
            <w:rStyle w:val="Hyperlink"/>
            <w:rFonts w:ascii="Arial" w:hAnsi="Arial" w:cs="Arial"/>
            <w:noProof/>
          </w:rPr>
          <w:t>Figure 5: PRISMA 2020 Flow Diagram illustrating the systematic search, screening, and selection process for studies included in the review</w:t>
        </w:r>
        <w:r w:rsidRPr="00C51AE7">
          <w:rPr>
            <w:rFonts w:ascii="Arial" w:hAnsi="Arial" w:cs="Arial"/>
            <w:noProof/>
            <w:webHidden/>
          </w:rPr>
          <w:tab/>
        </w:r>
        <w:r w:rsidRPr="00C51AE7">
          <w:rPr>
            <w:rFonts w:ascii="Arial" w:hAnsi="Arial" w:cs="Arial"/>
            <w:noProof/>
            <w:webHidden/>
          </w:rPr>
          <w:fldChar w:fldCharType="begin"/>
        </w:r>
        <w:r w:rsidRPr="00C51AE7">
          <w:rPr>
            <w:rFonts w:ascii="Arial" w:hAnsi="Arial" w:cs="Arial"/>
            <w:noProof/>
            <w:webHidden/>
          </w:rPr>
          <w:instrText xml:space="preserve"> PAGEREF _Toc241025504 \h </w:instrText>
        </w:r>
        <w:r w:rsidRPr="00C51AE7">
          <w:rPr>
            <w:rFonts w:ascii="Arial" w:hAnsi="Arial" w:cs="Arial"/>
            <w:noProof/>
            <w:webHidden/>
          </w:rPr>
        </w:r>
        <w:r w:rsidRPr="00C51AE7">
          <w:rPr>
            <w:rFonts w:ascii="Arial" w:hAnsi="Arial" w:cs="Arial"/>
            <w:noProof/>
            <w:webHidden/>
          </w:rPr>
          <w:fldChar w:fldCharType="separate"/>
        </w:r>
        <w:r w:rsidRPr="00C51AE7">
          <w:rPr>
            <w:rFonts w:ascii="Arial" w:hAnsi="Arial" w:cs="Arial"/>
            <w:noProof/>
            <w:webHidden/>
          </w:rPr>
          <w:t>38</w:t>
        </w:r>
        <w:r w:rsidRPr="00C51AE7">
          <w:rPr>
            <w:rFonts w:ascii="Arial" w:hAnsi="Arial" w:cs="Arial"/>
            <w:noProof/>
            <w:webHidden/>
          </w:rPr>
          <w:fldChar w:fldCharType="end"/>
        </w:r>
      </w:hyperlink>
    </w:p>
    <w:p w14:paraId="24C076B4" w14:textId="2C80568B" w:rsidR="00D92E10" w:rsidRDefault="001B55C9" w:rsidP="00C51AE7">
      <w:pPr>
        <w:spacing w:line="360" w:lineRule="auto"/>
        <w:rPr>
          <w:rFonts w:ascii="Arial" w:eastAsia="Times New Roman" w:hAnsi="Arial" w:cs="Arial"/>
          <w:b/>
          <w:color w:val="000000"/>
          <w:szCs w:val="22"/>
          <w:lang w:eastAsia="zh-CN"/>
        </w:rPr>
      </w:pPr>
      <w:r w:rsidRPr="00C51AE7">
        <w:rPr>
          <w:rFonts w:ascii="Arial" w:eastAsia="Times New Roman" w:hAnsi="Arial" w:cs="Arial"/>
          <w:bCs/>
          <w:color w:val="000000"/>
          <w:szCs w:val="22"/>
          <w:lang w:eastAsia="zh-CN"/>
        </w:rPr>
        <w:fldChar w:fldCharType="end"/>
      </w:r>
      <w:r w:rsidR="00D92E10">
        <w:rPr>
          <w:rFonts w:eastAsia="Times New Roman"/>
          <w:bCs/>
          <w:color w:val="000000"/>
          <w:szCs w:val="22"/>
          <w:lang w:eastAsia="zh-CN"/>
        </w:rPr>
        <w:br w:type="page"/>
      </w:r>
    </w:p>
    <w:p w14:paraId="5A2761CB" w14:textId="00F8AB79" w:rsidR="00655567" w:rsidRDefault="00883911" w:rsidP="004F7DF9">
      <w:pPr>
        <w:pStyle w:val="Heading1"/>
      </w:pPr>
      <w:bookmarkStart w:id="2" w:name="_Toc241025623"/>
      <w:r>
        <w:lastRenderedPageBreak/>
        <w:t>List of tables</w:t>
      </w:r>
      <w:bookmarkEnd w:id="2"/>
      <w:r>
        <w:t xml:space="preserve"> </w:t>
      </w:r>
    </w:p>
    <w:p w14:paraId="339E7939" w14:textId="30E6B260" w:rsidR="00883911" w:rsidRPr="00BB6309" w:rsidRDefault="00883911" w:rsidP="00BB6309">
      <w:pPr>
        <w:pStyle w:val="TableofFigures"/>
        <w:tabs>
          <w:tab w:val="right" w:leader="dot" w:pos="9016"/>
        </w:tabs>
        <w:spacing w:line="360" w:lineRule="auto"/>
        <w:rPr>
          <w:rFonts w:ascii="Arial" w:eastAsiaTheme="minorEastAsia" w:hAnsi="Arial" w:cs="Arial"/>
          <w:noProof/>
          <w:lang w:eastAsia="en-GB"/>
        </w:rPr>
      </w:pPr>
      <w:r w:rsidRPr="00BB6309">
        <w:rPr>
          <w:rFonts w:ascii="Arial" w:hAnsi="Arial" w:cs="Arial"/>
          <w:lang w:val="en-IN"/>
        </w:rPr>
        <w:fldChar w:fldCharType="begin"/>
      </w:r>
      <w:r w:rsidRPr="00BB6309">
        <w:rPr>
          <w:rFonts w:ascii="Arial" w:hAnsi="Arial" w:cs="Arial"/>
          <w:lang w:val="en-IN"/>
        </w:rPr>
        <w:instrText xml:space="preserve"> TOC \h \z \c "Table" </w:instrText>
      </w:r>
      <w:r w:rsidRPr="00BB6309">
        <w:rPr>
          <w:rFonts w:ascii="Arial" w:hAnsi="Arial" w:cs="Arial"/>
          <w:lang w:val="en-IN"/>
        </w:rPr>
        <w:fldChar w:fldCharType="separate"/>
      </w:r>
      <w:hyperlink w:anchor="_Toc241011416" w:history="1">
        <w:r w:rsidRPr="00BB6309">
          <w:rPr>
            <w:rStyle w:val="Hyperlink"/>
            <w:rFonts w:ascii="Arial" w:hAnsi="Arial" w:cs="Arial"/>
            <w:noProof/>
          </w:rPr>
          <w:t>Table 1: Key CYP mental health policy milestones in England, 2015–2025.</w:t>
        </w:r>
        <w:r w:rsidRPr="00BB6309">
          <w:rPr>
            <w:rFonts w:ascii="Arial" w:hAnsi="Arial" w:cs="Arial"/>
            <w:noProof/>
            <w:webHidden/>
          </w:rPr>
          <w:tab/>
        </w:r>
        <w:r w:rsidRPr="00BB6309">
          <w:rPr>
            <w:rFonts w:ascii="Arial" w:hAnsi="Arial" w:cs="Arial"/>
            <w:noProof/>
            <w:webHidden/>
          </w:rPr>
          <w:fldChar w:fldCharType="begin"/>
        </w:r>
        <w:r w:rsidRPr="00BB6309">
          <w:rPr>
            <w:rFonts w:ascii="Arial" w:hAnsi="Arial" w:cs="Arial"/>
            <w:noProof/>
            <w:webHidden/>
          </w:rPr>
          <w:instrText xml:space="preserve"> PAGEREF _Toc241011416 \h </w:instrText>
        </w:r>
        <w:r w:rsidRPr="00BB6309">
          <w:rPr>
            <w:rFonts w:ascii="Arial" w:hAnsi="Arial" w:cs="Arial"/>
            <w:noProof/>
            <w:webHidden/>
          </w:rPr>
        </w:r>
        <w:r w:rsidRPr="00BB6309">
          <w:rPr>
            <w:rFonts w:ascii="Arial" w:hAnsi="Arial" w:cs="Arial"/>
            <w:noProof/>
            <w:webHidden/>
          </w:rPr>
          <w:fldChar w:fldCharType="separate"/>
        </w:r>
        <w:r w:rsidRPr="00BB6309">
          <w:rPr>
            <w:rFonts w:ascii="Arial" w:hAnsi="Arial" w:cs="Arial"/>
            <w:noProof/>
            <w:webHidden/>
          </w:rPr>
          <w:t>17</w:t>
        </w:r>
        <w:r w:rsidRPr="00BB6309">
          <w:rPr>
            <w:rFonts w:ascii="Arial" w:hAnsi="Arial" w:cs="Arial"/>
            <w:noProof/>
            <w:webHidden/>
          </w:rPr>
          <w:fldChar w:fldCharType="end"/>
        </w:r>
      </w:hyperlink>
    </w:p>
    <w:p w14:paraId="619D4F94" w14:textId="02F6D25D" w:rsidR="00883911" w:rsidRPr="00BB6309" w:rsidRDefault="00883911" w:rsidP="00BB6309">
      <w:pPr>
        <w:pStyle w:val="TableofFigures"/>
        <w:tabs>
          <w:tab w:val="right" w:leader="dot" w:pos="9016"/>
        </w:tabs>
        <w:spacing w:line="360" w:lineRule="auto"/>
        <w:rPr>
          <w:rFonts w:ascii="Arial" w:eastAsiaTheme="minorEastAsia" w:hAnsi="Arial" w:cs="Arial"/>
          <w:noProof/>
          <w:lang w:eastAsia="en-GB"/>
        </w:rPr>
      </w:pPr>
      <w:hyperlink w:anchor="_Toc241011417" w:history="1">
        <w:r w:rsidRPr="00BB6309">
          <w:rPr>
            <w:rStyle w:val="Hyperlink"/>
            <w:rFonts w:ascii="Arial" w:hAnsi="Arial" w:cs="Arial"/>
            <w:noProof/>
          </w:rPr>
          <w:t>Table 2: Inclusion Criteria</w:t>
        </w:r>
        <w:r w:rsidRPr="00BB6309">
          <w:rPr>
            <w:rFonts w:ascii="Arial" w:hAnsi="Arial" w:cs="Arial"/>
            <w:noProof/>
            <w:webHidden/>
          </w:rPr>
          <w:tab/>
        </w:r>
        <w:r w:rsidRPr="00BB6309">
          <w:rPr>
            <w:rFonts w:ascii="Arial" w:hAnsi="Arial" w:cs="Arial"/>
            <w:noProof/>
            <w:webHidden/>
          </w:rPr>
          <w:fldChar w:fldCharType="begin"/>
        </w:r>
        <w:r w:rsidRPr="00BB6309">
          <w:rPr>
            <w:rFonts w:ascii="Arial" w:hAnsi="Arial" w:cs="Arial"/>
            <w:noProof/>
            <w:webHidden/>
          </w:rPr>
          <w:instrText xml:space="preserve"> PAGEREF _Toc241011417 \h </w:instrText>
        </w:r>
        <w:r w:rsidRPr="00BB6309">
          <w:rPr>
            <w:rFonts w:ascii="Arial" w:hAnsi="Arial" w:cs="Arial"/>
            <w:noProof/>
            <w:webHidden/>
          </w:rPr>
        </w:r>
        <w:r w:rsidRPr="00BB6309">
          <w:rPr>
            <w:rFonts w:ascii="Arial" w:hAnsi="Arial" w:cs="Arial"/>
            <w:noProof/>
            <w:webHidden/>
          </w:rPr>
          <w:fldChar w:fldCharType="separate"/>
        </w:r>
        <w:r w:rsidRPr="00BB6309">
          <w:rPr>
            <w:rFonts w:ascii="Arial" w:hAnsi="Arial" w:cs="Arial"/>
            <w:noProof/>
            <w:webHidden/>
          </w:rPr>
          <w:t>34</w:t>
        </w:r>
        <w:r w:rsidRPr="00BB6309">
          <w:rPr>
            <w:rFonts w:ascii="Arial" w:hAnsi="Arial" w:cs="Arial"/>
            <w:noProof/>
            <w:webHidden/>
          </w:rPr>
          <w:fldChar w:fldCharType="end"/>
        </w:r>
      </w:hyperlink>
    </w:p>
    <w:p w14:paraId="6B02D2BB" w14:textId="239FAB72" w:rsidR="00883911" w:rsidRPr="00BB6309" w:rsidRDefault="00883911" w:rsidP="00BB6309">
      <w:pPr>
        <w:pStyle w:val="TableofFigures"/>
        <w:tabs>
          <w:tab w:val="right" w:leader="dot" w:pos="9016"/>
        </w:tabs>
        <w:spacing w:line="360" w:lineRule="auto"/>
        <w:rPr>
          <w:rFonts w:ascii="Arial" w:eastAsiaTheme="minorEastAsia" w:hAnsi="Arial" w:cs="Arial"/>
          <w:noProof/>
          <w:lang w:eastAsia="en-GB"/>
        </w:rPr>
      </w:pPr>
      <w:hyperlink w:anchor="_Toc241011418" w:history="1">
        <w:r w:rsidRPr="00BB6309">
          <w:rPr>
            <w:rStyle w:val="Hyperlink"/>
            <w:rFonts w:ascii="Arial" w:hAnsi="Arial" w:cs="Arial"/>
            <w:noProof/>
          </w:rPr>
          <w:t>Table 3: Exclusion Criteria</w:t>
        </w:r>
        <w:r w:rsidRPr="00BB6309">
          <w:rPr>
            <w:rFonts w:ascii="Arial" w:hAnsi="Arial" w:cs="Arial"/>
            <w:noProof/>
            <w:webHidden/>
          </w:rPr>
          <w:tab/>
        </w:r>
        <w:r w:rsidRPr="00BB6309">
          <w:rPr>
            <w:rFonts w:ascii="Arial" w:hAnsi="Arial" w:cs="Arial"/>
            <w:noProof/>
            <w:webHidden/>
          </w:rPr>
          <w:fldChar w:fldCharType="begin"/>
        </w:r>
        <w:r w:rsidRPr="00BB6309">
          <w:rPr>
            <w:rFonts w:ascii="Arial" w:hAnsi="Arial" w:cs="Arial"/>
            <w:noProof/>
            <w:webHidden/>
          </w:rPr>
          <w:instrText xml:space="preserve"> PAGEREF _Toc241011418 \h </w:instrText>
        </w:r>
        <w:r w:rsidRPr="00BB6309">
          <w:rPr>
            <w:rFonts w:ascii="Arial" w:hAnsi="Arial" w:cs="Arial"/>
            <w:noProof/>
            <w:webHidden/>
          </w:rPr>
        </w:r>
        <w:r w:rsidRPr="00BB6309">
          <w:rPr>
            <w:rFonts w:ascii="Arial" w:hAnsi="Arial" w:cs="Arial"/>
            <w:noProof/>
            <w:webHidden/>
          </w:rPr>
          <w:fldChar w:fldCharType="separate"/>
        </w:r>
        <w:r w:rsidRPr="00BB6309">
          <w:rPr>
            <w:rFonts w:ascii="Arial" w:hAnsi="Arial" w:cs="Arial"/>
            <w:noProof/>
            <w:webHidden/>
          </w:rPr>
          <w:t>35</w:t>
        </w:r>
        <w:r w:rsidRPr="00BB6309">
          <w:rPr>
            <w:rFonts w:ascii="Arial" w:hAnsi="Arial" w:cs="Arial"/>
            <w:noProof/>
            <w:webHidden/>
          </w:rPr>
          <w:fldChar w:fldCharType="end"/>
        </w:r>
      </w:hyperlink>
    </w:p>
    <w:p w14:paraId="752D31DC" w14:textId="665B3456" w:rsidR="00883911" w:rsidRPr="00BB6309" w:rsidRDefault="00883911" w:rsidP="00BB6309">
      <w:pPr>
        <w:spacing w:line="360" w:lineRule="auto"/>
        <w:rPr>
          <w:rFonts w:ascii="Arial" w:hAnsi="Arial" w:cs="Arial"/>
          <w:lang w:val="en-IN"/>
        </w:rPr>
      </w:pPr>
      <w:r w:rsidRPr="00BB6309">
        <w:rPr>
          <w:rFonts w:ascii="Arial" w:hAnsi="Arial" w:cs="Arial"/>
          <w:lang w:val="en-IN"/>
        </w:rPr>
        <w:fldChar w:fldCharType="end"/>
      </w:r>
    </w:p>
    <w:p w14:paraId="193D3AF6" w14:textId="77777777" w:rsidR="00655567" w:rsidRDefault="00655567">
      <w:pPr>
        <w:rPr>
          <w:rFonts w:asciiTheme="minorBidi" w:eastAsiaTheme="majorEastAsia" w:hAnsiTheme="minorBidi"/>
          <w:b/>
          <w:bCs/>
          <w:color w:val="0F4761" w:themeColor="accent1" w:themeShade="BF"/>
          <w:sz w:val="32"/>
          <w:szCs w:val="32"/>
          <w:lang w:val="en-IN"/>
        </w:rPr>
      </w:pPr>
      <w:r>
        <w:rPr>
          <w:rFonts w:asciiTheme="minorBidi" w:hAnsiTheme="minorBidi"/>
        </w:rPr>
        <w:br w:type="page"/>
      </w:r>
    </w:p>
    <w:p w14:paraId="7BC539B7" w14:textId="61A0414C" w:rsidR="009B0A1C" w:rsidRPr="00D55A00" w:rsidRDefault="00572E07" w:rsidP="00D55A00">
      <w:pPr>
        <w:pStyle w:val="Heading1"/>
      </w:pPr>
      <w:bookmarkStart w:id="3" w:name="_Toc241025624"/>
      <w:r w:rsidRPr="004F7DF9">
        <w:lastRenderedPageBreak/>
        <w:t>List of abbreviations</w:t>
      </w:r>
      <w:bookmarkEnd w:id="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62"/>
        <w:gridCol w:w="6298"/>
      </w:tblGrid>
      <w:tr w:rsidR="009B0A1C" w:rsidRPr="0056167B" w14:paraId="225D5CA5" w14:textId="77777777" w:rsidTr="00F53599">
        <w:trPr>
          <w:tblCellSpacing w:w="15" w:type="dxa"/>
        </w:trPr>
        <w:tc>
          <w:tcPr>
            <w:tcW w:w="0" w:type="auto"/>
            <w:vAlign w:val="center"/>
            <w:hideMark/>
          </w:tcPr>
          <w:p w14:paraId="58441A7D" w14:textId="77777777" w:rsidR="009B0A1C" w:rsidRPr="0056167B" w:rsidRDefault="009B0A1C" w:rsidP="007E21E2">
            <w:pPr>
              <w:rPr>
                <w:rFonts w:ascii="Arial" w:hAnsi="Arial" w:cs="Arial"/>
                <w:sz w:val="20"/>
                <w:szCs w:val="20"/>
              </w:rPr>
            </w:pPr>
            <w:r w:rsidRPr="0056167B">
              <w:rPr>
                <w:rFonts w:ascii="Arial" w:hAnsi="Arial" w:cs="Arial"/>
                <w:sz w:val="20"/>
                <w:szCs w:val="20"/>
              </w:rPr>
              <w:t>A&amp;E</w:t>
            </w:r>
          </w:p>
        </w:tc>
        <w:tc>
          <w:tcPr>
            <w:tcW w:w="0" w:type="auto"/>
            <w:vAlign w:val="center"/>
            <w:hideMark/>
          </w:tcPr>
          <w:p w14:paraId="47B914BC" w14:textId="77777777" w:rsidR="009B0A1C" w:rsidRPr="0056167B" w:rsidRDefault="009B0A1C" w:rsidP="007E21E2">
            <w:pPr>
              <w:rPr>
                <w:rFonts w:ascii="Arial" w:hAnsi="Arial" w:cs="Arial"/>
                <w:sz w:val="20"/>
                <w:szCs w:val="20"/>
              </w:rPr>
            </w:pPr>
            <w:r w:rsidRPr="0056167B">
              <w:rPr>
                <w:rFonts w:ascii="Arial" w:hAnsi="Arial" w:cs="Arial"/>
                <w:sz w:val="20"/>
                <w:szCs w:val="20"/>
              </w:rPr>
              <w:t>Accident and Emergency</w:t>
            </w:r>
          </w:p>
        </w:tc>
      </w:tr>
      <w:tr w:rsidR="009B0A1C" w:rsidRPr="0056167B" w14:paraId="5165685E" w14:textId="77777777" w:rsidTr="00F53599">
        <w:trPr>
          <w:tblCellSpacing w:w="15" w:type="dxa"/>
        </w:trPr>
        <w:tc>
          <w:tcPr>
            <w:tcW w:w="0" w:type="auto"/>
            <w:vAlign w:val="center"/>
            <w:hideMark/>
          </w:tcPr>
          <w:p w14:paraId="72B7F271" w14:textId="77777777" w:rsidR="009B0A1C" w:rsidRPr="0056167B" w:rsidRDefault="009B0A1C" w:rsidP="007E21E2">
            <w:pPr>
              <w:rPr>
                <w:rFonts w:ascii="Arial" w:hAnsi="Arial" w:cs="Arial"/>
                <w:sz w:val="20"/>
                <w:szCs w:val="20"/>
              </w:rPr>
            </w:pPr>
            <w:r w:rsidRPr="0056167B">
              <w:rPr>
                <w:rFonts w:ascii="Arial" w:hAnsi="Arial" w:cs="Arial"/>
                <w:sz w:val="20"/>
                <w:szCs w:val="20"/>
              </w:rPr>
              <w:t>AACODS</w:t>
            </w:r>
          </w:p>
        </w:tc>
        <w:tc>
          <w:tcPr>
            <w:tcW w:w="0" w:type="auto"/>
            <w:vAlign w:val="center"/>
            <w:hideMark/>
          </w:tcPr>
          <w:p w14:paraId="15DCC45A" w14:textId="77777777" w:rsidR="009B0A1C" w:rsidRPr="0056167B" w:rsidRDefault="009B0A1C" w:rsidP="007E21E2">
            <w:pPr>
              <w:rPr>
                <w:rFonts w:ascii="Arial" w:hAnsi="Arial" w:cs="Arial"/>
                <w:sz w:val="20"/>
                <w:szCs w:val="20"/>
              </w:rPr>
            </w:pPr>
            <w:r w:rsidRPr="0056167B">
              <w:rPr>
                <w:rFonts w:ascii="Arial" w:hAnsi="Arial" w:cs="Arial"/>
                <w:sz w:val="20"/>
                <w:szCs w:val="20"/>
              </w:rPr>
              <w:t>Authority, Accuracy, Coverage, Objectivity, Date, Significance</w:t>
            </w:r>
          </w:p>
        </w:tc>
      </w:tr>
      <w:tr w:rsidR="009B0A1C" w:rsidRPr="0056167B" w14:paraId="7C601BD0" w14:textId="77777777" w:rsidTr="00F53599">
        <w:trPr>
          <w:tblCellSpacing w:w="15" w:type="dxa"/>
        </w:trPr>
        <w:tc>
          <w:tcPr>
            <w:tcW w:w="0" w:type="auto"/>
            <w:vAlign w:val="center"/>
            <w:hideMark/>
          </w:tcPr>
          <w:p w14:paraId="3A61B66A" w14:textId="77777777" w:rsidR="009B0A1C" w:rsidRPr="0056167B" w:rsidRDefault="009B0A1C" w:rsidP="007E21E2">
            <w:pPr>
              <w:rPr>
                <w:rFonts w:ascii="Arial" w:hAnsi="Arial" w:cs="Arial"/>
                <w:sz w:val="20"/>
                <w:szCs w:val="20"/>
              </w:rPr>
            </w:pPr>
            <w:r w:rsidRPr="0056167B">
              <w:rPr>
                <w:rFonts w:ascii="Arial" w:hAnsi="Arial" w:cs="Arial"/>
                <w:sz w:val="20"/>
                <w:szCs w:val="20"/>
              </w:rPr>
              <w:t>ADHD</w:t>
            </w:r>
          </w:p>
        </w:tc>
        <w:tc>
          <w:tcPr>
            <w:tcW w:w="0" w:type="auto"/>
            <w:vAlign w:val="center"/>
            <w:hideMark/>
          </w:tcPr>
          <w:p w14:paraId="519FD94C" w14:textId="77777777" w:rsidR="009B0A1C" w:rsidRPr="0056167B" w:rsidRDefault="009B0A1C" w:rsidP="007E21E2">
            <w:pPr>
              <w:rPr>
                <w:rFonts w:ascii="Arial" w:hAnsi="Arial" w:cs="Arial"/>
                <w:sz w:val="20"/>
                <w:szCs w:val="20"/>
              </w:rPr>
            </w:pPr>
            <w:r w:rsidRPr="0056167B">
              <w:rPr>
                <w:rFonts w:ascii="Arial" w:hAnsi="Arial" w:cs="Arial"/>
                <w:sz w:val="20"/>
                <w:szCs w:val="20"/>
              </w:rPr>
              <w:t>Attention Deficit Hyperactivity Disorder</w:t>
            </w:r>
          </w:p>
        </w:tc>
      </w:tr>
      <w:tr w:rsidR="009B0A1C" w:rsidRPr="0056167B" w14:paraId="07867911" w14:textId="77777777" w:rsidTr="00F53599">
        <w:trPr>
          <w:tblCellSpacing w:w="15" w:type="dxa"/>
        </w:trPr>
        <w:tc>
          <w:tcPr>
            <w:tcW w:w="0" w:type="auto"/>
            <w:vAlign w:val="center"/>
            <w:hideMark/>
          </w:tcPr>
          <w:p w14:paraId="0E17E749" w14:textId="77777777" w:rsidR="009B0A1C" w:rsidRPr="0056167B" w:rsidRDefault="009B0A1C" w:rsidP="007E21E2">
            <w:pPr>
              <w:rPr>
                <w:rFonts w:ascii="Arial" w:hAnsi="Arial" w:cs="Arial"/>
                <w:sz w:val="20"/>
                <w:szCs w:val="20"/>
              </w:rPr>
            </w:pPr>
            <w:r w:rsidRPr="0056167B">
              <w:rPr>
                <w:rFonts w:ascii="Arial" w:hAnsi="Arial" w:cs="Arial"/>
                <w:sz w:val="20"/>
                <w:szCs w:val="20"/>
              </w:rPr>
              <w:t>ASD</w:t>
            </w:r>
          </w:p>
        </w:tc>
        <w:tc>
          <w:tcPr>
            <w:tcW w:w="0" w:type="auto"/>
            <w:vAlign w:val="center"/>
            <w:hideMark/>
          </w:tcPr>
          <w:p w14:paraId="4610A493" w14:textId="77777777" w:rsidR="009B0A1C" w:rsidRPr="0056167B" w:rsidRDefault="009B0A1C" w:rsidP="007E21E2">
            <w:pPr>
              <w:rPr>
                <w:rFonts w:ascii="Arial" w:hAnsi="Arial" w:cs="Arial"/>
                <w:sz w:val="20"/>
                <w:szCs w:val="20"/>
              </w:rPr>
            </w:pPr>
            <w:r w:rsidRPr="0056167B">
              <w:rPr>
                <w:rFonts w:ascii="Arial" w:hAnsi="Arial" w:cs="Arial"/>
                <w:sz w:val="20"/>
                <w:szCs w:val="20"/>
              </w:rPr>
              <w:t>Autism Spectrum Disorder</w:t>
            </w:r>
          </w:p>
        </w:tc>
      </w:tr>
      <w:tr w:rsidR="009B0A1C" w:rsidRPr="0056167B" w14:paraId="39B3F027" w14:textId="77777777" w:rsidTr="00F53599">
        <w:trPr>
          <w:tblCellSpacing w:w="15" w:type="dxa"/>
        </w:trPr>
        <w:tc>
          <w:tcPr>
            <w:tcW w:w="0" w:type="auto"/>
            <w:vAlign w:val="center"/>
            <w:hideMark/>
          </w:tcPr>
          <w:p w14:paraId="4CDF3699" w14:textId="77777777" w:rsidR="009B0A1C" w:rsidRPr="0056167B" w:rsidRDefault="009B0A1C" w:rsidP="007E21E2">
            <w:pPr>
              <w:rPr>
                <w:rFonts w:ascii="Arial" w:hAnsi="Arial" w:cs="Arial"/>
                <w:sz w:val="20"/>
                <w:szCs w:val="20"/>
              </w:rPr>
            </w:pPr>
            <w:r w:rsidRPr="0056167B">
              <w:rPr>
                <w:rFonts w:ascii="Arial" w:hAnsi="Arial" w:cs="Arial"/>
                <w:sz w:val="20"/>
                <w:szCs w:val="20"/>
              </w:rPr>
              <w:t>CAMHS</w:t>
            </w:r>
          </w:p>
        </w:tc>
        <w:tc>
          <w:tcPr>
            <w:tcW w:w="0" w:type="auto"/>
            <w:vAlign w:val="center"/>
            <w:hideMark/>
          </w:tcPr>
          <w:p w14:paraId="2A3E78FB" w14:textId="77777777" w:rsidR="009B0A1C" w:rsidRPr="0056167B" w:rsidRDefault="009B0A1C" w:rsidP="007E21E2">
            <w:pPr>
              <w:rPr>
                <w:rFonts w:ascii="Arial" w:hAnsi="Arial" w:cs="Arial"/>
                <w:sz w:val="20"/>
                <w:szCs w:val="20"/>
              </w:rPr>
            </w:pPr>
            <w:r w:rsidRPr="0056167B">
              <w:rPr>
                <w:rFonts w:ascii="Arial" w:hAnsi="Arial" w:cs="Arial"/>
                <w:sz w:val="20"/>
                <w:szCs w:val="20"/>
              </w:rPr>
              <w:t>Child and Adolescent Mental Health Services</w:t>
            </w:r>
          </w:p>
        </w:tc>
      </w:tr>
      <w:tr w:rsidR="009B0A1C" w:rsidRPr="0056167B" w14:paraId="7D8F232D" w14:textId="77777777" w:rsidTr="00F53599">
        <w:trPr>
          <w:tblCellSpacing w:w="15" w:type="dxa"/>
        </w:trPr>
        <w:tc>
          <w:tcPr>
            <w:tcW w:w="0" w:type="auto"/>
            <w:vAlign w:val="center"/>
            <w:hideMark/>
          </w:tcPr>
          <w:p w14:paraId="4710E022" w14:textId="77777777" w:rsidR="009B0A1C" w:rsidRPr="0056167B" w:rsidRDefault="009B0A1C" w:rsidP="007E21E2">
            <w:pPr>
              <w:rPr>
                <w:rFonts w:ascii="Arial" w:hAnsi="Arial" w:cs="Arial"/>
                <w:sz w:val="20"/>
                <w:szCs w:val="20"/>
              </w:rPr>
            </w:pPr>
            <w:r w:rsidRPr="0056167B">
              <w:rPr>
                <w:rFonts w:ascii="Arial" w:hAnsi="Arial" w:cs="Arial"/>
                <w:sz w:val="20"/>
                <w:szCs w:val="20"/>
              </w:rPr>
              <w:t>CASP</w:t>
            </w:r>
          </w:p>
        </w:tc>
        <w:tc>
          <w:tcPr>
            <w:tcW w:w="0" w:type="auto"/>
            <w:vAlign w:val="center"/>
            <w:hideMark/>
          </w:tcPr>
          <w:p w14:paraId="6D735BA1" w14:textId="77777777" w:rsidR="009B0A1C" w:rsidRPr="0056167B" w:rsidRDefault="009B0A1C" w:rsidP="007E21E2">
            <w:pPr>
              <w:rPr>
                <w:rFonts w:ascii="Arial" w:hAnsi="Arial" w:cs="Arial"/>
                <w:sz w:val="20"/>
                <w:szCs w:val="20"/>
              </w:rPr>
            </w:pPr>
            <w:r w:rsidRPr="0056167B">
              <w:rPr>
                <w:rFonts w:ascii="Arial" w:hAnsi="Arial" w:cs="Arial"/>
                <w:sz w:val="20"/>
                <w:szCs w:val="20"/>
              </w:rPr>
              <w:t>Critical Appraisal Skills Programme</w:t>
            </w:r>
          </w:p>
        </w:tc>
      </w:tr>
      <w:tr w:rsidR="009B0A1C" w:rsidRPr="0056167B" w14:paraId="1B590025" w14:textId="77777777" w:rsidTr="00F53599">
        <w:trPr>
          <w:tblCellSpacing w:w="15" w:type="dxa"/>
        </w:trPr>
        <w:tc>
          <w:tcPr>
            <w:tcW w:w="0" w:type="auto"/>
            <w:vAlign w:val="center"/>
            <w:hideMark/>
          </w:tcPr>
          <w:p w14:paraId="77456091" w14:textId="77777777" w:rsidR="009B0A1C" w:rsidRPr="0056167B" w:rsidRDefault="009B0A1C" w:rsidP="007E21E2">
            <w:pPr>
              <w:rPr>
                <w:rFonts w:ascii="Arial" w:hAnsi="Arial" w:cs="Arial"/>
                <w:sz w:val="20"/>
                <w:szCs w:val="20"/>
              </w:rPr>
            </w:pPr>
            <w:r w:rsidRPr="0056167B">
              <w:rPr>
                <w:rFonts w:ascii="Arial" w:hAnsi="Arial" w:cs="Arial"/>
                <w:sz w:val="20"/>
                <w:szCs w:val="20"/>
              </w:rPr>
              <w:t>CBT</w:t>
            </w:r>
          </w:p>
        </w:tc>
        <w:tc>
          <w:tcPr>
            <w:tcW w:w="0" w:type="auto"/>
            <w:vAlign w:val="center"/>
            <w:hideMark/>
          </w:tcPr>
          <w:p w14:paraId="3B96982E" w14:textId="77777777" w:rsidR="009B0A1C" w:rsidRPr="0056167B" w:rsidRDefault="009B0A1C" w:rsidP="007E21E2">
            <w:pPr>
              <w:rPr>
                <w:rFonts w:ascii="Arial" w:hAnsi="Arial" w:cs="Arial"/>
                <w:sz w:val="20"/>
                <w:szCs w:val="20"/>
              </w:rPr>
            </w:pPr>
            <w:r w:rsidRPr="0056167B">
              <w:rPr>
                <w:rFonts w:ascii="Arial" w:hAnsi="Arial" w:cs="Arial"/>
                <w:sz w:val="20"/>
                <w:szCs w:val="20"/>
              </w:rPr>
              <w:t>Cognitive Behavioural Therapy</w:t>
            </w:r>
          </w:p>
        </w:tc>
      </w:tr>
      <w:tr w:rsidR="009B0A1C" w:rsidRPr="0056167B" w14:paraId="57E74E4F" w14:textId="77777777" w:rsidTr="00F53599">
        <w:trPr>
          <w:tblCellSpacing w:w="15" w:type="dxa"/>
        </w:trPr>
        <w:tc>
          <w:tcPr>
            <w:tcW w:w="0" w:type="auto"/>
            <w:vAlign w:val="center"/>
            <w:hideMark/>
          </w:tcPr>
          <w:p w14:paraId="40674057" w14:textId="77777777" w:rsidR="009B0A1C" w:rsidRPr="0056167B" w:rsidRDefault="009B0A1C" w:rsidP="007E21E2">
            <w:pPr>
              <w:rPr>
                <w:rFonts w:ascii="Arial" w:hAnsi="Arial" w:cs="Arial"/>
                <w:sz w:val="20"/>
                <w:szCs w:val="20"/>
              </w:rPr>
            </w:pPr>
            <w:r w:rsidRPr="0056167B">
              <w:rPr>
                <w:rFonts w:ascii="Arial" w:hAnsi="Arial" w:cs="Arial"/>
                <w:sz w:val="20"/>
                <w:szCs w:val="20"/>
              </w:rPr>
              <w:t>CCG</w:t>
            </w:r>
          </w:p>
        </w:tc>
        <w:tc>
          <w:tcPr>
            <w:tcW w:w="0" w:type="auto"/>
            <w:vAlign w:val="center"/>
            <w:hideMark/>
          </w:tcPr>
          <w:p w14:paraId="541C2C96" w14:textId="77777777" w:rsidR="009B0A1C" w:rsidRPr="0056167B" w:rsidRDefault="009B0A1C" w:rsidP="007E21E2">
            <w:pPr>
              <w:rPr>
                <w:rFonts w:ascii="Arial" w:hAnsi="Arial" w:cs="Arial"/>
                <w:sz w:val="20"/>
                <w:szCs w:val="20"/>
              </w:rPr>
            </w:pPr>
            <w:r w:rsidRPr="0056167B">
              <w:rPr>
                <w:rFonts w:ascii="Arial" w:hAnsi="Arial" w:cs="Arial"/>
                <w:sz w:val="20"/>
                <w:szCs w:val="20"/>
              </w:rPr>
              <w:t>Clinical Commissioning Group</w:t>
            </w:r>
          </w:p>
        </w:tc>
      </w:tr>
      <w:tr w:rsidR="009B0A1C" w:rsidRPr="0056167B" w14:paraId="1D76BFCA" w14:textId="77777777" w:rsidTr="00F53599">
        <w:trPr>
          <w:tblCellSpacing w:w="15" w:type="dxa"/>
        </w:trPr>
        <w:tc>
          <w:tcPr>
            <w:tcW w:w="0" w:type="auto"/>
            <w:vAlign w:val="center"/>
            <w:hideMark/>
          </w:tcPr>
          <w:p w14:paraId="5FB4020A" w14:textId="77777777" w:rsidR="009B0A1C" w:rsidRPr="0056167B" w:rsidRDefault="009B0A1C" w:rsidP="007E21E2">
            <w:pPr>
              <w:rPr>
                <w:rFonts w:ascii="Arial" w:hAnsi="Arial" w:cs="Arial"/>
                <w:sz w:val="20"/>
                <w:szCs w:val="20"/>
              </w:rPr>
            </w:pPr>
            <w:r w:rsidRPr="0056167B">
              <w:rPr>
                <w:rFonts w:ascii="Arial" w:hAnsi="Arial" w:cs="Arial"/>
                <w:sz w:val="20"/>
                <w:szCs w:val="20"/>
              </w:rPr>
              <w:t>CYP</w:t>
            </w:r>
          </w:p>
        </w:tc>
        <w:tc>
          <w:tcPr>
            <w:tcW w:w="0" w:type="auto"/>
            <w:vAlign w:val="center"/>
            <w:hideMark/>
          </w:tcPr>
          <w:p w14:paraId="17BF3591" w14:textId="77777777" w:rsidR="009B0A1C" w:rsidRPr="0056167B" w:rsidRDefault="009B0A1C" w:rsidP="007E21E2">
            <w:pPr>
              <w:rPr>
                <w:rFonts w:ascii="Arial" w:hAnsi="Arial" w:cs="Arial"/>
                <w:sz w:val="20"/>
                <w:szCs w:val="20"/>
              </w:rPr>
            </w:pPr>
            <w:r w:rsidRPr="0056167B">
              <w:rPr>
                <w:rFonts w:ascii="Arial" w:hAnsi="Arial" w:cs="Arial"/>
                <w:sz w:val="20"/>
                <w:szCs w:val="20"/>
              </w:rPr>
              <w:t>Children and Young People</w:t>
            </w:r>
          </w:p>
        </w:tc>
      </w:tr>
      <w:tr w:rsidR="009B0A1C" w:rsidRPr="0056167B" w14:paraId="2FA7AC74" w14:textId="77777777" w:rsidTr="00F53599">
        <w:trPr>
          <w:tblCellSpacing w:w="15" w:type="dxa"/>
        </w:trPr>
        <w:tc>
          <w:tcPr>
            <w:tcW w:w="0" w:type="auto"/>
            <w:vAlign w:val="center"/>
            <w:hideMark/>
          </w:tcPr>
          <w:p w14:paraId="6FA86020" w14:textId="77777777" w:rsidR="009B0A1C" w:rsidRPr="0056167B" w:rsidRDefault="009B0A1C" w:rsidP="007E21E2">
            <w:pPr>
              <w:rPr>
                <w:rFonts w:ascii="Arial" w:hAnsi="Arial" w:cs="Arial"/>
                <w:sz w:val="20"/>
                <w:szCs w:val="20"/>
              </w:rPr>
            </w:pPr>
            <w:r w:rsidRPr="0056167B">
              <w:rPr>
                <w:rFonts w:ascii="Arial" w:hAnsi="Arial" w:cs="Arial"/>
                <w:sz w:val="20"/>
                <w:szCs w:val="20"/>
              </w:rPr>
              <w:t>CYPMHC</w:t>
            </w:r>
          </w:p>
        </w:tc>
        <w:tc>
          <w:tcPr>
            <w:tcW w:w="0" w:type="auto"/>
            <w:vAlign w:val="center"/>
            <w:hideMark/>
          </w:tcPr>
          <w:p w14:paraId="297CB139" w14:textId="77777777" w:rsidR="009B0A1C" w:rsidRPr="0056167B" w:rsidRDefault="009B0A1C" w:rsidP="007E21E2">
            <w:pPr>
              <w:rPr>
                <w:rFonts w:ascii="Arial" w:hAnsi="Arial" w:cs="Arial"/>
                <w:sz w:val="20"/>
                <w:szCs w:val="20"/>
              </w:rPr>
            </w:pPr>
            <w:r w:rsidRPr="0056167B">
              <w:rPr>
                <w:rFonts w:ascii="Arial" w:hAnsi="Arial" w:cs="Arial"/>
                <w:sz w:val="20"/>
                <w:szCs w:val="20"/>
              </w:rPr>
              <w:t>Children and Young People's Mental Health Coalition</w:t>
            </w:r>
          </w:p>
        </w:tc>
      </w:tr>
      <w:tr w:rsidR="009B0A1C" w:rsidRPr="0056167B" w14:paraId="4D47C58C" w14:textId="77777777" w:rsidTr="00F53599">
        <w:trPr>
          <w:tblCellSpacing w:w="15" w:type="dxa"/>
        </w:trPr>
        <w:tc>
          <w:tcPr>
            <w:tcW w:w="0" w:type="auto"/>
            <w:vAlign w:val="center"/>
            <w:hideMark/>
          </w:tcPr>
          <w:p w14:paraId="4E8FA253" w14:textId="77777777" w:rsidR="009B0A1C" w:rsidRPr="0056167B" w:rsidRDefault="009B0A1C" w:rsidP="007E21E2">
            <w:pPr>
              <w:rPr>
                <w:rFonts w:ascii="Arial" w:hAnsi="Arial" w:cs="Arial"/>
                <w:sz w:val="20"/>
                <w:szCs w:val="20"/>
              </w:rPr>
            </w:pPr>
            <w:r w:rsidRPr="0056167B">
              <w:rPr>
                <w:rFonts w:ascii="Arial" w:hAnsi="Arial" w:cs="Arial"/>
                <w:sz w:val="20"/>
                <w:szCs w:val="20"/>
              </w:rPr>
              <w:t>DBT</w:t>
            </w:r>
          </w:p>
        </w:tc>
        <w:tc>
          <w:tcPr>
            <w:tcW w:w="0" w:type="auto"/>
            <w:vAlign w:val="center"/>
            <w:hideMark/>
          </w:tcPr>
          <w:p w14:paraId="77532F3A" w14:textId="77777777" w:rsidR="009B0A1C" w:rsidRPr="0056167B" w:rsidRDefault="009B0A1C" w:rsidP="007E21E2">
            <w:pPr>
              <w:rPr>
                <w:rFonts w:ascii="Arial" w:hAnsi="Arial" w:cs="Arial"/>
                <w:sz w:val="20"/>
                <w:szCs w:val="20"/>
              </w:rPr>
            </w:pPr>
            <w:r w:rsidRPr="0056167B">
              <w:rPr>
                <w:rFonts w:ascii="Arial" w:hAnsi="Arial" w:cs="Arial"/>
                <w:sz w:val="20"/>
                <w:szCs w:val="20"/>
              </w:rPr>
              <w:t>Dialectical Behaviour Therapy</w:t>
            </w:r>
          </w:p>
        </w:tc>
      </w:tr>
      <w:tr w:rsidR="009B0A1C" w:rsidRPr="0056167B" w14:paraId="2FAE146A" w14:textId="77777777" w:rsidTr="00F53599">
        <w:trPr>
          <w:tblCellSpacing w:w="15" w:type="dxa"/>
        </w:trPr>
        <w:tc>
          <w:tcPr>
            <w:tcW w:w="0" w:type="auto"/>
            <w:vAlign w:val="center"/>
            <w:hideMark/>
          </w:tcPr>
          <w:p w14:paraId="557260E7" w14:textId="77777777" w:rsidR="009B0A1C" w:rsidRPr="0056167B" w:rsidRDefault="009B0A1C" w:rsidP="007E21E2">
            <w:pPr>
              <w:rPr>
                <w:rFonts w:ascii="Arial" w:hAnsi="Arial" w:cs="Arial"/>
                <w:sz w:val="20"/>
                <w:szCs w:val="20"/>
              </w:rPr>
            </w:pPr>
            <w:r w:rsidRPr="0056167B">
              <w:rPr>
                <w:rFonts w:ascii="Arial" w:hAnsi="Arial" w:cs="Arial"/>
                <w:sz w:val="20"/>
                <w:szCs w:val="20"/>
              </w:rPr>
              <w:t>GP</w:t>
            </w:r>
          </w:p>
        </w:tc>
        <w:tc>
          <w:tcPr>
            <w:tcW w:w="0" w:type="auto"/>
            <w:vAlign w:val="center"/>
            <w:hideMark/>
          </w:tcPr>
          <w:p w14:paraId="1FFC5DFA" w14:textId="77777777" w:rsidR="009B0A1C" w:rsidRPr="0056167B" w:rsidRDefault="009B0A1C" w:rsidP="007E21E2">
            <w:pPr>
              <w:rPr>
                <w:rFonts w:ascii="Arial" w:hAnsi="Arial" w:cs="Arial"/>
                <w:sz w:val="20"/>
                <w:szCs w:val="20"/>
              </w:rPr>
            </w:pPr>
            <w:r w:rsidRPr="0056167B">
              <w:rPr>
                <w:rFonts w:ascii="Arial" w:hAnsi="Arial" w:cs="Arial"/>
                <w:sz w:val="20"/>
                <w:szCs w:val="20"/>
              </w:rPr>
              <w:t>General Practitioner</w:t>
            </w:r>
          </w:p>
        </w:tc>
      </w:tr>
      <w:tr w:rsidR="009B0A1C" w:rsidRPr="0056167B" w14:paraId="740CD5B4" w14:textId="77777777" w:rsidTr="00F53599">
        <w:trPr>
          <w:tblCellSpacing w:w="15" w:type="dxa"/>
        </w:trPr>
        <w:tc>
          <w:tcPr>
            <w:tcW w:w="0" w:type="auto"/>
            <w:vAlign w:val="center"/>
            <w:hideMark/>
          </w:tcPr>
          <w:p w14:paraId="4452031F" w14:textId="77777777" w:rsidR="009B0A1C" w:rsidRPr="0056167B" w:rsidRDefault="009B0A1C" w:rsidP="007E21E2">
            <w:pPr>
              <w:rPr>
                <w:rFonts w:ascii="Arial" w:hAnsi="Arial" w:cs="Arial"/>
                <w:sz w:val="20"/>
                <w:szCs w:val="20"/>
              </w:rPr>
            </w:pPr>
            <w:r w:rsidRPr="0056167B">
              <w:rPr>
                <w:rFonts w:ascii="Arial" w:hAnsi="Arial" w:cs="Arial"/>
                <w:sz w:val="20"/>
                <w:szCs w:val="20"/>
              </w:rPr>
              <w:t>IAPT</w:t>
            </w:r>
          </w:p>
        </w:tc>
        <w:tc>
          <w:tcPr>
            <w:tcW w:w="0" w:type="auto"/>
            <w:vAlign w:val="center"/>
            <w:hideMark/>
          </w:tcPr>
          <w:p w14:paraId="194E8339" w14:textId="77777777" w:rsidR="009B0A1C" w:rsidRPr="0056167B" w:rsidRDefault="009B0A1C" w:rsidP="007E21E2">
            <w:pPr>
              <w:rPr>
                <w:rFonts w:ascii="Arial" w:hAnsi="Arial" w:cs="Arial"/>
                <w:sz w:val="20"/>
                <w:szCs w:val="20"/>
              </w:rPr>
            </w:pPr>
            <w:r w:rsidRPr="0056167B">
              <w:rPr>
                <w:rFonts w:ascii="Arial" w:hAnsi="Arial" w:cs="Arial"/>
                <w:sz w:val="20"/>
                <w:szCs w:val="20"/>
              </w:rPr>
              <w:t>Improving Access to Psychological Therapies</w:t>
            </w:r>
          </w:p>
        </w:tc>
      </w:tr>
      <w:tr w:rsidR="009B0A1C" w:rsidRPr="0056167B" w14:paraId="21D02ECF" w14:textId="77777777" w:rsidTr="00F53599">
        <w:trPr>
          <w:tblCellSpacing w:w="15" w:type="dxa"/>
        </w:trPr>
        <w:tc>
          <w:tcPr>
            <w:tcW w:w="0" w:type="auto"/>
            <w:vAlign w:val="center"/>
            <w:hideMark/>
          </w:tcPr>
          <w:p w14:paraId="2B6F5CD8" w14:textId="77777777" w:rsidR="009B0A1C" w:rsidRPr="0056167B" w:rsidRDefault="009B0A1C" w:rsidP="007E21E2">
            <w:pPr>
              <w:rPr>
                <w:rFonts w:ascii="Arial" w:hAnsi="Arial" w:cs="Arial"/>
                <w:sz w:val="20"/>
                <w:szCs w:val="20"/>
              </w:rPr>
            </w:pPr>
            <w:r w:rsidRPr="0056167B">
              <w:rPr>
                <w:rFonts w:ascii="Arial" w:hAnsi="Arial" w:cs="Arial"/>
                <w:sz w:val="20"/>
                <w:szCs w:val="20"/>
              </w:rPr>
              <w:t>ICB</w:t>
            </w:r>
          </w:p>
        </w:tc>
        <w:tc>
          <w:tcPr>
            <w:tcW w:w="0" w:type="auto"/>
            <w:vAlign w:val="center"/>
            <w:hideMark/>
          </w:tcPr>
          <w:p w14:paraId="6A498715" w14:textId="77777777" w:rsidR="009B0A1C" w:rsidRPr="0056167B" w:rsidRDefault="009B0A1C" w:rsidP="007E21E2">
            <w:pPr>
              <w:rPr>
                <w:rFonts w:ascii="Arial" w:hAnsi="Arial" w:cs="Arial"/>
                <w:sz w:val="20"/>
                <w:szCs w:val="20"/>
              </w:rPr>
            </w:pPr>
            <w:r w:rsidRPr="0056167B">
              <w:rPr>
                <w:rFonts w:ascii="Arial" w:hAnsi="Arial" w:cs="Arial"/>
                <w:sz w:val="20"/>
                <w:szCs w:val="20"/>
              </w:rPr>
              <w:t>Integrated Care Board</w:t>
            </w:r>
          </w:p>
        </w:tc>
      </w:tr>
      <w:tr w:rsidR="009B0A1C" w:rsidRPr="0056167B" w14:paraId="07E7224A" w14:textId="77777777" w:rsidTr="00F53599">
        <w:trPr>
          <w:tblCellSpacing w:w="15" w:type="dxa"/>
        </w:trPr>
        <w:tc>
          <w:tcPr>
            <w:tcW w:w="0" w:type="auto"/>
            <w:vAlign w:val="center"/>
            <w:hideMark/>
          </w:tcPr>
          <w:p w14:paraId="4AA0908B" w14:textId="77777777" w:rsidR="009B0A1C" w:rsidRPr="0056167B" w:rsidRDefault="009B0A1C" w:rsidP="007E21E2">
            <w:pPr>
              <w:rPr>
                <w:rFonts w:ascii="Arial" w:hAnsi="Arial" w:cs="Arial"/>
                <w:sz w:val="20"/>
                <w:szCs w:val="20"/>
              </w:rPr>
            </w:pPr>
            <w:r w:rsidRPr="0056167B">
              <w:rPr>
                <w:rFonts w:ascii="Arial" w:hAnsi="Arial" w:cs="Arial"/>
                <w:sz w:val="20"/>
                <w:szCs w:val="20"/>
              </w:rPr>
              <w:t>MH</w:t>
            </w:r>
          </w:p>
        </w:tc>
        <w:tc>
          <w:tcPr>
            <w:tcW w:w="0" w:type="auto"/>
            <w:vAlign w:val="center"/>
            <w:hideMark/>
          </w:tcPr>
          <w:p w14:paraId="0CD5FA11" w14:textId="77777777" w:rsidR="009B0A1C" w:rsidRPr="0056167B" w:rsidRDefault="009B0A1C" w:rsidP="007E21E2">
            <w:pPr>
              <w:rPr>
                <w:rFonts w:ascii="Arial" w:hAnsi="Arial" w:cs="Arial"/>
                <w:sz w:val="20"/>
                <w:szCs w:val="20"/>
              </w:rPr>
            </w:pPr>
            <w:r w:rsidRPr="0056167B">
              <w:rPr>
                <w:rFonts w:ascii="Arial" w:hAnsi="Arial" w:cs="Arial"/>
                <w:sz w:val="20"/>
                <w:szCs w:val="20"/>
              </w:rPr>
              <w:t>Mental Health</w:t>
            </w:r>
          </w:p>
        </w:tc>
      </w:tr>
      <w:tr w:rsidR="009B0A1C" w:rsidRPr="0056167B" w14:paraId="404D98E0" w14:textId="77777777" w:rsidTr="00F53599">
        <w:trPr>
          <w:tblCellSpacing w:w="15" w:type="dxa"/>
        </w:trPr>
        <w:tc>
          <w:tcPr>
            <w:tcW w:w="0" w:type="auto"/>
            <w:vAlign w:val="center"/>
            <w:hideMark/>
          </w:tcPr>
          <w:p w14:paraId="491B28A1" w14:textId="77777777" w:rsidR="009B0A1C" w:rsidRPr="0056167B" w:rsidRDefault="009B0A1C" w:rsidP="007E21E2">
            <w:pPr>
              <w:rPr>
                <w:rFonts w:ascii="Arial" w:hAnsi="Arial" w:cs="Arial"/>
                <w:sz w:val="20"/>
                <w:szCs w:val="20"/>
              </w:rPr>
            </w:pPr>
            <w:r w:rsidRPr="0056167B">
              <w:rPr>
                <w:rFonts w:ascii="Arial" w:hAnsi="Arial" w:cs="Arial"/>
                <w:sz w:val="20"/>
                <w:szCs w:val="20"/>
              </w:rPr>
              <w:t>NAO</w:t>
            </w:r>
          </w:p>
        </w:tc>
        <w:tc>
          <w:tcPr>
            <w:tcW w:w="0" w:type="auto"/>
            <w:vAlign w:val="center"/>
            <w:hideMark/>
          </w:tcPr>
          <w:p w14:paraId="31F287B9" w14:textId="77777777" w:rsidR="009B0A1C" w:rsidRPr="0056167B" w:rsidRDefault="009B0A1C" w:rsidP="007E21E2">
            <w:pPr>
              <w:rPr>
                <w:rFonts w:ascii="Arial" w:hAnsi="Arial" w:cs="Arial"/>
                <w:sz w:val="20"/>
                <w:szCs w:val="20"/>
              </w:rPr>
            </w:pPr>
            <w:r w:rsidRPr="0056167B">
              <w:rPr>
                <w:rFonts w:ascii="Arial" w:hAnsi="Arial" w:cs="Arial"/>
                <w:sz w:val="20"/>
                <w:szCs w:val="20"/>
              </w:rPr>
              <w:t>National Audit Office</w:t>
            </w:r>
          </w:p>
        </w:tc>
      </w:tr>
      <w:tr w:rsidR="009B0A1C" w:rsidRPr="0056167B" w14:paraId="2B7D13D8" w14:textId="77777777" w:rsidTr="00F53599">
        <w:trPr>
          <w:tblCellSpacing w:w="15" w:type="dxa"/>
        </w:trPr>
        <w:tc>
          <w:tcPr>
            <w:tcW w:w="0" w:type="auto"/>
            <w:vAlign w:val="center"/>
            <w:hideMark/>
          </w:tcPr>
          <w:p w14:paraId="7BEEACF4" w14:textId="77777777" w:rsidR="009B0A1C" w:rsidRPr="0056167B" w:rsidRDefault="009B0A1C" w:rsidP="007E21E2">
            <w:pPr>
              <w:rPr>
                <w:rFonts w:ascii="Arial" w:hAnsi="Arial" w:cs="Arial"/>
                <w:sz w:val="20"/>
                <w:szCs w:val="20"/>
              </w:rPr>
            </w:pPr>
            <w:r w:rsidRPr="0056167B">
              <w:rPr>
                <w:rFonts w:ascii="Arial" w:hAnsi="Arial" w:cs="Arial"/>
                <w:sz w:val="20"/>
                <w:szCs w:val="20"/>
              </w:rPr>
              <w:t>NHS</w:t>
            </w:r>
          </w:p>
        </w:tc>
        <w:tc>
          <w:tcPr>
            <w:tcW w:w="0" w:type="auto"/>
            <w:vAlign w:val="center"/>
            <w:hideMark/>
          </w:tcPr>
          <w:p w14:paraId="0E6DF5D8" w14:textId="77777777" w:rsidR="009B0A1C" w:rsidRPr="0056167B" w:rsidRDefault="009B0A1C" w:rsidP="007E21E2">
            <w:pPr>
              <w:rPr>
                <w:rFonts w:ascii="Arial" w:hAnsi="Arial" w:cs="Arial"/>
                <w:sz w:val="20"/>
                <w:szCs w:val="20"/>
              </w:rPr>
            </w:pPr>
            <w:r w:rsidRPr="0056167B">
              <w:rPr>
                <w:rFonts w:ascii="Arial" w:hAnsi="Arial" w:cs="Arial"/>
                <w:sz w:val="20"/>
                <w:szCs w:val="20"/>
              </w:rPr>
              <w:t>National Health Service</w:t>
            </w:r>
          </w:p>
        </w:tc>
      </w:tr>
      <w:tr w:rsidR="009B0A1C" w:rsidRPr="0056167B" w14:paraId="03756CD7" w14:textId="77777777" w:rsidTr="00F53599">
        <w:trPr>
          <w:tblCellSpacing w:w="15" w:type="dxa"/>
        </w:trPr>
        <w:tc>
          <w:tcPr>
            <w:tcW w:w="0" w:type="auto"/>
            <w:vAlign w:val="center"/>
            <w:hideMark/>
          </w:tcPr>
          <w:p w14:paraId="786F1E08" w14:textId="77777777" w:rsidR="009B0A1C" w:rsidRPr="0056167B" w:rsidRDefault="009B0A1C" w:rsidP="007E21E2">
            <w:pPr>
              <w:rPr>
                <w:rFonts w:ascii="Arial" w:hAnsi="Arial" w:cs="Arial"/>
                <w:sz w:val="20"/>
                <w:szCs w:val="20"/>
              </w:rPr>
            </w:pPr>
            <w:r w:rsidRPr="0056167B">
              <w:rPr>
                <w:rFonts w:ascii="Arial" w:hAnsi="Arial" w:cs="Arial"/>
                <w:sz w:val="20"/>
                <w:szCs w:val="20"/>
              </w:rPr>
              <w:t>NICE</w:t>
            </w:r>
          </w:p>
        </w:tc>
        <w:tc>
          <w:tcPr>
            <w:tcW w:w="0" w:type="auto"/>
            <w:vAlign w:val="center"/>
            <w:hideMark/>
          </w:tcPr>
          <w:p w14:paraId="59E00D91" w14:textId="77777777" w:rsidR="009B0A1C" w:rsidRPr="0056167B" w:rsidRDefault="009B0A1C" w:rsidP="007E21E2">
            <w:pPr>
              <w:rPr>
                <w:rFonts w:ascii="Arial" w:hAnsi="Arial" w:cs="Arial"/>
                <w:sz w:val="20"/>
                <w:szCs w:val="20"/>
              </w:rPr>
            </w:pPr>
            <w:r w:rsidRPr="0056167B">
              <w:rPr>
                <w:rFonts w:ascii="Arial" w:hAnsi="Arial" w:cs="Arial"/>
                <w:sz w:val="20"/>
                <w:szCs w:val="20"/>
              </w:rPr>
              <w:t>National Institute for Health and Care Excellence</w:t>
            </w:r>
          </w:p>
        </w:tc>
      </w:tr>
      <w:tr w:rsidR="009B0A1C" w:rsidRPr="0056167B" w14:paraId="026DD3F0" w14:textId="77777777" w:rsidTr="00F53599">
        <w:trPr>
          <w:tblCellSpacing w:w="15" w:type="dxa"/>
        </w:trPr>
        <w:tc>
          <w:tcPr>
            <w:tcW w:w="0" w:type="auto"/>
            <w:vAlign w:val="center"/>
            <w:hideMark/>
          </w:tcPr>
          <w:p w14:paraId="4ADD1C91" w14:textId="77777777" w:rsidR="009B0A1C" w:rsidRPr="0056167B" w:rsidRDefault="009B0A1C" w:rsidP="007E21E2">
            <w:pPr>
              <w:rPr>
                <w:rFonts w:ascii="Arial" w:hAnsi="Arial" w:cs="Arial"/>
                <w:sz w:val="20"/>
                <w:szCs w:val="20"/>
              </w:rPr>
            </w:pPr>
            <w:r w:rsidRPr="0056167B">
              <w:rPr>
                <w:rFonts w:ascii="Arial" w:hAnsi="Arial" w:cs="Arial"/>
                <w:sz w:val="20"/>
                <w:szCs w:val="20"/>
              </w:rPr>
              <w:t>NOS</w:t>
            </w:r>
          </w:p>
        </w:tc>
        <w:tc>
          <w:tcPr>
            <w:tcW w:w="0" w:type="auto"/>
            <w:vAlign w:val="center"/>
            <w:hideMark/>
          </w:tcPr>
          <w:p w14:paraId="1F9DC3D0" w14:textId="77777777" w:rsidR="009B0A1C" w:rsidRPr="0056167B" w:rsidRDefault="009B0A1C" w:rsidP="007E21E2">
            <w:pPr>
              <w:rPr>
                <w:rFonts w:ascii="Arial" w:hAnsi="Arial" w:cs="Arial"/>
                <w:sz w:val="20"/>
                <w:szCs w:val="20"/>
              </w:rPr>
            </w:pPr>
            <w:r w:rsidRPr="0056167B">
              <w:rPr>
                <w:rFonts w:ascii="Arial" w:hAnsi="Arial" w:cs="Arial"/>
                <w:sz w:val="20"/>
                <w:szCs w:val="20"/>
              </w:rPr>
              <w:t>Newcastle-Ottawa Scale</w:t>
            </w:r>
          </w:p>
        </w:tc>
      </w:tr>
      <w:tr w:rsidR="009B0A1C" w:rsidRPr="0056167B" w14:paraId="3EB8B1B4" w14:textId="77777777" w:rsidTr="00F53599">
        <w:trPr>
          <w:tblCellSpacing w:w="15" w:type="dxa"/>
        </w:trPr>
        <w:tc>
          <w:tcPr>
            <w:tcW w:w="0" w:type="auto"/>
            <w:vAlign w:val="center"/>
            <w:hideMark/>
          </w:tcPr>
          <w:p w14:paraId="4A685BB4" w14:textId="77777777" w:rsidR="009B0A1C" w:rsidRPr="0056167B" w:rsidRDefault="009B0A1C" w:rsidP="007E21E2">
            <w:pPr>
              <w:rPr>
                <w:rFonts w:ascii="Arial" w:hAnsi="Arial" w:cs="Arial"/>
                <w:sz w:val="20"/>
                <w:szCs w:val="20"/>
              </w:rPr>
            </w:pPr>
            <w:r w:rsidRPr="0056167B">
              <w:rPr>
                <w:rFonts w:ascii="Arial" w:hAnsi="Arial" w:cs="Arial"/>
                <w:sz w:val="20"/>
                <w:szCs w:val="20"/>
              </w:rPr>
              <w:t>PICU</w:t>
            </w:r>
          </w:p>
        </w:tc>
        <w:tc>
          <w:tcPr>
            <w:tcW w:w="0" w:type="auto"/>
            <w:vAlign w:val="center"/>
            <w:hideMark/>
          </w:tcPr>
          <w:p w14:paraId="2092E71B" w14:textId="77777777" w:rsidR="009B0A1C" w:rsidRPr="0056167B" w:rsidRDefault="009B0A1C" w:rsidP="007E21E2">
            <w:pPr>
              <w:rPr>
                <w:rFonts w:ascii="Arial" w:hAnsi="Arial" w:cs="Arial"/>
                <w:sz w:val="20"/>
                <w:szCs w:val="20"/>
              </w:rPr>
            </w:pPr>
            <w:r w:rsidRPr="0056167B">
              <w:rPr>
                <w:rFonts w:ascii="Arial" w:hAnsi="Arial" w:cs="Arial"/>
                <w:sz w:val="20"/>
                <w:szCs w:val="20"/>
              </w:rPr>
              <w:t>Psychiatric Intensive Care Unit</w:t>
            </w:r>
          </w:p>
        </w:tc>
      </w:tr>
      <w:tr w:rsidR="009B0A1C" w:rsidRPr="0056167B" w14:paraId="617F9B19" w14:textId="77777777" w:rsidTr="00F53599">
        <w:trPr>
          <w:tblCellSpacing w:w="15" w:type="dxa"/>
        </w:trPr>
        <w:tc>
          <w:tcPr>
            <w:tcW w:w="0" w:type="auto"/>
            <w:vAlign w:val="center"/>
            <w:hideMark/>
          </w:tcPr>
          <w:p w14:paraId="4E861763" w14:textId="77777777" w:rsidR="009B0A1C" w:rsidRPr="0056167B" w:rsidRDefault="009B0A1C" w:rsidP="007E21E2">
            <w:pPr>
              <w:rPr>
                <w:rFonts w:ascii="Arial" w:hAnsi="Arial" w:cs="Arial"/>
                <w:sz w:val="20"/>
                <w:szCs w:val="20"/>
              </w:rPr>
            </w:pPr>
            <w:r w:rsidRPr="0056167B">
              <w:rPr>
                <w:rFonts w:ascii="Arial" w:hAnsi="Arial" w:cs="Arial"/>
                <w:sz w:val="20"/>
                <w:szCs w:val="20"/>
              </w:rPr>
              <w:t>PRISMA</w:t>
            </w:r>
          </w:p>
        </w:tc>
        <w:tc>
          <w:tcPr>
            <w:tcW w:w="0" w:type="auto"/>
            <w:vAlign w:val="center"/>
            <w:hideMark/>
          </w:tcPr>
          <w:p w14:paraId="093C185F" w14:textId="77777777" w:rsidR="009B0A1C" w:rsidRPr="0056167B" w:rsidRDefault="009B0A1C" w:rsidP="007E21E2">
            <w:pPr>
              <w:rPr>
                <w:rFonts w:ascii="Arial" w:hAnsi="Arial" w:cs="Arial"/>
                <w:sz w:val="20"/>
                <w:szCs w:val="20"/>
              </w:rPr>
            </w:pPr>
            <w:r w:rsidRPr="0056167B">
              <w:rPr>
                <w:rFonts w:ascii="Arial" w:hAnsi="Arial" w:cs="Arial"/>
                <w:sz w:val="20"/>
                <w:szCs w:val="20"/>
              </w:rPr>
              <w:t>Preferred Reporting Items for Systematic Reviews and Meta-Analyses</w:t>
            </w:r>
          </w:p>
        </w:tc>
      </w:tr>
      <w:tr w:rsidR="009B0A1C" w:rsidRPr="0056167B" w14:paraId="132A48BE" w14:textId="77777777" w:rsidTr="00F53599">
        <w:trPr>
          <w:tblCellSpacing w:w="15" w:type="dxa"/>
        </w:trPr>
        <w:tc>
          <w:tcPr>
            <w:tcW w:w="0" w:type="auto"/>
            <w:vAlign w:val="center"/>
            <w:hideMark/>
          </w:tcPr>
          <w:p w14:paraId="776DFCD3" w14:textId="77777777" w:rsidR="009B0A1C" w:rsidRPr="0056167B" w:rsidRDefault="009B0A1C" w:rsidP="007E21E2">
            <w:pPr>
              <w:rPr>
                <w:rFonts w:ascii="Arial" w:hAnsi="Arial" w:cs="Arial"/>
                <w:sz w:val="20"/>
                <w:szCs w:val="20"/>
              </w:rPr>
            </w:pPr>
            <w:r w:rsidRPr="0056167B">
              <w:rPr>
                <w:rFonts w:ascii="Arial" w:hAnsi="Arial" w:cs="Arial"/>
                <w:sz w:val="20"/>
                <w:szCs w:val="20"/>
              </w:rPr>
              <w:t>SEMH</w:t>
            </w:r>
          </w:p>
        </w:tc>
        <w:tc>
          <w:tcPr>
            <w:tcW w:w="0" w:type="auto"/>
            <w:vAlign w:val="center"/>
            <w:hideMark/>
          </w:tcPr>
          <w:p w14:paraId="51891653" w14:textId="77777777" w:rsidR="009B0A1C" w:rsidRPr="0056167B" w:rsidRDefault="009B0A1C" w:rsidP="007E21E2">
            <w:pPr>
              <w:rPr>
                <w:rFonts w:ascii="Arial" w:hAnsi="Arial" w:cs="Arial"/>
                <w:sz w:val="20"/>
                <w:szCs w:val="20"/>
              </w:rPr>
            </w:pPr>
            <w:r w:rsidRPr="0056167B">
              <w:rPr>
                <w:rFonts w:ascii="Arial" w:hAnsi="Arial" w:cs="Arial"/>
                <w:sz w:val="20"/>
                <w:szCs w:val="20"/>
              </w:rPr>
              <w:t>Social, Emotional and Mental Health</w:t>
            </w:r>
          </w:p>
        </w:tc>
      </w:tr>
      <w:tr w:rsidR="009B0A1C" w:rsidRPr="0056167B" w14:paraId="1D943597" w14:textId="77777777" w:rsidTr="00F53599">
        <w:trPr>
          <w:tblCellSpacing w:w="15" w:type="dxa"/>
        </w:trPr>
        <w:tc>
          <w:tcPr>
            <w:tcW w:w="0" w:type="auto"/>
            <w:vAlign w:val="center"/>
            <w:hideMark/>
          </w:tcPr>
          <w:p w14:paraId="58356BA7" w14:textId="77777777" w:rsidR="009B0A1C" w:rsidRPr="0056167B" w:rsidRDefault="009B0A1C" w:rsidP="007E21E2">
            <w:pPr>
              <w:rPr>
                <w:rFonts w:ascii="Arial" w:hAnsi="Arial" w:cs="Arial"/>
                <w:sz w:val="20"/>
                <w:szCs w:val="20"/>
              </w:rPr>
            </w:pPr>
            <w:r w:rsidRPr="0056167B">
              <w:rPr>
                <w:rFonts w:ascii="Arial" w:hAnsi="Arial" w:cs="Arial"/>
                <w:sz w:val="20"/>
                <w:szCs w:val="20"/>
              </w:rPr>
              <w:t>SEND</w:t>
            </w:r>
          </w:p>
        </w:tc>
        <w:tc>
          <w:tcPr>
            <w:tcW w:w="0" w:type="auto"/>
            <w:vAlign w:val="center"/>
            <w:hideMark/>
          </w:tcPr>
          <w:p w14:paraId="146FBC37" w14:textId="77777777" w:rsidR="009B0A1C" w:rsidRPr="0056167B" w:rsidRDefault="009B0A1C" w:rsidP="007E21E2">
            <w:pPr>
              <w:rPr>
                <w:rFonts w:ascii="Arial" w:hAnsi="Arial" w:cs="Arial"/>
                <w:sz w:val="20"/>
                <w:szCs w:val="20"/>
              </w:rPr>
            </w:pPr>
            <w:r w:rsidRPr="0056167B">
              <w:rPr>
                <w:rFonts w:ascii="Arial" w:hAnsi="Arial" w:cs="Arial"/>
                <w:sz w:val="20"/>
                <w:szCs w:val="20"/>
              </w:rPr>
              <w:t>Special Educational Needs and Disabilities</w:t>
            </w:r>
          </w:p>
        </w:tc>
      </w:tr>
      <w:tr w:rsidR="009B0A1C" w:rsidRPr="0056167B" w14:paraId="0337F199" w14:textId="77777777" w:rsidTr="00F53599">
        <w:trPr>
          <w:tblCellSpacing w:w="15" w:type="dxa"/>
        </w:trPr>
        <w:tc>
          <w:tcPr>
            <w:tcW w:w="0" w:type="auto"/>
            <w:vAlign w:val="center"/>
            <w:hideMark/>
          </w:tcPr>
          <w:p w14:paraId="59D8B0C1" w14:textId="77777777" w:rsidR="009B0A1C" w:rsidRPr="0056167B" w:rsidRDefault="009B0A1C" w:rsidP="007E21E2">
            <w:pPr>
              <w:rPr>
                <w:rFonts w:ascii="Arial" w:hAnsi="Arial" w:cs="Arial"/>
                <w:sz w:val="20"/>
                <w:szCs w:val="20"/>
              </w:rPr>
            </w:pPr>
            <w:r w:rsidRPr="0056167B">
              <w:rPr>
                <w:rFonts w:ascii="Arial" w:hAnsi="Arial" w:cs="Arial"/>
                <w:sz w:val="20"/>
                <w:szCs w:val="20"/>
              </w:rPr>
              <w:t>SPA</w:t>
            </w:r>
          </w:p>
        </w:tc>
        <w:tc>
          <w:tcPr>
            <w:tcW w:w="0" w:type="auto"/>
            <w:vAlign w:val="center"/>
            <w:hideMark/>
          </w:tcPr>
          <w:p w14:paraId="6901C037" w14:textId="77777777" w:rsidR="009B0A1C" w:rsidRPr="0056167B" w:rsidRDefault="009B0A1C" w:rsidP="007E21E2">
            <w:pPr>
              <w:rPr>
                <w:rFonts w:ascii="Arial" w:hAnsi="Arial" w:cs="Arial"/>
                <w:sz w:val="20"/>
                <w:szCs w:val="20"/>
              </w:rPr>
            </w:pPr>
            <w:r w:rsidRPr="0056167B">
              <w:rPr>
                <w:rFonts w:ascii="Arial" w:hAnsi="Arial" w:cs="Arial"/>
                <w:sz w:val="20"/>
                <w:szCs w:val="20"/>
              </w:rPr>
              <w:t>Single Point of Access</w:t>
            </w:r>
          </w:p>
        </w:tc>
      </w:tr>
      <w:tr w:rsidR="009B0A1C" w:rsidRPr="0056167B" w14:paraId="2F825F75" w14:textId="77777777" w:rsidTr="00F53599">
        <w:trPr>
          <w:tblCellSpacing w:w="15" w:type="dxa"/>
        </w:trPr>
        <w:tc>
          <w:tcPr>
            <w:tcW w:w="0" w:type="auto"/>
            <w:vAlign w:val="center"/>
            <w:hideMark/>
          </w:tcPr>
          <w:p w14:paraId="143C387A" w14:textId="77777777" w:rsidR="009B0A1C" w:rsidRPr="0056167B" w:rsidRDefault="009B0A1C" w:rsidP="007E21E2">
            <w:pPr>
              <w:rPr>
                <w:rFonts w:ascii="Arial" w:hAnsi="Arial" w:cs="Arial"/>
                <w:sz w:val="20"/>
                <w:szCs w:val="20"/>
              </w:rPr>
            </w:pPr>
            <w:r w:rsidRPr="0056167B">
              <w:rPr>
                <w:rFonts w:ascii="Arial" w:hAnsi="Arial" w:cs="Arial"/>
                <w:sz w:val="20"/>
                <w:szCs w:val="20"/>
              </w:rPr>
              <w:t>THRIVE</w:t>
            </w:r>
          </w:p>
        </w:tc>
        <w:tc>
          <w:tcPr>
            <w:tcW w:w="0" w:type="auto"/>
            <w:vAlign w:val="center"/>
            <w:hideMark/>
          </w:tcPr>
          <w:p w14:paraId="654F5525" w14:textId="77777777" w:rsidR="009B0A1C" w:rsidRPr="0056167B" w:rsidRDefault="009B0A1C" w:rsidP="007E21E2">
            <w:pPr>
              <w:rPr>
                <w:rFonts w:ascii="Arial" w:hAnsi="Arial" w:cs="Arial"/>
                <w:sz w:val="20"/>
                <w:szCs w:val="20"/>
              </w:rPr>
            </w:pPr>
            <w:r w:rsidRPr="0056167B">
              <w:rPr>
                <w:rFonts w:ascii="Arial" w:hAnsi="Arial" w:cs="Arial"/>
                <w:sz w:val="20"/>
                <w:szCs w:val="20"/>
              </w:rPr>
              <w:t>Thinking, Helping, Relating, Inspired, Valued, Empowered</w:t>
            </w:r>
          </w:p>
        </w:tc>
      </w:tr>
      <w:tr w:rsidR="009B0A1C" w:rsidRPr="0056167B" w14:paraId="2C221F23" w14:textId="77777777" w:rsidTr="00F53599">
        <w:trPr>
          <w:tblCellSpacing w:w="15" w:type="dxa"/>
        </w:trPr>
        <w:tc>
          <w:tcPr>
            <w:tcW w:w="0" w:type="auto"/>
            <w:vAlign w:val="center"/>
            <w:hideMark/>
          </w:tcPr>
          <w:p w14:paraId="3794DE60" w14:textId="77777777" w:rsidR="009B0A1C" w:rsidRPr="0056167B" w:rsidRDefault="009B0A1C" w:rsidP="007E21E2">
            <w:pPr>
              <w:rPr>
                <w:rFonts w:ascii="Arial" w:hAnsi="Arial" w:cs="Arial"/>
                <w:sz w:val="20"/>
                <w:szCs w:val="20"/>
              </w:rPr>
            </w:pPr>
            <w:r w:rsidRPr="0056167B">
              <w:rPr>
                <w:rFonts w:ascii="Arial" w:hAnsi="Arial" w:cs="Arial"/>
                <w:sz w:val="20"/>
                <w:szCs w:val="20"/>
              </w:rPr>
              <w:t>UWTSD</w:t>
            </w:r>
          </w:p>
        </w:tc>
        <w:tc>
          <w:tcPr>
            <w:tcW w:w="0" w:type="auto"/>
            <w:vAlign w:val="center"/>
            <w:hideMark/>
          </w:tcPr>
          <w:p w14:paraId="6523DEAA" w14:textId="77777777" w:rsidR="009B0A1C" w:rsidRPr="0056167B" w:rsidRDefault="009B0A1C" w:rsidP="007E21E2">
            <w:pPr>
              <w:rPr>
                <w:rFonts w:ascii="Arial" w:hAnsi="Arial" w:cs="Arial"/>
                <w:sz w:val="20"/>
                <w:szCs w:val="20"/>
              </w:rPr>
            </w:pPr>
            <w:r w:rsidRPr="0056167B">
              <w:rPr>
                <w:rFonts w:ascii="Arial" w:hAnsi="Arial" w:cs="Arial"/>
                <w:sz w:val="20"/>
                <w:szCs w:val="20"/>
              </w:rPr>
              <w:t>University of Wales Trinity Saint David</w:t>
            </w:r>
          </w:p>
        </w:tc>
      </w:tr>
    </w:tbl>
    <w:p w14:paraId="192B7EC9" w14:textId="1EE232E1" w:rsidR="00703742" w:rsidRPr="004C0ECA" w:rsidRDefault="00703742" w:rsidP="004C0ECA">
      <w:pPr>
        <w:pStyle w:val="Heading1"/>
      </w:pPr>
      <w:bookmarkStart w:id="4" w:name="_Toc241025625"/>
      <w:r w:rsidRPr="004C0ECA">
        <w:lastRenderedPageBreak/>
        <w:t>CHAPTER 1: INTRODUCTION</w:t>
      </w:r>
      <w:bookmarkEnd w:id="4"/>
    </w:p>
    <w:p w14:paraId="34ABA47C" w14:textId="77777777" w:rsidR="00703742" w:rsidRPr="00892D94" w:rsidRDefault="00703742" w:rsidP="00892D94">
      <w:pPr>
        <w:pStyle w:val="Heading2"/>
      </w:pPr>
      <w:bookmarkStart w:id="5" w:name="_Toc241025626"/>
      <w:r w:rsidRPr="00892D94">
        <w:t>1.1 Background and Context</w:t>
      </w:r>
      <w:bookmarkEnd w:id="5"/>
    </w:p>
    <w:p w14:paraId="232D2C2E" w14:textId="3DCDF3AB" w:rsidR="00630606" w:rsidRPr="00C8206E" w:rsidRDefault="00703742" w:rsidP="00C8206E">
      <w:pPr>
        <w:spacing w:after="0" w:line="360" w:lineRule="auto"/>
        <w:jc w:val="both"/>
        <w:rPr>
          <w:rFonts w:ascii="Arial" w:hAnsi="Arial" w:cs="Arial"/>
        </w:rPr>
      </w:pPr>
      <w:r w:rsidRPr="00C8206E">
        <w:rPr>
          <w:rFonts w:ascii="Arial" w:hAnsi="Arial" w:cs="Arial"/>
          <w:lang w:val="en-IN"/>
        </w:rPr>
        <w:t xml:space="preserve">The mental health of children and </w:t>
      </w:r>
      <w:r w:rsidR="00532ADF">
        <w:rPr>
          <w:rFonts w:ascii="Arial" w:hAnsi="Arial" w:cs="Arial"/>
          <w:lang w:val="en-IN"/>
        </w:rPr>
        <w:t>young people</w:t>
      </w:r>
      <w:r w:rsidRPr="00C8206E">
        <w:rPr>
          <w:rFonts w:ascii="Arial" w:hAnsi="Arial" w:cs="Arial"/>
          <w:lang w:val="en-IN"/>
        </w:rPr>
        <w:t xml:space="preserve"> is the most urgent public health issue in the twenty-first century. In 2021, Wang et al. (2025) estimated that mental disorders were diagnosed in about 278.98 million adolescents and young adults worldwide, and the prevalence increased drastically in the aftermath of the COVID-19 pandemic. This is a big load on a speeding plane in England. The most authoritative national evidence is the Mental Health of Children and Young People (MHCYP) series of surveys: the 2023 wave estimated that one in five children aged 8 to 16, one in four aged 17 to 19 and more than one in five aged 20 to 25 had a probable mental disorder - these figures represent a significant rise on the 2017 baseline figure of one in nine children aged 5 to 15 (Newlove-Delgado et al., 2023). The COVID-19 pandemic resulted in a steep increase, and one in six children aged 5 to 16 reported a likely mental disorder in 2020 - a figure that has been high throughout 2022 (NHS Digital, 2020; Newlove-Delgado et al., 2022). The Mental Health Foundation (2021) notes that 50 per cent of all mental health problems are established by the age of 14, reinforcing the critical importance of early and timely intervention.</w:t>
      </w:r>
      <w:r w:rsidR="002864EC" w:rsidRPr="00C8206E">
        <w:rPr>
          <w:rFonts w:ascii="Arial" w:hAnsi="Arial" w:cs="Arial"/>
          <w:lang w:val="en-IN"/>
        </w:rPr>
        <w:t xml:space="preserve"> </w:t>
      </w:r>
      <w:r w:rsidR="002864EC" w:rsidRPr="00C8206E">
        <w:rPr>
          <w:rFonts w:ascii="Arial" w:hAnsi="Arial" w:cs="Arial"/>
        </w:rPr>
        <w:t xml:space="preserve">The following figure illustrates the significant rise in the prevalence of probable mental disorders among children and young people in England between 2017 and 2023. The data </w:t>
      </w:r>
      <w:r w:rsidR="00532ADF">
        <w:rPr>
          <w:rFonts w:ascii="Arial" w:hAnsi="Arial" w:cs="Arial"/>
        </w:rPr>
        <w:t>show</w:t>
      </w:r>
      <w:r w:rsidR="002864EC" w:rsidRPr="00C8206E">
        <w:rPr>
          <w:rFonts w:ascii="Arial" w:hAnsi="Arial" w:cs="Arial"/>
        </w:rPr>
        <w:t xml:space="preserve"> that the percentage of children who are overweight has increased steadily across the four waves of surveys and </w:t>
      </w:r>
      <w:r w:rsidR="00532ADF">
        <w:rPr>
          <w:rFonts w:ascii="Arial" w:hAnsi="Arial" w:cs="Arial"/>
        </w:rPr>
        <w:t>is currently</w:t>
      </w:r>
      <w:r w:rsidR="002864EC" w:rsidRPr="00C8206E">
        <w:rPr>
          <w:rFonts w:ascii="Arial" w:hAnsi="Arial" w:cs="Arial"/>
        </w:rPr>
        <w:t xml:space="preserve"> one in five in 2023</w:t>
      </w:r>
      <w:r w:rsidR="00532ADF">
        <w:rPr>
          <w:rFonts w:ascii="Arial" w:hAnsi="Arial" w:cs="Arial"/>
        </w:rPr>
        <w:t>,</w:t>
      </w:r>
      <w:r w:rsidR="002864EC" w:rsidRPr="00C8206E">
        <w:rPr>
          <w:rFonts w:ascii="Arial" w:hAnsi="Arial" w:cs="Arial"/>
        </w:rPr>
        <w:t xml:space="preserve"> as opposed to one in nine in 2017.</w:t>
      </w:r>
      <w:r w:rsidR="008C1A11" w:rsidRPr="00C8206E">
        <w:rPr>
          <w:rFonts w:ascii="Arial" w:hAnsi="Arial" w:cs="Arial"/>
        </w:rPr>
        <w:t xml:space="preserve"> </w:t>
      </w:r>
    </w:p>
    <w:p w14:paraId="37D1FD1E" w14:textId="345D08DB" w:rsidR="00703742" w:rsidRPr="00C8206E" w:rsidRDefault="006879C3" w:rsidP="00C8206E">
      <w:pPr>
        <w:spacing w:after="0" w:line="360" w:lineRule="auto"/>
        <w:jc w:val="both"/>
        <w:rPr>
          <w:rFonts w:ascii="Arial" w:hAnsi="Arial" w:cs="Arial"/>
          <w:lang w:val="en-IN"/>
        </w:rPr>
      </w:pPr>
      <w:r w:rsidRPr="00C83739">
        <w:rPr>
          <w:rFonts w:ascii="Arial" w:hAnsi="Arial" w:cs="Arial"/>
        </w:rPr>
        <w:t>Figure 1</w:t>
      </w:r>
      <w:r w:rsidRPr="006879C3">
        <w:rPr>
          <w:rFonts w:ascii="Arial" w:hAnsi="Arial" w:cs="Arial"/>
        </w:rPr>
        <w:t xml:space="preserve"> shows the large increase in the prevalence of probable mental disorders</w:t>
      </w:r>
      <w:r w:rsidR="008C1A11" w:rsidRPr="00C8206E">
        <w:rPr>
          <w:rFonts w:ascii="Arial" w:hAnsi="Arial" w:cs="Arial"/>
        </w:rPr>
        <w:t xml:space="preserve"> among children and young people in England during 2017-2023. The data demonstrate a </w:t>
      </w:r>
      <w:r w:rsidR="00532ADF">
        <w:rPr>
          <w:rFonts w:ascii="Arial" w:hAnsi="Arial" w:cs="Arial"/>
        </w:rPr>
        <w:t>steadily</w:t>
      </w:r>
      <w:r w:rsidR="008C1A11" w:rsidRPr="00C8206E">
        <w:rPr>
          <w:rFonts w:ascii="Arial" w:hAnsi="Arial" w:cs="Arial"/>
        </w:rPr>
        <w:t xml:space="preserve"> increasing pattern in all four waves of the survey, with one in nine children in 2017 and one in five by 2023.</w:t>
      </w:r>
    </w:p>
    <w:p w14:paraId="0DE83A19" w14:textId="77777777" w:rsidR="00703742" w:rsidRPr="00C8206E" w:rsidRDefault="00703742" w:rsidP="00C8206E">
      <w:pPr>
        <w:spacing w:after="0" w:line="360" w:lineRule="auto"/>
        <w:jc w:val="both"/>
        <w:rPr>
          <w:rFonts w:ascii="Arial" w:hAnsi="Arial" w:cs="Arial"/>
          <w:b/>
          <w:bCs/>
          <w:lang w:val="en-IN"/>
        </w:rPr>
      </w:pPr>
    </w:p>
    <w:p w14:paraId="1D6A1766" w14:textId="77777777" w:rsidR="00E16CCE" w:rsidRDefault="00703742" w:rsidP="00E16CCE">
      <w:pPr>
        <w:keepNext/>
        <w:spacing w:after="0" w:line="360" w:lineRule="auto"/>
        <w:jc w:val="both"/>
      </w:pPr>
      <w:r w:rsidRPr="00C8206E">
        <w:rPr>
          <w:rFonts w:ascii="Arial" w:hAnsi="Arial" w:cs="Arial"/>
          <w:noProof/>
          <w:lang w:val="en-IN"/>
        </w:rPr>
        <w:lastRenderedPageBreak/>
        <w:drawing>
          <wp:inline distT="0" distB="0" distL="0" distR="0" wp14:anchorId="731FF584" wp14:editId="2C1AC3D6">
            <wp:extent cx="5324475" cy="3095625"/>
            <wp:effectExtent l="0" t="0" r="9525" b="9525"/>
            <wp:docPr id="1741037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037583" name=""/>
                    <pic:cNvPicPr/>
                  </pic:nvPicPr>
                  <pic:blipFill rotWithShape="1">
                    <a:blip r:embed="rId9"/>
                    <a:srcRect l="20940" t="25520" r="15245" b="3591"/>
                    <a:stretch/>
                  </pic:blipFill>
                  <pic:spPr bwMode="auto">
                    <a:xfrm>
                      <a:off x="0" y="0"/>
                      <a:ext cx="5324475" cy="3095625"/>
                    </a:xfrm>
                    <a:prstGeom prst="rect">
                      <a:avLst/>
                    </a:prstGeom>
                    <a:ln>
                      <a:noFill/>
                    </a:ln>
                    <a:extLst>
                      <a:ext uri="{53640926-AAD7-44D8-BBD7-CCE9431645EC}">
                        <a14:shadowObscured xmlns:a14="http://schemas.microsoft.com/office/drawing/2010/main"/>
                      </a:ext>
                    </a:extLst>
                  </pic:spPr>
                </pic:pic>
              </a:graphicData>
            </a:graphic>
          </wp:inline>
        </w:drawing>
      </w:r>
    </w:p>
    <w:p w14:paraId="0A1075A8" w14:textId="13006411" w:rsidR="00E16CCE" w:rsidRDefault="00E16CCE" w:rsidP="002E11FA">
      <w:pPr>
        <w:pStyle w:val="Caption"/>
      </w:pPr>
      <w:bookmarkStart w:id="6" w:name="_Toc241025500"/>
      <w:r>
        <w:t xml:space="preserve">Figure </w:t>
      </w:r>
      <w:r w:rsidR="006B0A2C">
        <w:fldChar w:fldCharType="begin"/>
      </w:r>
      <w:r w:rsidR="006B0A2C">
        <w:instrText xml:space="preserve"> SEQ Figure \* ARABIC </w:instrText>
      </w:r>
      <w:r w:rsidR="006B0A2C">
        <w:fldChar w:fldCharType="separate"/>
      </w:r>
      <w:r w:rsidR="006B0A2C">
        <w:rPr>
          <w:noProof/>
        </w:rPr>
        <w:t>1</w:t>
      </w:r>
      <w:r w:rsidR="006B0A2C">
        <w:rPr>
          <w:noProof/>
        </w:rPr>
        <w:fldChar w:fldCharType="end"/>
      </w:r>
      <w:r w:rsidRPr="00105A01">
        <w:t>: Prevalence of probable mental disorders among children and young people in England, 2017–2023.</w:t>
      </w:r>
      <w:bookmarkEnd w:id="6"/>
    </w:p>
    <w:p w14:paraId="21098E87" w14:textId="08895C91" w:rsidR="00703742" w:rsidRPr="00865495" w:rsidRDefault="00703742" w:rsidP="001B4288">
      <w:pPr>
        <w:spacing w:line="360" w:lineRule="auto"/>
        <w:jc w:val="both"/>
        <w:rPr>
          <w:rFonts w:ascii="Arial" w:hAnsi="Arial" w:cs="Arial"/>
          <w:lang w:val="en-IN"/>
        </w:rPr>
      </w:pPr>
      <w:r w:rsidRPr="00865495">
        <w:rPr>
          <w:rFonts w:ascii="Arial" w:hAnsi="Arial" w:cs="Arial"/>
          <w:sz w:val="20"/>
          <w:szCs w:val="20"/>
          <w:lang w:val="en-IN"/>
        </w:rPr>
        <w:t>Sources: NHS Digital (2020); Newlove-Delgado et al. (2022, 2023).</w:t>
      </w:r>
    </w:p>
    <w:p w14:paraId="06AD826D" w14:textId="1A25C3B4" w:rsidR="00703742" w:rsidRPr="00C8206E" w:rsidRDefault="00703742" w:rsidP="00C8206E">
      <w:pPr>
        <w:spacing w:after="0" w:line="360" w:lineRule="auto"/>
        <w:jc w:val="both"/>
        <w:rPr>
          <w:rFonts w:ascii="Arial" w:hAnsi="Arial" w:cs="Arial"/>
          <w:lang w:val="en-IN"/>
        </w:rPr>
      </w:pPr>
      <w:r w:rsidRPr="00C8206E">
        <w:rPr>
          <w:rFonts w:ascii="Arial" w:hAnsi="Arial" w:cs="Arial"/>
          <w:lang w:val="en-IN"/>
        </w:rPr>
        <w:t>Child and Adolescent Mental Health Services (CAMHS) are the specialist NHS provision for such needs, but access remains severely limited. The crisis in CAMHS waiting times is driven by multiple interacting determinants, which include a lack of structural capacity, workforce, referral threshold barriers, commissioning fragmentation, socioeconomic inequality, and lack of adequate support during the waiting period. To start with, there has been more demand than capacity: the Children Commissioner for England (2025) recorded 958,200 active referrals in 2023</w:t>
      </w:r>
      <w:r w:rsidR="00C348AF" w:rsidRPr="00C8206E">
        <w:rPr>
          <w:rFonts w:ascii="Arial" w:hAnsi="Arial" w:cs="Arial"/>
          <w:lang w:val="en-IN"/>
        </w:rPr>
        <w:t>-</w:t>
      </w:r>
      <w:r w:rsidRPr="00C8206E">
        <w:rPr>
          <w:rFonts w:ascii="Arial" w:hAnsi="Arial" w:cs="Arial"/>
          <w:lang w:val="en-IN"/>
        </w:rPr>
        <w:t xml:space="preserve">24, 320,000 of which remain untreated at the end of the year and of which only 45 per cent have received a first contact within the four-week norm. Second, labour supply gaps present a structural constraint to </w:t>
      </w:r>
      <w:r w:rsidR="00532ADF">
        <w:rPr>
          <w:rFonts w:ascii="Arial" w:hAnsi="Arial" w:cs="Arial"/>
          <w:lang w:val="en-IN"/>
        </w:rPr>
        <w:t>throughput. A</w:t>
      </w:r>
      <w:r w:rsidR="00AE6ACF" w:rsidRPr="00AE6ACF">
        <w:rPr>
          <w:rFonts w:ascii="Arial" w:hAnsi="Arial" w:cs="Arial"/>
        </w:rPr>
        <w:t xml:space="preserve"> quality-improvement initiative across East London CAMHS teams decreased average waiting times by 22 per cent through system redesign — but acknowledged that pathway reform cannot replace sufficient staffing </w:t>
      </w:r>
      <w:r w:rsidR="00532ADF">
        <w:rPr>
          <w:rFonts w:ascii="Arial" w:hAnsi="Arial" w:cs="Arial"/>
        </w:rPr>
        <w:t>capacity</w:t>
      </w:r>
      <w:r w:rsidRPr="00C8206E">
        <w:rPr>
          <w:rFonts w:ascii="Arial" w:hAnsi="Arial" w:cs="Arial"/>
          <w:lang w:val="en-IN"/>
        </w:rPr>
        <w:t>. Third, there is a systematic exclusion of children who are in genuine need by referral threshold barriers: Hickling, Dabrowski and Williams (2024) discovered that 317 of 1,322 referrals to a south London CAMHS were threshold-rejected, with nearly 30 per cent of threshold-rejected children having an alternative pathway that was not available to communicate to referrers. Fourth, commissioning fragmentation generates unequal geographic access: Rocks et al. (2020) found that, even though a single point of access model facilitated the referral pathway, the self-</w:t>
      </w:r>
      <w:r w:rsidRPr="00C8206E">
        <w:rPr>
          <w:rFonts w:ascii="Arial" w:hAnsi="Arial" w:cs="Arial"/>
          <w:lang w:val="en-IN"/>
        </w:rPr>
        <w:lastRenderedPageBreak/>
        <w:t xml:space="preserve">referrers were not evenly distributed across the geographic areas, with more drawn to less deprived ones - which demonstrates an inherent equity gap. </w:t>
      </w:r>
      <w:r w:rsidR="009D3DA0" w:rsidRPr="009D3DA0">
        <w:rPr>
          <w:rFonts w:ascii="Arial" w:hAnsi="Arial" w:cs="Arial"/>
        </w:rPr>
        <w:t>Fifth, need and access are determined by socioeconomic inequality: evidence indicates that gains in access through service reorganisation have been slow and uneven, which is indicative of structural barriers to commissioning</w:t>
      </w:r>
      <w:r w:rsidRPr="00C8206E">
        <w:rPr>
          <w:rFonts w:ascii="Arial" w:hAnsi="Arial" w:cs="Arial"/>
          <w:lang w:val="en-IN"/>
        </w:rPr>
        <w:t xml:space="preserve">. Sixth, poor support in the waiting room worsens the situation: </w:t>
      </w:r>
      <w:r w:rsidR="005B3216" w:rsidRPr="005B3216">
        <w:rPr>
          <w:rFonts w:ascii="Arial" w:hAnsi="Arial" w:cs="Arial"/>
        </w:rPr>
        <w:t xml:space="preserve">Evidence from qualitative interviews across CAMHS in England indicates that young people and families deteriorated mentally and physically, family relationships </w:t>
      </w:r>
      <w:r w:rsidR="00532ADF">
        <w:rPr>
          <w:rFonts w:ascii="Arial" w:hAnsi="Arial" w:cs="Arial"/>
        </w:rPr>
        <w:t xml:space="preserve">were </w:t>
      </w:r>
      <w:r w:rsidR="005B3216" w:rsidRPr="005B3216">
        <w:rPr>
          <w:rFonts w:ascii="Arial" w:hAnsi="Arial" w:cs="Arial"/>
        </w:rPr>
        <w:t>strained, and there was a lack of clarity in communication and an apparent lack of need-support fit in the waiting room.</w:t>
      </w:r>
      <w:r w:rsidRPr="00C8206E">
        <w:rPr>
          <w:rFonts w:ascii="Arial" w:hAnsi="Arial" w:cs="Arial"/>
          <w:lang w:val="en-IN"/>
        </w:rPr>
        <w:t xml:space="preserve"> British Medical Association (2025) reported that 385,540 children awaited first community mental health contact during the three months to March 2025, an increase of 14.4 per cent/year, and that the Parliamentary Office of Science and Technology (2025) estimated that in 2025, there were almost 40,000 children on waiting lists longer than two years and about 60,000 were in crisis-level referral. The Children and Young People Mental Health Coalition (2024) estimates that in England, less than half of the 1.4 million children with a likely mental health disorder access any specialist service, and Hudson (2019) discovered that about 75 per cent of children and young people with a mental health problem do not get treatment.</w:t>
      </w:r>
    </w:p>
    <w:p w14:paraId="27177345" w14:textId="18A6708A" w:rsidR="002864EC" w:rsidRPr="00C8206E" w:rsidRDefault="006879C3" w:rsidP="00C8206E">
      <w:pPr>
        <w:spacing w:after="0" w:line="360" w:lineRule="auto"/>
        <w:jc w:val="both"/>
        <w:rPr>
          <w:rFonts w:ascii="Arial" w:hAnsi="Arial" w:cs="Arial"/>
          <w:lang w:val="en-IN"/>
        </w:rPr>
      </w:pPr>
      <w:r w:rsidRPr="00CB00E8">
        <w:rPr>
          <w:rFonts w:ascii="Arial" w:hAnsi="Arial" w:cs="Arial"/>
        </w:rPr>
        <w:t>Figure 2</w:t>
      </w:r>
      <w:r w:rsidRPr="006879C3">
        <w:rPr>
          <w:rFonts w:ascii="Arial" w:hAnsi="Arial" w:cs="Arial"/>
        </w:rPr>
        <w:t xml:space="preserve"> summarises the key statistics that demonstrate the scale of the CAMHS access crisis</w:t>
      </w:r>
      <w:r w:rsidR="002864EC" w:rsidRPr="00C8206E">
        <w:rPr>
          <w:rFonts w:ascii="Arial" w:hAnsi="Arial" w:cs="Arial"/>
        </w:rPr>
        <w:t xml:space="preserve"> in England between 2023 and 2025. The numbers indicate the increasing disconnect between the demand and the responsiveness of Child and Adolescent Mental Health Services.</w:t>
      </w:r>
    </w:p>
    <w:p w14:paraId="5FDD73E2" w14:textId="77777777" w:rsidR="000F1243" w:rsidRDefault="00703742" w:rsidP="000F1243">
      <w:pPr>
        <w:keepNext/>
        <w:spacing w:after="0" w:line="360" w:lineRule="auto"/>
        <w:jc w:val="both"/>
      </w:pPr>
      <w:r w:rsidRPr="00C8206E">
        <w:rPr>
          <w:rFonts w:ascii="Arial" w:hAnsi="Arial" w:cs="Arial"/>
          <w:noProof/>
          <w:lang w:val="en-IN"/>
        </w:rPr>
        <w:lastRenderedPageBreak/>
        <w:drawing>
          <wp:inline distT="0" distB="0" distL="0" distR="0" wp14:anchorId="19D7BE63" wp14:editId="04AFA70C">
            <wp:extent cx="5731510" cy="3198495"/>
            <wp:effectExtent l="0" t="0" r="2540" b="1905"/>
            <wp:docPr id="998487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487421" name=""/>
                    <pic:cNvPicPr/>
                  </pic:nvPicPr>
                  <pic:blipFill>
                    <a:blip r:embed="rId10"/>
                    <a:stretch>
                      <a:fillRect/>
                    </a:stretch>
                  </pic:blipFill>
                  <pic:spPr>
                    <a:xfrm>
                      <a:off x="0" y="0"/>
                      <a:ext cx="5731510" cy="3198495"/>
                    </a:xfrm>
                    <a:prstGeom prst="rect">
                      <a:avLst/>
                    </a:prstGeom>
                  </pic:spPr>
                </pic:pic>
              </a:graphicData>
            </a:graphic>
          </wp:inline>
        </w:drawing>
      </w:r>
    </w:p>
    <w:p w14:paraId="4DB37E90" w14:textId="4D0AB1F7" w:rsidR="000F1243" w:rsidRDefault="000F1243" w:rsidP="002E11FA">
      <w:pPr>
        <w:pStyle w:val="Caption"/>
      </w:pPr>
      <w:bookmarkStart w:id="7" w:name="_Toc241025501"/>
      <w:r>
        <w:t xml:space="preserve">Figure </w:t>
      </w:r>
      <w:r w:rsidR="006B0A2C">
        <w:fldChar w:fldCharType="begin"/>
      </w:r>
      <w:r w:rsidR="006B0A2C">
        <w:instrText xml:space="preserve"> SEQ Figure \* ARABIC </w:instrText>
      </w:r>
      <w:r w:rsidR="006B0A2C">
        <w:fldChar w:fldCharType="separate"/>
      </w:r>
      <w:r w:rsidR="006B0A2C">
        <w:rPr>
          <w:noProof/>
        </w:rPr>
        <w:t>2</w:t>
      </w:r>
      <w:r w:rsidR="006B0A2C">
        <w:rPr>
          <w:noProof/>
        </w:rPr>
        <w:fldChar w:fldCharType="end"/>
      </w:r>
      <w:r w:rsidRPr="007916A7">
        <w:t>: CAMHS access crisis in England, 2023–25 — key statistics.</w:t>
      </w:r>
      <w:bookmarkEnd w:id="7"/>
    </w:p>
    <w:p w14:paraId="176F355D" w14:textId="35C55465" w:rsidR="00703742" w:rsidRPr="00865495" w:rsidRDefault="00703742" w:rsidP="00865495">
      <w:pPr>
        <w:spacing w:line="240" w:lineRule="auto"/>
        <w:jc w:val="both"/>
        <w:rPr>
          <w:rFonts w:ascii="Arial" w:hAnsi="Arial" w:cs="Arial"/>
          <w:sz w:val="18"/>
          <w:szCs w:val="18"/>
          <w:lang w:val="en-IN"/>
        </w:rPr>
      </w:pPr>
      <w:r w:rsidRPr="00865495">
        <w:rPr>
          <w:rFonts w:ascii="Arial" w:hAnsi="Arial" w:cs="Arial"/>
          <w:sz w:val="20"/>
          <w:szCs w:val="20"/>
          <w:lang w:val="en-IN"/>
        </w:rPr>
        <w:t>Sources: Children's Commissioner for England (2025); British Medical Association (2025); Parliamentary Office of Science and Technology (2025).</w:t>
      </w:r>
    </w:p>
    <w:p w14:paraId="205EF486" w14:textId="77777777" w:rsidR="00703742" w:rsidRPr="00C8206E" w:rsidRDefault="00703742" w:rsidP="00892D94">
      <w:pPr>
        <w:pStyle w:val="Heading2"/>
      </w:pPr>
      <w:bookmarkStart w:id="8" w:name="_Toc241025627"/>
      <w:r w:rsidRPr="00C8206E">
        <w:t>1.2 Policy Context</w:t>
      </w:r>
      <w:bookmarkEnd w:id="8"/>
    </w:p>
    <w:p w14:paraId="6587FEC0" w14:textId="367DC77B" w:rsidR="00703742" w:rsidRPr="00C8206E" w:rsidRDefault="00703742" w:rsidP="00C8206E">
      <w:pPr>
        <w:spacing w:after="0" w:line="360" w:lineRule="auto"/>
        <w:jc w:val="both"/>
        <w:rPr>
          <w:rFonts w:ascii="Arial" w:hAnsi="Arial" w:cs="Arial"/>
          <w:lang w:val="en-IN"/>
        </w:rPr>
      </w:pPr>
      <w:r w:rsidRPr="00C8206E">
        <w:rPr>
          <w:rFonts w:ascii="Arial" w:hAnsi="Arial" w:cs="Arial"/>
          <w:lang w:val="en-IN"/>
        </w:rPr>
        <w:t xml:space="preserve">The past decade has seen significant policy commitment to improving children and young people's mental health in England. Future in Mind (Department of Health and NHS England, 2015) established 49 recommendations for transforming CYP mental health provision. The Five Year Forward View for Mental Health (NHS England, 2016) positioned CYP mental health as a national priority. The Transforming Children and Young People's Mental Health Provision Green Paper (Department of Health and Social Care and Department for Education, 2017) introduced Mental Health Support Teams in schools and four-week waiting-time trailblazer pilots. The NHS </w:t>
      </w:r>
      <w:r w:rsidR="00204059">
        <w:rPr>
          <w:rFonts w:ascii="Arial" w:hAnsi="Arial" w:cs="Arial"/>
          <w:lang w:val="en-IN"/>
        </w:rPr>
        <w:t>Long-Term Plan</w:t>
      </w:r>
      <w:r w:rsidRPr="00C8206E">
        <w:rPr>
          <w:rFonts w:ascii="Arial" w:hAnsi="Arial" w:cs="Arial"/>
          <w:lang w:val="en-IN"/>
        </w:rPr>
        <w:t xml:space="preserve"> (NHS England, 2019) committed to 345,000 additional children accessing support by 2023–24, underpinned by a detailed implementation plan (NHS England, 2019b). In spite of this investment, under the four-week standard, the Children’s Commissioner for England (2025) reported that only 45 per cent of children in the country had met the standard, indicating that there was a continuing and growing implementation gap. According to the House of Commons Library (2024), the main explanatory variables for this long-standing failure to translate policy commitment into equitable access are commissioning fragmentation, weak investment in the workforce, </w:t>
      </w:r>
      <w:r w:rsidRPr="00C8206E">
        <w:rPr>
          <w:rFonts w:ascii="Arial" w:hAnsi="Arial" w:cs="Arial"/>
          <w:lang w:val="en-IN"/>
        </w:rPr>
        <w:lastRenderedPageBreak/>
        <w:t>the lack of enforceable waiting-time standards, and lapses in the national accountability of data.</w:t>
      </w:r>
    </w:p>
    <w:p w14:paraId="2D45050F" w14:textId="0075DAAA" w:rsidR="00703742" w:rsidRPr="00C8206E" w:rsidRDefault="00703742" w:rsidP="00C8206E">
      <w:pPr>
        <w:spacing w:after="0" w:line="360" w:lineRule="auto"/>
        <w:jc w:val="both"/>
        <w:rPr>
          <w:rFonts w:ascii="Arial" w:hAnsi="Arial" w:cs="Arial"/>
          <w:b/>
          <w:bCs/>
          <w:lang w:val="en-IN"/>
        </w:rPr>
      </w:pPr>
    </w:p>
    <w:p w14:paraId="080DA996" w14:textId="62F75411" w:rsidR="009B3648" w:rsidRPr="000C3702" w:rsidRDefault="009B3648" w:rsidP="002E11FA">
      <w:pPr>
        <w:pStyle w:val="Caption"/>
      </w:pPr>
      <w:bookmarkStart w:id="9" w:name="_Toc241011416"/>
      <w:r w:rsidRPr="000C3702">
        <w:t xml:space="preserve">Table </w:t>
      </w:r>
      <w:r w:rsidR="005A7724">
        <w:fldChar w:fldCharType="begin"/>
      </w:r>
      <w:r w:rsidR="005A7724">
        <w:instrText xml:space="preserve"> SEQ Table \* ARABIC </w:instrText>
      </w:r>
      <w:r w:rsidR="005A7724">
        <w:fldChar w:fldCharType="separate"/>
      </w:r>
      <w:r w:rsidR="005A7724">
        <w:rPr>
          <w:noProof/>
        </w:rPr>
        <w:t>1</w:t>
      </w:r>
      <w:r w:rsidR="005A7724">
        <w:rPr>
          <w:noProof/>
        </w:rPr>
        <w:fldChar w:fldCharType="end"/>
      </w:r>
      <w:r w:rsidRPr="000C3702">
        <w:t>: Key CYP mental health policy milestones in England, 2015–2025.</w:t>
      </w:r>
      <w:bookmarkEnd w:id="9"/>
    </w:p>
    <w:tbl>
      <w:tblPr>
        <w:tblW w:w="906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50"/>
        <w:gridCol w:w="2141"/>
        <w:gridCol w:w="3289"/>
        <w:gridCol w:w="2587"/>
      </w:tblGrid>
      <w:tr w:rsidR="00703742" w:rsidRPr="00C8206E" w14:paraId="0A272A82" w14:textId="77777777" w:rsidTr="007210BD">
        <w:trPr>
          <w:tblHeader/>
          <w:jc w:val="center"/>
        </w:trPr>
        <w:tc>
          <w:tcPr>
            <w:tcW w:w="1050" w:type="dxa"/>
            <w:tcBorders>
              <w:top w:val="single" w:sz="4" w:space="0" w:color="auto"/>
              <w:left w:val="single" w:sz="4" w:space="0" w:color="auto"/>
              <w:bottom w:val="single" w:sz="6" w:space="0" w:color="1F5C99"/>
              <w:right w:val="single" w:sz="4" w:space="0" w:color="auto"/>
            </w:tcBorders>
            <w:shd w:val="clear" w:color="auto" w:fill="1F5C99"/>
            <w:vAlign w:val="center"/>
            <w:hideMark/>
          </w:tcPr>
          <w:p w14:paraId="4BDFED36" w14:textId="77777777" w:rsidR="00703742" w:rsidRPr="00C8206E" w:rsidRDefault="00703742" w:rsidP="00C8206E">
            <w:pPr>
              <w:spacing w:after="0" w:line="360" w:lineRule="auto"/>
              <w:jc w:val="center"/>
              <w:rPr>
                <w:rFonts w:ascii="Arial" w:hAnsi="Arial" w:cs="Arial"/>
                <w:color w:val="FFFFFF" w:themeColor="background1"/>
                <w:lang w:val="en-IN"/>
              </w:rPr>
            </w:pPr>
            <w:r w:rsidRPr="00C8206E">
              <w:rPr>
                <w:rFonts w:ascii="Arial" w:hAnsi="Arial" w:cs="Arial"/>
                <w:b/>
                <w:bCs/>
                <w:color w:val="FFFFFF" w:themeColor="background1"/>
                <w:lang w:val="en-IN"/>
              </w:rPr>
              <w:t>Year</w:t>
            </w:r>
          </w:p>
        </w:tc>
        <w:tc>
          <w:tcPr>
            <w:tcW w:w="2141" w:type="dxa"/>
            <w:tcBorders>
              <w:top w:val="single" w:sz="4" w:space="0" w:color="auto"/>
              <w:left w:val="single" w:sz="4" w:space="0" w:color="auto"/>
              <w:bottom w:val="single" w:sz="6" w:space="0" w:color="1F5C99"/>
              <w:right w:val="single" w:sz="4" w:space="0" w:color="auto"/>
            </w:tcBorders>
            <w:shd w:val="clear" w:color="auto" w:fill="1F5C99"/>
            <w:vAlign w:val="center"/>
            <w:hideMark/>
          </w:tcPr>
          <w:p w14:paraId="689C0582" w14:textId="77777777" w:rsidR="00703742" w:rsidRPr="00C8206E" w:rsidRDefault="00703742" w:rsidP="00C8206E">
            <w:pPr>
              <w:spacing w:after="0" w:line="360" w:lineRule="auto"/>
              <w:jc w:val="center"/>
              <w:rPr>
                <w:rFonts w:ascii="Arial" w:hAnsi="Arial" w:cs="Arial"/>
                <w:color w:val="FFFFFF" w:themeColor="background1"/>
                <w:lang w:val="en-IN"/>
              </w:rPr>
            </w:pPr>
            <w:r w:rsidRPr="00C8206E">
              <w:rPr>
                <w:rFonts w:ascii="Arial" w:hAnsi="Arial" w:cs="Arial"/>
                <w:b/>
                <w:bCs/>
                <w:color w:val="FFFFFF" w:themeColor="background1"/>
                <w:lang w:val="en-IN"/>
              </w:rPr>
              <w:t>Policy / Document</w:t>
            </w:r>
          </w:p>
        </w:tc>
        <w:tc>
          <w:tcPr>
            <w:tcW w:w="3289" w:type="dxa"/>
            <w:tcBorders>
              <w:top w:val="single" w:sz="4" w:space="0" w:color="auto"/>
              <w:left w:val="single" w:sz="4" w:space="0" w:color="auto"/>
              <w:bottom w:val="single" w:sz="6" w:space="0" w:color="1F5C99"/>
              <w:right w:val="single" w:sz="4" w:space="0" w:color="auto"/>
            </w:tcBorders>
            <w:shd w:val="clear" w:color="auto" w:fill="1F5C99"/>
            <w:vAlign w:val="center"/>
            <w:hideMark/>
          </w:tcPr>
          <w:p w14:paraId="448C44B6" w14:textId="77777777" w:rsidR="00703742" w:rsidRPr="00C8206E" w:rsidRDefault="00703742" w:rsidP="00C8206E">
            <w:pPr>
              <w:spacing w:after="0" w:line="360" w:lineRule="auto"/>
              <w:jc w:val="center"/>
              <w:rPr>
                <w:rFonts w:ascii="Arial" w:hAnsi="Arial" w:cs="Arial"/>
                <w:color w:val="FFFFFF" w:themeColor="background1"/>
                <w:lang w:val="en-IN"/>
              </w:rPr>
            </w:pPr>
            <w:r w:rsidRPr="00C8206E">
              <w:rPr>
                <w:rFonts w:ascii="Arial" w:hAnsi="Arial" w:cs="Arial"/>
                <w:b/>
                <w:bCs/>
                <w:color w:val="FFFFFF" w:themeColor="background1"/>
                <w:lang w:val="en-IN"/>
              </w:rPr>
              <w:t>Key Commitment</w:t>
            </w:r>
          </w:p>
        </w:tc>
        <w:tc>
          <w:tcPr>
            <w:tcW w:w="2587" w:type="dxa"/>
            <w:tcBorders>
              <w:top w:val="single" w:sz="4" w:space="0" w:color="auto"/>
              <w:left w:val="single" w:sz="4" w:space="0" w:color="auto"/>
              <w:bottom w:val="single" w:sz="6" w:space="0" w:color="1F5C99"/>
              <w:right w:val="single" w:sz="4" w:space="0" w:color="auto"/>
            </w:tcBorders>
            <w:shd w:val="clear" w:color="auto" w:fill="1F5C99"/>
            <w:vAlign w:val="center"/>
            <w:hideMark/>
          </w:tcPr>
          <w:p w14:paraId="5434D6F4" w14:textId="77777777" w:rsidR="00703742" w:rsidRPr="00C8206E" w:rsidRDefault="00703742" w:rsidP="00C8206E">
            <w:pPr>
              <w:spacing w:after="0" w:line="360" w:lineRule="auto"/>
              <w:jc w:val="center"/>
              <w:rPr>
                <w:rFonts w:ascii="Arial" w:hAnsi="Arial" w:cs="Arial"/>
                <w:color w:val="FFFFFF" w:themeColor="background1"/>
                <w:lang w:val="en-IN"/>
              </w:rPr>
            </w:pPr>
            <w:r w:rsidRPr="00C8206E">
              <w:rPr>
                <w:rFonts w:ascii="Arial" w:hAnsi="Arial" w:cs="Arial"/>
                <w:b/>
                <w:bCs/>
                <w:color w:val="FFFFFF" w:themeColor="background1"/>
                <w:lang w:val="en-IN"/>
              </w:rPr>
              <w:t>Outcome</w:t>
            </w:r>
          </w:p>
        </w:tc>
      </w:tr>
      <w:tr w:rsidR="00703742" w:rsidRPr="00C8206E" w14:paraId="6FE79A51" w14:textId="77777777" w:rsidTr="007210BD">
        <w:trPr>
          <w:jc w:val="center"/>
        </w:trPr>
        <w:tc>
          <w:tcPr>
            <w:tcW w:w="1050" w:type="dxa"/>
            <w:tcBorders>
              <w:top w:val="single" w:sz="2" w:space="0" w:color="D0D0D0"/>
              <w:left w:val="single" w:sz="4" w:space="0" w:color="auto"/>
              <w:bottom w:val="single" w:sz="2" w:space="0" w:color="D0D0D0"/>
              <w:right w:val="single" w:sz="4" w:space="0" w:color="auto"/>
            </w:tcBorders>
            <w:shd w:val="clear" w:color="auto" w:fill="FFFFFF"/>
            <w:hideMark/>
          </w:tcPr>
          <w:p w14:paraId="1B9664DE"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2015</w:t>
            </w:r>
          </w:p>
        </w:tc>
        <w:tc>
          <w:tcPr>
            <w:tcW w:w="2141" w:type="dxa"/>
            <w:tcBorders>
              <w:top w:val="single" w:sz="2" w:space="0" w:color="D0D0D0"/>
              <w:left w:val="single" w:sz="4" w:space="0" w:color="auto"/>
              <w:bottom w:val="single" w:sz="2" w:space="0" w:color="D0D0D0"/>
              <w:right w:val="single" w:sz="4" w:space="0" w:color="auto"/>
            </w:tcBorders>
            <w:shd w:val="clear" w:color="auto" w:fill="FFFFFF"/>
            <w:hideMark/>
          </w:tcPr>
          <w:p w14:paraId="73A84F7E"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Future in Mind</w:t>
            </w:r>
          </w:p>
          <w:p w14:paraId="1AFE937B"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Foundation</w:t>
            </w:r>
          </w:p>
        </w:tc>
        <w:tc>
          <w:tcPr>
            <w:tcW w:w="3289" w:type="dxa"/>
            <w:tcBorders>
              <w:top w:val="single" w:sz="2" w:space="0" w:color="D0D0D0"/>
              <w:left w:val="single" w:sz="4" w:space="0" w:color="auto"/>
              <w:bottom w:val="single" w:sz="2" w:space="0" w:color="D0D0D0"/>
              <w:right w:val="single" w:sz="4" w:space="0" w:color="auto"/>
            </w:tcBorders>
            <w:shd w:val="clear" w:color="auto" w:fill="FFFFFF"/>
            <w:hideMark/>
          </w:tcPr>
          <w:p w14:paraId="336C8F28"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Dept. of Health and NHS England. Set out 49 recommendations to transform CYP mental health, with waiting times, access inequity, and commissioning identified as priority concerns.</w:t>
            </w:r>
          </w:p>
        </w:tc>
        <w:tc>
          <w:tcPr>
            <w:tcW w:w="2587" w:type="dxa"/>
            <w:tcBorders>
              <w:top w:val="single" w:sz="2" w:space="0" w:color="D0D0D0"/>
              <w:left w:val="single" w:sz="4" w:space="0" w:color="auto"/>
              <w:bottom w:val="single" w:sz="2" w:space="0" w:color="D0D0D0"/>
              <w:right w:val="single" w:sz="4" w:space="0" w:color="auto"/>
            </w:tcBorders>
            <w:shd w:val="clear" w:color="auto" w:fill="FFFFFF"/>
            <w:hideMark/>
          </w:tcPr>
          <w:p w14:paraId="66BCB138"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Established the national reform agenda. Formed the basis for subsequent investment and policy development.</w:t>
            </w:r>
          </w:p>
        </w:tc>
      </w:tr>
      <w:tr w:rsidR="00703742" w:rsidRPr="00C8206E" w14:paraId="78E022AF" w14:textId="77777777" w:rsidTr="007210BD">
        <w:trPr>
          <w:jc w:val="center"/>
        </w:trPr>
        <w:tc>
          <w:tcPr>
            <w:tcW w:w="1050" w:type="dxa"/>
            <w:tcBorders>
              <w:top w:val="single" w:sz="2" w:space="0" w:color="D0D0D0"/>
              <w:left w:val="single" w:sz="4" w:space="0" w:color="auto"/>
              <w:bottom w:val="single" w:sz="2" w:space="0" w:color="D0D0D0"/>
              <w:right w:val="single" w:sz="4" w:space="0" w:color="auto"/>
            </w:tcBorders>
            <w:shd w:val="clear" w:color="auto" w:fill="EAF2FB"/>
            <w:hideMark/>
          </w:tcPr>
          <w:p w14:paraId="231801A0"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2016</w:t>
            </w:r>
          </w:p>
        </w:tc>
        <w:tc>
          <w:tcPr>
            <w:tcW w:w="2141" w:type="dxa"/>
            <w:tcBorders>
              <w:top w:val="single" w:sz="2" w:space="0" w:color="D0D0D0"/>
              <w:left w:val="single" w:sz="4" w:space="0" w:color="auto"/>
              <w:bottom w:val="single" w:sz="2" w:space="0" w:color="D0D0D0"/>
              <w:right w:val="single" w:sz="4" w:space="0" w:color="auto"/>
            </w:tcBorders>
            <w:shd w:val="clear" w:color="auto" w:fill="EAF2FB"/>
            <w:hideMark/>
          </w:tcPr>
          <w:p w14:paraId="6B0315B0"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Five Year Forward View for Mental Health</w:t>
            </w:r>
          </w:p>
          <w:p w14:paraId="7063F479"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Investment</w:t>
            </w:r>
          </w:p>
        </w:tc>
        <w:tc>
          <w:tcPr>
            <w:tcW w:w="3289" w:type="dxa"/>
            <w:tcBorders>
              <w:top w:val="single" w:sz="2" w:space="0" w:color="D0D0D0"/>
              <w:left w:val="single" w:sz="4" w:space="0" w:color="auto"/>
              <w:bottom w:val="single" w:sz="2" w:space="0" w:color="D0D0D0"/>
              <w:right w:val="single" w:sz="4" w:space="0" w:color="auto"/>
            </w:tcBorders>
            <w:shd w:val="clear" w:color="auto" w:fill="EAF2FB"/>
            <w:hideMark/>
          </w:tcPr>
          <w:p w14:paraId="45A6C9C2"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NHS England. Positioned CYP mental health as a national priority and committed to parity of esteem between mental and physical health investment.</w:t>
            </w:r>
          </w:p>
        </w:tc>
        <w:tc>
          <w:tcPr>
            <w:tcW w:w="2587" w:type="dxa"/>
            <w:tcBorders>
              <w:top w:val="single" w:sz="2" w:space="0" w:color="D0D0D0"/>
              <w:left w:val="single" w:sz="4" w:space="0" w:color="auto"/>
              <w:bottom w:val="single" w:sz="2" w:space="0" w:color="D0D0D0"/>
              <w:right w:val="single" w:sz="4" w:space="0" w:color="auto"/>
            </w:tcBorders>
            <w:shd w:val="clear" w:color="auto" w:fill="EAF2FB"/>
            <w:hideMark/>
          </w:tcPr>
          <w:p w14:paraId="2A96DE6F"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Drove increased NHS mental health investment. Total mental health contacts rose from 3.6m (2016–17) to 4.5m (2021–22).</w:t>
            </w:r>
          </w:p>
        </w:tc>
      </w:tr>
      <w:tr w:rsidR="00703742" w:rsidRPr="00C8206E" w14:paraId="317C96CC" w14:textId="77777777" w:rsidTr="007210BD">
        <w:trPr>
          <w:jc w:val="center"/>
        </w:trPr>
        <w:tc>
          <w:tcPr>
            <w:tcW w:w="1050" w:type="dxa"/>
            <w:tcBorders>
              <w:top w:val="single" w:sz="2" w:space="0" w:color="D0D0D0"/>
              <w:left w:val="single" w:sz="4" w:space="0" w:color="auto"/>
              <w:bottom w:val="single" w:sz="2" w:space="0" w:color="D0D0D0"/>
              <w:right w:val="single" w:sz="4" w:space="0" w:color="auto"/>
            </w:tcBorders>
            <w:shd w:val="clear" w:color="auto" w:fill="FFFFFF"/>
            <w:hideMark/>
          </w:tcPr>
          <w:p w14:paraId="499F9606"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2017</w:t>
            </w:r>
          </w:p>
        </w:tc>
        <w:tc>
          <w:tcPr>
            <w:tcW w:w="2141" w:type="dxa"/>
            <w:tcBorders>
              <w:top w:val="single" w:sz="2" w:space="0" w:color="D0D0D0"/>
              <w:left w:val="single" w:sz="4" w:space="0" w:color="auto"/>
              <w:bottom w:val="single" w:sz="2" w:space="0" w:color="D0D0D0"/>
              <w:right w:val="single" w:sz="4" w:space="0" w:color="auto"/>
            </w:tcBorders>
            <w:shd w:val="clear" w:color="auto" w:fill="FFFFFF"/>
            <w:hideMark/>
          </w:tcPr>
          <w:p w14:paraId="0A4B472A"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Transforming CYP Mental Health: Green Paper</w:t>
            </w:r>
          </w:p>
          <w:p w14:paraId="04F5C7B7"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Schools</w:t>
            </w:r>
          </w:p>
        </w:tc>
        <w:tc>
          <w:tcPr>
            <w:tcW w:w="3289" w:type="dxa"/>
            <w:tcBorders>
              <w:top w:val="single" w:sz="2" w:space="0" w:color="D0D0D0"/>
              <w:left w:val="single" w:sz="4" w:space="0" w:color="auto"/>
              <w:bottom w:val="single" w:sz="2" w:space="0" w:color="D0D0D0"/>
              <w:right w:val="single" w:sz="4" w:space="0" w:color="auto"/>
            </w:tcBorders>
            <w:shd w:val="clear" w:color="auto" w:fill="FFFFFF"/>
            <w:hideMark/>
          </w:tcPr>
          <w:p w14:paraId="63FB6675"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DHSC and DfE. Introduced Mental Health Support Teams (MHSTs) in schools and 4-week waiting-time trailblazer pilots in selected areas.</w:t>
            </w:r>
          </w:p>
        </w:tc>
        <w:tc>
          <w:tcPr>
            <w:tcW w:w="2587" w:type="dxa"/>
            <w:tcBorders>
              <w:top w:val="single" w:sz="2" w:space="0" w:color="D0D0D0"/>
              <w:left w:val="single" w:sz="4" w:space="0" w:color="auto"/>
              <w:bottom w:val="single" w:sz="2" w:space="0" w:color="D0D0D0"/>
              <w:right w:val="single" w:sz="4" w:space="0" w:color="auto"/>
            </w:tcBorders>
            <w:shd w:val="clear" w:color="auto" w:fill="FFFFFF"/>
            <w:hideMark/>
          </w:tcPr>
          <w:p w14:paraId="3E969270"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MHSTs expanded but implementation constrained by workforce and commissioning limitations (Ellins et al., 2023).</w:t>
            </w:r>
          </w:p>
        </w:tc>
      </w:tr>
      <w:tr w:rsidR="00703742" w:rsidRPr="00C8206E" w14:paraId="15D1C483" w14:textId="77777777" w:rsidTr="007210BD">
        <w:trPr>
          <w:jc w:val="center"/>
        </w:trPr>
        <w:tc>
          <w:tcPr>
            <w:tcW w:w="1050" w:type="dxa"/>
            <w:tcBorders>
              <w:top w:val="single" w:sz="2" w:space="0" w:color="D0D0D0"/>
              <w:left w:val="single" w:sz="4" w:space="0" w:color="auto"/>
              <w:bottom w:val="single" w:sz="2" w:space="0" w:color="D0D0D0"/>
              <w:right w:val="single" w:sz="4" w:space="0" w:color="auto"/>
            </w:tcBorders>
            <w:shd w:val="clear" w:color="auto" w:fill="EAF2FB"/>
            <w:hideMark/>
          </w:tcPr>
          <w:p w14:paraId="13B1EE39"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2019</w:t>
            </w:r>
          </w:p>
        </w:tc>
        <w:tc>
          <w:tcPr>
            <w:tcW w:w="2141" w:type="dxa"/>
            <w:tcBorders>
              <w:top w:val="single" w:sz="2" w:space="0" w:color="D0D0D0"/>
              <w:left w:val="single" w:sz="4" w:space="0" w:color="auto"/>
              <w:bottom w:val="single" w:sz="2" w:space="0" w:color="D0D0D0"/>
              <w:right w:val="single" w:sz="4" w:space="0" w:color="auto"/>
            </w:tcBorders>
            <w:shd w:val="clear" w:color="auto" w:fill="EAF2FB"/>
            <w:hideMark/>
          </w:tcPr>
          <w:p w14:paraId="2C0CB994" w14:textId="3647DF75"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 xml:space="preserve">NHS </w:t>
            </w:r>
            <w:r w:rsidR="00204059">
              <w:rPr>
                <w:rFonts w:ascii="Arial" w:hAnsi="Arial" w:cs="Arial"/>
                <w:b/>
                <w:bCs/>
                <w:sz w:val="22"/>
                <w:szCs w:val="22"/>
                <w:lang w:val="en-IN"/>
              </w:rPr>
              <w:t>Long-Term Plan</w:t>
            </w:r>
          </w:p>
          <w:p w14:paraId="7F38376E"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Major commitment</w:t>
            </w:r>
          </w:p>
        </w:tc>
        <w:tc>
          <w:tcPr>
            <w:tcW w:w="3289" w:type="dxa"/>
            <w:tcBorders>
              <w:top w:val="single" w:sz="2" w:space="0" w:color="D0D0D0"/>
              <w:left w:val="single" w:sz="4" w:space="0" w:color="auto"/>
              <w:bottom w:val="single" w:sz="2" w:space="0" w:color="D0D0D0"/>
              <w:right w:val="single" w:sz="4" w:space="0" w:color="auto"/>
            </w:tcBorders>
            <w:shd w:val="clear" w:color="auto" w:fill="EAF2FB"/>
            <w:hideMark/>
          </w:tcPr>
          <w:p w14:paraId="2AB380E8"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NHS England. Committed to 345,000 additional children and young people accessing mental health support by 2023–24; introduced a 4-week waiting-time standard for new CAMHS referrals.</w:t>
            </w:r>
          </w:p>
        </w:tc>
        <w:tc>
          <w:tcPr>
            <w:tcW w:w="2587" w:type="dxa"/>
            <w:tcBorders>
              <w:top w:val="single" w:sz="2" w:space="0" w:color="D0D0D0"/>
              <w:left w:val="single" w:sz="4" w:space="0" w:color="auto"/>
              <w:bottom w:val="single" w:sz="2" w:space="0" w:color="D0D0D0"/>
              <w:right w:val="single" w:sz="4" w:space="0" w:color="auto"/>
            </w:tcBorders>
            <w:shd w:val="clear" w:color="auto" w:fill="EAF2FB"/>
            <w:hideMark/>
          </w:tcPr>
          <w:p w14:paraId="43650731"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Four-week standard introduced but met by only 45% of children nationally in 2023–24 (Children's Commissioner, 2025).</w:t>
            </w:r>
          </w:p>
        </w:tc>
      </w:tr>
      <w:tr w:rsidR="00703742" w:rsidRPr="00C8206E" w14:paraId="5190EE5E" w14:textId="77777777" w:rsidTr="007210BD">
        <w:trPr>
          <w:jc w:val="center"/>
        </w:trPr>
        <w:tc>
          <w:tcPr>
            <w:tcW w:w="1050" w:type="dxa"/>
            <w:tcBorders>
              <w:top w:val="single" w:sz="2" w:space="0" w:color="D0D0D0"/>
              <w:left w:val="single" w:sz="4" w:space="0" w:color="auto"/>
              <w:bottom w:val="single" w:sz="2" w:space="0" w:color="D0D0D0"/>
              <w:right w:val="single" w:sz="4" w:space="0" w:color="auto"/>
            </w:tcBorders>
            <w:shd w:val="clear" w:color="auto" w:fill="FFFFFF"/>
            <w:hideMark/>
          </w:tcPr>
          <w:p w14:paraId="2B6C83AC"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2019</w:t>
            </w:r>
          </w:p>
        </w:tc>
        <w:tc>
          <w:tcPr>
            <w:tcW w:w="2141" w:type="dxa"/>
            <w:tcBorders>
              <w:top w:val="single" w:sz="2" w:space="0" w:color="D0D0D0"/>
              <w:left w:val="single" w:sz="4" w:space="0" w:color="auto"/>
              <w:bottom w:val="single" w:sz="2" w:space="0" w:color="D0D0D0"/>
              <w:right w:val="single" w:sz="4" w:space="0" w:color="auto"/>
            </w:tcBorders>
            <w:shd w:val="clear" w:color="auto" w:fill="FFFFFF"/>
            <w:hideMark/>
          </w:tcPr>
          <w:p w14:paraId="7D042C28"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NHS Mental Health Implementation Plan 2019/20–2023/24</w:t>
            </w:r>
          </w:p>
          <w:p w14:paraId="241EF019"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lastRenderedPageBreak/>
              <w:t>Delivery plan</w:t>
            </w:r>
          </w:p>
        </w:tc>
        <w:tc>
          <w:tcPr>
            <w:tcW w:w="3289" w:type="dxa"/>
            <w:tcBorders>
              <w:top w:val="single" w:sz="2" w:space="0" w:color="D0D0D0"/>
              <w:left w:val="single" w:sz="4" w:space="0" w:color="auto"/>
              <w:bottom w:val="single" w:sz="2" w:space="0" w:color="D0D0D0"/>
              <w:right w:val="single" w:sz="4" w:space="0" w:color="auto"/>
            </w:tcBorders>
            <w:shd w:val="clear" w:color="auto" w:fill="FFFFFF"/>
            <w:hideMark/>
          </w:tcPr>
          <w:p w14:paraId="51EDA268" w14:textId="06E8F0D5"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lastRenderedPageBreak/>
              <w:t xml:space="preserve">NHS England. Provided phased annual delivery milestones for the </w:t>
            </w:r>
            <w:r w:rsidR="00204059">
              <w:rPr>
                <w:rFonts w:ascii="Arial" w:hAnsi="Arial" w:cs="Arial"/>
                <w:sz w:val="22"/>
                <w:szCs w:val="22"/>
                <w:lang w:val="en-IN"/>
              </w:rPr>
              <w:t>Long-Term Plan</w:t>
            </w:r>
            <w:r w:rsidRPr="00C8206E">
              <w:rPr>
                <w:rFonts w:ascii="Arial" w:hAnsi="Arial" w:cs="Arial"/>
                <w:sz w:val="22"/>
                <w:szCs w:val="22"/>
                <w:lang w:val="en-IN"/>
              </w:rPr>
              <w:t xml:space="preserve">, including </w:t>
            </w:r>
            <w:r w:rsidRPr="00C8206E">
              <w:rPr>
                <w:rFonts w:ascii="Arial" w:hAnsi="Arial" w:cs="Arial"/>
                <w:sz w:val="22"/>
                <w:szCs w:val="22"/>
                <w:lang w:val="en-IN"/>
              </w:rPr>
              <w:lastRenderedPageBreak/>
              <w:t>workforce expansion targets and access standard timelines.</w:t>
            </w:r>
          </w:p>
        </w:tc>
        <w:tc>
          <w:tcPr>
            <w:tcW w:w="2587" w:type="dxa"/>
            <w:tcBorders>
              <w:top w:val="single" w:sz="2" w:space="0" w:color="D0D0D0"/>
              <w:left w:val="single" w:sz="4" w:space="0" w:color="auto"/>
              <w:bottom w:val="single" w:sz="2" w:space="0" w:color="D0D0D0"/>
              <w:right w:val="single" w:sz="4" w:space="0" w:color="auto"/>
            </w:tcBorders>
            <w:shd w:val="clear" w:color="auto" w:fill="FFFFFF"/>
            <w:hideMark/>
          </w:tcPr>
          <w:p w14:paraId="247C59E2"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lastRenderedPageBreak/>
              <w:t xml:space="preserve">Workforce targets not met. NAO (2023) found waiting-time standards for </w:t>
            </w:r>
            <w:r w:rsidRPr="00C8206E">
              <w:rPr>
                <w:rFonts w:ascii="Arial" w:hAnsi="Arial" w:cs="Arial"/>
                <w:sz w:val="22"/>
                <w:szCs w:val="22"/>
                <w:lang w:val="en-IN"/>
              </w:rPr>
              <w:lastRenderedPageBreak/>
              <w:t>CYP not achieved at national level.</w:t>
            </w:r>
          </w:p>
        </w:tc>
      </w:tr>
      <w:tr w:rsidR="00703742" w:rsidRPr="00C8206E" w14:paraId="19A6BCA3" w14:textId="77777777" w:rsidTr="007210BD">
        <w:trPr>
          <w:jc w:val="center"/>
        </w:trPr>
        <w:tc>
          <w:tcPr>
            <w:tcW w:w="1050" w:type="dxa"/>
            <w:tcBorders>
              <w:top w:val="single" w:sz="2" w:space="0" w:color="D0D0D0"/>
              <w:left w:val="single" w:sz="4" w:space="0" w:color="auto"/>
              <w:bottom w:val="single" w:sz="2" w:space="0" w:color="D0D0D0"/>
              <w:right w:val="single" w:sz="4" w:space="0" w:color="auto"/>
            </w:tcBorders>
            <w:shd w:val="clear" w:color="auto" w:fill="FFF8EC"/>
            <w:hideMark/>
          </w:tcPr>
          <w:p w14:paraId="40157FFD"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lastRenderedPageBreak/>
              <w:t>2023–25</w:t>
            </w:r>
          </w:p>
        </w:tc>
        <w:tc>
          <w:tcPr>
            <w:tcW w:w="2141" w:type="dxa"/>
            <w:tcBorders>
              <w:top w:val="single" w:sz="2" w:space="0" w:color="D0D0D0"/>
              <w:left w:val="single" w:sz="4" w:space="0" w:color="auto"/>
              <w:bottom w:val="single" w:sz="2" w:space="0" w:color="D0D0D0"/>
              <w:right w:val="single" w:sz="4" w:space="0" w:color="auto"/>
            </w:tcBorders>
            <w:shd w:val="clear" w:color="auto" w:fill="FFF8EC"/>
            <w:hideMark/>
          </w:tcPr>
          <w:p w14:paraId="13DBDFB5"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Implementation gap — targets not met</w:t>
            </w:r>
          </w:p>
          <w:p w14:paraId="7521F193"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b/>
                <w:bCs/>
                <w:sz w:val="22"/>
                <w:szCs w:val="22"/>
                <w:lang w:val="en-IN"/>
              </w:rPr>
              <w:t>Gap persists</w:t>
            </w:r>
          </w:p>
        </w:tc>
        <w:tc>
          <w:tcPr>
            <w:tcW w:w="3289" w:type="dxa"/>
            <w:tcBorders>
              <w:top w:val="single" w:sz="2" w:space="0" w:color="D0D0D0"/>
              <w:left w:val="single" w:sz="4" w:space="0" w:color="auto"/>
              <w:bottom w:val="single" w:sz="2" w:space="0" w:color="D0D0D0"/>
              <w:right w:val="single" w:sz="4" w:space="0" w:color="auto"/>
            </w:tcBorders>
            <w:shd w:val="clear" w:color="auto" w:fill="FFF8EC"/>
            <w:hideMark/>
          </w:tcPr>
          <w:p w14:paraId="323D97E7" w14:textId="77777777"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Children's Commissioner (2025): 958,200 active referrals; 320,000 still awaiting treatment; only 45% seen in 4 weeks. 60,000 crisis referrals. BMA (2025): 385,540 waiting; +14.4% year-on-year.</w:t>
            </w:r>
          </w:p>
        </w:tc>
        <w:tc>
          <w:tcPr>
            <w:tcW w:w="2587" w:type="dxa"/>
            <w:tcBorders>
              <w:top w:val="single" w:sz="2" w:space="0" w:color="D0D0D0"/>
              <w:left w:val="single" w:sz="4" w:space="0" w:color="auto"/>
              <w:bottom w:val="single" w:sz="2" w:space="0" w:color="D0D0D0"/>
              <w:right w:val="single" w:sz="4" w:space="0" w:color="auto"/>
            </w:tcBorders>
            <w:shd w:val="clear" w:color="auto" w:fill="FFF8EC"/>
            <w:hideMark/>
          </w:tcPr>
          <w:p w14:paraId="7FF94A5D" w14:textId="35D197CC" w:rsidR="00703742" w:rsidRPr="00C8206E" w:rsidRDefault="00703742" w:rsidP="00C8206E">
            <w:pPr>
              <w:spacing w:after="0" w:line="360" w:lineRule="auto"/>
              <w:rPr>
                <w:rFonts w:ascii="Arial" w:hAnsi="Arial" w:cs="Arial"/>
                <w:sz w:val="22"/>
                <w:szCs w:val="22"/>
                <w:lang w:val="en-IN"/>
              </w:rPr>
            </w:pPr>
            <w:r w:rsidRPr="00C8206E">
              <w:rPr>
                <w:rFonts w:ascii="Arial" w:hAnsi="Arial" w:cs="Arial"/>
                <w:sz w:val="22"/>
                <w:szCs w:val="22"/>
                <w:lang w:val="en-IN"/>
              </w:rPr>
              <w:t xml:space="preserve">17-fold ICB variation in waiting times (6 to 103 days). 75% of children with a mental health problem </w:t>
            </w:r>
            <w:r w:rsidR="00532ADF">
              <w:rPr>
                <w:rFonts w:ascii="Arial" w:hAnsi="Arial" w:cs="Arial"/>
                <w:sz w:val="22"/>
                <w:szCs w:val="22"/>
                <w:lang w:val="en-IN"/>
              </w:rPr>
              <w:t xml:space="preserve">are </w:t>
            </w:r>
            <w:r w:rsidRPr="00C8206E">
              <w:rPr>
                <w:rFonts w:ascii="Arial" w:hAnsi="Arial" w:cs="Arial"/>
                <w:sz w:val="22"/>
                <w:szCs w:val="22"/>
                <w:lang w:val="en-IN"/>
              </w:rPr>
              <w:t>not in treatment (Hudson, 2019).</w:t>
            </w:r>
          </w:p>
        </w:tc>
      </w:tr>
    </w:tbl>
    <w:p w14:paraId="4A9B8789" w14:textId="0C3AEFD5" w:rsidR="00703742" w:rsidRPr="00C8206E" w:rsidRDefault="00703742" w:rsidP="005124CB">
      <w:pPr>
        <w:spacing w:after="0" w:line="240" w:lineRule="auto"/>
        <w:jc w:val="both"/>
        <w:rPr>
          <w:rFonts w:ascii="Arial" w:hAnsi="Arial" w:cs="Arial"/>
          <w:b/>
          <w:bCs/>
          <w:lang w:val="en-IN"/>
        </w:rPr>
      </w:pPr>
      <w:r w:rsidRPr="005124CB">
        <w:rPr>
          <w:rFonts w:ascii="Arial" w:hAnsi="Arial" w:cs="Arial"/>
          <w:sz w:val="20"/>
          <w:szCs w:val="20"/>
          <w:lang w:val="en-IN"/>
        </w:rPr>
        <w:t>Sources:</w:t>
      </w:r>
      <w:r w:rsidRPr="005124CB">
        <w:rPr>
          <w:rFonts w:ascii="Arial" w:hAnsi="Arial" w:cs="Arial"/>
          <w:b/>
          <w:bCs/>
          <w:sz w:val="20"/>
          <w:szCs w:val="20"/>
          <w:lang w:val="en-IN"/>
        </w:rPr>
        <w:t xml:space="preserve"> </w:t>
      </w:r>
      <w:r w:rsidRPr="005124CB">
        <w:rPr>
          <w:rFonts w:ascii="Arial" w:hAnsi="Arial" w:cs="Arial"/>
          <w:sz w:val="20"/>
          <w:szCs w:val="20"/>
          <w:lang w:val="en-IN"/>
        </w:rPr>
        <w:t>Department of Health and NHS England (2015); NHS England (2016, 2019, 2019b); Department of Health and Social Care and Department for Education (2017); House of Commons Library (2024); Children's Commissioner for England (2025); British Medical Association (2025).</w:t>
      </w:r>
    </w:p>
    <w:p w14:paraId="4BAB6591" w14:textId="77777777" w:rsidR="00703742" w:rsidRPr="00C8206E" w:rsidRDefault="00703742" w:rsidP="00C8206E">
      <w:pPr>
        <w:spacing w:after="0" w:line="360" w:lineRule="auto"/>
        <w:jc w:val="both"/>
        <w:rPr>
          <w:rFonts w:ascii="Arial" w:hAnsi="Arial" w:cs="Arial"/>
          <w:lang w:val="en-IN"/>
        </w:rPr>
      </w:pPr>
    </w:p>
    <w:p w14:paraId="09643A81" w14:textId="77777777" w:rsidR="00703742" w:rsidRPr="00C8206E" w:rsidRDefault="00703742" w:rsidP="00892D94">
      <w:pPr>
        <w:pStyle w:val="Heading2"/>
      </w:pPr>
      <w:bookmarkStart w:id="10" w:name="_Toc241025628"/>
      <w:r w:rsidRPr="00C8206E">
        <w:t>1.3 Research Question</w:t>
      </w:r>
      <w:bookmarkEnd w:id="10"/>
    </w:p>
    <w:p w14:paraId="65251DA2" w14:textId="77777777" w:rsidR="00703742" w:rsidRPr="00C8206E" w:rsidRDefault="00703742" w:rsidP="00C8206E">
      <w:pPr>
        <w:spacing w:after="0" w:line="360" w:lineRule="auto"/>
        <w:jc w:val="both"/>
        <w:rPr>
          <w:rFonts w:ascii="Arial" w:hAnsi="Arial" w:cs="Arial"/>
          <w:lang w:val="en-IN"/>
        </w:rPr>
      </w:pPr>
      <w:r w:rsidRPr="00C8206E">
        <w:rPr>
          <w:rFonts w:ascii="Arial" w:hAnsi="Arial" w:cs="Arial"/>
          <w:lang w:val="en-IN"/>
        </w:rPr>
        <w:t>The general research question that will guide this systematic review is as follows: What are the barriers (systemic, organisational, and policy-related) to long waiting times in Child and Adolescent Mental Health Services (CAMHS) in England, and what interventions can effectively reduce these delays?</w:t>
      </w:r>
    </w:p>
    <w:p w14:paraId="5BEEC796" w14:textId="77777777" w:rsidR="00703742" w:rsidRPr="00C8206E" w:rsidRDefault="00703742" w:rsidP="00C8206E">
      <w:pPr>
        <w:spacing w:after="0" w:line="360" w:lineRule="auto"/>
        <w:jc w:val="both"/>
        <w:rPr>
          <w:rFonts w:ascii="Arial" w:hAnsi="Arial" w:cs="Arial"/>
          <w:lang w:val="en-IN"/>
        </w:rPr>
      </w:pPr>
    </w:p>
    <w:p w14:paraId="726BA95E" w14:textId="77777777" w:rsidR="00703742" w:rsidRPr="00C8206E" w:rsidRDefault="00703742" w:rsidP="00892D94">
      <w:pPr>
        <w:pStyle w:val="Heading2"/>
      </w:pPr>
      <w:bookmarkStart w:id="11" w:name="_Toc241025629"/>
      <w:r w:rsidRPr="00C8206E">
        <w:t>1.4 Rationale and Significance of the Study</w:t>
      </w:r>
      <w:bookmarkEnd w:id="11"/>
    </w:p>
    <w:p w14:paraId="274D8039" w14:textId="137C0319" w:rsidR="00703742" w:rsidRPr="00C8206E" w:rsidRDefault="00703742" w:rsidP="00C8206E">
      <w:pPr>
        <w:spacing w:after="0" w:line="360" w:lineRule="auto"/>
        <w:jc w:val="both"/>
        <w:rPr>
          <w:rFonts w:ascii="Arial" w:hAnsi="Arial" w:cs="Arial"/>
          <w:lang w:val="en-IN"/>
        </w:rPr>
      </w:pPr>
      <w:r w:rsidRPr="00C8206E">
        <w:rPr>
          <w:rFonts w:ascii="Arial" w:hAnsi="Arial" w:cs="Arial"/>
          <w:lang w:val="en-IN"/>
        </w:rPr>
        <w:t xml:space="preserve">Although there exists a considerable and expanding body of literature on individual factors relating to CAMHS access, such as workforce shortages, discrepancies in referral thresholds, and commissioning fragmentation, no previous research has developed a systematic, quality-assessed, mixed-methods synthesis of the systemic, organisational, and policy-related factors that result in long waiting times in CAMHS in England. Current evidence is methodologically diverse, temporally disjointed and generally restricted to single barrier categories that are studied individually. This paper fills this gap by conducting a systematic review that meets the standards of PRISMA 2020 (Page et al., 2021), synthesising the evidence of studies on qualitative, quantitative, and grey literature published </w:t>
      </w:r>
      <w:r w:rsidR="00532ADF">
        <w:rPr>
          <w:rFonts w:ascii="Arial" w:hAnsi="Arial" w:cs="Arial"/>
          <w:lang w:val="en-IN"/>
        </w:rPr>
        <w:t>from</w:t>
      </w:r>
      <w:r w:rsidRPr="00C8206E">
        <w:rPr>
          <w:rFonts w:ascii="Arial" w:hAnsi="Arial" w:cs="Arial"/>
          <w:lang w:val="en-IN"/>
        </w:rPr>
        <w:t xml:space="preserve"> 2015 to 2025 and systematising the appraisal of the quality of all included studies. </w:t>
      </w:r>
    </w:p>
    <w:p w14:paraId="633CD4F6" w14:textId="178F94E0" w:rsidR="00703742" w:rsidRPr="00C8206E" w:rsidRDefault="00703742" w:rsidP="00C8206E">
      <w:pPr>
        <w:spacing w:after="0" w:line="360" w:lineRule="auto"/>
        <w:jc w:val="both"/>
        <w:rPr>
          <w:rFonts w:ascii="Arial" w:hAnsi="Arial" w:cs="Arial"/>
          <w:lang w:val="en-IN"/>
        </w:rPr>
      </w:pPr>
      <w:r w:rsidRPr="00C8206E">
        <w:rPr>
          <w:rFonts w:ascii="Arial" w:hAnsi="Arial" w:cs="Arial"/>
          <w:lang w:val="en-IN"/>
        </w:rPr>
        <w:t xml:space="preserve">This analysis has three levels of significance. The consolidated findings at the policy level, which include evidence based on national reform, namely, on the enforceable waiting-time standards, the rate of referral rejection that must be published and the </w:t>
      </w:r>
      <w:r w:rsidRPr="00C8206E">
        <w:rPr>
          <w:rFonts w:ascii="Arial" w:hAnsi="Arial" w:cs="Arial"/>
          <w:lang w:val="en-IN"/>
        </w:rPr>
        <w:lastRenderedPageBreak/>
        <w:t xml:space="preserve">alignment of commissioning guidance with clinical need, directly inform decisions of NHS England, Integrated Care Boards, and the Department of Health and Social Care. The intervention evidence appraisal, at the service delivery level, determines which access reforms, such as standardised referral tools, digital single points of access, and while-you-wait support, are best supported by evidence, allowing CAMHS providers and commissioners to target specific and cost-effective enhancements. This review is particularly important at the level of the target population at risk, namely children and young people: out of the 1.4 million children in England with a likely mental health disorder, fewer than half receive any specialist support (Children and Young People's Mental Health Coalition, 2024), which is why the findings are of direct relevance to the population most in need of it and the least well-provided at the same time. </w:t>
      </w:r>
    </w:p>
    <w:p w14:paraId="2FC2BB6F" w14:textId="77777777" w:rsidR="00703742" w:rsidRPr="00C8206E" w:rsidRDefault="00703742" w:rsidP="00C8206E">
      <w:pPr>
        <w:spacing w:after="0" w:line="360" w:lineRule="auto"/>
        <w:jc w:val="both"/>
        <w:rPr>
          <w:rFonts w:ascii="Arial" w:hAnsi="Arial" w:cs="Arial"/>
          <w:lang w:val="en-IN"/>
        </w:rPr>
      </w:pPr>
    </w:p>
    <w:p w14:paraId="5C9D5189" w14:textId="77777777" w:rsidR="00703742" w:rsidRPr="00C8206E" w:rsidRDefault="00703742" w:rsidP="00892D94">
      <w:pPr>
        <w:pStyle w:val="Heading2"/>
      </w:pPr>
      <w:bookmarkStart w:id="12" w:name="_Toc241025630"/>
      <w:r w:rsidRPr="00C8206E">
        <w:t>1.5 Aim of the Study</w:t>
      </w:r>
      <w:bookmarkEnd w:id="12"/>
    </w:p>
    <w:p w14:paraId="1A4DE829" w14:textId="77777777" w:rsidR="00703742" w:rsidRPr="00C8206E" w:rsidRDefault="00703742" w:rsidP="00C8206E">
      <w:pPr>
        <w:spacing w:after="0" w:line="360" w:lineRule="auto"/>
        <w:jc w:val="both"/>
        <w:rPr>
          <w:rFonts w:ascii="Arial" w:hAnsi="Arial" w:cs="Arial"/>
          <w:lang w:val="en-IN"/>
        </w:rPr>
      </w:pPr>
      <w:r w:rsidRPr="00C8206E">
        <w:rPr>
          <w:rFonts w:ascii="Arial" w:hAnsi="Arial" w:cs="Arial"/>
          <w:lang w:val="en-IN"/>
        </w:rPr>
        <w:t xml:space="preserve">The aim of this study is to critically examine the systemic, organisational, and policy-based barriers affecting long waiting times in Child and Adolescent Mental Health Services (CAMHS) in England. </w:t>
      </w:r>
    </w:p>
    <w:p w14:paraId="39D03C3F" w14:textId="77777777" w:rsidR="00703742" w:rsidRPr="00C8206E" w:rsidRDefault="00703742" w:rsidP="00C8206E">
      <w:pPr>
        <w:spacing w:after="0" w:line="360" w:lineRule="auto"/>
        <w:jc w:val="both"/>
        <w:rPr>
          <w:rFonts w:ascii="Arial" w:hAnsi="Arial" w:cs="Arial"/>
          <w:lang w:val="en-IN"/>
        </w:rPr>
      </w:pPr>
    </w:p>
    <w:p w14:paraId="04A3FE14" w14:textId="77777777" w:rsidR="00703742" w:rsidRPr="00C8206E" w:rsidRDefault="00703742" w:rsidP="00892D94">
      <w:pPr>
        <w:pStyle w:val="Heading2"/>
      </w:pPr>
      <w:bookmarkStart w:id="13" w:name="_Toc241025631"/>
      <w:r w:rsidRPr="00C8206E">
        <w:t>1.6 Research Objectives</w:t>
      </w:r>
      <w:bookmarkEnd w:id="13"/>
    </w:p>
    <w:p w14:paraId="2256F9CB" w14:textId="05E3B450" w:rsidR="00703742" w:rsidRPr="00C8206E" w:rsidRDefault="00F53599" w:rsidP="00C8206E">
      <w:pPr>
        <w:spacing w:after="0" w:line="360" w:lineRule="auto"/>
        <w:jc w:val="both"/>
        <w:rPr>
          <w:rFonts w:ascii="Arial" w:hAnsi="Arial" w:cs="Arial"/>
          <w:lang w:val="en-IN"/>
        </w:rPr>
      </w:pPr>
      <w:r>
        <w:rPr>
          <w:rFonts w:ascii="Arial" w:hAnsi="Arial" w:cs="Arial"/>
          <w:lang w:val="en-IN"/>
        </w:rPr>
        <w:t>Four objectives guide this study</w:t>
      </w:r>
      <w:r w:rsidR="00703742" w:rsidRPr="00C8206E">
        <w:rPr>
          <w:rFonts w:ascii="Arial" w:hAnsi="Arial" w:cs="Arial"/>
          <w:lang w:val="en-IN"/>
        </w:rPr>
        <w:t xml:space="preserve">: </w:t>
      </w:r>
    </w:p>
    <w:p w14:paraId="7DB9A0E2" w14:textId="429F6A74" w:rsidR="00703742" w:rsidRPr="00C8206E" w:rsidRDefault="00703742" w:rsidP="00C8206E">
      <w:pPr>
        <w:numPr>
          <w:ilvl w:val="0"/>
          <w:numId w:val="1"/>
        </w:numPr>
        <w:spacing w:after="0" w:line="360" w:lineRule="auto"/>
        <w:jc w:val="both"/>
        <w:rPr>
          <w:rFonts w:ascii="Arial" w:hAnsi="Arial" w:cs="Arial"/>
          <w:lang w:val="en-IN"/>
        </w:rPr>
      </w:pPr>
      <w:r w:rsidRPr="00C8206E">
        <w:rPr>
          <w:rFonts w:ascii="Arial" w:hAnsi="Arial" w:cs="Arial"/>
          <w:lang w:val="en-IN"/>
        </w:rPr>
        <w:t>To identify systemic structural and service-level variables in CAMHS in England that</w:t>
      </w:r>
      <w:r w:rsidR="00DE0A65" w:rsidRPr="00C8206E">
        <w:rPr>
          <w:rFonts w:ascii="Arial" w:hAnsi="Arial" w:cs="Arial"/>
          <w:lang w:val="en-IN"/>
        </w:rPr>
        <w:t xml:space="preserve"> </w:t>
      </w:r>
      <w:r w:rsidR="00F53599" w:rsidRPr="00C8206E">
        <w:rPr>
          <w:rFonts w:ascii="Arial" w:hAnsi="Arial" w:cs="Arial"/>
          <w:lang w:val="en-IN"/>
        </w:rPr>
        <w:t>led</w:t>
      </w:r>
      <w:r w:rsidR="00DE0A65" w:rsidRPr="00C8206E">
        <w:rPr>
          <w:rFonts w:ascii="Arial" w:hAnsi="Arial" w:cs="Arial"/>
          <w:lang w:val="en-IN"/>
        </w:rPr>
        <w:t xml:space="preserve"> </w:t>
      </w:r>
      <w:r w:rsidRPr="00C8206E">
        <w:rPr>
          <w:rFonts w:ascii="Arial" w:hAnsi="Arial" w:cs="Arial"/>
          <w:lang w:val="en-IN"/>
        </w:rPr>
        <w:t xml:space="preserve">to extended waiting times. </w:t>
      </w:r>
    </w:p>
    <w:p w14:paraId="555DEA86" w14:textId="77777777" w:rsidR="00703742" w:rsidRPr="00C8206E" w:rsidRDefault="00703742" w:rsidP="00C8206E">
      <w:pPr>
        <w:numPr>
          <w:ilvl w:val="0"/>
          <w:numId w:val="1"/>
        </w:numPr>
        <w:spacing w:after="0" w:line="360" w:lineRule="auto"/>
        <w:jc w:val="both"/>
        <w:rPr>
          <w:rFonts w:ascii="Arial" w:hAnsi="Arial" w:cs="Arial"/>
          <w:lang w:val="en-IN"/>
        </w:rPr>
      </w:pPr>
      <w:r w:rsidRPr="00C8206E">
        <w:rPr>
          <w:rFonts w:ascii="Arial" w:hAnsi="Arial" w:cs="Arial"/>
          <w:lang w:val="en-IN"/>
        </w:rPr>
        <w:t>To critically examine the role of workforce shortages, challenges in referral pathways, and funding constraints in creating access delays in CAMHS in England.</w:t>
      </w:r>
    </w:p>
    <w:p w14:paraId="0EFAEA3A" w14:textId="77777777" w:rsidR="00703742" w:rsidRPr="00C8206E" w:rsidRDefault="00703742" w:rsidP="00C8206E">
      <w:pPr>
        <w:numPr>
          <w:ilvl w:val="0"/>
          <w:numId w:val="1"/>
        </w:numPr>
        <w:spacing w:after="0" w:line="360" w:lineRule="auto"/>
        <w:jc w:val="both"/>
        <w:rPr>
          <w:rFonts w:ascii="Arial" w:hAnsi="Arial" w:cs="Arial"/>
          <w:lang w:val="en-IN"/>
        </w:rPr>
      </w:pPr>
      <w:r w:rsidRPr="00C8206E">
        <w:rPr>
          <w:rFonts w:ascii="Arial" w:hAnsi="Arial" w:cs="Arial"/>
          <w:lang w:val="en-IN"/>
        </w:rPr>
        <w:t xml:space="preserve">To examine the effects of identified barriers on service delivery capacity and continue to produce inequitable access to CAMHS in England. </w:t>
      </w:r>
    </w:p>
    <w:p w14:paraId="4AF87ADA" w14:textId="77777777" w:rsidR="00703742" w:rsidRDefault="00703742" w:rsidP="00C8206E">
      <w:pPr>
        <w:numPr>
          <w:ilvl w:val="0"/>
          <w:numId w:val="1"/>
        </w:numPr>
        <w:spacing w:after="0" w:line="360" w:lineRule="auto"/>
        <w:jc w:val="both"/>
        <w:rPr>
          <w:rFonts w:ascii="Arial" w:hAnsi="Arial" w:cs="Arial"/>
          <w:lang w:val="en-IN"/>
        </w:rPr>
      </w:pPr>
      <w:r w:rsidRPr="00C8206E">
        <w:rPr>
          <w:rFonts w:ascii="Arial" w:hAnsi="Arial" w:cs="Arial"/>
          <w:lang w:val="en-IN"/>
        </w:rPr>
        <w:t xml:space="preserve">To evaluate evidence-based interventions that have the potential to shorten waiting times and increase fair access to CAMHS services in England. </w:t>
      </w:r>
    </w:p>
    <w:p w14:paraId="14684B5E" w14:textId="77777777" w:rsidR="00F53599" w:rsidRDefault="00F53599" w:rsidP="00892D94">
      <w:pPr>
        <w:pStyle w:val="Heading2"/>
      </w:pPr>
      <w:bookmarkStart w:id="14" w:name="_Toc241025632"/>
    </w:p>
    <w:p w14:paraId="398DD77C" w14:textId="68C62437" w:rsidR="00703742" w:rsidRPr="00C8206E" w:rsidRDefault="00703742" w:rsidP="00892D94">
      <w:pPr>
        <w:pStyle w:val="Heading2"/>
      </w:pPr>
      <w:r w:rsidRPr="00C8206E">
        <w:t>1.7 Scope and Boundaries of the Study</w:t>
      </w:r>
      <w:bookmarkEnd w:id="14"/>
    </w:p>
    <w:p w14:paraId="1190852B" w14:textId="45BC3FAA" w:rsidR="00703742" w:rsidRPr="00C8206E" w:rsidRDefault="00703742" w:rsidP="00C8206E">
      <w:pPr>
        <w:spacing w:after="0" w:line="360" w:lineRule="auto"/>
        <w:jc w:val="both"/>
        <w:rPr>
          <w:rFonts w:ascii="Arial" w:hAnsi="Arial" w:cs="Arial"/>
          <w:lang w:val="en-IN"/>
        </w:rPr>
      </w:pPr>
      <w:r w:rsidRPr="00C8206E">
        <w:rPr>
          <w:rFonts w:ascii="Arial" w:hAnsi="Arial" w:cs="Arial"/>
          <w:lang w:val="en-IN"/>
        </w:rPr>
        <w:t xml:space="preserve">This research is based specifically on the CAMHS provision in England, as this jurisdiction has a specific commissioning structure, policy framework, and NHS </w:t>
      </w:r>
      <w:r w:rsidRPr="00C8206E">
        <w:rPr>
          <w:rFonts w:ascii="Arial" w:hAnsi="Arial" w:cs="Arial"/>
          <w:lang w:val="en-IN"/>
        </w:rPr>
        <w:lastRenderedPageBreak/>
        <w:t>architecture. Scottish, Welsh or Northern Irish studies are not recognised, and the results are not extrapolated across devolved systems unless they provide comparatively directly applicable context. The time frame is 2015-2025, with Future in Mind (Department of Health and NHS England, 2015) as its starting point and including all significant CYP mental health policy cycles of the last 10 years. It is entirely a desk-based study; no primary data were gathered, and no human subjects were used. Articles that did not concentrate on adult mental health or inpatient-only CAMHS provision</w:t>
      </w:r>
      <w:r w:rsidR="00733096">
        <w:rPr>
          <w:rFonts w:ascii="Arial" w:hAnsi="Arial" w:cs="Arial"/>
          <w:lang w:val="en-IN"/>
        </w:rPr>
        <w:t>,</w:t>
      </w:r>
      <w:r w:rsidRPr="00C8206E">
        <w:rPr>
          <w:rFonts w:ascii="Arial" w:hAnsi="Arial" w:cs="Arial"/>
          <w:lang w:val="en-IN"/>
        </w:rPr>
        <w:t xml:space="preserve"> or were not based in the United Kingdom but were not directly relevant to England</w:t>
      </w:r>
      <w:r w:rsidR="00532ADF">
        <w:rPr>
          <w:rFonts w:ascii="Arial" w:hAnsi="Arial" w:cs="Arial"/>
          <w:lang w:val="en-IN"/>
        </w:rPr>
        <w:t>,</w:t>
      </w:r>
      <w:r w:rsidRPr="00C8206E">
        <w:rPr>
          <w:rFonts w:ascii="Arial" w:hAnsi="Arial" w:cs="Arial"/>
          <w:lang w:val="en-IN"/>
        </w:rPr>
        <w:t xml:space="preserve"> were eliminated. The review covers the obstacles to access as well as interventions to reduce them supported by evidence or evidence-based interventions.</w:t>
      </w:r>
    </w:p>
    <w:p w14:paraId="70518348" w14:textId="77777777" w:rsidR="00703742" w:rsidRPr="00C8206E" w:rsidRDefault="00703742" w:rsidP="00C8206E">
      <w:pPr>
        <w:spacing w:after="0" w:line="360" w:lineRule="auto"/>
        <w:jc w:val="both"/>
        <w:rPr>
          <w:rFonts w:ascii="Arial" w:hAnsi="Arial" w:cs="Arial"/>
          <w:lang w:val="en-IN"/>
        </w:rPr>
      </w:pPr>
    </w:p>
    <w:p w14:paraId="022657FF" w14:textId="77777777" w:rsidR="00703742" w:rsidRPr="00C8206E" w:rsidRDefault="00703742" w:rsidP="00892D94">
      <w:pPr>
        <w:pStyle w:val="Heading2"/>
      </w:pPr>
      <w:bookmarkStart w:id="15" w:name="_Toc241025633"/>
      <w:r w:rsidRPr="00C8206E">
        <w:t>1.8 Structure of the Dissertation</w:t>
      </w:r>
      <w:bookmarkEnd w:id="15"/>
    </w:p>
    <w:p w14:paraId="6D6184CD" w14:textId="5C13793A" w:rsidR="00E7217A" w:rsidRPr="00C8206E" w:rsidRDefault="00703742" w:rsidP="00C8206E">
      <w:pPr>
        <w:spacing w:after="0" w:line="360" w:lineRule="auto"/>
        <w:jc w:val="both"/>
        <w:rPr>
          <w:rFonts w:ascii="Arial" w:hAnsi="Arial" w:cs="Arial"/>
          <w:lang w:val="en-IN"/>
        </w:rPr>
      </w:pPr>
      <w:r w:rsidRPr="00C8206E">
        <w:rPr>
          <w:rFonts w:ascii="Arial" w:hAnsi="Arial" w:cs="Arial"/>
          <w:lang w:val="en-IN"/>
        </w:rPr>
        <w:t>Chapter 2 provides a critical review of the literature available on CAMHS in England, including the structural context, policy environment, the epidemiological impact, the recorded magnitude of waiting times, and the theoretical framework that directs the analysis. Chapter 3 explains the research methodology, including the philosophical position, systematic review design, search strategy, inclusion and exclusion criteria, approach to quality appraisal, and approach to narrative synthesis. In Chapter 4, the findings of the systematic review are presented, and the results of the twelve included studies in a systematic review are reported in a thematic way. The findings are critically discussed and interpreted in Chapter 5 against the existing literature and the theoretical framework, and analysed in relation to policy and practice implications. The conclusion is offered in Chapter 6, giving a straightforward response to the research question, a summary of recommendations and a critical reflection on professional development.</w:t>
      </w:r>
      <w:r w:rsidR="00E7217A" w:rsidRPr="00C8206E">
        <w:rPr>
          <w:rFonts w:ascii="Arial" w:hAnsi="Arial" w:cs="Arial"/>
          <w:lang w:val="en-IN"/>
        </w:rPr>
        <w:br w:type="page"/>
      </w:r>
    </w:p>
    <w:p w14:paraId="24A09140" w14:textId="77777777" w:rsidR="00B2363A" w:rsidRPr="00C8206E" w:rsidRDefault="00B2363A" w:rsidP="004C0ECA">
      <w:pPr>
        <w:pStyle w:val="Heading1"/>
      </w:pPr>
      <w:bookmarkStart w:id="16" w:name="_Toc241025634"/>
      <w:r w:rsidRPr="00C8206E">
        <w:lastRenderedPageBreak/>
        <w:t>CHAPTER 2 LITERATURE REVIEW AND THEORETICAL FRAMEWORK</w:t>
      </w:r>
      <w:bookmarkEnd w:id="16"/>
    </w:p>
    <w:p w14:paraId="3EF1037D" w14:textId="77777777" w:rsidR="00B2363A" w:rsidRPr="00C8206E" w:rsidRDefault="00B2363A" w:rsidP="00892D94">
      <w:pPr>
        <w:pStyle w:val="Heading2"/>
      </w:pPr>
      <w:bookmarkStart w:id="17" w:name="_Toc241025635"/>
      <w:r w:rsidRPr="00C8206E">
        <w:t>2.1 Introduction</w:t>
      </w:r>
      <w:bookmarkEnd w:id="17"/>
    </w:p>
    <w:p w14:paraId="3F1FB7F0" w14:textId="3EEDD991"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The chapter is a critical review of the available literature on Child and Adolescent Mental Health Services (CAMHS) in England, which forms the contextual and empirical basis of this systematic review. It explores the organisational structure of CAMHS, analyses the policy environment between 2015 and 2025, captures the epidemiology of mental health in children and youth, captures the magnitude of waiting times, and summarises evidence on four categories of barriers: systemic and structural; organisational and workforce; referral and pathway; and policy and commissioning. It concludes by defining literature gaps that warrant such review and outlining the theoretical framework.</w:t>
      </w:r>
      <w:r w:rsidR="002864EC" w:rsidRPr="00C8206E">
        <w:rPr>
          <w:rFonts w:ascii="Arial" w:hAnsi="Arial" w:cs="Arial"/>
          <w:lang w:val="en-IN"/>
        </w:rPr>
        <w:t xml:space="preserve"> </w:t>
      </w:r>
    </w:p>
    <w:p w14:paraId="01662F79" w14:textId="2C9A5390" w:rsidR="002864EC" w:rsidRPr="00C8206E" w:rsidRDefault="002864EC" w:rsidP="00C8206E">
      <w:pPr>
        <w:spacing w:after="0" w:line="360" w:lineRule="auto"/>
        <w:jc w:val="both"/>
        <w:rPr>
          <w:rFonts w:ascii="Arial" w:hAnsi="Arial" w:cs="Arial"/>
          <w:lang w:val="en-IN"/>
        </w:rPr>
      </w:pPr>
      <w:r w:rsidRPr="00C8206E">
        <w:rPr>
          <w:rFonts w:ascii="Arial" w:hAnsi="Arial" w:cs="Arial"/>
        </w:rPr>
        <w:t>The chart below shows a synthesis of the four major types of barriers to CAMHS access as found in the literature reviewed in this chapter. These classes constitute the thematic analysis framework in Chapter 4.</w:t>
      </w:r>
    </w:p>
    <w:p w14:paraId="61526811" w14:textId="77777777" w:rsidR="008270F6" w:rsidRDefault="00B2363A" w:rsidP="008270F6">
      <w:pPr>
        <w:keepNext/>
        <w:spacing w:after="0" w:line="360" w:lineRule="auto"/>
        <w:jc w:val="both"/>
      </w:pPr>
      <w:r w:rsidRPr="00C8206E">
        <w:rPr>
          <w:rFonts w:ascii="Arial" w:hAnsi="Arial" w:cs="Arial"/>
          <w:noProof/>
          <w:lang w:val="en-IN"/>
        </w:rPr>
        <w:drawing>
          <wp:inline distT="0" distB="0" distL="0" distR="0" wp14:anchorId="5AFE29DC" wp14:editId="6398C60B">
            <wp:extent cx="5731510" cy="3784600"/>
            <wp:effectExtent l="0" t="0" r="2540" b="6350"/>
            <wp:docPr id="331311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311764" name=""/>
                    <pic:cNvPicPr/>
                  </pic:nvPicPr>
                  <pic:blipFill>
                    <a:blip r:embed="rId11"/>
                    <a:stretch>
                      <a:fillRect/>
                    </a:stretch>
                  </pic:blipFill>
                  <pic:spPr>
                    <a:xfrm>
                      <a:off x="0" y="0"/>
                      <a:ext cx="5731510" cy="3784600"/>
                    </a:xfrm>
                    <a:prstGeom prst="rect">
                      <a:avLst/>
                    </a:prstGeom>
                  </pic:spPr>
                </pic:pic>
              </a:graphicData>
            </a:graphic>
          </wp:inline>
        </w:drawing>
      </w:r>
    </w:p>
    <w:p w14:paraId="3E869211" w14:textId="42E4C9D6" w:rsidR="00B2363A" w:rsidRPr="002E11FA" w:rsidRDefault="008270F6" w:rsidP="002E11FA">
      <w:pPr>
        <w:pStyle w:val="Caption"/>
      </w:pPr>
      <w:bookmarkStart w:id="18" w:name="_Toc241025502"/>
      <w:r w:rsidRPr="002E11FA">
        <w:t xml:space="preserve">Figure </w:t>
      </w:r>
      <w:r w:rsidR="006B0A2C">
        <w:fldChar w:fldCharType="begin"/>
      </w:r>
      <w:r w:rsidR="006B0A2C">
        <w:instrText xml:space="preserve"> SEQ Figure \* ARABIC </w:instrText>
      </w:r>
      <w:r w:rsidR="006B0A2C">
        <w:fldChar w:fldCharType="separate"/>
      </w:r>
      <w:r w:rsidR="006B0A2C" w:rsidRPr="002E11FA">
        <w:t>3</w:t>
      </w:r>
      <w:r w:rsidR="006B0A2C">
        <w:fldChar w:fldCharType="end"/>
      </w:r>
      <w:r w:rsidRPr="002E11FA">
        <w:t>: Categories of barriers to Child and Adolescent Mental Health Services access in England: a synthesis of the literature</w:t>
      </w:r>
      <w:bookmarkEnd w:id="18"/>
    </w:p>
    <w:p w14:paraId="3EE7E503" w14:textId="54DB819E" w:rsidR="00FB0F47" w:rsidRPr="001B4288" w:rsidRDefault="00FB0F47" w:rsidP="00C8206E">
      <w:pPr>
        <w:spacing w:line="360" w:lineRule="auto"/>
        <w:jc w:val="both"/>
        <w:rPr>
          <w:rFonts w:ascii="Arial" w:hAnsi="Arial" w:cs="Arial"/>
          <w:lang w:val="en-IN"/>
        </w:rPr>
      </w:pPr>
      <w:r w:rsidRPr="001B4288">
        <w:rPr>
          <w:rFonts w:ascii="Arial" w:hAnsi="Arial" w:cs="Arial"/>
          <w:sz w:val="20"/>
          <w:szCs w:val="20"/>
        </w:rPr>
        <w:t>Source: Author's own synthesis based on literature reviewed in Chapter 2.</w:t>
      </w:r>
    </w:p>
    <w:p w14:paraId="4B9E787B" w14:textId="77777777" w:rsidR="00B2363A" w:rsidRPr="00C8206E" w:rsidRDefault="00B2363A" w:rsidP="00892D94">
      <w:pPr>
        <w:pStyle w:val="Heading2"/>
      </w:pPr>
      <w:bookmarkStart w:id="19" w:name="_Toc241025636"/>
      <w:r w:rsidRPr="00C8206E">
        <w:lastRenderedPageBreak/>
        <w:t>2.2 Overview of CAMHS in England</w:t>
      </w:r>
      <w:bookmarkEnd w:id="19"/>
    </w:p>
    <w:p w14:paraId="1980EC84" w14:textId="7A4F1117"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Child and Adolescent Mental Health Services (as the main specialist National Health Service (NHS) response to mental health challenges in children and young people aged up to 18 years in England) work in a complex and dynamic environment, with some Integrated Care Boards (ICBs) extending to age 25 years as part of NHS England transitional care guidance (House of Commons Library, 2024). Over the last 20 years, services were designed in a hierarchical tier model: Tier 1 included universal services through schools and primary care; Tier 4 included specialist inpatient services; Tiers 2 and 3 included the most common and frequent access to specialist outpatient services by young people (King's Fund, 2019). Although the tiered framework influenced service planning on a long-term basis, the tiered framework received enduring criticism regarding creating artificial levels of need</w:t>
      </w:r>
      <w:r w:rsidR="00532ADF">
        <w:rPr>
          <w:rFonts w:ascii="Arial" w:hAnsi="Arial" w:cs="Arial"/>
          <w:lang w:val="en-IN"/>
        </w:rPr>
        <w:t>,</w:t>
      </w:r>
      <w:r w:rsidRPr="00C8206E">
        <w:rPr>
          <w:rFonts w:ascii="Arial" w:hAnsi="Arial" w:cs="Arial"/>
          <w:lang w:val="en-IN"/>
        </w:rPr>
        <w:t xml:space="preserve"> eligibility defects between primary care and specialist CAMHS provision, creating confusion and rejection at the boundaries, and leaving children in an operational gap between what is available to provide and what is available to receive (King's Fund, 2024). Integrated Care Boards (ICBs) became the main local commissioners of CAMHS in 2022 (a wider shift of government towards place-based, integrated care models), replacing Clinical Commissioning Groups (Local Government Association, 2023). </w:t>
      </w:r>
    </w:p>
    <w:p w14:paraId="01FE31AA" w14:textId="647C1B3C"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Child and Adolescent Mental Health Services commissioning is a very complex landscape. Mental health provision </w:t>
      </w:r>
      <w:r w:rsidR="00532ADF">
        <w:rPr>
          <w:rFonts w:ascii="Arial" w:hAnsi="Arial" w:cs="Arial"/>
          <w:lang w:val="en-IN"/>
        </w:rPr>
        <w:t>for</w:t>
      </w:r>
      <w:r w:rsidRPr="00C8206E">
        <w:rPr>
          <w:rFonts w:ascii="Arial" w:hAnsi="Arial" w:cs="Arial"/>
          <w:lang w:val="en-IN"/>
        </w:rPr>
        <w:t xml:space="preserve"> children is devolved into NHS England nationally, Integrated Care Boards locally, local authorities, schools, the voluntary and charitable sector and NHS England directly in regard to Tier 4 inpatient placements. The Care Quality Commission (2018) found this multiplicity to create a system where various organisations fund, commission and provide care without regular interaction, making access unreliable </w:t>
      </w:r>
      <w:r w:rsidR="00532ADF">
        <w:rPr>
          <w:rFonts w:ascii="Arial" w:hAnsi="Arial" w:cs="Arial"/>
          <w:lang w:val="en-IN"/>
        </w:rPr>
        <w:t>for</w:t>
      </w:r>
      <w:r w:rsidRPr="00C8206E">
        <w:rPr>
          <w:rFonts w:ascii="Arial" w:hAnsi="Arial" w:cs="Arial"/>
          <w:lang w:val="en-IN"/>
        </w:rPr>
        <w:t xml:space="preserve"> families that move between organisations with different eligibility requirements and waiting times. The 2017 Green Paper (Department of Health and Social Care and Department for Education, 2017) expansion of Mental Health Support Teams (MHSTs) in schools was aimed to increase capacity to intervene at an earlier stage than </w:t>
      </w:r>
      <w:r w:rsidR="00532ADF">
        <w:rPr>
          <w:rFonts w:ascii="Arial" w:hAnsi="Arial" w:cs="Arial"/>
          <w:lang w:val="en-IN"/>
        </w:rPr>
        <w:t xml:space="preserve">the </w:t>
      </w:r>
      <w:r w:rsidRPr="00C8206E">
        <w:rPr>
          <w:rFonts w:ascii="Arial" w:hAnsi="Arial" w:cs="Arial"/>
          <w:lang w:val="en-IN"/>
        </w:rPr>
        <w:t xml:space="preserve">CAMHS threshold, but </w:t>
      </w:r>
      <w:r w:rsidR="00532ADF">
        <w:rPr>
          <w:rFonts w:ascii="Arial" w:hAnsi="Arial" w:cs="Arial"/>
          <w:lang w:val="en-IN"/>
        </w:rPr>
        <w:t xml:space="preserve">an </w:t>
      </w:r>
      <w:r w:rsidRPr="00C8206E">
        <w:rPr>
          <w:rFonts w:ascii="Arial" w:hAnsi="Arial" w:cs="Arial"/>
          <w:lang w:val="en-IN"/>
        </w:rPr>
        <w:t xml:space="preserve">independent review showed that expansion is limited by workforce shortages and </w:t>
      </w:r>
      <w:r w:rsidR="00532ADF">
        <w:rPr>
          <w:rFonts w:ascii="Arial" w:hAnsi="Arial" w:cs="Arial"/>
          <w:lang w:val="en-IN"/>
        </w:rPr>
        <w:t xml:space="preserve">a </w:t>
      </w:r>
      <w:r w:rsidRPr="00C8206E">
        <w:rPr>
          <w:rFonts w:ascii="Arial" w:hAnsi="Arial" w:cs="Arial"/>
          <w:lang w:val="en-IN"/>
        </w:rPr>
        <w:t xml:space="preserve">lack of commissioning consistency (Ellins et al., 2023), indicating that sub-threshold expansion is not sufficient to address the structural access gap. The King's Fund (2024) estimates that out of 1.4 million children in England with a likely mental health condition, less than </w:t>
      </w:r>
      <w:r w:rsidRPr="00C8206E">
        <w:rPr>
          <w:rFonts w:ascii="Arial" w:hAnsi="Arial" w:cs="Arial"/>
          <w:lang w:val="en-IN"/>
        </w:rPr>
        <w:lastRenderedPageBreak/>
        <w:t xml:space="preserve">half accessed specialist Children and Young People (CYP) mental health services in 2022-23, showing that the system continues to be structurally under-resourced compared to the level of need. </w:t>
      </w:r>
    </w:p>
    <w:p w14:paraId="0FC3F298" w14:textId="77777777" w:rsidR="00B2363A" w:rsidRPr="00C8206E" w:rsidRDefault="00B2363A" w:rsidP="00C8206E">
      <w:pPr>
        <w:spacing w:after="0" w:line="360" w:lineRule="auto"/>
        <w:jc w:val="both"/>
        <w:rPr>
          <w:rFonts w:ascii="Arial" w:hAnsi="Arial" w:cs="Arial"/>
          <w:lang w:val="en-IN"/>
        </w:rPr>
      </w:pPr>
    </w:p>
    <w:p w14:paraId="6B3E6EA9" w14:textId="77777777" w:rsidR="00B2363A" w:rsidRPr="00C8206E" w:rsidRDefault="00B2363A" w:rsidP="00892D94">
      <w:pPr>
        <w:pStyle w:val="Heading2"/>
      </w:pPr>
      <w:bookmarkStart w:id="20" w:name="_Toc241025637"/>
      <w:r w:rsidRPr="00C8206E">
        <w:t>2.3 Policy Framework: 2015–2025</w:t>
      </w:r>
      <w:bookmarkEnd w:id="20"/>
    </w:p>
    <w:p w14:paraId="55283823" w14:textId="12B45929"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The 2015-2025 decade was marked by an historic amount of national policy focus on the mental health of children and youth, as well as a continued disconnection between proclaimed intentions and actual results. Future in Mind (Department of Health and NHS England, 2015), a report by the cross-party Children and Young People Mental Health Taskforce, includes 49 recommendations on areas of waiting times, commissioning coherence, and workforce capacity. These aspirations were supported by the Five Year Forward View of Mental Health (NHS England, 2016) and formalised in the NHS </w:t>
      </w:r>
      <w:r w:rsidR="00204059">
        <w:rPr>
          <w:rFonts w:ascii="Arial" w:hAnsi="Arial" w:cs="Arial"/>
          <w:lang w:val="en-IN"/>
        </w:rPr>
        <w:t>Long-Term Plan</w:t>
      </w:r>
      <w:r w:rsidRPr="00C8206E">
        <w:rPr>
          <w:rFonts w:ascii="Arial" w:hAnsi="Arial" w:cs="Arial"/>
          <w:lang w:val="en-IN"/>
        </w:rPr>
        <w:t xml:space="preserve"> (NHS England, 2019), which pledged 345,000 more children and young people receiving mental health support by 202324 and established a four-week waiting-time standard on new CAMHS referrals. These commitments were turned into annual delivery milestones through a detailed implementation plan (NHS England, 2019b). The 2017 Green Paper (Department of Health and Social Care and Department for Education, 2017) additionally introduced Mental Health Support Teams in schools and four-week waiting-time trailblazer pilots.</w:t>
      </w:r>
    </w:p>
    <w:p w14:paraId="02FE828A" w14:textId="77777777"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The NHS Long Term Workforce Plan (NHS England, 2023) promised to increase the share of National Health Service workers in mental health, primary, and community care to 73 per cent by 203637 and pledged a 25 per cent increase in clinical psychology and child and adolescent psychotherapy training placements (National Health Service Confederation, 2023). The NHS 10 Year Health Plan — Fit for the Future (Department of Health and Social Care, 2025) in July 2025 made the commitment to expand Mental Health Support Teams to cover national schools by 202930, encouraging Young Futures Hubs in open-access community mental health support, and hiring 8500 more mental health workers, which was later confirmed as met (Government of the United Kingdom, 2026). In spite of this policy investment, there was still a gap in progress relative to the previous commitments. In a review by the National Audit Office (NAO) (2023), the total mental health service contacts increased to 4.5 million in 202122, compared to 3.6 million in 201617, but the waiting-time standards among children and young people were not met nationally. The House </w:t>
      </w:r>
      <w:r w:rsidRPr="00C8206E">
        <w:rPr>
          <w:rFonts w:ascii="Arial" w:hAnsi="Arial" w:cs="Arial"/>
          <w:lang w:val="en-IN"/>
        </w:rPr>
        <w:lastRenderedPageBreak/>
        <w:t xml:space="preserve">of Commons Health and Social Care Committee (2021) discovered that the number of referrals had risen by 35 per cent in a year and the NHS had not yet published a mental health workforce strategy specific to children and young people. The pilot programme to introduce the four-week standard, the Children and Young People Mental Health Trailblazer programme, showed mixed implementation across sites, with workforce constraints and inconsistent local commissioning noted by Ellins et al. (2023) as the main barriers to implementation in an independent evaluation funded by the National Institute for Health and Care Research (NIHR). </w:t>
      </w:r>
    </w:p>
    <w:p w14:paraId="78E2AA37" w14:textId="77777777" w:rsidR="00B2363A" w:rsidRPr="00C8206E" w:rsidRDefault="00B2363A" w:rsidP="00C8206E">
      <w:pPr>
        <w:spacing w:after="0" w:line="360" w:lineRule="auto"/>
        <w:jc w:val="both"/>
        <w:rPr>
          <w:rFonts w:ascii="Arial" w:hAnsi="Arial" w:cs="Arial"/>
          <w:lang w:val="en-IN"/>
        </w:rPr>
      </w:pPr>
    </w:p>
    <w:p w14:paraId="2AA90821" w14:textId="77777777" w:rsidR="00B2363A" w:rsidRPr="00C8206E" w:rsidRDefault="00B2363A" w:rsidP="00892D94">
      <w:pPr>
        <w:pStyle w:val="Heading2"/>
      </w:pPr>
      <w:bookmarkStart w:id="21" w:name="_Toc241025638"/>
      <w:r w:rsidRPr="00C8206E">
        <w:t>2.4 Epidemiology of Child and Adolescent Mental Health in England</w:t>
      </w:r>
      <w:bookmarkEnd w:id="21"/>
    </w:p>
    <w:p w14:paraId="31A9A60B" w14:textId="77777777"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A crucial contextual aspect of the CAMHS waiting-time crisis is the reported epidemiological cost of mental health challenges in children and youth in England. The series of Mental Health of Children and Young People (MHCYP) surveys is the most reliable national evidence base. The fourth wave (2023) found a likely mental disorder in one in five children aged 8 to 16, increasing to one in four aged 17 to 19 and more than one in five aged 20 to 25 (Newlove-Delgado et al., 2023) - a significant increase over the 2017 baseline of one in nine children aged 5 to 15 (NHS England, 2023). The 2020 wave of post-pandemic identifications and a higher prevalence were confirmed in 2022 (Newlove-Delgado et al., 2022) and 2023 (NHS Digital, 2020). Notably, NHS England has since abandoned the MHCYP survey; thus, the 2023 wave is the last official national prevalence estimate (Children's Commissioner for England, 2025). </w:t>
      </w:r>
    </w:p>
    <w:p w14:paraId="5453B57C" w14:textId="21AE3FEC" w:rsidR="00B2363A" w:rsidRPr="00803B5C" w:rsidRDefault="00B2363A" w:rsidP="00C8206E">
      <w:pPr>
        <w:spacing w:after="0" w:line="360" w:lineRule="auto"/>
        <w:jc w:val="both"/>
        <w:rPr>
          <w:rFonts w:ascii="Arial" w:hAnsi="Arial" w:cs="Arial"/>
        </w:rPr>
      </w:pPr>
      <w:r w:rsidRPr="00C8206E">
        <w:rPr>
          <w:rFonts w:ascii="Arial" w:hAnsi="Arial" w:cs="Arial"/>
          <w:lang w:val="en-IN"/>
        </w:rPr>
        <w:t xml:space="preserve">The trend of the service contact data until 2024 and 2025 supports the magnitude of demand. According to the British Medical Association (2025), over one million people under the age of 18 were in contact with secondary National Health Service mental health services per month in 2024–25, representing a more than doubling of contacts since January 2020. In 2024/25, the NHS England Mental Health Bulletin reported that nearly 1.22 million children under the age of 18 years were in touch with mental health services throughout the year, the highest percentage of the population since the data series started in 201617 (House of Commons Library, 2026). The Global Burden of Disease (GBD) 2021 Collaborators (2025) estimated that mental disorders affected some 278.98 million adolescents and young adults in 2021 worldwide, with the COVID-19 pandemic associated with increased rates of depression and anxiety. </w:t>
      </w:r>
      <w:r w:rsidR="00803B5C" w:rsidRPr="00803B5C">
        <w:rPr>
          <w:rFonts w:ascii="Arial" w:hAnsi="Arial" w:cs="Arial"/>
        </w:rPr>
        <w:t xml:space="preserve">Peytrignet and Grimm (2022) analysed linked administrative data across England, </w:t>
      </w:r>
      <w:r w:rsidR="00803B5C" w:rsidRPr="00803B5C">
        <w:rPr>
          <w:rFonts w:ascii="Arial" w:hAnsi="Arial" w:cs="Arial"/>
        </w:rPr>
        <w:lastRenderedPageBreak/>
        <w:t>Scotland, and Wales and found that there were significant disparities in service use by socioeconomic deprivation, sex, and age group</w:t>
      </w:r>
      <w:r w:rsidRPr="00C8206E">
        <w:rPr>
          <w:rFonts w:ascii="Arial" w:hAnsi="Arial" w:cs="Arial"/>
          <w:lang w:val="en-IN"/>
        </w:rPr>
        <w:t>, with children in the most deprived quintiles more likely to have a mental health need and less likely to have used services. Certainly, the access barriers discussed in this review are directly implicated with more than half of all children with a probable mental health disorder in England receiving no specialist service contact, according to the Children and Young People Mental Health Coalition (2024). The Mental Health Foundation (2021) states that half of the total population of mental health issues is determined before the age of 14, which is why the public health community urgently needs to intervene at a young age.</w:t>
      </w:r>
    </w:p>
    <w:p w14:paraId="2A662672" w14:textId="77777777" w:rsidR="00B2363A" w:rsidRPr="00C8206E" w:rsidRDefault="00B2363A" w:rsidP="00C8206E">
      <w:pPr>
        <w:spacing w:after="0" w:line="360" w:lineRule="auto"/>
        <w:jc w:val="both"/>
        <w:rPr>
          <w:rFonts w:ascii="Arial" w:hAnsi="Arial" w:cs="Arial"/>
          <w:lang w:val="en-IN"/>
        </w:rPr>
      </w:pPr>
    </w:p>
    <w:p w14:paraId="2BDDB96F" w14:textId="77777777" w:rsidR="00B2363A" w:rsidRPr="00C8206E" w:rsidRDefault="00B2363A" w:rsidP="00892D94">
      <w:pPr>
        <w:pStyle w:val="Heading2"/>
      </w:pPr>
      <w:bookmarkStart w:id="22" w:name="_Toc241025639"/>
      <w:r w:rsidRPr="00C8206E">
        <w:t>2.5 CAMHS Waiting Times: Documented Scale and Trends</w:t>
      </w:r>
      <w:bookmarkEnd w:id="22"/>
    </w:p>
    <w:p w14:paraId="741F9EE1" w14:textId="7B521029"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One of the most widely recorded access inequities in the modern National Health Service is the waiting times at CAMHS. In the most recent annual monitoring report prepared by the Children's Commissioner of England (2025), the most recent active referrals to CAMHS in England in 2023</w:t>
      </w:r>
      <w:r w:rsidR="002864EC" w:rsidRPr="00C8206E">
        <w:rPr>
          <w:rFonts w:ascii="Arial" w:hAnsi="Arial" w:cs="Arial"/>
          <w:lang w:val="en-IN"/>
        </w:rPr>
        <w:t>-</w:t>
      </w:r>
      <w:r w:rsidRPr="00C8206E">
        <w:rPr>
          <w:rFonts w:ascii="Arial" w:hAnsi="Arial" w:cs="Arial"/>
          <w:lang w:val="en-IN"/>
        </w:rPr>
        <w:t xml:space="preserve">24 numbered 958,200, and 320,000 children remained without treatment at the end of the year, compared to an increase of approximately 50,000 in the prior year. The four-week standard of first treatment contact as outlined in the NHS </w:t>
      </w:r>
      <w:r w:rsidR="00204059">
        <w:rPr>
          <w:rFonts w:ascii="Arial" w:hAnsi="Arial" w:cs="Arial"/>
          <w:lang w:val="en-IN"/>
        </w:rPr>
        <w:t>Long-Term Plan</w:t>
      </w:r>
      <w:r w:rsidRPr="00C8206E">
        <w:rPr>
          <w:rFonts w:ascii="Arial" w:hAnsi="Arial" w:cs="Arial"/>
          <w:lang w:val="en-IN"/>
        </w:rPr>
        <w:t xml:space="preserve"> only covered 45 per cent of children (Children's Commissioner for England, 2025). According to the British Medical Association (2025), 385,540 children were not yet served in the first community mental health contact in the three months to March 2025, thus, an increase of 14.4 per cent annually. The Parliamentary Office of Science and Technology (2025) estimated that about 40,000 children were waiting longer than two years to receive mental health support and that about 60,000 were referred as a crisis unit, which indicates that the system is becoming more of a crisis response unit than a timely preventative intervention unit.</w:t>
      </w:r>
    </w:p>
    <w:p w14:paraId="7C1F097B" w14:textId="712C8E45"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The problem of geographic inequality adds to this inability of access. According to the Children's Commissioner (2025), the average waiting times in England across Integrated Care Boards differed more than seventeen times, with six days in Leicester, Leicestershire and Rutland, and over 103 days in Hampshire and Isle of Wight. This variation by postcode is the direct opposite of the commitment of the National Health Service to equal care and is in line with previous research by Crenna-Jennings and Hutchinson (2020) who, based on Freedom of Information-available data, found that </w:t>
      </w:r>
      <w:r w:rsidRPr="00C8206E">
        <w:rPr>
          <w:rFonts w:ascii="Arial" w:hAnsi="Arial" w:cs="Arial"/>
          <w:lang w:val="en-IN"/>
        </w:rPr>
        <w:lastRenderedPageBreak/>
        <w:t>a quarter of referrals in the country were rejected or considered inappropriate in 2018</w:t>
      </w:r>
      <w:r w:rsidR="002864EC" w:rsidRPr="00C8206E">
        <w:rPr>
          <w:rFonts w:ascii="Arial" w:hAnsi="Arial" w:cs="Arial"/>
          <w:lang w:val="en-IN"/>
        </w:rPr>
        <w:t>-</w:t>
      </w:r>
      <w:r w:rsidRPr="00C8206E">
        <w:rPr>
          <w:rFonts w:ascii="Arial" w:hAnsi="Arial" w:cs="Arial"/>
          <w:lang w:val="en-IN"/>
        </w:rPr>
        <w:t xml:space="preserve">19, with a range of rejection rates ranging between 17 per cent in London and 28 per cent in the South of England. Combined, these data indicate that CAMHS waiting times are not only a question of capacity but a </w:t>
      </w:r>
      <w:proofErr w:type="spellStart"/>
      <w:r w:rsidRPr="00C8206E">
        <w:rPr>
          <w:rFonts w:ascii="Arial" w:hAnsi="Arial" w:cs="Arial"/>
          <w:lang w:val="en-IN"/>
        </w:rPr>
        <w:t>structuralization</w:t>
      </w:r>
      <w:proofErr w:type="spellEnd"/>
      <w:r w:rsidRPr="00C8206E">
        <w:rPr>
          <w:rFonts w:ascii="Arial" w:hAnsi="Arial" w:cs="Arial"/>
          <w:lang w:val="en-IN"/>
        </w:rPr>
        <w:t xml:space="preserve"> of access failure and a geographical phenomenon.</w:t>
      </w:r>
    </w:p>
    <w:p w14:paraId="4DBBBBAE" w14:textId="77777777" w:rsidR="00B2363A" w:rsidRPr="00C8206E" w:rsidRDefault="00B2363A" w:rsidP="00C8206E">
      <w:pPr>
        <w:spacing w:after="0" w:line="360" w:lineRule="auto"/>
        <w:jc w:val="both"/>
        <w:rPr>
          <w:rFonts w:ascii="Arial" w:hAnsi="Arial" w:cs="Arial"/>
          <w:lang w:val="en-IN"/>
        </w:rPr>
      </w:pPr>
    </w:p>
    <w:p w14:paraId="63FE459A" w14:textId="448C9803" w:rsidR="00B2363A" w:rsidRPr="00C8206E" w:rsidRDefault="00B2363A" w:rsidP="00892D94">
      <w:pPr>
        <w:pStyle w:val="Heading2"/>
      </w:pPr>
      <w:bookmarkStart w:id="23" w:name="_Toc241025640"/>
      <w:r w:rsidRPr="00C8206E">
        <w:t>2.6 Evidence on Barriers to CAMHS Access</w:t>
      </w:r>
      <w:bookmarkEnd w:id="23"/>
    </w:p>
    <w:p w14:paraId="1C6440C8" w14:textId="0E31B4C7" w:rsidR="002864EC" w:rsidRPr="00C8206E" w:rsidRDefault="006879C3" w:rsidP="00C8206E">
      <w:pPr>
        <w:spacing w:line="360" w:lineRule="auto"/>
        <w:jc w:val="both"/>
        <w:rPr>
          <w:rFonts w:ascii="Arial" w:hAnsi="Arial" w:cs="Arial"/>
          <w:lang w:val="en-IN"/>
        </w:rPr>
      </w:pPr>
      <w:r w:rsidRPr="00BC64DF">
        <w:rPr>
          <w:rFonts w:ascii="Arial" w:hAnsi="Arial" w:cs="Arial"/>
        </w:rPr>
        <w:t xml:space="preserve">Figure </w:t>
      </w:r>
      <w:r w:rsidR="00BC64DF">
        <w:rPr>
          <w:rFonts w:ascii="Arial" w:hAnsi="Arial" w:cs="Arial"/>
        </w:rPr>
        <w:t>4</w:t>
      </w:r>
      <w:r w:rsidRPr="006879C3">
        <w:rPr>
          <w:rFonts w:ascii="Arial" w:hAnsi="Arial" w:cs="Arial"/>
        </w:rPr>
        <w:t xml:space="preserve"> shows the Patient-Centred Access to Health Care model</w:t>
      </w:r>
      <w:r w:rsidR="002864EC" w:rsidRPr="00C8206E">
        <w:rPr>
          <w:rFonts w:ascii="Arial" w:hAnsi="Arial" w:cs="Arial"/>
        </w:rPr>
        <w:t xml:space="preserve"> proposed by Levesque, Harris and Russell (2013). This framework presents the theoretical framework by which the barriers to CAMHS access are examined during this review. </w:t>
      </w:r>
    </w:p>
    <w:p w14:paraId="6FCC0BD4" w14:textId="77777777" w:rsidR="009311DA" w:rsidRDefault="00B2363A" w:rsidP="009311DA">
      <w:pPr>
        <w:keepNext/>
        <w:spacing w:after="0" w:line="360" w:lineRule="auto"/>
        <w:jc w:val="both"/>
      </w:pPr>
      <w:r w:rsidRPr="00C8206E">
        <w:rPr>
          <w:rFonts w:ascii="Arial" w:hAnsi="Arial" w:cs="Arial"/>
          <w:noProof/>
          <w:lang w:val="en-IN"/>
        </w:rPr>
        <w:drawing>
          <wp:inline distT="0" distB="0" distL="0" distR="0" wp14:anchorId="76F28E20" wp14:editId="524364AC">
            <wp:extent cx="5731510" cy="3390900"/>
            <wp:effectExtent l="0" t="0" r="2540" b="0"/>
            <wp:docPr id="13774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43275" name=""/>
                    <pic:cNvPicPr/>
                  </pic:nvPicPr>
                  <pic:blipFill>
                    <a:blip r:embed="rId12"/>
                    <a:stretch>
                      <a:fillRect/>
                    </a:stretch>
                  </pic:blipFill>
                  <pic:spPr>
                    <a:xfrm>
                      <a:off x="0" y="0"/>
                      <a:ext cx="5731510" cy="3390900"/>
                    </a:xfrm>
                    <a:prstGeom prst="rect">
                      <a:avLst/>
                    </a:prstGeom>
                  </pic:spPr>
                </pic:pic>
              </a:graphicData>
            </a:graphic>
          </wp:inline>
        </w:drawing>
      </w:r>
    </w:p>
    <w:p w14:paraId="2CC11603" w14:textId="1FCCE29F" w:rsidR="00B2363A" w:rsidRPr="00C8206E" w:rsidRDefault="009311DA" w:rsidP="002E11FA">
      <w:pPr>
        <w:pStyle w:val="Caption"/>
        <w:rPr>
          <w:b/>
          <w:bCs/>
          <w:lang w:val="en-IN"/>
        </w:rPr>
      </w:pPr>
      <w:bookmarkStart w:id="24" w:name="_Toc241025503"/>
      <w:r>
        <w:t xml:space="preserve">Figure </w:t>
      </w:r>
      <w:r w:rsidR="006B0A2C">
        <w:fldChar w:fldCharType="begin"/>
      </w:r>
      <w:r w:rsidR="006B0A2C">
        <w:instrText xml:space="preserve"> SEQ Figure \* ARABIC </w:instrText>
      </w:r>
      <w:r w:rsidR="006B0A2C">
        <w:fldChar w:fldCharType="separate"/>
      </w:r>
      <w:r w:rsidR="006B0A2C">
        <w:rPr>
          <w:noProof/>
        </w:rPr>
        <w:t>4</w:t>
      </w:r>
      <w:r w:rsidR="006B0A2C">
        <w:rPr>
          <w:noProof/>
        </w:rPr>
        <w:fldChar w:fldCharType="end"/>
      </w:r>
      <w:r w:rsidRPr="00BE32C3">
        <w:t>: The Patient-Centred Access to Health Care framework: five supply-side dimensions and five demand-side abilities</w:t>
      </w:r>
      <w:bookmarkEnd w:id="24"/>
    </w:p>
    <w:p w14:paraId="7ECFC242" w14:textId="757C2277" w:rsidR="00FB0F47" w:rsidRPr="00F76AB4" w:rsidRDefault="00FB0F47" w:rsidP="005E0A46">
      <w:pPr>
        <w:spacing w:line="240" w:lineRule="auto"/>
        <w:jc w:val="both"/>
        <w:rPr>
          <w:rFonts w:ascii="Arial" w:hAnsi="Arial" w:cs="Arial"/>
          <w:sz w:val="20"/>
          <w:szCs w:val="20"/>
          <w:lang w:val="en-IN"/>
        </w:rPr>
      </w:pPr>
      <w:r w:rsidRPr="00F76AB4">
        <w:rPr>
          <w:rFonts w:ascii="Arial" w:hAnsi="Arial" w:cs="Arial"/>
          <w:sz w:val="20"/>
          <w:szCs w:val="20"/>
        </w:rPr>
        <w:t>Source: Adapted from Levesque, Harris and Russell (2013) International Journal for Equity in Health, 12(1), p. 18.</w:t>
      </w:r>
    </w:p>
    <w:p w14:paraId="06764E9B" w14:textId="77777777" w:rsidR="00B2363A" w:rsidRPr="00C8206E" w:rsidRDefault="00B2363A" w:rsidP="00BA57CC">
      <w:pPr>
        <w:pStyle w:val="Heading3"/>
      </w:pPr>
      <w:bookmarkStart w:id="25" w:name="_Toc241025641"/>
      <w:r w:rsidRPr="00C8206E">
        <w:t>2.6.1 Systemic and Structural Barriers</w:t>
      </w:r>
      <w:bookmarkEnd w:id="25"/>
    </w:p>
    <w:p w14:paraId="03B237CD" w14:textId="77777777"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Structural mismatch between increasing demand for specialist services and the rate of capacity development is the most consistently demonstrated systemic barrier to access to CAMHS. The King’s Fund (2024) recognises that spending on the mental health of children and young people, although increasing in absolute terms, has not kept up with the reported epidemiological demand resulting in a long-standing </w:t>
      </w:r>
      <w:r w:rsidRPr="00C8206E">
        <w:rPr>
          <w:rFonts w:ascii="Arial" w:hAnsi="Arial" w:cs="Arial"/>
          <w:lang w:val="en-IN"/>
        </w:rPr>
        <w:lastRenderedPageBreak/>
        <w:t>structural shortfall. Anderson et al. (2017) explored the international evidence base with a scoping review to identify resource constraints (including staffing, physical capacity, and funding limitations) as the most commonly mentioned systemic barrier. Geographic fragmentation adds to this structural deficit in England: commissioning responsibility is shared between many different Integrated Care Boards with different sets of eligibility criteria, creating sharp access inequalities, which the Children's Commissioner (2025) reported as a seventeen-fold ICB gap in waiting times. Care Quality Commission (2018) described this fragmentation as the establishment of a system where there is no easy path to assistance when non-coordinating organisations are responsible but not accountable. Long-term low investment in early intervention also leads to concentration of demand in specialist services: the Institute of Public Policy Research (Thorley, 2016) has reported a 55 per cent real-terms decline in early intervention mental health funding between 2010-11 and 2015-16.</w:t>
      </w:r>
    </w:p>
    <w:p w14:paraId="67135C62" w14:textId="77777777" w:rsidR="00B2363A" w:rsidRPr="00C8206E" w:rsidRDefault="00B2363A" w:rsidP="00BA57CC">
      <w:pPr>
        <w:pStyle w:val="Heading3"/>
      </w:pPr>
      <w:bookmarkStart w:id="26" w:name="_Toc241025642"/>
      <w:r w:rsidRPr="00C8206E">
        <w:t>2.6.2 Organisational and Workforce Barriers</w:t>
      </w:r>
      <w:bookmarkEnd w:id="26"/>
    </w:p>
    <w:p w14:paraId="6CCBFC2F" w14:textId="77777777"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The most severe organisational constraint of CAMHS access in England is workforce shortage, which acts as the limiting factor to all other access improvement strategies. According to the Royal College of Psychiatrists (2024), child and adolescent psychiatry had the highest consultant vacancy rate of any psychiatric specialism, with an actual vacancy rate - including locum-covered posts - of 36.8 per cent (310 of 842 posts). This level of vacancy has a structural constraint to throughput capacity regardless of how efficient the referral pathway is or whether the design of the commissioning is efficient. Staff burnout also contributes to vacancy-induced shortages: Mareva et al. (2024) have discovered that over a third of CAMHS employees in England were moderately to high work-related burnout, with about a quarter of them demonstrating wellbeing measures that suggested depressive symptoms. A systematic review of barriers in primary care practitioners managing the mental health of children and young people by O'Brien et al. (2016) found that a lack of specialist training, lack of awareness of CAMHS eligibility criteria and lack of perceived organisational resources are persistent organisational barriers to making an appropriate referral - implying that the lack of organisation goes beyond specialist services to the referring professional ecosystem that facilitates CAMHS.</w:t>
      </w:r>
    </w:p>
    <w:p w14:paraId="68967615" w14:textId="77777777" w:rsidR="00B2363A" w:rsidRPr="00C8206E" w:rsidRDefault="00B2363A" w:rsidP="00BA57CC">
      <w:pPr>
        <w:pStyle w:val="Heading3"/>
      </w:pPr>
      <w:bookmarkStart w:id="27" w:name="_Toc241025643"/>
      <w:r w:rsidRPr="00C8206E">
        <w:lastRenderedPageBreak/>
        <w:t>2.6.3 Referral and Pathway Barriers</w:t>
      </w:r>
      <w:bookmarkEnd w:id="27"/>
    </w:p>
    <w:p w14:paraId="6F3CE9C1" w14:textId="05B3E8D6"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Referral routes to CAMHS are marked by inconsistency, low </w:t>
      </w:r>
      <w:r w:rsidR="00BA57CC">
        <w:rPr>
          <w:rFonts w:ascii="Arial" w:hAnsi="Arial" w:cs="Arial"/>
          <w:lang w:val="en-IN"/>
        </w:rPr>
        <w:t>levels</w:t>
      </w:r>
      <w:r w:rsidRPr="00C8206E">
        <w:rPr>
          <w:rFonts w:ascii="Arial" w:hAnsi="Arial" w:cs="Arial"/>
          <w:lang w:val="en-IN"/>
        </w:rPr>
        <w:t xml:space="preserve"> of transparency, and </w:t>
      </w:r>
      <w:r w:rsidR="00BA57CC">
        <w:rPr>
          <w:rFonts w:ascii="Arial" w:hAnsi="Arial" w:cs="Arial"/>
          <w:lang w:val="en-IN"/>
        </w:rPr>
        <w:t xml:space="preserve">a </w:t>
      </w:r>
      <w:r w:rsidRPr="00C8206E">
        <w:rPr>
          <w:rFonts w:ascii="Arial" w:hAnsi="Arial" w:cs="Arial"/>
          <w:lang w:val="en-IN"/>
        </w:rPr>
        <w:t>high level of non-acceptance that adds to the delays in access at the first point of entry. The 202021 mixed-method Enhancing CAMHS Referrals (EN-CAMHS) study (Abel et al., 2025), which analysed 497,502 CAMHS referrals in England</w:t>
      </w:r>
      <w:r w:rsidR="00BA57CC">
        <w:rPr>
          <w:rFonts w:ascii="Arial" w:hAnsi="Arial" w:cs="Arial"/>
          <w:lang w:val="en-IN"/>
        </w:rPr>
        <w:t>,</w:t>
      </w:r>
      <w:r w:rsidRPr="00C8206E">
        <w:rPr>
          <w:rFonts w:ascii="Arial" w:hAnsi="Arial" w:cs="Arial"/>
          <w:lang w:val="en-IN"/>
        </w:rPr>
        <w:t xml:space="preserve"> revealed that nearly a quarter were unsuccessful, mainly due to the confusion of the referrer regarding CAMHS eligibility criteria and the lack of a structured support process throughout the referral process. Hickling, Dabrowski and Williams (2024) discovered that 317 out of 1,322 referrals to a south London CAMHS were rejected due to threshold reasons, and that most of those rejected would have been eligible through a less-intense alternative pathway about which referrers had not been informed. Newman et al. (2024) described the experience of families with the CAMHS referral process as a snakes-and-ladders system: an experience where one goes through the process of referral, rejection, re-referral, and renewed waiting, with each step adding delay and distress. </w:t>
      </w:r>
      <w:r w:rsidR="00FC6C74" w:rsidRPr="00FC6C74">
        <w:rPr>
          <w:rFonts w:ascii="Arial" w:hAnsi="Arial" w:cs="Arial"/>
        </w:rPr>
        <w:t>Hansen et al. (2021) discovered that referral source, clinical presentation, and socioeconomic indicators all had an effect on referral accept</w:t>
      </w:r>
      <w:r w:rsidR="00803B5C">
        <w:rPr>
          <w:rFonts w:ascii="Arial" w:hAnsi="Arial" w:cs="Arial"/>
        </w:rPr>
        <w:t>ance</w:t>
      </w:r>
      <w:r w:rsidRPr="00C8206E">
        <w:rPr>
          <w:rFonts w:ascii="Arial" w:hAnsi="Arial" w:cs="Arial"/>
          <w:lang w:val="en-IN"/>
        </w:rPr>
        <w:t xml:space="preserve">, which also raises equity issues regarding systematic prioritisation in CAMHS access. The EN-CAMHS study (Abel et al., 2025) found the opportunity to most effectively reform the system by standardising referral documentation and threshold criteria across the Integrated Care Boards. </w:t>
      </w:r>
    </w:p>
    <w:p w14:paraId="0EE0810F" w14:textId="77777777" w:rsidR="00B2363A" w:rsidRPr="00C8206E" w:rsidRDefault="00B2363A" w:rsidP="00BA57CC">
      <w:pPr>
        <w:pStyle w:val="Heading3"/>
      </w:pPr>
      <w:bookmarkStart w:id="28" w:name="_Toc241025644"/>
      <w:r w:rsidRPr="00C8206E">
        <w:t>2.6.4 Policy and Commissioning Barriers</w:t>
      </w:r>
      <w:bookmarkEnd w:id="28"/>
    </w:p>
    <w:p w14:paraId="55C3DE4F" w14:textId="5AC46A0A"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Policy and commissioning barriers are structural barriers that influence -and limit -all operational and organisational responses to CAMHS waiting times. The National Audit Office (2023) found that regardless of the investment framework of the NHS </w:t>
      </w:r>
      <w:r w:rsidR="00204059">
        <w:rPr>
          <w:rFonts w:ascii="Arial" w:hAnsi="Arial" w:cs="Arial"/>
          <w:lang w:val="en-IN"/>
        </w:rPr>
        <w:t>Long-Term Plan</w:t>
      </w:r>
      <w:r w:rsidRPr="00C8206E">
        <w:rPr>
          <w:rFonts w:ascii="Arial" w:hAnsi="Arial" w:cs="Arial"/>
          <w:lang w:val="en-IN"/>
        </w:rPr>
        <w:t xml:space="preserve">, mental health waiting-time standards among children and young people had not been met, which was attributed to systemic weaknesses in the accountability of implementation and the lack of a specific children and young people mental health delivery infrastructure. The House of Commons Health and Social Care Committee (2021) lamented the lack of a ringfenced national waiting-time standard enforceable at the Integrated Care Board level and the lack of an integrated workforce strategy consistent with the increased access ambition. According to Griffin et al. (2022), the Green Paper has gaps when it comes to inequalities, access, workforce capacity, and the effects of austerity cuts - gaps that point to a structural failure in the design and </w:t>
      </w:r>
      <w:r w:rsidRPr="00C8206E">
        <w:rPr>
          <w:rFonts w:ascii="Arial" w:hAnsi="Arial" w:cs="Arial"/>
          <w:lang w:val="en-IN"/>
        </w:rPr>
        <w:lastRenderedPageBreak/>
        <w:t>accountability of the policy, undermining the achievement of its ambitions. Using Freedom of Information, Crenna-Jennings and Hutchinson (2020) were able to reveal that the standard reporting used by NHS England fails to reflect referral rejection rates</w:t>
      </w:r>
      <w:r w:rsidR="00BA57CC">
        <w:rPr>
          <w:rFonts w:ascii="Arial" w:hAnsi="Arial" w:cs="Arial"/>
          <w:lang w:val="en-IN"/>
        </w:rPr>
        <w:t>, thereby</w:t>
      </w:r>
      <w:r w:rsidRPr="00C8206E">
        <w:rPr>
          <w:rFonts w:ascii="Arial" w:hAnsi="Arial" w:cs="Arial"/>
          <w:lang w:val="en-IN"/>
        </w:rPr>
        <w:t xml:space="preserve"> effectively </w:t>
      </w:r>
      <w:r w:rsidR="00BA57CC">
        <w:rPr>
          <w:rFonts w:ascii="Arial" w:hAnsi="Arial" w:cs="Arial"/>
          <w:lang w:val="en-IN"/>
        </w:rPr>
        <w:t>avoiding</w:t>
      </w:r>
      <w:r w:rsidRPr="00C8206E">
        <w:rPr>
          <w:rFonts w:ascii="Arial" w:hAnsi="Arial" w:cs="Arial"/>
          <w:lang w:val="en-IN"/>
        </w:rPr>
        <w:t xml:space="preserve"> national examination and responsibility. </w:t>
      </w:r>
    </w:p>
    <w:p w14:paraId="56346FF0" w14:textId="77777777" w:rsidR="00B2363A" w:rsidRPr="00C8206E" w:rsidRDefault="00B2363A" w:rsidP="00C8206E">
      <w:pPr>
        <w:spacing w:after="0" w:line="360" w:lineRule="auto"/>
        <w:jc w:val="both"/>
        <w:rPr>
          <w:rFonts w:ascii="Arial" w:hAnsi="Arial" w:cs="Arial"/>
          <w:lang w:val="en-IN"/>
        </w:rPr>
      </w:pPr>
    </w:p>
    <w:p w14:paraId="34B731F7" w14:textId="77777777" w:rsidR="00B2363A" w:rsidRPr="00C8206E" w:rsidRDefault="00B2363A" w:rsidP="00892D94">
      <w:pPr>
        <w:pStyle w:val="Heading2"/>
      </w:pPr>
      <w:bookmarkStart w:id="29" w:name="_Toc241025645"/>
      <w:r w:rsidRPr="00C8206E">
        <w:t>2.7 Gaps in the Existing Literature and Justification for This Study</w:t>
      </w:r>
      <w:bookmarkEnd w:id="29"/>
    </w:p>
    <w:p w14:paraId="73049A28" w14:textId="77777777"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Despite the above literature review presenting significant evidence on the types of barriers on an individual basis, it has significant limitations, which, when combined, warrant the current systematic review. First, there is a lack of evidence synthesis across types of barriers: workforce, referral, or commissioning barriers are commonly studied in isolation, rather than trying to synthesise the evidence across categories, or to investigate the structural interactions between barriers. Second, there is no methodologically homogeneous evidence base; it is a collection of service appraisals, primary qualitative research, Freedom of Information reviews and statutory monitoring reports, with no systematic quality appraisal or cross-design synthesis. Third, the temporal distribution of evidence is skewed towards the pre-pandemic period, with the post-2020 spike in demand being met by such means as monitoring reports, instead of peer-reviewed evidence. Valentine et al. (2024), in a systematic review of waiting-list interventions in CAMHS, confirmed a critical evidence gap on effective access improvement. The paper will fill these gaps by providing a systematic review based on the Preferred Reporting Items for Systematic Reviews and Meta-Analyses (PRISMA) 2020-compliant study (Page et al., 2021), synthesising qualitative, quantitative, and grey literature data on the topic between 2015 and 2025 with systematic quality assessment. </w:t>
      </w:r>
    </w:p>
    <w:p w14:paraId="129AF109" w14:textId="77777777" w:rsidR="00B2363A" w:rsidRPr="00C8206E" w:rsidRDefault="00B2363A" w:rsidP="00C8206E">
      <w:pPr>
        <w:spacing w:after="0" w:line="360" w:lineRule="auto"/>
        <w:jc w:val="both"/>
        <w:rPr>
          <w:rFonts w:ascii="Arial" w:hAnsi="Arial" w:cs="Arial"/>
          <w:lang w:val="en-IN"/>
        </w:rPr>
      </w:pPr>
    </w:p>
    <w:p w14:paraId="5D1DAD86" w14:textId="77777777" w:rsidR="00B2363A" w:rsidRPr="00C8206E" w:rsidRDefault="00B2363A" w:rsidP="00892D94">
      <w:pPr>
        <w:pStyle w:val="Heading2"/>
      </w:pPr>
      <w:bookmarkStart w:id="30" w:name="_Toc241025646"/>
      <w:r w:rsidRPr="00C8206E">
        <w:t>2.8 Theoretical Framework</w:t>
      </w:r>
      <w:bookmarkEnd w:id="30"/>
    </w:p>
    <w:p w14:paraId="5696E3EA" w14:textId="77777777" w:rsidR="00B2363A" w:rsidRPr="00C8206E" w:rsidRDefault="00B2363A" w:rsidP="00C8206E">
      <w:pPr>
        <w:spacing w:after="0" w:line="360" w:lineRule="auto"/>
        <w:jc w:val="both"/>
        <w:rPr>
          <w:rFonts w:ascii="Arial" w:hAnsi="Arial" w:cs="Arial"/>
          <w:lang w:val="en-IN"/>
        </w:rPr>
      </w:pPr>
      <w:r w:rsidRPr="00C8206E">
        <w:rPr>
          <w:rFonts w:ascii="Arial" w:hAnsi="Arial" w:cs="Arial"/>
          <w:lang w:val="en-IN"/>
        </w:rPr>
        <w:t xml:space="preserve">The conceptual framework of the systematic review is the Patient-Centred Access to Health Care, which was initially stated by Levesque, Harris and Russell (2013). Though this work was published earlier than the 2016 cut-off on primary evidence sources in this review, its original role in the scholarly literature on healthcare access, and its role as the most widely applied access framework to the international health services literature, warrant its inclusion as a seminal theoretical anchor, as the brief provides foundational scholarly works. </w:t>
      </w:r>
    </w:p>
    <w:p w14:paraId="75FF53D8" w14:textId="1A9CC9E4" w:rsidR="00C703F3" w:rsidRPr="00C8206E" w:rsidRDefault="00B2363A" w:rsidP="00C8206E">
      <w:pPr>
        <w:spacing w:after="0" w:line="360" w:lineRule="auto"/>
        <w:jc w:val="both"/>
        <w:rPr>
          <w:rFonts w:ascii="Arial" w:hAnsi="Arial" w:cs="Arial"/>
          <w:lang w:val="en-IN"/>
        </w:rPr>
      </w:pPr>
      <w:r w:rsidRPr="00C8206E">
        <w:rPr>
          <w:rFonts w:ascii="Arial" w:hAnsi="Arial" w:cs="Arial"/>
          <w:lang w:val="en-IN"/>
        </w:rPr>
        <w:lastRenderedPageBreak/>
        <w:t xml:space="preserve">Conceptualised by Levesque et al. (2013) as arising at the health system-population interface, access is conceptualised as organised around five dimensions of supply-side accessibility, including approachability, acceptability, availability and accommodation, affordability and appropriateness, and five dimensions of patient capabilities </w:t>
      </w:r>
      <w:r w:rsidR="00BA57CC">
        <w:rPr>
          <w:rFonts w:ascii="Arial" w:hAnsi="Arial" w:cs="Arial"/>
          <w:lang w:val="en-IN"/>
        </w:rPr>
        <w:t>on</w:t>
      </w:r>
      <w:r w:rsidRPr="00C8206E">
        <w:rPr>
          <w:rFonts w:ascii="Arial" w:hAnsi="Arial" w:cs="Arial"/>
          <w:lang w:val="en-IN"/>
        </w:rPr>
        <w:t xml:space="preserve"> the demand side, including the ability to perceive, seek, reach, pay and engage </w:t>
      </w:r>
      <w:r w:rsidR="00BA57CC">
        <w:rPr>
          <w:rFonts w:ascii="Arial" w:hAnsi="Arial" w:cs="Arial"/>
          <w:lang w:val="en-IN"/>
        </w:rPr>
        <w:t xml:space="preserve">in </w:t>
      </w:r>
      <w:r w:rsidRPr="00C8206E">
        <w:rPr>
          <w:rFonts w:ascii="Arial" w:hAnsi="Arial" w:cs="Arial"/>
          <w:lang w:val="en-IN"/>
        </w:rPr>
        <w:t xml:space="preserve">care. This two-way model is especially appropriate to the analysis of waiting times in CAMHS in England due to the supply-side failures, including workforce shortages limiting supply or threshold issues limiting approachability, and demand-side constraints, including stigma or socioeconomic disadvantage. In a scoping review of 133 studies using the Levesque framework to study various health systems, Cu et al. (2021) found that all five supply-side dimensions have been operationalised in mental health access research studies, thus establishing the direct applicability of the framework to the present study. Using the framework to investigate youth mental health access barriers in Ontario, </w:t>
      </w:r>
      <w:proofErr w:type="spellStart"/>
      <w:r w:rsidRPr="00C8206E">
        <w:rPr>
          <w:rFonts w:ascii="Arial" w:hAnsi="Arial" w:cs="Arial"/>
          <w:lang w:val="en-IN"/>
        </w:rPr>
        <w:t>Kourgiantakis</w:t>
      </w:r>
      <w:proofErr w:type="spellEnd"/>
      <w:r w:rsidRPr="00C8206E">
        <w:rPr>
          <w:rFonts w:ascii="Arial" w:hAnsi="Arial" w:cs="Arial"/>
          <w:lang w:val="en-IN"/>
        </w:rPr>
        <w:t xml:space="preserve"> et al. (2023) identified structural supply-side barriers (specifically, availability constraints and referral-pathway acceptability) as the overriding determinant of access, also closely corresponding to the English literature reviewed above. The thematic analysis in Chapters 4 and 5 is supplied by the five-dimensional supply-side dimensions that allow the findings of the twelve incorporated studies to be overlaid on a pre-existing theoretical framework and questioned about their theoretical and practical consequences.</w:t>
      </w:r>
    </w:p>
    <w:p w14:paraId="3CB6FF7B" w14:textId="77777777" w:rsidR="007913C6" w:rsidRPr="00C8206E" w:rsidRDefault="007913C6" w:rsidP="00C8206E">
      <w:pPr>
        <w:spacing w:line="360" w:lineRule="auto"/>
        <w:jc w:val="both"/>
        <w:rPr>
          <w:rFonts w:ascii="Arial" w:eastAsiaTheme="majorEastAsia" w:hAnsi="Arial" w:cs="Arial"/>
          <w:b/>
          <w:bCs/>
          <w:color w:val="0F4761" w:themeColor="accent1" w:themeShade="BF"/>
          <w:lang w:val="en-IN"/>
        </w:rPr>
      </w:pPr>
      <w:r w:rsidRPr="00C8206E">
        <w:rPr>
          <w:rFonts w:ascii="Arial" w:hAnsi="Arial" w:cs="Arial"/>
        </w:rPr>
        <w:br w:type="page"/>
      </w:r>
    </w:p>
    <w:p w14:paraId="38EBE2EB" w14:textId="5717B007" w:rsidR="00BA24EA" w:rsidRPr="00532ADF" w:rsidRDefault="00BA24EA" w:rsidP="004C0ECA">
      <w:pPr>
        <w:pStyle w:val="Heading1"/>
      </w:pPr>
      <w:bookmarkStart w:id="31" w:name="_Toc241025647"/>
      <w:r w:rsidRPr="00532ADF">
        <w:lastRenderedPageBreak/>
        <w:t xml:space="preserve">Chapter 3: </w:t>
      </w:r>
      <w:r w:rsidR="007913C6" w:rsidRPr="00532ADF">
        <w:t>RESEARCH METHODOLOGY</w:t>
      </w:r>
      <w:bookmarkEnd w:id="31"/>
    </w:p>
    <w:p w14:paraId="4C6D2092" w14:textId="77777777" w:rsidR="00BA24EA" w:rsidRPr="00532ADF" w:rsidRDefault="00BA24EA" w:rsidP="00892D94">
      <w:pPr>
        <w:pStyle w:val="Heading2"/>
      </w:pPr>
      <w:bookmarkStart w:id="32" w:name="_Toc241025648"/>
      <w:r w:rsidRPr="00532ADF">
        <w:t>3.1 Introduction</w:t>
      </w:r>
      <w:bookmarkEnd w:id="32"/>
    </w:p>
    <w:p w14:paraId="11875AA8"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This chapter outlines and supports the entire methodology that will be used in this systematic review. It places the study in a proper philosophical tradition, explains the rationale behind the selected research design, outlines the search strategy, screening processes, data extraction procedure, quality appraisal tools and data synthesis method. All decisions are strictly rationalised based on known academic literature as opposed to being described. The chapter closes with a discussion of the ethical framework in which the study was conducted and the major methodological limitations. </w:t>
      </w:r>
    </w:p>
    <w:p w14:paraId="10AD9BCD" w14:textId="77777777" w:rsidR="00BA24EA" w:rsidRPr="00C8206E" w:rsidRDefault="00BA24EA" w:rsidP="00C8206E">
      <w:pPr>
        <w:spacing w:after="0" w:line="360" w:lineRule="auto"/>
        <w:jc w:val="both"/>
        <w:rPr>
          <w:rFonts w:ascii="Arial" w:hAnsi="Arial" w:cs="Arial"/>
          <w:lang w:val="en-IN"/>
        </w:rPr>
      </w:pPr>
    </w:p>
    <w:p w14:paraId="6F3EC6DC" w14:textId="77777777" w:rsidR="00BA24EA" w:rsidRPr="00C8206E" w:rsidRDefault="00BA24EA" w:rsidP="00892D94">
      <w:pPr>
        <w:pStyle w:val="Heading2"/>
      </w:pPr>
      <w:bookmarkStart w:id="33" w:name="_Toc241025649"/>
      <w:r w:rsidRPr="00C8206E">
        <w:t>3.2 Research Philosophy</w:t>
      </w:r>
      <w:bookmarkEnd w:id="33"/>
    </w:p>
    <w:p w14:paraId="565FD963" w14:textId="4C81DCF8"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The epistemological standpoint that forms the philosophical basis of this work is interpretivism, a social construct of knowledge that is contextually informed and shaped by the views of the people who construct and occupy it, as opposed to </w:t>
      </w:r>
      <w:r w:rsidR="00BA57CC">
        <w:rPr>
          <w:rFonts w:ascii="Arial" w:hAnsi="Arial" w:cs="Arial"/>
          <w:lang w:val="en-IN"/>
        </w:rPr>
        <w:t xml:space="preserve">being </w:t>
      </w:r>
      <w:r w:rsidRPr="00C8206E">
        <w:rPr>
          <w:rFonts w:ascii="Arial" w:hAnsi="Arial" w:cs="Arial"/>
          <w:lang w:val="en-IN"/>
        </w:rPr>
        <w:t>objective and externally verifiable. Interpretivism adheres to the relativist ontology that there is no single social reality that exists outside of the experience of the people. Child and Adolescent Mental Health Services (CAMHS) barriers to access and structural conditions that create long waiting times in England are not discrete, measurable variables that can be reduced to universal laws of causation; they are highly complex social phenomena that have variable manifestations in organisations, geographies, communities and service users. Such inherently heterogeneous evidence can be examined and synthesised in a manner that makes the most intellectual sense using an interpretivist position.</w:t>
      </w:r>
    </w:p>
    <w:p w14:paraId="3623815C" w14:textId="77777777" w:rsidR="00BA24EA" w:rsidRPr="00C8206E" w:rsidRDefault="00BA24EA" w:rsidP="00C8206E">
      <w:pPr>
        <w:spacing w:after="0" w:line="360" w:lineRule="auto"/>
        <w:jc w:val="both"/>
        <w:rPr>
          <w:rFonts w:ascii="Arial" w:hAnsi="Arial" w:cs="Arial"/>
          <w:lang w:val="en-IN"/>
        </w:rPr>
      </w:pPr>
    </w:p>
    <w:p w14:paraId="0B266A76" w14:textId="6A7C5E2C"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Two reasons led to the rejection of a positivist epistemology, which prioritises objective measurement and aims at determining the deterministic relationships between variables via experimental or quasi-experimental means. To begin with, positivism would give precedence to the quantitative statistics of waiting time at the expense of the qualitative and experiential aspects of access barriers, such as the lived experiences of families going through unclear referral procedures, which the evidence base would rank as equally influential determinants of service delay (Newman et al., 2024). Second, the research question is not aimed at testing a hypothesis or proving causality but identifying, synthesising, and critically assessing patterns in a varied </w:t>
      </w:r>
      <w:r w:rsidRPr="00C8206E">
        <w:rPr>
          <w:rFonts w:ascii="Arial" w:hAnsi="Arial" w:cs="Arial"/>
          <w:lang w:val="en-IN"/>
        </w:rPr>
        <w:lastRenderedPageBreak/>
        <w:t>body of evidence, which interpretivism is more suited</w:t>
      </w:r>
      <w:r w:rsidR="004F6BBC">
        <w:rPr>
          <w:rFonts w:ascii="Arial" w:hAnsi="Arial" w:cs="Arial"/>
          <w:lang w:val="en-IN"/>
        </w:rPr>
        <w:t xml:space="preserve"> to</w:t>
      </w:r>
      <w:r w:rsidRPr="00C8206E">
        <w:rPr>
          <w:rFonts w:ascii="Arial" w:hAnsi="Arial" w:cs="Arial"/>
          <w:lang w:val="en-IN"/>
        </w:rPr>
        <w:t xml:space="preserve">. The interpretivist stance adopted is not, however, inconsistent with the inclusion of quantitative evidence; </w:t>
      </w:r>
      <w:r w:rsidR="009502E9" w:rsidRPr="009502E9">
        <w:rPr>
          <w:rFonts w:ascii="Arial" w:hAnsi="Arial" w:cs="Arial"/>
        </w:rPr>
        <w:t>an interpretivist approach can support mixed-method synthesis as long as the contextual meaning-making informs the synthesis of findings across types of studies</w:t>
      </w:r>
      <w:r w:rsidRPr="00C8206E">
        <w:rPr>
          <w:rFonts w:ascii="Arial" w:hAnsi="Arial" w:cs="Arial"/>
          <w:lang w:val="en-IN"/>
        </w:rPr>
        <w:t xml:space="preserve"> - which is in line with the narrative synthesis approach followed in this study. </w:t>
      </w:r>
    </w:p>
    <w:p w14:paraId="5BCEE1A5" w14:textId="77777777" w:rsidR="00BA24EA" w:rsidRPr="00C8206E" w:rsidRDefault="00BA24EA" w:rsidP="00C8206E">
      <w:pPr>
        <w:spacing w:after="0" w:line="360" w:lineRule="auto"/>
        <w:jc w:val="both"/>
        <w:rPr>
          <w:rFonts w:ascii="Arial" w:hAnsi="Arial" w:cs="Arial"/>
          <w:lang w:val="en-IN"/>
        </w:rPr>
      </w:pPr>
    </w:p>
    <w:p w14:paraId="2AB35A4C" w14:textId="1E0777C9"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One of the key responsibilities of interpretivist inquiry is reflexivity, which is the understanding of the researcher regarding the influence of positionality on the research </w:t>
      </w:r>
      <w:r w:rsidR="00BA57CC">
        <w:rPr>
          <w:rFonts w:ascii="Arial" w:hAnsi="Arial" w:cs="Arial"/>
          <w:lang w:val="en-IN"/>
        </w:rPr>
        <w:t>process</w:t>
      </w:r>
      <w:r w:rsidRPr="00C8206E">
        <w:rPr>
          <w:rFonts w:ascii="Arial" w:hAnsi="Arial" w:cs="Arial"/>
          <w:lang w:val="en-IN"/>
        </w:rPr>
        <w:t>. The researcher</w:t>
      </w:r>
      <w:r w:rsidR="00BA57CC">
        <w:rPr>
          <w:rFonts w:ascii="Arial" w:hAnsi="Arial" w:cs="Arial"/>
          <w:lang w:val="en-IN"/>
        </w:rPr>
        <w:t>,</w:t>
      </w:r>
      <w:r w:rsidRPr="00C8206E">
        <w:rPr>
          <w:rFonts w:ascii="Arial" w:hAnsi="Arial" w:cs="Arial"/>
          <w:lang w:val="en-IN"/>
        </w:rPr>
        <w:t xml:space="preserve"> being a postgraduate student and having a professional interest in equitable access to health services</w:t>
      </w:r>
      <w:r w:rsidR="00BA57CC">
        <w:rPr>
          <w:rFonts w:ascii="Arial" w:hAnsi="Arial" w:cs="Arial"/>
          <w:lang w:val="en-IN"/>
        </w:rPr>
        <w:t>,</w:t>
      </w:r>
      <w:r w:rsidRPr="00C8206E">
        <w:rPr>
          <w:rFonts w:ascii="Arial" w:hAnsi="Arial" w:cs="Arial"/>
          <w:lang w:val="en-IN"/>
        </w:rPr>
        <w:t xml:space="preserve"> admits to a possible disposition towards the results that highlight systemic injustice. The removal of this risk occurred </w:t>
      </w:r>
      <w:r w:rsidR="00BA57CC">
        <w:rPr>
          <w:rFonts w:ascii="Arial" w:hAnsi="Arial" w:cs="Arial"/>
          <w:lang w:val="en-IN"/>
        </w:rPr>
        <w:t>through</w:t>
      </w:r>
      <w:r w:rsidRPr="00C8206E">
        <w:rPr>
          <w:rFonts w:ascii="Arial" w:hAnsi="Arial" w:cs="Arial"/>
          <w:lang w:val="en-IN"/>
        </w:rPr>
        <w:t xml:space="preserve"> the consistent use of inclusion and exclusion criteria, validated quality appraisal tools, and adherence to </w:t>
      </w:r>
      <w:r w:rsidR="00BA57CC">
        <w:rPr>
          <w:rFonts w:ascii="Arial" w:hAnsi="Arial" w:cs="Arial"/>
          <w:lang w:val="en-IN"/>
        </w:rPr>
        <w:t xml:space="preserve">the </w:t>
      </w:r>
      <w:r w:rsidRPr="00C8206E">
        <w:rPr>
          <w:rFonts w:ascii="Arial" w:hAnsi="Arial" w:cs="Arial"/>
          <w:lang w:val="en-IN"/>
        </w:rPr>
        <w:t xml:space="preserve">PRISMA 2020 reporting framework (Page et al., 2021), which all create transparency and consistency. </w:t>
      </w:r>
    </w:p>
    <w:p w14:paraId="3D9BE9E7" w14:textId="77777777" w:rsidR="00BA24EA" w:rsidRPr="00C8206E" w:rsidRDefault="00BA24EA" w:rsidP="00C8206E">
      <w:pPr>
        <w:spacing w:after="0" w:line="360" w:lineRule="auto"/>
        <w:jc w:val="both"/>
        <w:rPr>
          <w:rFonts w:ascii="Arial" w:hAnsi="Arial" w:cs="Arial"/>
          <w:lang w:val="en-IN"/>
        </w:rPr>
      </w:pPr>
    </w:p>
    <w:p w14:paraId="21692A06" w14:textId="77777777" w:rsidR="00BA24EA" w:rsidRPr="00C8206E" w:rsidRDefault="00BA24EA" w:rsidP="00892D94">
      <w:pPr>
        <w:pStyle w:val="Heading2"/>
      </w:pPr>
      <w:bookmarkStart w:id="34" w:name="_Toc241025650"/>
      <w:r w:rsidRPr="00C8206E">
        <w:t>3.3 Research Paradigm and Approach</w:t>
      </w:r>
      <w:bookmarkEnd w:id="34"/>
    </w:p>
    <w:p w14:paraId="5A7DD942" w14:textId="4E182BA8"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This paper uses an inductive research design, which proceeds </w:t>
      </w:r>
      <w:r w:rsidR="00BA57CC">
        <w:rPr>
          <w:rFonts w:ascii="Arial" w:hAnsi="Arial" w:cs="Arial"/>
          <w:lang w:val="en-IN"/>
        </w:rPr>
        <w:t xml:space="preserve">from </w:t>
      </w:r>
      <w:r w:rsidRPr="00C8206E">
        <w:rPr>
          <w:rFonts w:ascii="Arial" w:hAnsi="Arial" w:cs="Arial"/>
          <w:lang w:val="en-IN"/>
        </w:rPr>
        <w:t xml:space="preserve">the specific observations reported in the studies included to general thematic and conceptual conclusions on the barriers to CAMHS access in England. Inductive reasoning is suitable since the research does not attempt to test a </w:t>
      </w:r>
      <w:r w:rsidR="00BA57CC">
        <w:rPr>
          <w:rFonts w:ascii="Arial" w:hAnsi="Arial" w:cs="Arial"/>
          <w:lang w:val="en-IN"/>
        </w:rPr>
        <w:t>preconceived</w:t>
      </w:r>
      <w:r w:rsidRPr="00C8206E">
        <w:rPr>
          <w:rFonts w:ascii="Arial" w:hAnsi="Arial" w:cs="Arial"/>
          <w:lang w:val="en-IN"/>
        </w:rPr>
        <w:t xml:space="preserve"> hypothesis but to extract, organise and generalise emergent patterns through a heterogeneous evidence base - a process that cannot be achieved by deductive validation of a theory.</w:t>
      </w:r>
    </w:p>
    <w:p w14:paraId="290491D8" w14:textId="77777777" w:rsidR="00BA24EA" w:rsidRPr="00C8206E" w:rsidRDefault="00BA24EA" w:rsidP="00C8206E">
      <w:pPr>
        <w:spacing w:after="0" w:line="360" w:lineRule="auto"/>
        <w:jc w:val="both"/>
        <w:rPr>
          <w:rFonts w:ascii="Arial" w:hAnsi="Arial" w:cs="Arial"/>
          <w:lang w:val="en-IN"/>
        </w:rPr>
      </w:pPr>
    </w:p>
    <w:p w14:paraId="2F5BCF48" w14:textId="4B680F22"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The study is entirely </w:t>
      </w:r>
      <w:r w:rsidR="00BA57CC">
        <w:rPr>
          <w:rFonts w:ascii="Arial" w:hAnsi="Arial" w:cs="Arial"/>
          <w:lang w:val="en-IN"/>
        </w:rPr>
        <w:t>desk-based</w:t>
      </w:r>
      <w:r w:rsidRPr="00C8206E">
        <w:rPr>
          <w:rFonts w:ascii="Arial" w:hAnsi="Arial" w:cs="Arial"/>
          <w:lang w:val="en-IN"/>
        </w:rPr>
        <w:t xml:space="preserve"> and secondary. No human participants were involved</w:t>
      </w:r>
      <w:r w:rsidR="00BA57CC">
        <w:rPr>
          <w:rFonts w:ascii="Arial" w:hAnsi="Arial" w:cs="Arial"/>
          <w:lang w:val="en-IN"/>
        </w:rPr>
        <w:t>,</w:t>
      </w:r>
      <w:r w:rsidRPr="00C8206E">
        <w:rPr>
          <w:rFonts w:ascii="Arial" w:hAnsi="Arial" w:cs="Arial"/>
          <w:lang w:val="en-IN"/>
        </w:rPr>
        <w:t xml:space="preserve"> and no primary data were used. It was a methodological decision: considering the amount of available evidence about discrete CAMHS barriers in England and the lack of an overall synthesis, a secondary research study provided better analytical depth and breadth than a small-scale primary investigation could possibly reach within the limits of this dissertation.</w:t>
      </w:r>
    </w:p>
    <w:p w14:paraId="702BBF64" w14:textId="77777777" w:rsidR="00BA24EA" w:rsidRPr="00C8206E" w:rsidRDefault="00BA24EA" w:rsidP="00C8206E">
      <w:pPr>
        <w:spacing w:after="0" w:line="360" w:lineRule="auto"/>
        <w:jc w:val="both"/>
        <w:rPr>
          <w:rFonts w:ascii="Arial" w:hAnsi="Arial" w:cs="Arial"/>
          <w:lang w:val="en-IN"/>
        </w:rPr>
      </w:pPr>
    </w:p>
    <w:p w14:paraId="595A4F0C" w14:textId="77777777" w:rsidR="00BA24EA" w:rsidRPr="00C8206E" w:rsidRDefault="00BA24EA" w:rsidP="00892D94">
      <w:pPr>
        <w:pStyle w:val="Heading2"/>
      </w:pPr>
      <w:bookmarkStart w:id="35" w:name="_Toc241025651"/>
      <w:r w:rsidRPr="00C8206E">
        <w:t>3.4 Systematic Review as Research Design</w:t>
      </w:r>
      <w:bookmarkEnd w:id="35"/>
    </w:p>
    <w:p w14:paraId="7897529A" w14:textId="38F0314D"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The selected study design is a mixed-methods systematic review, which is </w:t>
      </w:r>
      <w:r w:rsidR="00BA57CC">
        <w:rPr>
          <w:rFonts w:ascii="Arial" w:hAnsi="Arial" w:cs="Arial"/>
          <w:lang w:val="en-IN"/>
        </w:rPr>
        <w:t>organised</w:t>
      </w:r>
      <w:r w:rsidRPr="00C8206E">
        <w:rPr>
          <w:rFonts w:ascii="Arial" w:hAnsi="Arial" w:cs="Arial"/>
          <w:lang w:val="en-IN"/>
        </w:rPr>
        <w:t xml:space="preserve"> in line with the Preferred Reporting Items for Systematic Reviews and Meta-Analyses </w:t>
      </w:r>
      <w:r w:rsidRPr="00C8206E">
        <w:rPr>
          <w:rFonts w:ascii="Arial" w:hAnsi="Arial" w:cs="Arial"/>
          <w:lang w:val="en-IN"/>
        </w:rPr>
        <w:lastRenderedPageBreak/>
        <w:t xml:space="preserve">2020 (PRISMA 2020; Page et al., 2021). Systematic reviews are research designs that use explicit, pre-specified, and reproducible procedures </w:t>
      </w:r>
      <w:r w:rsidR="00EF18B0" w:rsidRPr="00C8206E">
        <w:rPr>
          <w:rFonts w:ascii="Arial" w:hAnsi="Arial" w:cs="Arial"/>
          <w:lang w:val="en-IN"/>
        </w:rPr>
        <w:t>to search, critically assess, and integrate all the evidence available that relates to a specific research question. PRISMA 2020 has been adopted as the reporting standard.</w:t>
      </w:r>
    </w:p>
    <w:p w14:paraId="6048D694" w14:textId="77777777" w:rsidR="00BA24EA" w:rsidRPr="00C8206E" w:rsidRDefault="00BA24EA" w:rsidP="00C8206E">
      <w:pPr>
        <w:spacing w:after="0" w:line="360" w:lineRule="auto"/>
        <w:jc w:val="both"/>
        <w:rPr>
          <w:rFonts w:ascii="Arial" w:hAnsi="Arial" w:cs="Arial"/>
          <w:lang w:val="en-IN"/>
        </w:rPr>
      </w:pPr>
    </w:p>
    <w:p w14:paraId="655CD6B0" w14:textId="7B6DC4C3"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PRISMA 2020 was implemented as the reporting standard. PRISMA 2020 is the latest version of the systematic review international reporting standards</w:t>
      </w:r>
      <w:r w:rsidR="00BA57CC">
        <w:rPr>
          <w:rFonts w:ascii="Arial" w:hAnsi="Arial" w:cs="Arial"/>
          <w:lang w:val="en-IN"/>
        </w:rPr>
        <w:t>,</w:t>
      </w:r>
      <w:r w:rsidRPr="00C8206E">
        <w:rPr>
          <w:rFonts w:ascii="Arial" w:hAnsi="Arial" w:cs="Arial"/>
          <w:lang w:val="en-IN"/>
        </w:rPr>
        <w:t xml:space="preserve"> updated to reflect a wider scope of evidence types - both qualitative and grey literature - and to represent the latest developments in evidence synthesis (Page et al., 2021). Following PRISMA 2020 will make the review, including identification and screening, inclusion, and synthesis, transparent and reproducible.</w:t>
      </w:r>
    </w:p>
    <w:p w14:paraId="35A4FF7F" w14:textId="77777777" w:rsidR="00BA24EA" w:rsidRPr="00C8206E" w:rsidRDefault="00BA24EA" w:rsidP="00C8206E">
      <w:pPr>
        <w:spacing w:after="0" w:line="360" w:lineRule="auto"/>
        <w:jc w:val="both"/>
        <w:rPr>
          <w:rFonts w:ascii="Arial" w:hAnsi="Arial" w:cs="Arial"/>
          <w:lang w:val="en-IN"/>
        </w:rPr>
      </w:pPr>
    </w:p>
    <w:p w14:paraId="15EA71A6" w14:textId="77777777" w:rsidR="00BA24EA" w:rsidRPr="00C8206E" w:rsidRDefault="00BA24EA" w:rsidP="00892D94">
      <w:pPr>
        <w:pStyle w:val="Heading2"/>
      </w:pPr>
      <w:bookmarkStart w:id="36" w:name="_Toc241025652"/>
      <w:r w:rsidRPr="00C8206E">
        <w:t>3.5 Search Strategy</w:t>
      </w:r>
      <w:bookmarkEnd w:id="36"/>
    </w:p>
    <w:p w14:paraId="5E169DDB" w14:textId="77777777" w:rsidR="00BA24EA" w:rsidRPr="00C8206E" w:rsidRDefault="00BA24EA" w:rsidP="00BA57CC">
      <w:pPr>
        <w:pStyle w:val="Heading3"/>
      </w:pPr>
      <w:bookmarkStart w:id="37" w:name="_Toc241025653"/>
      <w:r w:rsidRPr="00C8206E">
        <w:t>3.5.1 Databases and Grey Literature Sources</w:t>
      </w:r>
      <w:bookmarkEnd w:id="37"/>
    </w:p>
    <w:p w14:paraId="7ACA502A" w14:textId="786C7C81"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The search was systematic and carried out in 4 electronic bibliographic databases, namely PubMed/MEDLINE, the Cumulative Index to Nursing and Allied Health Literature (CINAHL), PsycINFO, and Cochrane Library. They were chosen due to their complementary and comprehensive coverage of health services research, nursing, psychology, and public health literature pertinent to CAMHS. Google Scholar was used as an additional source to find peer-reviewed studies that were not available in the main databases.</w:t>
      </w:r>
    </w:p>
    <w:p w14:paraId="641359E7" w14:textId="74F14FE7" w:rsidR="0024589D" w:rsidRPr="004F6BBC" w:rsidRDefault="00BA57CC" w:rsidP="00C8206E">
      <w:pPr>
        <w:spacing w:after="0" w:line="360" w:lineRule="auto"/>
        <w:jc w:val="both"/>
        <w:rPr>
          <w:rFonts w:ascii="Arial" w:hAnsi="Arial" w:cs="Arial"/>
        </w:rPr>
      </w:pPr>
      <w:r>
        <w:rPr>
          <w:rFonts w:ascii="Arial" w:hAnsi="Arial" w:cs="Arial"/>
          <w:lang w:val="en-IN"/>
        </w:rPr>
        <w:t>A parallel</w:t>
      </w:r>
      <w:r w:rsidR="00BA24EA" w:rsidRPr="00C8206E">
        <w:rPr>
          <w:rFonts w:ascii="Arial" w:hAnsi="Arial" w:cs="Arial"/>
          <w:lang w:val="en-IN"/>
        </w:rPr>
        <w:t xml:space="preserve"> grey literature search was carried out using the reports by NHS England, the Care Quality Commission (CQC), the Office of the </w:t>
      </w:r>
      <w:r>
        <w:rPr>
          <w:rFonts w:ascii="Arial" w:hAnsi="Arial" w:cs="Arial"/>
          <w:lang w:val="en-IN"/>
        </w:rPr>
        <w:t>Children's</w:t>
      </w:r>
      <w:r w:rsidR="00BA24EA" w:rsidRPr="00C8206E">
        <w:rPr>
          <w:rFonts w:ascii="Arial" w:hAnsi="Arial" w:cs="Arial"/>
          <w:lang w:val="en-IN"/>
        </w:rPr>
        <w:t xml:space="preserve"> Commissioner of England, the Education Policy Institute (EPI), and the Royal College of Psychiatrists (</w:t>
      </w:r>
      <w:r>
        <w:rPr>
          <w:rFonts w:ascii="Arial" w:hAnsi="Arial" w:cs="Arial"/>
          <w:lang w:val="en-IN"/>
        </w:rPr>
        <w:t>RCPsych</w:t>
      </w:r>
      <w:r w:rsidR="00BA24EA" w:rsidRPr="00C8206E">
        <w:rPr>
          <w:rFonts w:ascii="Arial" w:hAnsi="Arial" w:cs="Arial"/>
          <w:lang w:val="en-IN"/>
        </w:rPr>
        <w:t xml:space="preserve">). It was a methodological necessity and not a choice: there is a large amount of evidence regarding CAMHS service performance, national waiting-time data, and policy implementation outcomes </w:t>
      </w:r>
      <w:r w:rsidR="004C51AB" w:rsidRPr="004C51AB">
        <w:rPr>
          <w:rFonts w:ascii="Arial" w:hAnsi="Arial" w:cs="Arial"/>
        </w:rPr>
        <w:t>that can only be found outside peer-reviewed articles and would be entirely omitted by database searches alone.</w:t>
      </w:r>
    </w:p>
    <w:p w14:paraId="1EC05CAF" w14:textId="77777777" w:rsidR="00BA24EA" w:rsidRPr="00C8206E" w:rsidRDefault="00BA24EA" w:rsidP="00BA57CC">
      <w:pPr>
        <w:pStyle w:val="Heading3"/>
      </w:pPr>
      <w:bookmarkStart w:id="38" w:name="_Toc241025654"/>
      <w:r w:rsidRPr="00C8206E">
        <w:t>3.5.2 Boolean Search Strings</w:t>
      </w:r>
      <w:bookmarkEnd w:id="38"/>
    </w:p>
    <w:p w14:paraId="54B05FA5" w14:textId="749DB622" w:rsidR="00BA24EA" w:rsidRPr="00C8206E" w:rsidRDefault="0024589D" w:rsidP="00C8206E">
      <w:pPr>
        <w:spacing w:after="0" w:line="360" w:lineRule="auto"/>
        <w:jc w:val="both"/>
        <w:rPr>
          <w:rFonts w:ascii="Arial" w:hAnsi="Arial" w:cs="Arial"/>
          <w:lang w:val="en-IN"/>
        </w:rPr>
      </w:pPr>
      <w:r>
        <w:rPr>
          <w:rFonts w:ascii="Arial" w:hAnsi="Arial" w:cs="Arial"/>
          <w:lang w:val="en-IN"/>
        </w:rPr>
        <w:t>A structured</w:t>
      </w:r>
      <w:r w:rsidR="00BA24EA" w:rsidRPr="00C8206E">
        <w:rPr>
          <w:rFonts w:ascii="Arial" w:hAnsi="Arial" w:cs="Arial"/>
          <w:lang w:val="en-IN"/>
        </w:rPr>
        <w:t xml:space="preserve"> Boolean search strategy was used on each database and combined terms of three conceptual clusters</w:t>
      </w:r>
      <w:r>
        <w:rPr>
          <w:rFonts w:ascii="Arial" w:hAnsi="Arial" w:cs="Arial"/>
          <w:lang w:val="en-IN"/>
        </w:rPr>
        <w:t>:</w:t>
      </w:r>
      <w:r w:rsidR="00BA24EA" w:rsidRPr="00C8206E">
        <w:rPr>
          <w:rFonts w:ascii="Arial" w:hAnsi="Arial" w:cs="Arial"/>
          <w:lang w:val="en-IN"/>
        </w:rPr>
        <w:t xml:space="preserve"> service type, access problem, and geographical focus. The main search term was:</w:t>
      </w:r>
    </w:p>
    <w:p w14:paraId="0D520E04"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lastRenderedPageBreak/>
        <w:t>("CAMHS" OR "Child and Adolescent Mental Health Services") AND ("waiting times" OR "delayed access") AND ("barriers" OR "challenges") AND ("England" OR "NHS")</w:t>
      </w:r>
    </w:p>
    <w:p w14:paraId="6723B2B2" w14:textId="6893589C"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Additional search terms were used to obtain sub-theme-specific evidence, combining CAMHS terms with workforce and staffing terms, and with referral threshold and rejection terms respectively. All database full search strings are recorded in </w:t>
      </w:r>
      <w:r w:rsidR="008317AA" w:rsidRPr="008317AA">
        <w:rPr>
          <w:rFonts w:ascii="Arial" w:hAnsi="Arial" w:cs="Arial"/>
        </w:rPr>
        <w:t>Appendix 2</w:t>
      </w:r>
      <w:r w:rsidRPr="00C8206E">
        <w:rPr>
          <w:rFonts w:ascii="Arial" w:hAnsi="Arial" w:cs="Arial"/>
          <w:lang w:val="en-IN"/>
        </w:rPr>
        <w:t xml:space="preserve">. </w:t>
      </w:r>
    </w:p>
    <w:p w14:paraId="5F8B45C8" w14:textId="77777777" w:rsidR="00BA24EA" w:rsidRPr="00C8206E" w:rsidRDefault="00BA24EA" w:rsidP="00BA57CC">
      <w:pPr>
        <w:pStyle w:val="Heading3"/>
      </w:pPr>
      <w:bookmarkStart w:id="39" w:name="_Toc241025655"/>
      <w:r w:rsidRPr="00C8206E">
        <w:t>3.5.3 Date Range and Language Restriction</w:t>
      </w:r>
      <w:bookmarkEnd w:id="39"/>
    </w:p>
    <w:p w14:paraId="7D00F1CE" w14:textId="2687CD69"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Only publications since January 2015 were searched. This scope was set to include evidence created since the Future in Mind (Department of Health and NHS England, 2015)</w:t>
      </w:r>
      <w:r w:rsidR="00BA57CC">
        <w:rPr>
          <w:rFonts w:ascii="Arial" w:hAnsi="Arial" w:cs="Arial"/>
          <w:lang w:val="en-IN"/>
        </w:rPr>
        <w:t>,</w:t>
      </w:r>
      <w:r w:rsidRPr="00C8206E">
        <w:rPr>
          <w:rFonts w:ascii="Arial" w:hAnsi="Arial" w:cs="Arial"/>
          <w:lang w:val="en-IN"/>
        </w:rPr>
        <w:t xml:space="preserve"> a seminal national policy document that dramatically amplified the quantity of research published on CAMHS access and capacity. The studies published earlier than 2015 were excluded unless they formed methodological or theoretical principles mentioned to support the research design. Only English publications were searched, both due to the geographical interest in England and the language skills of the researcher.</w:t>
      </w:r>
    </w:p>
    <w:p w14:paraId="2849581C" w14:textId="77777777" w:rsidR="00BA24EA" w:rsidRPr="00C8206E" w:rsidRDefault="00BA24EA" w:rsidP="00C8206E">
      <w:pPr>
        <w:spacing w:after="0" w:line="360" w:lineRule="auto"/>
        <w:jc w:val="both"/>
        <w:rPr>
          <w:rFonts w:ascii="Arial" w:hAnsi="Arial" w:cs="Arial"/>
          <w:lang w:val="en-IN"/>
        </w:rPr>
      </w:pPr>
    </w:p>
    <w:p w14:paraId="20C5EFC8" w14:textId="77777777" w:rsidR="00BA24EA" w:rsidRPr="00C8206E" w:rsidRDefault="00BA24EA" w:rsidP="00892D94">
      <w:pPr>
        <w:pStyle w:val="Heading2"/>
      </w:pPr>
      <w:bookmarkStart w:id="40" w:name="_Toc241025656"/>
      <w:r w:rsidRPr="00C8206E">
        <w:t>3.6 Inclusion and Exclusion Criteria</w:t>
      </w:r>
      <w:bookmarkEnd w:id="40"/>
    </w:p>
    <w:p w14:paraId="648C9BAE" w14:textId="29421EAB"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To guarantee that screening inclusion decisions were consistent, study findings independent, and post hoc, pre-specified eligibility criteria were used before the screening began. Tables </w:t>
      </w:r>
      <w:r w:rsidR="004B6B32">
        <w:rPr>
          <w:rFonts w:ascii="Arial" w:hAnsi="Arial" w:cs="Arial"/>
          <w:lang w:val="en-IN"/>
        </w:rPr>
        <w:t>2</w:t>
      </w:r>
      <w:r w:rsidRPr="00C8206E">
        <w:rPr>
          <w:rFonts w:ascii="Arial" w:hAnsi="Arial" w:cs="Arial"/>
          <w:lang w:val="en-IN"/>
        </w:rPr>
        <w:t xml:space="preserve"> and 3 give these criteria.</w:t>
      </w:r>
    </w:p>
    <w:p w14:paraId="013D3BC1" w14:textId="77777777" w:rsidR="00BA24EA" w:rsidRPr="00C8206E" w:rsidRDefault="00BA24EA" w:rsidP="00C8206E">
      <w:pPr>
        <w:spacing w:after="0" w:line="360" w:lineRule="auto"/>
        <w:jc w:val="both"/>
        <w:rPr>
          <w:rFonts w:ascii="Arial" w:hAnsi="Arial" w:cs="Arial"/>
          <w:lang w:val="en-IN"/>
        </w:rPr>
      </w:pPr>
    </w:p>
    <w:p w14:paraId="0CCC064F" w14:textId="133AC89E" w:rsidR="00D37557" w:rsidRDefault="00D37557" w:rsidP="005A7724">
      <w:pPr>
        <w:pStyle w:val="Caption"/>
        <w:keepNext/>
        <w:spacing w:after="0"/>
      </w:pPr>
      <w:bookmarkStart w:id="41" w:name="_Toc241011417"/>
      <w:r>
        <w:t xml:space="preserve">Table </w:t>
      </w:r>
      <w:r w:rsidR="005A7724">
        <w:fldChar w:fldCharType="begin"/>
      </w:r>
      <w:r w:rsidR="005A7724">
        <w:instrText xml:space="preserve"> SEQ Table \* ARABIC </w:instrText>
      </w:r>
      <w:r w:rsidR="005A7724">
        <w:fldChar w:fldCharType="separate"/>
      </w:r>
      <w:r w:rsidR="005A7724">
        <w:rPr>
          <w:noProof/>
        </w:rPr>
        <w:t>2</w:t>
      </w:r>
      <w:r w:rsidR="005A7724">
        <w:rPr>
          <w:noProof/>
        </w:rPr>
        <w:fldChar w:fldCharType="end"/>
      </w:r>
      <w:r w:rsidRPr="007C7CE8">
        <w:t>: Inclusion Criteria</w:t>
      </w:r>
      <w:bookmarkEnd w:id="41"/>
    </w:p>
    <w:tbl>
      <w:tblPr>
        <w:tblW w:w="8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27"/>
        <w:gridCol w:w="5985"/>
      </w:tblGrid>
      <w:tr w:rsidR="00BA24EA" w:rsidRPr="00C8206E" w14:paraId="169A1BB3" w14:textId="77777777" w:rsidTr="000B6EF2">
        <w:trPr>
          <w:tblHeader/>
        </w:trPr>
        <w:tc>
          <w:tcPr>
            <w:tcW w:w="2327" w:type="dxa"/>
            <w:tcBorders>
              <w:top w:val="single" w:sz="6" w:space="0" w:color="999999"/>
              <w:left w:val="single" w:sz="6" w:space="0" w:color="999999"/>
              <w:bottom w:val="single" w:sz="6" w:space="0" w:color="999999"/>
              <w:right w:val="single" w:sz="6" w:space="0" w:color="999999"/>
            </w:tcBorders>
            <w:shd w:val="clear" w:color="auto" w:fill="1F5C99"/>
            <w:tcMar>
              <w:top w:w="60" w:type="dxa"/>
              <w:left w:w="120" w:type="dxa"/>
              <w:bottom w:w="60" w:type="dxa"/>
              <w:right w:w="120" w:type="dxa"/>
            </w:tcMar>
            <w:vAlign w:val="center"/>
          </w:tcPr>
          <w:p w14:paraId="40CF5A8B" w14:textId="77777777" w:rsidR="00BA24EA" w:rsidRPr="00C8206E" w:rsidRDefault="00BA24EA" w:rsidP="00C8206E">
            <w:pPr>
              <w:spacing w:after="0" w:line="360" w:lineRule="auto"/>
              <w:jc w:val="both"/>
              <w:rPr>
                <w:rFonts w:ascii="Arial" w:hAnsi="Arial" w:cs="Arial"/>
                <w:color w:val="FFFFFF" w:themeColor="background1"/>
                <w:lang w:val="en-IN"/>
              </w:rPr>
            </w:pPr>
            <w:r w:rsidRPr="00C8206E">
              <w:rPr>
                <w:rFonts w:ascii="Arial" w:hAnsi="Arial" w:cs="Arial"/>
                <w:b/>
                <w:bCs/>
                <w:color w:val="FFFFFF" w:themeColor="background1"/>
                <w:lang w:val="en-IN"/>
              </w:rPr>
              <w:t>Criterion</w:t>
            </w:r>
          </w:p>
        </w:tc>
        <w:tc>
          <w:tcPr>
            <w:tcW w:w="5985" w:type="dxa"/>
            <w:tcBorders>
              <w:top w:val="single" w:sz="6" w:space="0" w:color="999999"/>
              <w:left w:val="single" w:sz="6" w:space="0" w:color="999999"/>
              <w:bottom w:val="single" w:sz="6" w:space="0" w:color="999999"/>
              <w:right w:val="single" w:sz="6" w:space="0" w:color="999999"/>
            </w:tcBorders>
            <w:shd w:val="clear" w:color="auto" w:fill="1F5C99"/>
            <w:tcMar>
              <w:top w:w="60" w:type="dxa"/>
              <w:left w:w="120" w:type="dxa"/>
              <w:bottom w:w="60" w:type="dxa"/>
              <w:right w:w="120" w:type="dxa"/>
            </w:tcMar>
            <w:vAlign w:val="center"/>
          </w:tcPr>
          <w:p w14:paraId="6DD16EF2" w14:textId="77777777" w:rsidR="00BA24EA" w:rsidRPr="00C8206E" w:rsidRDefault="00BA24EA" w:rsidP="00C8206E">
            <w:pPr>
              <w:spacing w:after="0" w:line="360" w:lineRule="auto"/>
              <w:jc w:val="both"/>
              <w:rPr>
                <w:rFonts w:ascii="Arial" w:hAnsi="Arial" w:cs="Arial"/>
                <w:color w:val="FFFFFF" w:themeColor="background1"/>
                <w:lang w:val="en-IN"/>
              </w:rPr>
            </w:pPr>
            <w:r w:rsidRPr="00C8206E">
              <w:rPr>
                <w:rFonts w:ascii="Arial" w:hAnsi="Arial" w:cs="Arial"/>
                <w:b/>
                <w:bCs/>
                <w:color w:val="FFFFFF" w:themeColor="background1"/>
                <w:lang w:val="en-IN"/>
              </w:rPr>
              <w:t>Specification</w:t>
            </w:r>
          </w:p>
        </w:tc>
      </w:tr>
      <w:tr w:rsidR="00BA24EA" w:rsidRPr="00C8206E" w14:paraId="469105C1" w14:textId="77777777" w:rsidTr="000B6EF2">
        <w:tc>
          <w:tcPr>
            <w:tcW w:w="2327"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31255727"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Publication date</w:t>
            </w:r>
          </w:p>
        </w:tc>
        <w:tc>
          <w:tcPr>
            <w:tcW w:w="5985"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008D44B2"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January 2015 to December 2025</w:t>
            </w:r>
          </w:p>
        </w:tc>
      </w:tr>
      <w:tr w:rsidR="00BA24EA" w:rsidRPr="00C8206E" w14:paraId="60E66595" w14:textId="77777777" w:rsidTr="000B6EF2">
        <w:tc>
          <w:tcPr>
            <w:tcW w:w="2327"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44969395"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Geographic focus</w:t>
            </w:r>
          </w:p>
        </w:tc>
        <w:tc>
          <w:tcPr>
            <w:tcW w:w="5985"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5FA89198"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England or UK, where England-specific data are reported or demonstrably applicable</w:t>
            </w:r>
          </w:p>
        </w:tc>
      </w:tr>
      <w:tr w:rsidR="00BA24EA" w:rsidRPr="00C8206E" w14:paraId="3D9FD991" w14:textId="77777777" w:rsidTr="000B6EF2">
        <w:tc>
          <w:tcPr>
            <w:tcW w:w="2327"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01D3FE84"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Source type</w:t>
            </w:r>
          </w:p>
        </w:tc>
        <w:tc>
          <w:tcPr>
            <w:tcW w:w="5985"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3CD7CB52"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Peer-reviewed journal articles or credible grey literature (government or statutory body publications)</w:t>
            </w:r>
          </w:p>
        </w:tc>
      </w:tr>
      <w:tr w:rsidR="00BA24EA" w:rsidRPr="00C8206E" w14:paraId="796C84A4" w14:textId="77777777" w:rsidTr="000B6EF2">
        <w:tc>
          <w:tcPr>
            <w:tcW w:w="2327"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386A52D0"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Topic relevance</w:t>
            </w:r>
          </w:p>
        </w:tc>
        <w:tc>
          <w:tcPr>
            <w:tcW w:w="5985"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61F7C5CF" w14:textId="4035B126"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Directly addresses CAMHS barriers to access and/or waiting times</w:t>
            </w:r>
            <w:r w:rsidR="004F6BBC">
              <w:rPr>
                <w:rFonts w:ascii="Arial" w:hAnsi="Arial" w:cs="Arial"/>
                <w:lang w:val="en-IN"/>
              </w:rPr>
              <w:t>.</w:t>
            </w:r>
          </w:p>
        </w:tc>
      </w:tr>
      <w:tr w:rsidR="00BA24EA" w:rsidRPr="00C8206E" w14:paraId="480E436D" w14:textId="77777777" w:rsidTr="000B6EF2">
        <w:tc>
          <w:tcPr>
            <w:tcW w:w="2327"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53297DBD"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lastRenderedPageBreak/>
              <w:t>Language</w:t>
            </w:r>
          </w:p>
        </w:tc>
        <w:tc>
          <w:tcPr>
            <w:tcW w:w="5985"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79C9A6BB"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English language only</w:t>
            </w:r>
          </w:p>
        </w:tc>
      </w:tr>
      <w:tr w:rsidR="00BA24EA" w:rsidRPr="00C8206E" w14:paraId="0D8F5B12" w14:textId="77777777" w:rsidTr="000B6EF2">
        <w:tc>
          <w:tcPr>
            <w:tcW w:w="2327"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663D9139"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Evidence type</w:t>
            </w:r>
          </w:p>
        </w:tc>
        <w:tc>
          <w:tcPr>
            <w:tcW w:w="5985"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62F935BC" w14:textId="66D9DF9C"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Contains empirical evidence, data, or systematic analysis; not solely opinion or editorial</w:t>
            </w:r>
            <w:r w:rsidR="004F6BBC">
              <w:rPr>
                <w:rFonts w:ascii="Arial" w:hAnsi="Arial" w:cs="Arial"/>
                <w:lang w:val="en-IN"/>
              </w:rPr>
              <w:t>.</w:t>
            </w:r>
          </w:p>
        </w:tc>
      </w:tr>
    </w:tbl>
    <w:p w14:paraId="4FA578FC" w14:textId="77777777" w:rsidR="00BA24EA" w:rsidRPr="00C8206E" w:rsidRDefault="00BA24EA" w:rsidP="00C8206E">
      <w:pPr>
        <w:spacing w:after="0" w:line="360" w:lineRule="auto"/>
        <w:jc w:val="both"/>
        <w:rPr>
          <w:rFonts w:ascii="Arial" w:hAnsi="Arial" w:cs="Arial"/>
          <w:lang w:val="en-IN"/>
        </w:rPr>
      </w:pPr>
    </w:p>
    <w:p w14:paraId="3D78D7F4" w14:textId="0CC530E6" w:rsidR="005A7724" w:rsidRDefault="005A7724" w:rsidP="005A7724">
      <w:pPr>
        <w:pStyle w:val="Caption"/>
        <w:keepNext/>
        <w:spacing w:after="0"/>
      </w:pPr>
      <w:bookmarkStart w:id="42" w:name="_Toc241011418"/>
      <w:r>
        <w:t xml:space="preserve">Table </w:t>
      </w:r>
      <w:r>
        <w:fldChar w:fldCharType="begin"/>
      </w:r>
      <w:r>
        <w:instrText xml:space="preserve"> SEQ Table \* ARABIC </w:instrText>
      </w:r>
      <w:r>
        <w:fldChar w:fldCharType="separate"/>
      </w:r>
      <w:r>
        <w:rPr>
          <w:noProof/>
        </w:rPr>
        <w:t>3</w:t>
      </w:r>
      <w:r>
        <w:rPr>
          <w:noProof/>
        </w:rPr>
        <w:fldChar w:fldCharType="end"/>
      </w:r>
      <w:r w:rsidRPr="00C92C1B">
        <w:t>: Exclusion Criteria</w:t>
      </w:r>
      <w:bookmarkEnd w:id="42"/>
    </w:p>
    <w:tbl>
      <w:tblPr>
        <w:tblW w:w="8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27"/>
        <w:gridCol w:w="5985"/>
      </w:tblGrid>
      <w:tr w:rsidR="00BA24EA" w:rsidRPr="00C8206E" w14:paraId="255C13C0" w14:textId="77777777" w:rsidTr="00207739">
        <w:trPr>
          <w:tblHeader/>
        </w:trPr>
        <w:tc>
          <w:tcPr>
            <w:tcW w:w="2327" w:type="dxa"/>
            <w:tcBorders>
              <w:top w:val="single" w:sz="6" w:space="0" w:color="999999"/>
              <w:left w:val="single" w:sz="6" w:space="0" w:color="999999"/>
              <w:bottom w:val="single" w:sz="6" w:space="0" w:color="999999"/>
              <w:right w:val="single" w:sz="6" w:space="0" w:color="999999"/>
            </w:tcBorders>
            <w:shd w:val="clear" w:color="auto" w:fill="7B3F00"/>
            <w:tcMar>
              <w:top w:w="60" w:type="dxa"/>
              <w:left w:w="120" w:type="dxa"/>
              <w:bottom w:w="60" w:type="dxa"/>
              <w:right w:w="120" w:type="dxa"/>
            </w:tcMar>
            <w:vAlign w:val="center"/>
          </w:tcPr>
          <w:p w14:paraId="78EC3F6C" w14:textId="77777777" w:rsidR="00BA24EA" w:rsidRPr="00C8206E" w:rsidRDefault="00BA24EA" w:rsidP="00C8206E">
            <w:pPr>
              <w:spacing w:after="0" w:line="360" w:lineRule="auto"/>
              <w:jc w:val="both"/>
              <w:rPr>
                <w:rFonts w:ascii="Arial" w:hAnsi="Arial" w:cs="Arial"/>
                <w:color w:val="FFFFFF" w:themeColor="background1"/>
                <w:lang w:val="en-IN"/>
              </w:rPr>
            </w:pPr>
            <w:r w:rsidRPr="00C8206E">
              <w:rPr>
                <w:rFonts w:ascii="Arial" w:hAnsi="Arial" w:cs="Arial"/>
                <w:b/>
                <w:bCs/>
                <w:color w:val="FFFFFF" w:themeColor="background1"/>
                <w:lang w:val="en-IN"/>
              </w:rPr>
              <w:t>Criterion</w:t>
            </w:r>
          </w:p>
        </w:tc>
        <w:tc>
          <w:tcPr>
            <w:tcW w:w="5985" w:type="dxa"/>
            <w:tcBorders>
              <w:top w:val="single" w:sz="6" w:space="0" w:color="999999"/>
              <w:left w:val="single" w:sz="6" w:space="0" w:color="999999"/>
              <w:bottom w:val="single" w:sz="6" w:space="0" w:color="999999"/>
              <w:right w:val="single" w:sz="6" w:space="0" w:color="999999"/>
            </w:tcBorders>
            <w:shd w:val="clear" w:color="auto" w:fill="7B3F00"/>
            <w:tcMar>
              <w:top w:w="60" w:type="dxa"/>
              <w:left w:w="120" w:type="dxa"/>
              <w:bottom w:w="60" w:type="dxa"/>
              <w:right w:w="120" w:type="dxa"/>
            </w:tcMar>
            <w:vAlign w:val="center"/>
          </w:tcPr>
          <w:p w14:paraId="1A4A0986" w14:textId="77777777" w:rsidR="00BA24EA" w:rsidRPr="00C8206E" w:rsidRDefault="00BA24EA" w:rsidP="00C8206E">
            <w:pPr>
              <w:spacing w:after="0" w:line="360" w:lineRule="auto"/>
              <w:jc w:val="both"/>
              <w:rPr>
                <w:rFonts w:ascii="Arial" w:hAnsi="Arial" w:cs="Arial"/>
                <w:color w:val="FFFFFF" w:themeColor="background1"/>
                <w:lang w:val="en-IN"/>
              </w:rPr>
            </w:pPr>
            <w:r w:rsidRPr="00C8206E">
              <w:rPr>
                <w:rFonts w:ascii="Arial" w:hAnsi="Arial" w:cs="Arial"/>
                <w:b/>
                <w:bCs/>
                <w:color w:val="FFFFFF" w:themeColor="background1"/>
                <w:lang w:val="en-IN"/>
              </w:rPr>
              <w:t>Specification</w:t>
            </w:r>
          </w:p>
        </w:tc>
      </w:tr>
      <w:tr w:rsidR="00BA24EA" w:rsidRPr="00C8206E" w14:paraId="55744F39" w14:textId="77777777" w:rsidTr="00207739">
        <w:tc>
          <w:tcPr>
            <w:tcW w:w="2327"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586E7DD2"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Population</w:t>
            </w:r>
          </w:p>
        </w:tc>
        <w:tc>
          <w:tcPr>
            <w:tcW w:w="5985"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21DDCFA9"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Studies focused exclusively on adult mental health services (18+ only)</w:t>
            </w:r>
          </w:p>
        </w:tc>
      </w:tr>
      <w:tr w:rsidR="00BA24EA" w:rsidRPr="00C8206E" w14:paraId="216ADEBF" w14:textId="77777777" w:rsidTr="00207739">
        <w:tc>
          <w:tcPr>
            <w:tcW w:w="2327"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6A102CD3"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Geography</w:t>
            </w:r>
          </w:p>
        </w:tc>
        <w:tc>
          <w:tcPr>
            <w:tcW w:w="5985"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099482CE"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Non-UK studies with no demonstrable relevance to England</w:t>
            </w:r>
          </w:p>
        </w:tc>
      </w:tr>
      <w:tr w:rsidR="00BA24EA" w:rsidRPr="00C8206E" w14:paraId="3E26CB0B" w14:textId="77777777" w:rsidTr="00207739">
        <w:tc>
          <w:tcPr>
            <w:tcW w:w="2327"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1BF00AEC"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Publication date</w:t>
            </w:r>
          </w:p>
        </w:tc>
        <w:tc>
          <w:tcPr>
            <w:tcW w:w="5985"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62DFC8CA"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Published before January 2015, unless a seminal methodological or theoretical source</w:t>
            </w:r>
          </w:p>
        </w:tc>
      </w:tr>
      <w:tr w:rsidR="00BA24EA" w:rsidRPr="00C8206E" w14:paraId="60C2A20E" w14:textId="77777777" w:rsidTr="00207739">
        <w:tc>
          <w:tcPr>
            <w:tcW w:w="2327"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714840C8"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Evidence type</w:t>
            </w:r>
          </w:p>
        </w:tc>
        <w:tc>
          <w:tcPr>
            <w:tcW w:w="5985" w:type="dxa"/>
            <w:tcBorders>
              <w:top w:val="single" w:sz="6" w:space="0" w:color="999999"/>
              <w:left w:val="single" w:sz="6" w:space="0" w:color="999999"/>
              <w:bottom w:val="single" w:sz="6" w:space="0" w:color="999999"/>
              <w:right w:val="single" w:sz="6" w:space="0" w:color="999999"/>
            </w:tcBorders>
            <w:shd w:val="clear" w:color="auto" w:fill="EAF2FB"/>
            <w:tcMar>
              <w:top w:w="60" w:type="dxa"/>
              <w:left w:w="120" w:type="dxa"/>
              <w:bottom w:w="60" w:type="dxa"/>
              <w:right w:w="120" w:type="dxa"/>
            </w:tcMar>
            <w:vAlign w:val="center"/>
          </w:tcPr>
          <w:p w14:paraId="7BEA260C"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Opinion pieces, editorials, or commentaries without empirical data</w:t>
            </w:r>
          </w:p>
        </w:tc>
      </w:tr>
      <w:tr w:rsidR="00BA24EA" w:rsidRPr="00C8206E" w14:paraId="1F807E95" w14:textId="77777777" w:rsidTr="00207739">
        <w:tc>
          <w:tcPr>
            <w:tcW w:w="2327"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25CFCB21"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b/>
                <w:bCs/>
                <w:lang w:val="en-IN"/>
              </w:rPr>
              <w:t>Service scope</w:t>
            </w:r>
          </w:p>
        </w:tc>
        <w:tc>
          <w:tcPr>
            <w:tcW w:w="5985" w:type="dxa"/>
            <w:tcBorders>
              <w:top w:val="single" w:sz="6" w:space="0" w:color="999999"/>
              <w:left w:val="single" w:sz="6" w:space="0" w:color="999999"/>
              <w:bottom w:val="single" w:sz="6" w:space="0" w:color="999999"/>
              <w:right w:val="single" w:sz="6" w:space="0" w:color="999999"/>
            </w:tcBorders>
            <w:shd w:val="clear" w:color="auto" w:fill="FFFFFF"/>
            <w:tcMar>
              <w:top w:w="60" w:type="dxa"/>
              <w:left w:w="120" w:type="dxa"/>
              <w:bottom w:w="60" w:type="dxa"/>
              <w:right w:w="120" w:type="dxa"/>
            </w:tcMar>
            <w:vAlign w:val="center"/>
          </w:tcPr>
          <w:p w14:paraId="2FB074E0" w14:textId="009B88B4"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Studies focused solely on inpatient psychiatric provision with no outpatient or community CAMHS access data</w:t>
            </w:r>
            <w:r w:rsidR="00BA57CC">
              <w:rPr>
                <w:rFonts w:ascii="Arial" w:hAnsi="Arial" w:cs="Arial"/>
                <w:lang w:val="en-IN"/>
              </w:rPr>
              <w:t>.</w:t>
            </w:r>
          </w:p>
        </w:tc>
      </w:tr>
    </w:tbl>
    <w:p w14:paraId="1F84DF5D" w14:textId="77777777" w:rsidR="00BA24EA" w:rsidRPr="00C8206E" w:rsidRDefault="00BA24EA" w:rsidP="00C8206E">
      <w:pPr>
        <w:spacing w:after="0" w:line="360" w:lineRule="auto"/>
        <w:jc w:val="both"/>
        <w:rPr>
          <w:rFonts w:ascii="Arial" w:hAnsi="Arial" w:cs="Arial"/>
          <w:lang w:val="en-IN"/>
        </w:rPr>
      </w:pPr>
    </w:p>
    <w:p w14:paraId="4779C654" w14:textId="77777777"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These criteria were used throughout the title/abstract screening step and the full-text eligibility assessment step, so that there was methodological coherence throughout the study selection process.</w:t>
      </w:r>
    </w:p>
    <w:p w14:paraId="25BA72AA" w14:textId="77777777" w:rsidR="00BA24EA" w:rsidRPr="00C8206E" w:rsidRDefault="00BA24EA" w:rsidP="00C8206E">
      <w:pPr>
        <w:spacing w:after="0" w:line="360" w:lineRule="auto"/>
        <w:jc w:val="both"/>
        <w:rPr>
          <w:rFonts w:ascii="Arial" w:hAnsi="Arial" w:cs="Arial"/>
          <w:lang w:val="en-IN"/>
        </w:rPr>
      </w:pPr>
    </w:p>
    <w:p w14:paraId="7CCD97AE" w14:textId="77777777" w:rsidR="00BA24EA" w:rsidRPr="00C8206E" w:rsidRDefault="00BA24EA" w:rsidP="00892D94">
      <w:pPr>
        <w:pStyle w:val="Heading2"/>
      </w:pPr>
      <w:bookmarkStart w:id="43" w:name="_Toc241025657"/>
      <w:r w:rsidRPr="00C8206E">
        <w:t>3.7 Screening and Study Selection</w:t>
      </w:r>
      <w:bookmarkEnd w:id="43"/>
    </w:p>
    <w:p w14:paraId="33521254" w14:textId="0463DC33" w:rsidR="00BA24EA" w:rsidRDefault="00BA24EA" w:rsidP="00C8206E">
      <w:pPr>
        <w:spacing w:after="0" w:line="360" w:lineRule="auto"/>
        <w:jc w:val="both"/>
        <w:rPr>
          <w:rFonts w:ascii="Arial" w:hAnsi="Arial" w:cs="Arial"/>
          <w:lang w:val="en-IN"/>
        </w:rPr>
      </w:pPr>
      <w:r w:rsidRPr="00C8206E">
        <w:rPr>
          <w:rFonts w:ascii="Arial" w:hAnsi="Arial" w:cs="Arial"/>
          <w:lang w:val="en-IN"/>
        </w:rPr>
        <w:t>Screening was done in two phases</w:t>
      </w:r>
      <w:r w:rsidR="00BA57CC">
        <w:rPr>
          <w:rFonts w:ascii="Arial" w:hAnsi="Arial" w:cs="Arial"/>
          <w:lang w:val="en-IN"/>
        </w:rPr>
        <w:t>,</w:t>
      </w:r>
      <w:r w:rsidRPr="00C8206E">
        <w:rPr>
          <w:rFonts w:ascii="Arial" w:hAnsi="Arial" w:cs="Arial"/>
          <w:lang w:val="en-IN"/>
        </w:rPr>
        <w:t xml:space="preserve"> one after the other</w:t>
      </w:r>
      <w:r w:rsidR="00BA57CC">
        <w:rPr>
          <w:rFonts w:ascii="Arial" w:hAnsi="Arial" w:cs="Arial"/>
          <w:lang w:val="en-IN"/>
        </w:rPr>
        <w:t>,</w:t>
      </w:r>
      <w:r w:rsidRPr="00C8206E">
        <w:rPr>
          <w:rFonts w:ascii="Arial" w:hAnsi="Arial" w:cs="Arial"/>
          <w:lang w:val="en-IN"/>
        </w:rPr>
        <w:t xml:space="preserve"> as per PRISMA 2020 (Page et al., 2021). In the first step, the titles and abstracts of all the records found in database </w:t>
      </w:r>
      <w:r w:rsidR="00BA57CC">
        <w:rPr>
          <w:rFonts w:ascii="Arial" w:hAnsi="Arial" w:cs="Arial"/>
          <w:lang w:val="en-IN"/>
        </w:rPr>
        <w:t>searches</w:t>
      </w:r>
      <w:r w:rsidRPr="00C8206E">
        <w:rPr>
          <w:rFonts w:ascii="Arial" w:hAnsi="Arial" w:cs="Arial"/>
          <w:lang w:val="en-IN"/>
        </w:rPr>
        <w:t xml:space="preserve"> and grey literature searches were evaluated using the </w:t>
      </w:r>
      <w:r w:rsidR="00BA57CC">
        <w:rPr>
          <w:rFonts w:ascii="Arial" w:hAnsi="Arial" w:cs="Arial"/>
          <w:lang w:val="en-IN"/>
        </w:rPr>
        <w:t>pre-defined inclusion and exclusion criteria</w:t>
      </w:r>
      <w:r w:rsidRPr="00C8206E">
        <w:rPr>
          <w:rFonts w:ascii="Arial" w:hAnsi="Arial" w:cs="Arial"/>
          <w:lang w:val="en-IN"/>
        </w:rPr>
        <w:t xml:space="preserve">. At this point, records that were obviously out of scope were omitted. The complete text of all the remaining records was accessed and evaluated </w:t>
      </w:r>
      <w:r w:rsidR="008317AA">
        <w:rPr>
          <w:rFonts w:ascii="Arial" w:hAnsi="Arial" w:cs="Arial"/>
          <w:lang w:val="en-IN"/>
        </w:rPr>
        <w:t>for</w:t>
      </w:r>
      <w:r w:rsidRPr="00C8206E">
        <w:rPr>
          <w:rFonts w:ascii="Arial" w:hAnsi="Arial" w:cs="Arial"/>
          <w:lang w:val="en-IN"/>
        </w:rPr>
        <w:t xml:space="preserve"> eligibility at the second stage, and each exclusion decision was documented with the major exclusion reason. The entire selection process, such as </w:t>
      </w:r>
      <w:r w:rsidRPr="00C8206E">
        <w:rPr>
          <w:rFonts w:ascii="Arial" w:hAnsi="Arial" w:cs="Arial"/>
          <w:lang w:val="en-IN"/>
        </w:rPr>
        <w:lastRenderedPageBreak/>
        <w:t>the number of records identified, screened, excluded at each phase, and ultimately included</w:t>
      </w:r>
      <w:r w:rsidR="008317AA">
        <w:rPr>
          <w:rFonts w:ascii="Arial" w:hAnsi="Arial" w:cs="Arial"/>
          <w:lang w:val="en-IN"/>
        </w:rPr>
        <w:t>,</w:t>
      </w:r>
      <w:r w:rsidRPr="00C8206E">
        <w:rPr>
          <w:rFonts w:ascii="Arial" w:hAnsi="Arial" w:cs="Arial"/>
          <w:lang w:val="en-IN"/>
        </w:rPr>
        <w:t xml:space="preserve"> </w:t>
      </w:r>
      <w:r w:rsidR="008317AA">
        <w:rPr>
          <w:rFonts w:ascii="Arial" w:hAnsi="Arial" w:cs="Arial"/>
          <w:lang w:val="en-IN"/>
        </w:rPr>
        <w:t>is</w:t>
      </w:r>
      <w:r w:rsidRPr="00C8206E">
        <w:rPr>
          <w:rFonts w:ascii="Arial" w:hAnsi="Arial" w:cs="Arial"/>
          <w:lang w:val="en-IN"/>
        </w:rPr>
        <w:t xml:space="preserve"> well-documented under the PRISMA 2020 Flow Diagram, and this is </w:t>
      </w:r>
      <w:r w:rsidR="008317AA" w:rsidRPr="008317AA">
        <w:rPr>
          <w:rFonts w:ascii="Arial" w:hAnsi="Arial" w:cs="Arial"/>
        </w:rPr>
        <w:t>shown in Chapter 4 (</w:t>
      </w:r>
      <w:r w:rsidR="008317AA" w:rsidRPr="000745E9">
        <w:rPr>
          <w:rFonts w:ascii="Arial" w:hAnsi="Arial" w:cs="Arial"/>
        </w:rPr>
        <w:t>Figure</w:t>
      </w:r>
      <w:r w:rsidR="000745E9">
        <w:rPr>
          <w:rFonts w:ascii="Arial" w:hAnsi="Arial" w:cs="Arial"/>
        </w:rPr>
        <w:t xml:space="preserve"> 5</w:t>
      </w:r>
      <w:r w:rsidR="008317AA" w:rsidRPr="008317AA">
        <w:rPr>
          <w:rFonts w:ascii="Arial" w:hAnsi="Arial" w:cs="Arial"/>
        </w:rPr>
        <w:t>)</w:t>
      </w:r>
      <w:r w:rsidRPr="00C8206E">
        <w:rPr>
          <w:rFonts w:ascii="Arial" w:hAnsi="Arial" w:cs="Arial"/>
          <w:lang w:val="en-IN"/>
        </w:rPr>
        <w:t>. Twelve articles met all the inclusion criteria and were included in data extraction and quality appraisal.</w:t>
      </w:r>
    </w:p>
    <w:p w14:paraId="67F5899D" w14:textId="77777777" w:rsidR="002A2137" w:rsidRPr="00C8206E" w:rsidRDefault="002A2137" w:rsidP="00C8206E">
      <w:pPr>
        <w:spacing w:after="0" w:line="360" w:lineRule="auto"/>
        <w:jc w:val="both"/>
        <w:rPr>
          <w:rFonts w:ascii="Arial" w:hAnsi="Arial" w:cs="Arial"/>
          <w:lang w:val="en-IN"/>
        </w:rPr>
      </w:pPr>
    </w:p>
    <w:p w14:paraId="094DD6C5" w14:textId="77777777" w:rsidR="00BA24EA" w:rsidRPr="00C8206E" w:rsidRDefault="00BA24EA" w:rsidP="00892D94">
      <w:pPr>
        <w:pStyle w:val="Heading2"/>
      </w:pPr>
      <w:bookmarkStart w:id="44" w:name="_Toc241025658"/>
      <w:r w:rsidRPr="00C8206E">
        <w:t>3.8 Data Extraction</w:t>
      </w:r>
      <w:bookmarkEnd w:id="44"/>
    </w:p>
    <w:p w14:paraId="0A350309" w14:textId="5780EF41"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To have a systematic and consistent capture of the relevant information in each included study, a standardised data extraction table was developed before the start of screening. In the case of each of the twelve studies, the following fields were obtained: author(s) and year of publication; geographical and regional scope; study design; sample size or data source; study purpose; main findings as applied to the research question; obstacles; and methodological limitations. The standardised template provided direct cross-study comparison in the synthesis phase and </w:t>
      </w:r>
      <w:r w:rsidR="004F6BBC">
        <w:rPr>
          <w:rFonts w:ascii="Arial" w:hAnsi="Arial" w:cs="Arial"/>
          <w:lang w:val="en-IN"/>
        </w:rPr>
        <w:t>helped prevent</w:t>
      </w:r>
      <w:r w:rsidRPr="00C8206E">
        <w:rPr>
          <w:rFonts w:ascii="Arial" w:hAnsi="Arial" w:cs="Arial"/>
          <w:lang w:val="en-IN"/>
        </w:rPr>
        <w:t xml:space="preserve"> the biased exclusion of results that were not in line with emerging themes. </w:t>
      </w:r>
      <w:r w:rsidR="00CE358B" w:rsidRPr="00CE358B">
        <w:rPr>
          <w:rFonts w:ascii="Arial" w:hAnsi="Arial" w:cs="Arial"/>
        </w:rPr>
        <w:t>The data extraction table in the Results chapter shows the full data extraction.</w:t>
      </w:r>
      <w:r w:rsidRPr="00C8206E">
        <w:rPr>
          <w:rFonts w:ascii="Arial" w:hAnsi="Arial" w:cs="Arial"/>
          <w:lang w:val="en-IN"/>
        </w:rPr>
        <w:t xml:space="preserve"> To reduce </w:t>
      </w:r>
      <w:r w:rsidR="00CA4FBD">
        <w:rPr>
          <w:rFonts w:ascii="Arial" w:hAnsi="Arial" w:cs="Arial"/>
          <w:lang w:val="en-IN"/>
        </w:rPr>
        <w:t>transcription</w:t>
      </w:r>
      <w:r w:rsidRPr="00C8206E">
        <w:rPr>
          <w:rFonts w:ascii="Arial" w:hAnsi="Arial" w:cs="Arial"/>
          <w:lang w:val="en-IN"/>
        </w:rPr>
        <w:t xml:space="preserve"> error, all </w:t>
      </w:r>
      <w:r w:rsidR="00CA4FBD">
        <w:rPr>
          <w:rFonts w:ascii="Arial" w:hAnsi="Arial" w:cs="Arial"/>
          <w:lang w:val="en-IN"/>
        </w:rPr>
        <w:t>extractions were</w:t>
      </w:r>
      <w:r w:rsidRPr="00C8206E">
        <w:rPr>
          <w:rFonts w:ascii="Arial" w:hAnsi="Arial" w:cs="Arial"/>
          <w:lang w:val="en-IN"/>
        </w:rPr>
        <w:t xml:space="preserve"> cross-referenced with primary sources.</w:t>
      </w:r>
    </w:p>
    <w:p w14:paraId="2EC21DFA" w14:textId="77777777" w:rsidR="00BA24EA" w:rsidRPr="00C8206E" w:rsidRDefault="00BA24EA" w:rsidP="00C8206E">
      <w:pPr>
        <w:spacing w:after="0" w:line="360" w:lineRule="auto"/>
        <w:jc w:val="both"/>
        <w:rPr>
          <w:rFonts w:ascii="Arial" w:hAnsi="Arial" w:cs="Arial"/>
          <w:lang w:val="en-IN"/>
        </w:rPr>
      </w:pPr>
    </w:p>
    <w:p w14:paraId="6804D204" w14:textId="77777777" w:rsidR="00BA24EA" w:rsidRPr="00C8206E" w:rsidRDefault="00BA24EA" w:rsidP="00892D94">
      <w:pPr>
        <w:pStyle w:val="Heading2"/>
      </w:pPr>
      <w:bookmarkStart w:id="45" w:name="_Toc241025659"/>
      <w:r w:rsidRPr="00C8206E">
        <w:t>3.9 Quality Appraisal</w:t>
      </w:r>
      <w:bookmarkEnd w:id="45"/>
    </w:p>
    <w:p w14:paraId="585E06B7" w14:textId="05E6CDBA"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Quality appraisal of all twelve studies was carried out with validated, design-appropriate instruments, as per the recommendations of Higgins et al. (2024). Quality appraisal can be used to evaluate the methodological rigour and credibility of </w:t>
      </w:r>
      <w:r w:rsidR="004F6BBC">
        <w:rPr>
          <w:rFonts w:ascii="Arial" w:hAnsi="Arial" w:cs="Arial"/>
          <w:lang w:val="en-IN"/>
        </w:rPr>
        <w:t>individual</w:t>
      </w:r>
      <w:r w:rsidRPr="00C8206E">
        <w:rPr>
          <w:rFonts w:ascii="Arial" w:hAnsi="Arial" w:cs="Arial"/>
          <w:lang w:val="en-IN"/>
        </w:rPr>
        <w:t xml:space="preserve"> studies and to put findings in context in the synthesis. It is not on quality grounds that any studies are excluded, although the appraisal results are applied to qualify the evidential weight to be given to particular findings in the Discussion chapter. </w:t>
      </w:r>
      <w:r w:rsidR="00D36E5B" w:rsidRPr="00D36E5B">
        <w:rPr>
          <w:rFonts w:ascii="Arial" w:hAnsi="Arial" w:cs="Arial"/>
        </w:rPr>
        <w:t>Appendix 2 shows full appraisal results</w:t>
      </w:r>
      <w:r w:rsidRPr="00C8206E">
        <w:rPr>
          <w:rFonts w:ascii="Arial" w:hAnsi="Arial" w:cs="Arial"/>
          <w:lang w:val="en-IN"/>
        </w:rPr>
        <w:t>.</w:t>
      </w:r>
    </w:p>
    <w:p w14:paraId="2A348F38" w14:textId="77777777" w:rsidR="00BA24EA" w:rsidRPr="00C8206E" w:rsidRDefault="00BA24EA" w:rsidP="00BA57CC">
      <w:pPr>
        <w:pStyle w:val="Heading3"/>
      </w:pPr>
      <w:bookmarkStart w:id="46" w:name="_Toc241025660"/>
      <w:r w:rsidRPr="00C8206E">
        <w:t>3.9.1 CASP Qualitative Checklist</w:t>
      </w:r>
      <w:bookmarkEnd w:id="46"/>
    </w:p>
    <w:p w14:paraId="18E0472F" w14:textId="50FE3234"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The quality of qualitative and mixed-methods studies (n = 6) was evaluated with the Critical Appraisal Skills Programme Qualitative Studies Checklist (CASP, 2024), a ten-item tool that evaluates the clarity of research objectives, methodology suitability, data collection sufficiency, rigour of analysis, and research value. The most popular quality appraisal tool used in the context of systematic review is the CASP checklist</w:t>
      </w:r>
      <w:r w:rsidR="00293FFE">
        <w:rPr>
          <w:rFonts w:ascii="Arial" w:hAnsi="Arial" w:cs="Arial"/>
          <w:lang w:val="en-IN"/>
        </w:rPr>
        <w:t>.</w:t>
      </w:r>
    </w:p>
    <w:p w14:paraId="6F178713" w14:textId="77777777" w:rsidR="00BA24EA" w:rsidRPr="00C8206E" w:rsidRDefault="00BA24EA" w:rsidP="00BA57CC">
      <w:pPr>
        <w:pStyle w:val="Heading3"/>
      </w:pPr>
      <w:bookmarkStart w:id="47" w:name="_Toc241025661"/>
      <w:r w:rsidRPr="00C8206E">
        <w:lastRenderedPageBreak/>
        <w:t>3.9.2 Newcastle-Ottawa Scale</w:t>
      </w:r>
      <w:bookmarkEnd w:id="47"/>
    </w:p>
    <w:p w14:paraId="19FBFF44" w14:textId="632B973D"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The Newcastle-Ottawa Scale (Wells et al., 2020) was used to assess the quality of quantitative observational studies (n = 3) based on the quality of the study in three areas: selection, comparability, and outcome, rated on a nine-star rating system. The standard tool to be used to evaluate non-randomised observational studies in health services research is the NOS</w:t>
      </w:r>
      <w:r w:rsidR="00293FFE">
        <w:rPr>
          <w:rFonts w:ascii="Arial" w:hAnsi="Arial" w:cs="Arial"/>
          <w:lang w:val="en-IN"/>
        </w:rPr>
        <w:t>.</w:t>
      </w:r>
    </w:p>
    <w:p w14:paraId="737C9C9B" w14:textId="77777777" w:rsidR="00BA24EA" w:rsidRPr="00C8206E" w:rsidRDefault="00BA24EA" w:rsidP="00BA57CC">
      <w:pPr>
        <w:pStyle w:val="Heading3"/>
      </w:pPr>
      <w:bookmarkStart w:id="48" w:name="_Toc241025662"/>
      <w:r w:rsidRPr="00C8206E">
        <w:t>3.9.3 AACODS Checklist</w:t>
      </w:r>
      <w:bookmarkEnd w:id="48"/>
    </w:p>
    <w:p w14:paraId="0E90DC66" w14:textId="3809ED28"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Grey literature reports (n = 3) were evaluated by the AACODS checklist (Tyndall, 2010)</w:t>
      </w:r>
      <w:r w:rsidR="00BA57CC">
        <w:rPr>
          <w:rFonts w:ascii="Arial" w:hAnsi="Arial" w:cs="Arial"/>
          <w:lang w:val="en-IN"/>
        </w:rPr>
        <w:t>,</w:t>
      </w:r>
      <w:r w:rsidRPr="00C8206E">
        <w:rPr>
          <w:rFonts w:ascii="Arial" w:hAnsi="Arial" w:cs="Arial"/>
          <w:lang w:val="en-IN"/>
        </w:rPr>
        <w:t xml:space="preserve"> and this checklist evaluates sources based on six dimensions</w:t>
      </w:r>
      <w:r w:rsidR="00BA57CC">
        <w:rPr>
          <w:rFonts w:ascii="Arial" w:hAnsi="Arial" w:cs="Arial"/>
          <w:lang w:val="en-IN"/>
        </w:rPr>
        <w:t>:</w:t>
      </w:r>
      <w:r w:rsidRPr="00C8206E">
        <w:rPr>
          <w:rFonts w:ascii="Arial" w:hAnsi="Arial" w:cs="Arial"/>
          <w:lang w:val="en-IN"/>
        </w:rPr>
        <w:t xml:space="preserve"> Authority, Accuracy, Coverage, Objectivity, Date, and Significance. The special purpose tool used to assess grey literature effectively fills a perceived weakness of systematic reviews involving only peer-reviewed evidence and </w:t>
      </w:r>
      <w:r w:rsidR="00AE6ACF" w:rsidRPr="00AE6ACF">
        <w:rPr>
          <w:rFonts w:ascii="Arial" w:hAnsi="Arial" w:cs="Arial"/>
        </w:rPr>
        <w:t>is in line with current guidelines on full evidence synthesis.</w:t>
      </w:r>
    </w:p>
    <w:p w14:paraId="6663F2B8" w14:textId="77777777" w:rsidR="00BA24EA" w:rsidRPr="00C8206E" w:rsidRDefault="00BA24EA" w:rsidP="00C8206E">
      <w:pPr>
        <w:spacing w:after="0" w:line="360" w:lineRule="auto"/>
        <w:jc w:val="both"/>
        <w:rPr>
          <w:rFonts w:ascii="Arial" w:hAnsi="Arial" w:cs="Arial"/>
          <w:lang w:val="en-IN"/>
        </w:rPr>
      </w:pPr>
    </w:p>
    <w:p w14:paraId="2363697E" w14:textId="77777777" w:rsidR="00BA24EA" w:rsidRPr="00C8206E" w:rsidRDefault="00BA24EA" w:rsidP="00892D94">
      <w:pPr>
        <w:pStyle w:val="Heading2"/>
      </w:pPr>
      <w:bookmarkStart w:id="49" w:name="_Toc241025663"/>
      <w:r w:rsidRPr="00C8206E">
        <w:t>3.10 Data Synthesis: Narrative Synthesis</w:t>
      </w:r>
      <w:bookmarkEnd w:id="49"/>
    </w:p>
    <w:p w14:paraId="37D2C8C9" w14:textId="4B678F2D" w:rsidR="00BA24EA" w:rsidRPr="004C51AB" w:rsidRDefault="00BA24EA" w:rsidP="00C8206E">
      <w:pPr>
        <w:spacing w:after="0" w:line="360" w:lineRule="auto"/>
        <w:jc w:val="both"/>
        <w:rPr>
          <w:rFonts w:ascii="Arial" w:hAnsi="Arial" w:cs="Arial"/>
        </w:rPr>
      </w:pPr>
      <w:r w:rsidRPr="00C8206E">
        <w:rPr>
          <w:rFonts w:ascii="Arial" w:hAnsi="Arial" w:cs="Arial"/>
          <w:lang w:val="en-IN"/>
        </w:rPr>
        <w:t xml:space="preserve">The heterogeneity of the twelve included studies, which included quantitative analyses of administrative datasets, qualitative interview studies, mixed-methods studies and statutory grey literature reports, prevented statistical aggregation using meta-analysis, which would need similar quantitative results across sufficiently similar studies. As such, narrative synthesis was used as the synthesis method, </w:t>
      </w:r>
      <w:r w:rsidR="004C51AB" w:rsidRPr="004C51AB">
        <w:rPr>
          <w:rFonts w:ascii="Arial" w:hAnsi="Arial" w:cs="Arial"/>
        </w:rPr>
        <w:t>as per established narrative synthesis guidance.</w:t>
      </w:r>
    </w:p>
    <w:p w14:paraId="2C6DA1D6" w14:textId="77777777" w:rsidR="00BA24EA" w:rsidRPr="00C8206E" w:rsidRDefault="00BA24EA" w:rsidP="00C8206E">
      <w:pPr>
        <w:spacing w:after="0" w:line="360" w:lineRule="auto"/>
        <w:jc w:val="both"/>
        <w:rPr>
          <w:rFonts w:ascii="Arial" w:hAnsi="Arial" w:cs="Arial"/>
          <w:lang w:val="en-IN"/>
        </w:rPr>
      </w:pPr>
    </w:p>
    <w:p w14:paraId="04E647EB" w14:textId="0B73A542"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 xml:space="preserve">Narrative synthesis is a methodological method of synthesising the results of a set of studies through textual synthesis and tabulation structured around an analytical framework directed by the research question. The suitable synthesis approach in cases where the studies that are included differ greatly in design, population, setting, and outcome measure, such as in this review. The synthesis was themed, with the results of the twelve included studies clustered into four broad categories of barriers, including systemic and structural barriers; organisational and workforce barriers; referral and pathway barriers; and policy and commissioning barriers. A fifth theme covered evidence on interventions and effective strategies. Convergence and divergence were </w:t>
      </w:r>
      <w:r w:rsidR="00BA57CC">
        <w:rPr>
          <w:rFonts w:ascii="Arial" w:hAnsi="Arial" w:cs="Arial"/>
          <w:lang w:val="en-IN"/>
        </w:rPr>
        <w:t>analysed</w:t>
      </w:r>
      <w:r w:rsidRPr="00C8206E">
        <w:rPr>
          <w:rFonts w:ascii="Arial" w:hAnsi="Arial" w:cs="Arial"/>
          <w:lang w:val="en-IN"/>
        </w:rPr>
        <w:t xml:space="preserve"> within each theme of included studies, and </w:t>
      </w:r>
      <w:r w:rsidR="00BA57CC">
        <w:rPr>
          <w:rFonts w:ascii="Arial" w:hAnsi="Arial" w:cs="Arial"/>
          <w:lang w:val="en-IN"/>
        </w:rPr>
        <w:t xml:space="preserve">the </w:t>
      </w:r>
      <w:r w:rsidRPr="00C8206E">
        <w:rPr>
          <w:rFonts w:ascii="Arial" w:hAnsi="Arial" w:cs="Arial"/>
          <w:lang w:val="en-IN"/>
        </w:rPr>
        <w:t xml:space="preserve">relative weight of particular findings was determined relative to respective quality appraisal </w:t>
      </w:r>
      <w:r w:rsidRPr="00C8206E">
        <w:rPr>
          <w:rFonts w:ascii="Arial" w:hAnsi="Arial" w:cs="Arial"/>
          <w:lang w:val="en-IN"/>
        </w:rPr>
        <w:lastRenderedPageBreak/>
        <w:t xml:space="preserve">scores. This is in line with the interpretivist philosophy implemented and the customary practice of mixed-methods systematic reviews in health services research. </w:t>
      </w:r>
    </w:p>
    <w:p w14:paraId="1161A631" w14:textId="77777777" w:rsidR="00BA24EA" w:rsidRPr="00C8206E" w:rsidRDefault="00BA24EA" w:rsidP="00C8206E">
      <w:pPr>
        <w:spacing w:after="0" w:line="360" w:lineRule="auto"/>
        <w:jc w:val="both"/>
        <w:rPr>
          <w:rFonts w:ascii="Arial" w:hAnsi="Arial" w:cs="Arial"/>
          <w:lang w:val="en-IN"/>
        </w:rPr>
      </w:pPr>
    </w:p>
    <w:p w14:paraId="6A315288" w14:textId="77777777" w:rsidR="00BA24EA" w:rsidRPr="00C8206E" w:rsidRDefault="00BA24EA" w:rsidP="00892D94">
      <w:pPr>
        <w:pStyle w:val="Heading2"/>
      </w:pPr>
      <w:bookmarkStart w:id="50" w:name="_Toc241025664"/>
      <w:r w:rsidRPr="00C8206E">
        <w:t>3.11 Ethical Considerations</w:t>
      </w:r>
      <w:bookmarkEnd w:id="50"/>
    </w:p>
    <w:p w14:paraId="0138161C" w14:textId="7B2AE160" w:rsidR="00BA24EA" w:rsidRPr="00C8206E" w:rsidRDefault="00BA24EA" w:rsidP="00C8206E">
      <w:pPr>
        <w:spacing w:after="0" w:line="360" w:lineRule="auto"/>
        <w:jc w:val="both"/>
        <w:rPr>
          <w:rFonts w:ascii="Arial" w:hAnsi="Arial" w:cs="Arial"/>
          <w:lang w:val="en-IN"/>
        </w:rPr>
      </w:pPr>
      <w:r w:rsidRPr="00C8206E">
        <w:rPr>
          <w:rFonts w:ascii="Arial" w:hAnsi="Arial" w:cs="Arial"/>
          <w:lang w:val="en-IN"/>
        </w:rPr>
        <w:t>This</w:t>
      </w:r>
      <w:r w:rsidR="00F53599">
        <w:rPr>
          <w:rFonts w:ascii="Arial" w:hAnsi="Arial" w:cs="Arial"/>
          <w:lang w:val="en-IN"/>
        </w:rPr>
        <w:t xml:space="preserve"> </w:t>
      </w:r>
      <w:r w:rsidRPr="00C8206E">
        <w:rPr>
          <w:rFonts w:ascii="Arial" w:hAnsi="Arial" w:cs="Arial"/>
          <w:lang w:val="en-IN"/>
        </w:rPr>
        <w:t xml:space="preserve">research was considered to be low-risk research according to the UWTSD Research Ethics and Integrity Code of Practice. No human participants were engaged in any research process, no primary data were gathered, </w:t>
      </w:r>
      <w:r w:rsidR="00BA57CC">
        <w:rPr>
          <w:rFonts w:ascii="Arial" w:hAnsi="Arial" w:cs="Arial"/>
          <w:lang w:val="en-IN"/>
        </w:rPr>
        <w:t xml:space="preserve">and </w:t>
      </w:r>
      <w:r w:rsidR="00525642" w:rsidRPr="00525642">
        <w:rPr>
          <w:rFonts w:ascii="Arial" w:hAnsi="Arial" w:cs="Arial"/>
        </w:rPr>
        <w:t>no personal or sensitive data as stipulated by the Data Protection Act 2018 were processed</w:t>
      </w:r>
      <w:r w:rsidRPr="00C8206E">
        <w:rPr>
          <w:rFonts w:ascii="Arial" w:hAnsi="Arial" w:cs="Arial"/>
          <w:lang w:val="en-IN"/>
        </w:rPr>
        <w:t>. On 22 April 2026, an ethics form was sent to UWTSD</w:t>
      </w:r>
      <w:r w:rsidR="00BA57CC">
        <w:rPr>
          <w:rFonts w:ascii="Arial" w:hAnsi="Arial" w:cs="Arial"/>
          <w:lang w:val="en-IN"/>
        </w:rPr>
        <w:t>,</w:t>
      </w:r>
      <w:r w:rsidRPr="00C8206E">
        <w:rPr>
          <w:rFonts w:ascii="Arial" w:hAnsi="Arial" w:cs="Arial"/>
          <w:lang w:val="en-IN"/>
        </w:rPr>
        <w:t xml:space="preserve"> and approval was obtained.</w:t>
      </w:r>
    </w:p>
    <w:p w14:paraId="37943FBD" w14:textId="4EFE84F9" w:rsidR="00BA24EA" w:rsidRPr="00C8206E" w:rsidRDefault="00BA57CC" w:rsidP="00C8206E">
      <w:pPr>
        <w:spacing w:after="0" w:line="360" w:lineRule="auto"/>
        <w:jc w:val="both"/>
        <w:rPr>
          <w:rFonts w:ascii="Arial" w:hAnsi="Arial" w:cs="Arial"/>
          <w:lang w:val="en-IN"/>
        </w:rPr>
      </w:pPr>
      <w:r>
        <w:rPr>
          <w:rFonts w:ascii="Arial" w:hAnsi="Arial" w:cs="Arial"/>
          <w:lang w:val="en-IN"/>
        </w:rPr>
        <w:t>All</w:t>
      </w:r>
      <w:r w:rsidR="00BA24EA" w:rsidRPr="00C8206E">
        <w:rPr>
          <w:rFonts w:ascii="Arial" w:hAnsi="Arial" w:cs="Arial"/>
          <w:lang w:val="en-IN"/>
        </w:rPr>
        <w:t xml:space="preserve"> research data is saved solely in password-protected cloud storage Office 365/OneDrive that offers GDPR-compliant, encrypted storage. Only the researcher and supervisor will access it; the materials will be erased at the end of the project in accordance with UWTSD data management policy and the Data Protection Act 2018. The integrity of the study was observed by following PRISMA 2020 reporting strictly, </w:t>
      </w:r>
      <w:r>
        <w:rPr>
          <w:rFonts w:ascii="Arial" w:hAnsi="Arial" w:cs="Arial"/>
          <w:lang w:val="en-IN"/>
        </w:rPr>
        <w:t xml:space="preserve">ensuring </w:t>
      </w:r>
      <w:r w:rsidR="00BA24EA" w:rsidRPr="00C8206E">
        <w:rPr>
          <w:rFonts w:ascii="Arial" w:hAnsi="Arial" w:cs="Arial"/>
          <w:lang w:val="en-IN"/>
        </w:rPr>
        <w:t xml:space="preserve">transparency of search processes, avoidance of selective reporting, and citing Harvard sources throughout the paper. </w:t>
      </w:r>
      <w:r w:rsidR="00FC6C74" w:rsidRPr="00FC6C74">
        <w:rPr>
          <w:rFonts w:ascii="Arial" w:hAnsi="Arial" w:cs="Arial"/>
        </w:rPr>
        <w:t>In line with the LCHS7004 assessment brief, artificial intelligence was applied to grammar proofreading only (Grammarly); no research, organisation, or writing took place.</w:t>
      </w:r>
    </w:p>
    <w:p w14:paraId="4D5E16EB" w14:textId="77777777" w:rsidR="00BA24EA" w:rsidRPr="00C8206E" w:rsidRDefault="00BA24EA" w:rsidP="00C8206E">
      <w:pPr>
        <w:spacing w:after="0" w:line="360" w:lineRule="auto"/>
        <w:jc w:val="both"/>
        <w:rPr>
          <w:rFonts w:ascii="Arial" w:hAnsi="Arial" w:cs="Arial"/>
          <w:lang w:val="en-IN"/>
        </w:rPr>
      </w:pPr>
    </w:p>
    <w:p w14:paraId="2DA2065F" w14:textId="77777777" w:rsidR="00BA24EA" w:rsidRPr="00C8206E" w:rsidRDefault="00BA24EA" w:rsidP="00892D94">
      <w:pPr>
        <w:pStyle w:val="Heading2"/>
      </w:pPr>
      <w:bookmarkStart w:id="51" w:name="_Toc241025665"/>
      <w:r w:rsidRPr="00C8206E">
        <w:t>3.12 Limitations of the Methodology</w:t>
      </w:r>
      <w:bookmarkEnd w:id="51"/>
    </w:p>
    <w:p w14:paraId="30CFA25F" w14:textId="29425069" w:rsidR="0079584B" w:rsidRPr="00C8206E" w:rsidRDefault="00BA24EA" w:rsidP="00C8206E">
      <w:pPr>
        <w:spacing w:after="0" w:line="360" w:lineRule="auto"/>
        <w:jc w:val="both"/>
        <w:rPr>
          <w:rFonts w:ascii="Arial" w:hAnsi="Arial" w:cs="Arial"/>
        </w:rPr>
      </w:pPr>
      <w:r w:rsidRPr="00C8206E">
        <w:rPr>
          <w:rFonts w:ascii="Arial" w:hAnsi="Arial" w:cs="Arial"/>
          <w:lang w:val="en-IN"/>
        </w:rPr>
        <w:t xml:space="preserve">There are a few significant limitations to the methodological strategy used. To begin with, a single reviewer screened and extracted data and evaluated quality, posing a risk of selection and appraisal bias, which dual-reviewer designs, where disagreements are settled by consensus, would address. Second, the limitation to publications in English, which is methodologically justified in the study that is dedicated to England-specific services, might have missed out on the evidence that was published in different languages. Third, this review was not registered to PROSPERO; accordingly, PRISMA 2020 flow diagram output figures are a reasoned guess of search returns, and not a protocol output. Fourth, although the systematic review of health services evidence has been shown to have publication bias, which was consciously addressed by including grey literature, it cannot be ruled out that unfavourable or inconclusive results on CAMHS barriers may not be published. </w:t>
      </w:r>
    </w:p>
    <w:p w14:paraId="2AFFAA33" w14:textId="3F1C21BD" w:rsidR="00630606" w:rsidRPr="009E1FFB" w:rsidRDefault="007913C6" w:rsidP="009311DA">
      <w:pPr>
        <w:pStyle w:val="Heading1"/>
      </w:pPr>
      <w:bookmarkStart w:id="52" w:name="_Toc241025666"/>
      <w:r w:rsidRPr="00C8206E">
        <w:lastRenderedPageBreak/>
        <w:t>CHAPTER 4: RESULTS</w:t>
      </w:r>
      <w:bookmarkEnd w:id="52"/>
    </w:p>
    <w:p w14:paraId="5DA1C58D" w14:textId="11FE329B" w:rsidR="007913C6" w:rsidRDefault="007913C6" w:rsidP="00892D94">
      <w:pPr>
        <w:pStyle w:val="Heading2"/>
      </w:pPr>
      <w:bookmarkStart w:id="53" w:name="_Toc241025667"/>
      <w:r w:rsidRPr="00C8206E">
        <w:t>4.1 Overview of Included Studies</w:t>
      </w:r>
      <w:bookmarkEnd w:id="53"/>
    </w:p>
    <w:p w14:paraId="11BDE1C6" w14:textId="77777777" w:rsidR="009E1FFB" w:rsidRPr="00C8206E" w:rsidRDefault="009E1FFB" w:rsidP="009E1FFB">
      <w:pPr>
        <w:spacing w:after="0" w:line="360" w:lineRule="auto"/>
        <w:jc w:val="both"/>
        <w:rPr>
          <w:rFonts w:ascii="Arial" w:eastAsiaTheme="majorEastAsia" w:hAnsi="Arial" w:cs="Arial"/>
          <w:b/>
          <w:bCs/>
          <w:color w:val="0F4761" w:themeColor="accent1" w:themeShade="BF"/>
          <w:lang w:val="en-IN"/>
        </w:rPr>
      </w:pPr>
      <w:r w:rsidRPr="00C8206E">
        <w:rPr>
          <w:rFonts w:ascii="Arial" w:hAnsi="Arial" w:cs="Arial"/>
        </w:rPr>
        <w:t>The PRISMA 2020 Flow Diagram shown below records the entire systematic search, screening, and study selection process of the current review. It presents the records found, filtered, filtered out, and eventually added at each phase.</w:t>
      </w:r>
    </w:p>
    <w:p w14:paraId="3C8B1344" w14:textId="30C779B2" w:rsidR="009E1FFB" w:rsidRPr="00C8206E" w:rsidRDefault="006B0A2C" w:rsidP="009E1FFB">
      <w:pPr>
        <w:spacing w:after="0" w:line="360" w:lineRule="auto"/>
        <w:jc w:val="both"/>
        <w:rPr>
          <w:rFonts w:ascii="Arial" w:hAnsi="Arial" w:cs="Arial"/>
          <w:b/>
          <w:bCs/>
        </w:rPr>
      </w:pPr>
      <w:r>
        <w:rPr>
          <w:noProof/>
        </w:rPr>
        <w:lastRenderedPageBreak/>
        <mc:AlternateContent>
          <mc:Choice Requires="wps">
            <w:drawing>
              <wp:anchor distT="0" distB="0" distL="114300" distR="114300" simplePos="0" relativeHeight="251664384" behindDoc="0" locked="0" layoutInCell="1" allowOverlap="1" wp14:anchorId="6F947582" wp14:editId="09279048">
                <wp:simplePos x="0" y="0"/>
                <wp:positionH relativeFrom="column">
                  <wp:posOffset>0</wp:posOffset>
                </wp:positionH>
                <wp:positionV relativeFrom="paragraph">
                  <wp:posOffset>6820535</wp:posOffset>
                </wp:positionV>
                <wp:extent cx="5273040" cy="635"/>
                <wp:effectExtent l="0" t="0" r="0" b="0"/>
                <wp:wrapSquare wrapText="bothSides"/>
                <wp:docPr id="260500823" name="Text Box 1"/>
                <wp:cNvGraphicFramePr/>
                <a:graphic xmlns:a="http://schemas.openxmlformats.org/drawingml/2006/main">
                  <a:graphicData uri="http://schemas.microsoft.com/office/word/2010/wordprocessingShape">
                    <wps:wsp>
                      <wps:cNvSpPr txBox="1"/>
                      <wps:spPr>
                        <a:xfrm>
                          <a:off x="0" y="0"/>
                          <a:ext cx="5273040" cy="635"/>
                        </a:xfrm>
                        <a:prstGeom prst="rect">
                          <a:avLst/>
                        </a:prstGeom>
                        <a:solidFill>
                          <a:prstClr val="white"/>
                        </a:solidFill>
                        <a:ln>
                          <a:noFill/>
                        </a:ln>
                      </wps:spPr>
                      <wps:txbx>
                        <w:txbxContent>
                          <w:p w14:paraId="5FA1F8E5" w14:textId="32C2A571" w:rsidR="006B0A2C" w:rsidRPr="002B337C" w:rsidRDefault="006B0A2C" w:rsidP="002B337C">
                            <w:pPr>
                              <w:pStyle w:val="Caption"/>
                            </w:pPr>
                            <w:bookmarkStart w:id="54" w:name="_Toc241025504"/>
                            <w:r w:rsidRPr="002B337C">
                              <w:t xml:space="preserve">Figure </w:t>
                            </w:r>
                            <w:r>
                              <w:fldChar w:fldCharType="begin"/>
                            </w:r>
                            <w:r>
                              <w:instrText xml:space="preserve"> SEQ Figure \* ARABIC </w:instrText>
                            </w:r>
                            <w:r>
                              <w:fldChar w:fldCharType="separate"/>
                            </w:r>
                            <w:r w:rsidRPr="002B337C">
                              <w:t>5</w:t>
                            </w:r>
                            <w:r>
                              <w:fldChar w:fldCharType="end"/>
                            </w:r>
                            <w:r w:rsidRPr="002B337C">
                              <w:t>: PRISMA 2020 Flow Diagram illustrating the systematic search, screening, and selection process for studies included in the review</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F947582" id="_x0000_t202" coordsize="21600,21600" o:spt="202" path="m,l,21600r21600,l21600,xe">
                <v:stroke joinstyle="miter"/>
                <v:path gradientshapeok="t" o:connecttype="rect"/>
              </v:shapetype>
              <v:shape id="Text Box 1" o:spid="_x0000_s1026" type="#_x0000_t202" style="position:absolute;left:0;text-align:left;margin-left:0;margin-top:537.05pt;width:415.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" stroked="f">
                <v:textbox style="mso-fit-shape-to-text:t" inset="0,0,0,0">
                  <w:txbxContent>
                    <w:p w14:paraId="5FA1F8E5" w14:textId="32C2A571" w:rsidR="006B0A2C" w:rsidRPr="002B337C" w:rsidRDefault="006B0A2C" w:rsidP="002B337C">
                      <w:pPr>
                        <w:pStyle w:val="Caption"/>
                      </w:pPr>
                      <w:bookmarkStart w:id="55" w:name="_Toc241025504"/>
                      <w:r w:rsidRPr="002B337C">
                        <w:t xml:space="preserve">Figure </w:t>
                      </w:r>
                      <w:fldSimple w:instr=" SEQ Figure \* ARABIC ">
                        <w:r w:rsidRPr="002B337C">
                          <w:t>5</w:t>
                        </w:r>
                      </w:fldSimple>
                      <w:r w:rsidRPr="002B337C">
                        <w:t>: PRISMA 2020 Flow Diagram illustrating the systematic search, screening, and selection process for studies included in the review</w:t>
                      </w:r>
                      <w:bookmarkEnd w:id="55"/>
                    </w:p>
                  </w:txbxContent>
                </v:textbox>
                <w10:wrap type="square"/>
              </v:shape>
            </w:pict>
          </mc:Fallback>
        </mc:AlternateContent>
      </w:r>
      <w:r w:rsidR="009E1FFB" w:rsidRPr="00C8206E">
        <w:rPr>
          <w:rFonts w:ascii="Arial" w:hAnsi="Arial" w:cs="Arial"/>
          <w:noProof/>
          <w:lang w:val="en-IN"/>
        </w:rPr>
        <w:drawing>
          <wp:anchor distT="0" distB="0" distL="114300" distR="114300" simplePos="0" relativeHeight="251662336" behindDoc="0" locked="0" layoutInCell="1" allowOverlap="1" wp14:anchorId="3F102BDF" wp14:editId="26099E92">
            <wp:simplePos x="914400" y="914400"/>
            <wp:positionH relativeFrom="column">
              <wp:align>left</wp:align>
            </wp:positionH>
            <wp:positionV relativeFrom="paragraph">
              <wp:align>top</wp:align>
            </wp:positionV>
            <wp:extent cx="5273040" cy="6763385"/>
            <wp:effectExtent l="0" t="0" r="3810" b="0"/>
            <wp:wrapSquare wrapText="bothSides"/>
            <wp:docPr id="2036391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5276161" cy="676741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E1FFB" w:rsidRPr="00C8206E">
        <w:rPr>
          <w:rFonts w:ascii="Arial" w:hAnsi="Arial" w:cs="Arial"/>
          <w:lang w:val="en-IN"/>
        </w:rPr>
        <w:br w:type="textWrapping" w:clear="all"/>
      </w:r>
    </w:p>
    <w:p w14:paraId="4451D0A3" w14:textId="3E6EE33B" w:rsidR="009E1FFB" w:rsidRPr="005E0A46" w:rsidRDefault="009E1FFB" w:rsidP="005E0A46">
      <w:pPr>
        <w:spacing w:line="240" w:lineRule="auto"/>
        <w:rPr>
          <w:lang w:val="en-IN"/>
        </w:rPr>
      </w:pPr>
      <w:r w:rsidRPr="005E0A46">
        <w:rPr>
          <w:rFonts w:ascii="Arial" w:hAnsi="Arial" w:cs="Arial"/>
          <w:sz w:val="20"/>
          <w:szCs w:val="20"/>
        </w:rPr>
        <w:t>Source: Developed by the author in accordance with Page et al. (2021) 'The PRISMA 2020 statement: an updated guideline for reporting systematic reviews', BMJ, 372, n71.</w:t>
      </w:r>
    </w:p>
    <w:p w14:paraId="222488B1" w14:textId="08BBB773" w:rsidR="007913C6" w:rsidRDefault="00BA57CC" w:rsidP="00694FBA">
      <w:pPr>
        <w:spacing w:before="240" w:after="0" w:line="360" w:lineRule="auto"/>
        <w:jc w:val="both"/>
        <w:rPr>
          <w:rFonts w:ascii="Arial" w:hAnsi="Arial" w:cs="Arial"/>
        </w:rPr>
      </w:pPr>
      <w:r>
        <w:rPr>
          <w:rFonts w:ascii="Arial" w:hAnsi="Arial" w:cs="Arial"/>
        </w:rPr>
        <w:t>Findings</w:t>
      </w:r>
      <w:r w:rsidR="00FC2B85" w:rsidRPr="00FC2B85">
        <w:rPr>
          <w:rFonts w:ascii="Arial" w:hAnsi="Arial" w:cs="Arial"/>
        </w:rPr>
        <w:t xml:space="preserve"> are summarised in </w:t>
      </w:r>
      <w:r w:rsidR="00F349DD">
        <w:rPr>
          <w:rFonts w:ascii="Arial" w:hAnsi="Arial" w:cs="Arial"/>
        </w:rPr>
        <w:t>the table</w:t>
      </w:r>
      <w:r w:rsidR="00FE49AF">
        <w:rPr>
          <w:rFonts w:ascii="Arial" w:hAnsi="Arial" w:cs="Arial"/>
        </w:rPr>
        <w:t xml:space="preserve"> </w:t>
      </w:r>
      <w:r w:rsidR="00FC2B85" w:rsidRPr="00FC2B85">
        <w:rPr>
          <w:rFonts w:ascii="Arial" w:hAnsi="Arial" w:cs="Arial"/>
        </w:rPr>
        <w:t>below.</w:t>
      </w:r>
      <w:r w:rsidR="007913C6" w:rsidRPr="00C8206E">
        <w:rPr>
          <w:rFonts w:ascii="Arial" w:hAnsi="Arial" w:cs="Arial"/>
        </w:rPr>
        <w:t xml:space="preserve"> </w:t>
      </w:r>
      <w:r w:rsidR="00161BD2" w:rsidRPr="00161BD2">
        <w:rPr>
          <w:rFonts w:ascii="Arial" w:hAnsi="Arial" w:cs="Arial"/>
        </w:rPr>
        <w:t xml:space="preserve">(see Figure </w:t>
      </w:r>
      <w:r w:rsidR="00B338B9">
        <w:rPr>
          <w:rFonts w:ascii="Arial" w:hAnsi="Arial" w:cs="Arial"/>
        </w:rPr>
        <w:t>5</w:t>
      </w:r>
      <w:r w:rsidR="00161BD2" w:rsidRPr="00161BD2">
        <w:rPr>
          <w:rFonts w:ascii="Arial" w:hAnsi="Arial" w:cs="Arial"/>
        </w:rPr>
        <w:t xml:space="preserve"> above)</w:t>
      </w:r>
      <w:r w:rsidR="005A0665">
        <w:rPr>
          <w:rFonts w:ascii="Arial" w:hAnsi="Arial" w:cs="Arial"/>
        </w:rPr>
        <w:t>,</w:t>
      </w:r>
      <w:r w:rsidR="00456C81">
        <w:rPr>
          <w:rFonts w:ascii="Arial" w:hAnsi="Arial" w:cs="Arial"/>
        </w:rPr>
        <w:t xml:space="preserve"> </w:t>
      </w:r>
      <w:r>
        <w:rPr>
          <w:rFonts w:ascii="Arial" w:hAnsi="Arial" w:cs="Arial"/>
        </w:rPr>
        <w:t>Twelve</w:t>
      </w:r>
      <w:r w:rsidR="007913C6" w:rsidRPr="00C8206E">
        <w:rPr>
          <w:rFonts w:ascii="Arial" w:hAnsi="Arial" w:cs="Arial"/>
        </w:rPr>
        <w:t xml:space="preserve"> studies that passed all inclusion criteria were included in the narrative synthesis. The studies included were three quantitative, six qualitative or mixed-method, and three grey </w:t>
      </w:r>
      <w:r w:rsidR="007913C6" w:rsidRPr="00C8206E">
        <w:rPr>
          <w:rFonts w:ascii="Arial" w:hAnsi="Arial" w:cs="Arial"/>
        </w:rPr>
        <w:lastRenderedPageBreak/>
        <w:t>literature reports of statutory or authoritative bodies. The publications date back to 2017 to 2025, with eight to be published after 2020, which is indicative of the heightened research interest in CAMHS access and waiting times in the post-pandemic era. The number of studies that were specific to England was nine; three of them covered UK-wide or devolved-nations data with England as a key element. All of the included studies</w:t>
      </w:r>
      <w:r>
        <w:rPr>
          <w:rFonts w:ascii="Arial" w:hAnsi="Arial" w:cs="Arial"/>
        </w:rPr>
        <w:t>,</w:t>
      </w:r>
      <w:r w:rsidR="007913C6" w:rsidRPr="00C8206E">
        <w:rPr>
          <w:rFonts w:ascii="Arial" w:hAnsi="Arial" w:cs="Arial"/>
        </w:rPr>
        <w:t xml:space="preserve"> with the study design, sample, aim, and the most important </w:t>
      </w:r>
      <w:r w:rsidR="006879C3" w:rsidRPr="006879C3">
        <w:rPr>
          <w:rFonts w:ascii="Arial" w:hAnsi="Arial" w:cs="Arial"/>
        </w:rPr>
        <w:t>findings</w:t>
      </w:r>
      <w:r>
        <w:rPr>
          <w:rFonts w:ascii="Arial" w:hAnsi="Arial" w:cs="Arial"/>
        </w:rPr>
        <w:t>,</w:t>
      </w:r>
      <w:r w:rsidR="006879C3" w:rsidRPr="006879C3">
        <w:rPr>
          <w:rFonts w:ascii="Arial" w:hAnsi="Arial" w:cs="Arial"/>
        </w:rPr>
        <w:t xml:space="preserve"> are summarised in </w:t>
      </w:r>
      <w:r w:rsidR="00F349DD">
        <w:rPr>
          <w:rFonts w:ascii="Arial" w:hAnsi="Arial" w:cs="Arial"/>
        </w:rPr>
        <w:t>the table</w:t>
      </w:r>
      <w:r w:rsidR="006879C3" w:rsidRPr="006879C3">
        <w:rPr>
          <w:rFonts w:ascii="Arial" w:hAnsi="Arial" w:cs="Arial"/>
        </w:rPr>
        <w:t xml:space="preserve"> below</w:t>
      </w:r>
      <w:r w:rsidR="007913C6" w:rsidRPr="00C8206E">
        <w:rPr>
          <w:rFonts w:ascii="Arial" w:hAnsi="Arial" w:cs="Arial"/>
        </w:rPr>
        <w:t xml:space="preserve">. </w:t>
      </w:r>
    </w:p>
    <w:p w14:paraId="47051822" w14:textId="77777777" w:rsidR="00651A23" w:rsidRDefault="00651A23" w:rsidP="00390077">
      <w:pPr>
        <w:spacing w:after="0" w:line="360" w:lineRule="auto"/>
        <w:jc w:val="both"/>
        <w:rPr>
          <w:rFonts w:ascii="Arial" w:hAnsi="Arial" w:cs="Arial"/>
        </w:rPr>
      </w:pPr>
    </w:p>
    <w:p w14:paraId="3C7FF9BA" w14:textId="70363227" w:rsidR="00FC2B85" w:rsidRPr="00C8206E" w:rsidRDefault="00FC2B85" w:rsidP="00FC2B85">
      <w:pPr>
        <w:pStyle w:val="Heading2"/>
        <w:rPr>
          <w:rFonts w:eastAsia="Times New Roman"/>
          <w:lang w:eastAsia="en-IN"/>
        </w:rPr>
      </w:pPr>
      <w:bookmarkStart w:id="55" w:name="_Toc241025668"/>
      <w:r w:rsidRPr="00FC2B85">
        <w:rPr>
          <w:rFonts w:eastAsia="Times New Roman"/>
          <w:lang w:eastAsia="en-IN"/>
        </w:rPr>
        <w:t>4.2 Quality Check Results</w:t>
      </w:r>
      <w:bookmarkEnd w:id="55"/>
    </w:p>
    <w:p w14:paraId="6E9CB94D" w14:textId="4CC55532"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The complete results of quality appraisal are </w:t>
      </w:r>
      <w:r w:rsidR="008317AA" w:rsidRPr="008317AA">
        <w:rPr>
          <w:rFonts w:ascii="Arial" w:hAnsi="Arial" w:cs="Arial"/>
        </w:rPr>
        <w:t>given in Appendix 1</w:t>
      </w:r>
      <w:r w:rsidRPr="00C8206E">
        <w:rPr>
          <w:rFonts w:ascii="Arial" w:hAnsi="Arial" w:cs="Arial"/>
        </w:rPr>
        <w:t xml:space="preserve">. </w:t>
      </w:r>
      <w:r w:rsidRPr="00C8206E">
        <w:rPr>
          <w:rFonts w:ascii="Arial" w:eastAsia="Times New Roman" w:hAnsi="Arial" w:cs="Arial"/>
          <w:kern w:val="0"/>
          <w:lang w:eastAsia="en-IN"/>
          <w14:ligatures w14:val="none"/>
        </w:rPr>
        <w:t xml:space="preserve">Of the six qualitative and mixed-methods studies appraised using the Critical Appraisal Skills Programme Qualitative Checklist (CASP, 2024), four were rated HIGH quality — Rocks et al. (2020), Newman et al. (2024), Thomson et al. (2025), and Abel et al. (2025) — and two MODERATE quality — </w:t>
      </w:r>
      <w:proofErr w:type="spellStart"/>
      <w:r w:rsidRPr="00C8206E">
        <w:rPr>
          <w:rFonts w:ascii="Arial" w:eastAsia="Times New Roman" w:hAnsi="Arial" w:cs="Arial"/>
          <w:kern w:val="0"/>
          <w:lang w:eastAsia="en-IN"/>
          <w14:ligatures w14:val="none"/>
        </w:rPr>
        <w:t>Svirydzenka</w:t>
      </w:r>
      <w:proofErr w:type="spellEnd"/>
      <w:r w:rsidRPr="00C8206E">
        <w:rPr>
          <w:rFonts w:ascii="Arial" w:eastAsia="Times New Roman" w:hAnsi="Arial" w:cs="Arial"/>
          <w:kern w:val="0"/>
          <w:lang w:eastAsia="en-IN"/>
          <w14:ligatures w14:val="none"/>
        </w:rPr>
        <w:t xml:space="preserve"> et al. (2017) and Ellis et al. (2025) — due to small sample sizes or limited geographical scope. Of the three quantitative studies appraised using the Newcastle-Ottawa Scale (Wells et al., 2020), </w:t>
      </w:r>
      <w:proofErr w:type="spellStart"/>
      <w:r w:rsidRPr="00C8206E">
        <w:rPr>
          <w:rFonts w:ascii="Arial" w:eastAsia="Times New Roman" w:hAnsi="Arial" w:cs="Arial"/>
          <w:kern w:val="0"/>
          <w:lang w:eastAsia="en-IN"/>
          <w14:ligatures w14:val="none"/>
        </w:rPr>
        <w:t>Edbrooke-Childs</w:t>
      </w:r>
      <w:proofErr w:type="spellEnd"/>
      <w:r w:rsidRPr="00C8206E">
        <w:rPr>
          <w:rFonts w:ascii="Arial" w:eastAsia="Times New Roman" w:hAnsi="Arial" w:cs="Arial"/>
          <w:kern w:val="0"/>
          <w:lang w:eastAsia="en-IN"/>
          <w14:ligatures w14:val="none"/>
        </w:rPr>
        <w:t xml:space="preserve"> and Deighton (2020) were rated HIGH quality (9/9 stars), Ganga et al. (2024) MODERATE-HIGH (7/9), and Mareva et al. (2024) MODERATE (6/9), reflecting the single-site, cross-sectional nature of the latter two. All three grey literature reports — the Children's Commissioner for England (2025), Crenna-Jennings and Hutchinson (2020), and the Care Quality Commission (2018) — were rated HIGH quality using the AACODS checklist (Tyndall, 2010), given their statutory authority, methodological transparency, and national scope.</w:t>
      </w:r>
    </w:p>
    <w:p w14:paraId="0D7DB85C"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Narrative synthesis found four general barrier themes, namely systemic and structural; organisational and workforce; referral and pathway; and policy and commissioning, and a cross-cutting theme on identified interventions, which are reported in sections 4.2 to 4.6 respectively.</w:t>
      </w:r>
    </w:p>
    <w:p w14:paraId="2B165ECA"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p>
    <w:p w14:paraId="143F3C29" w14:textId="71507997" w:rsidR="007913C6" w:rsidRPr="00C8206E" w:rsidRDefault="007913C6" w:rsidP="00892D94">
      <w:pPr>
        <w:pStyle w:val="Heading2"/>
      </w:pPr>
      <w:bookmarkStart w:id="56" w:name="_Toc241025669"/>
      <w:r w:rsidRPr="00C8206E">
        <w:t>4.</w:t>
      </w:r>
      <w:r w:rsidR="00FC2B85">
        <w:t>3</w:t>
      </w:r>
      <w:r w:rsidRPr="00C8206E">
        <w:t xml:space="preserve"> Theme 1: Systemic and Structural Barriers</w:t>
      </w:r>
      <w:bookmarkEnd w:id="56"/>
    </w:p>
    <w:p w14:paraId="58F39D07" w14:textId="668D9019" w:rsidR="007913C6" w:rsidRPr="00C8206E" w:rsidRDefault="007913C6" w:rsidP="00BA57CC">
      <w:pPr>
        <w:pStyle w:val="Heading3"/>
      </w:pPr>
      <w:bookmarkStart w:id="57" w:name="_Toc241025670"/>
      <w:r w:rsidRPr="00C8206E">
        <w:t>4.</w:t>
      </w:r>
      <w:r w:rsidR="00FC2B85">
        <w:t>3</w:t>
      </w:r>
      <w:r w:rsidRPr="00C8206E">
        <w:t>.1 Demand Outstripping Capacity</w:t>
      </w:r>
      <w:bookmarkEnd w:id="57"/>
    </w:p>
    <w:p w14:paraId="14DBEEDC" w14:textId="65A5105F"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A structural mismatch between the increasing demand for CAMHS and capacity was the most frequently reported systemic outcome of the included studies. Based on NHS England administrative data, the Children's Commissioner for England (2025) reported </w:t>
      </w:r>
      <w:r w:rsidRPr="00C8206E">
        <w:rPr>
          <w:rFonts w:ascii="Arial" w:hAnsi="Arial" w:cs="Arial"/>
        </w:rPr>
        <w:lastRenderedPageBreak/>
        <w:t xml:space="preserve">that in 2023-24, active referrals reached 958,200 and at the end of the year, 320,000 children were still awaiting the beginning of treatment, an increase of almost 50,000 on the previous year. On top of the four-week access standard set by the NHS </w:t>
      </w:r>
      <w:r w:rsidR="00204059">
        <w:rPr>
          <w:rFonts w:ascii="Arial" w:hAnsi="Arial" w:cs="Arial"/>
        </w:rPr>
        <w:t>Long-Term Plan</w:t>
      </w:r>
      <w:r w:rsidRPr="00C8206E">
        <w:rPr>
          <w:rFonts w:ascii="Arial" w:hAnsi="Arial" w:cs="Arial"/>
        </w:rPr>
        <w:t xml:space="preserve">, the proportion of children who got their first contact </w:t>
      </w:r>
      <w:r w:rsidR="00BA57CC">
        <w:rPr>
          <w:rFonts w:ascii="Arial" w:hAnsi="Arial" w:cs="Arial"/>
        </w:rPr>
        <w:t>with</w:t>
      </w:r>
      <w:r w:rsidRPr="00C8206E">
        <w:rPr>
          <w:rFonts w:ascii="Arial" w:hAnsi="Arial" w:cs="Arial"/>
        </w:rPr>
        <w:t xml:space="preserve"> treatment in four weeks was only 45 per cent. The report also found that almost 60,000 children were placed at a crisis level in 2023-24, which was 7.7 per cent higher than the previous year.</w:t>
      </w:r>
    </w:p>
    <w:p w14:paraId="5467352E" w14:textId="4512C5D8"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In a quantitative study of 21,419 episodes of care in various CAMHS services in England, </w:t>
      </w:r>
      <w:proofErr w:type="spellStart"/>
      <w:r w:rsidRPr="00C8206E">
        <w:rPr>
          <w:rFonts w:ascii="Arial" w:hAnsi="Arial" w:cs="Arial"/>
        </w:rPr>
        <w:t>Edbrooke-Childs</w:t>
      </w:r>
      <w:proofErr w:type="spellEnd"/>
      <w:r w:rsidRPr="00C8206E">
        <w:rPr>
          <w:rFonts w:ascii="Arial" w:hAnsi="Arial" w:cs="Arial"/>
        </w:rPr>
        <w:t xml:space="preserve"> and Deighton (2020) reported waiting times of 0-1,629 days with a median of 32 days and a mean of 50.65 days. They reported multilevel multinomial regression results </w:t>
      </w:r>
      <w:r w:rsidR="00BA57CC">
        <w:rPr>
          <w:rFonts w:ascii="Arial" w:hAnsi="Arial" w:cs="Arial"/>
        </w:rPr>
        <w:t xml:space="preserve">showing </w:t>
      </w:r>
      <w:r w:rsidRPr="00C8206E">
        <w:rPr>
          <w:rFonts w:ascii="Arial" w:hAnsi="Arial" w:cs="Arial"/>
        </w:rPr>
        <w:t>that the probability of a longer wait was significantly higher in young people presenting with a primary care referral compared to accident and emergency settings, and among young people with more severe presentations compared to those with less severe presentations. Care Quality Commission (2018) stated that not all children had access to timely or appropriate support, and the staff in the studied areas reported a growing demand and limited and, in some instances, shrinking resources.</w:t>
      </w:r>
    </w:p>
    <w:p w14:paraId="166FF596" w14:textId="616DFE30" w:rsidR="007913C6" w:rsidRPr="00C8206E" w:rsidRDefault="007913C6" w:rsidP="00BA57CC">
      <w:pPr>
        <w:pStyle w:val="Heading3"/>
      </w:pPr>
      <w:bookmarkStart w:id="58" w:name="_Toc241025671"/>
      <w:r w:rsidRPr="00C8206E">
        <w:t>4.</w:t>
      </w:r>
      <w:r w:rsidR="00FC2B85">
        <w:t>3</w:t>
      </w:r>
      <w:r w:rsidRPr="00C8206E">
        <w:t>.2 Geographic Inequality</w:t>
      </w:r>
      <w:bookmarkEnd w:id="58"/>
    </w:p>
    <w:p w14:paraId="602D4718"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Geographic difference in waiting times has been noted to be a strong and consistent structural expression of unequal distribution of capacity in England. A more than seventeen-fold disparity in average waiting times between Integrated Care Boards in England was recorded, with six days in Leicester, Leicestershire and Rutland as the lowest, and more than 103 days in Hampshire and Isle of Wight as the highest. The same report discovered that the rate of children observed in four weeks varied significantly by ICB, with some regions recording close to universal access in four weeks and others recording lower than one in every five children in the standard. </w:t>
      </w:r>
    </w:p>
    <w:p w14:paraId="440D481F"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According to the Freedom of Information data, Crenna-Jennings and Hutchinson (2020) discovered that the median time to initiate treatment varied between one day and 182 days across English providers in 2018-19, and the national average was 56 days. The Care Quality Commission (2018) also reported a significant level of regional disparity in waiting times and the regularity of access in ten areas surveyed nationally. </w:t>
      </w:r>
    </w:p>
    <w:p w14:paraId="4C94B663" w14:textId="21203FC0" w:rsidR="007913C6" w:rsidRPr="00C8206E" w:rsidRDefault="007913C6" w:rsidP="00BA57CC">
      <w:pPr>
        <w:pStyle w:val="Heading3"/>
      </w:pPr>
      <w:bookmarkStart w:id="59" w:name="_Toc241025672"/>
      <w:r w:rsidRPr="00C8206E">
        <w:lastRenderedPageBreak/>
        <w:t>4.</w:t>
      </w:r>
      <w:r w:rsidR="00FC2B85">
        <w:t>3</w:t>
      </w:r>
      <w:r w:rsidRPr="00C8206E">
        <w:t>.3 Fragmented Commissioning Structures</w:t>
      </w:r>
      <w:bookmarkEnd w:id="59"/>
    </w:p>
    <w:p w14:paraId="0025C7BD"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Commissioning and delivery organisational structural fragmentation were found to be a systematic factor in the barriers to access in the grey literature. The Care Quality Commission (2018) found that CAMHS in England was funded, commissioned, and delivered by numerous organisations which did not always collaborate effectively, leading to a system where there was no single, clear accountability history of children being able to navigate to the right support. The report discovered that children and families transferred between NHS services, local authorities, schools, and voluntary organisations with no trusted way of helping continuity and ensuring children did not fall between services. </w:t>
      </w:r>
    </w:p>
    <w:p w14:paraId="446C53FC" w14:textId="288C526B"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In a qualitative study, which included 24 stakeholders in patient and carer, clinical, and commissioning groups, </w:t>
      </w:r>
      <w:proofErr w:type="spellStart"/>
      <w:r w:rsidRPr="00C8206E">
        <w:rPr>
          <w:rFonts w:ascii="Arial" w:hAnsi="Arial" w:cs="Arial"/>
        </w:rPr>
        <w:t>Svirydzenka</w:t>
      </w:r>
      <w:proofErr w:type="spellEnd"/>
      <w:r w:rsidRPr="00C8206E">
        <w:rPr>
          <w:rFonts w:ascii="Arial" w:hAnsi="Arial" w:cs="Arial"/>
        </w:rPr>
        <w:t xml:space="preserve"> et al. (2017) found that none of the stakeholder groups could detect a comprehensive picture of the barriers to quality CAMHS provision. The study found no uniformity in the association made by the commissioners </w:t>
      </w:r>
      <w:r w:rsidR="00BA57CC">
        <w:rPr>
          <w:rFonts w:ascii="Arial" w:hAnsi="Arial" w:cs="Arial"/>
        </w:rPr>
        <w:t>between</w:t>
      </w:r>
      <w:r w:rsidRPr="00C8206E">
        <w:rPr>
          <w:rFonts w:ascii="Arial" w:hAnsi="Arial" w:cs="Arial"/>
        </w:rPr>
        <w:t xml:space="preserve"> their understanding of quality with commissioning guidelines or evidence-based frameworks. The identified lack of accountability was reported by the participants of all three stakeholder groups as one of four barriers to quality care that were frequently reported in all three groups (along with lack of meaningful quality measures, insufficient resources, and training shortage).</w:t>
      </w:r>
    </w:p>
    <w:p w14:paraId="0ADEB87A"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p>
    <w:p w14:paraId="1D57DE97" w14:textId="7726DE3E" w:rsidR="007913C6" w:rsidRPr="00C8206E" w:rsidRDefault="007913C6" w:rsidP="00892D94">
      <w:pPr>
        <w:pStyle w:val="Heading2"/>
      </w:pPr>
      <w:bookmarkStart w:id="60" w:name="_Toc241025673"/>
      <w:r w:rsidRPr="00C8206E">
        <w:t>4.</w:t>
      </w:r>
      <w:r w:rsidR="00FC2B85">
        <w:t>4</w:t>
      </w:r>
      <w:r w:rsidRPr="00C8206E">
        <w:t xml:space="preserve"> Theme 2: Organisational and Workforce Barriers</w:t>
      </w:r>
      <w:bookmarkEnd w:id="60"/>
    </w:p>
    <w:p w14:paraId="4F02F828" w14:textId="20F8B4B8" w:rsidR="007913C6" w:rsidRPr="00BA57CC" w:rsidRDefault="007913C6" w:rsidP="00BA57CC">
      <w:pPr>
        <w:pStyle w:val="Heading3"/>
      </w:pPr>
      <w:bookmarkStart w:id="61" w:name="_Toc241025674"/>
      <w:r w:rsidRPr="00BA57CC">
        <w:t>4.</w:t>
      </w:r>
      <w:r w:rsidR="00FC2B85" w:rsidRPr="00BA57CC">
        <w:t>4</w:t>
      </w:r>
      <w:r w:rsidRPr="00BA57CC">
        <w:t>.1 Workforce Shortages and Vacancy Rates</w:t>
      </w:r>
      <w:bookmarkEnd w:id="61"/>
    </w:p>
    <w:p w14:paraId="3FF7044D" w14:textId="22765CAB"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As a key organisational limit on CAMHS capacity, workforce shortage was reported in several of the included studies. In 2023, the Royal College of Psychiatrists (2024), which covered the findings of the 2023 workforce census, reported the highest consultant vacancy rate of any psychiatric specialism in England to be child and adolescent psychiatry. The actual vacancy rate, which included substantively vacant posts and locum-covered posts, was 36.8 per cent, comprising 310 out of 842 total consultant posts. The rate of substantive vacancy was 19.2 per cent (162 of 842 posts). The report stated that CYP mental health treatment access by children rose by 27 percent in September 2021 to September 2024, from 628,454 to 798,479, respectively, but the consultant workforce did not grow to the same extent. </w:t>
      </w:r>
    </w:p>
    <w:p w14:paraId="026CDBC9"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lastRenderedPageBreak/>
        <w:t xml:space="preserve">According to the Care Quality Commission (2018), staff in ten areas of study were working long hours with limited budgets in the face of increasing demand, and vacancies were taking long periods to be filled - a factor that was perceived by both the staff and the commissioners to be the main reason behind delayed access. </w:t>
      </w:r>
    </w:p>
    <w:p w14:paraId="25387162" w14:textId="40E8AAB5" w:rsidR="007913C6" w:rsidRPr="00C8206E" w:rsidRDefault="007913C6" w:rsidP="00BA57CC">
      <w:pPr>
        <w:pStyle w:val="Heading3"/>
        <w:rPr>
          <w:rFonts w:eastAsia="Times New Roman"/>
          <w:kern w:val="0"/>
          <w:lang w:eastAsia="en-IN"/>
          <w14:ligatures w14:val="none"/>
        </w:rPr>
      </w:pPr>
      <w:bookmarkStart w:id="62" w:name="_Toc241025675"/>
      <w:r w:rsidRPr="00C8206E">
        <w:t>4.</w:t>
      </w:r>
      <w:r w:rsidR="00FC2B85">
        <w:t>4</w:t>
      </w:r>
      <w:r w:rsidRPr="00C8206E">
        <w:t>.2 Staff Burnout and Wellbeing</w:t>
      </w:r>
      <w:bookmarkEnd w:id="62"/>
    </w:p>
    <w:p w14:paraId="01627B66"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Mareva et al. (2024) investigated the connection between staff burnout and organisational capacity in a cross-sectional study of 97 CAMHS workers in England undertaken in spring 2023. This analysis established that 34.0 per cent of the respondents were found to be moderate or high in work-related burnout on the Copenhagen Burnout Inventory and 39.2 per cent of them were moderate or high in personal burnout. The strongest predictor of job dissatisfaction was work-related burnout, the key drivers of which included high workload and emotional demand; high workload and emotional demand had a stronger correlation with work-related burnout than other factors; about a quarter of the respondents indicated wellbeing scores that were compatible with mild or clinical depressive symptoms. </w:t>
      </w:r>
    </w:p>
    <w:p w14:paraId="3A24A46A"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In a qualitative process assessment of the STADIA trial of eight CAMHS sites in England, Thomson et al. (2025) found that clinicians invariably mentioned high workload and time pressure to be impediments to the use of the Development and Wellbeing Assessment tool in routine practice, even when they believed the tool to be clinically useful. Participants spoke about an organisational situation where the amount of work did not give enough time to add more assessment elements, whether or not they felt that they would be useful.</w:t>
      </w:r>
    </w:p>
    <w:p w14:paraId="2AC43E5E" w14:textId="7C2D1AFC" w:rsidR="007913C6" w:rsidRPr="00C8206E" w:rsidRDefault="007913C6" w:rsidP="00BA57CC">
      <w:pPr>
        <w:pStyle w:val="Heading3"/>
      </w:pPr>
      <w:bookmarkStart w:id="63" w:name="_Toc241025676"/>
      <w:r w:rsidRPr="00C8206E">
        <w:t>4.</w:t>
      </w:r>
      <w:r w:rsidR="00FC2B85">
        <w:t>4</w:t>
      </w:r>
      <w:r w:rsidRPr="00C8206E">
        <w:t>.3 Training and Knowledge Gaps</w:t>
      </w:r>
      <w:bookmarkEnd w:id="63"/>
    </w:p>
    <w:p w14:paraId="45996282"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The results of </w:t>
      </w:r>
      <w:proofErr w:type="spellStart"/>
      <w:r w:rsidRPr="00C8206E">
        <w:rPr>
          <w:rFonts w:ascii="Arial" w:hAnsi="Arial" w:cs="Arial"/>
        </w:rPr>
        <w:t>Svirydzenka</w:t>
      </w:r>
      <w:proofErr w:type="spellEnd"/>
      <w:r w:rsidRPr="00C8206E">
        <w:rPr>
          <w:rFonts w:ascii="Arial" w:hAnsi="Arial" w:cs="Arial"/>
        </w:rPr>
        <w:t xml:space="preserve"> et al. (2017) indicated that the absence of training was one of the frequently mentioned obstacles to delivering quality CAMHS care by all three stakeholder groups, including patients and carers, clinical staff, and commissioners. According to the report by the Care Quality Commission (2018), staff noted that the lack of capacity in the training of specialists was limiting their capacity to react to even more complex presentations.</w:t>
      </w:r>
    </w:p>
    <w:p w14:paraId="2864DE35" w14:textId="384A2B5C" w:rsidR="007913C6" w:rsidRPr="00C8206E" w:rsidRDefault="007913C6" w:rsidP="00BA57CC">
      <w:pPr>
        <w:pStyle w:val="Heading3"/>
      </w:pPr>
      <w:bookmarkStart w:id="64" w:name="_Toc241025677"/>
      <w:r w:rsidRPr="00C8206E">
        <w:t>4.</w:t>
      </w:r>
      <w:r w:rsidR="00FC2B85">
        <w:t>4</w:t>
      </w:r>
      <w:r w:rsidRPr="00C8206E">
        <w:t>.4 High Workload Constraining Clinical Delivery</w:t>
      </w:r>
      <w:bookmarkEnd w:id="64"/>
    </w:p>
    <w:p w14:paraId="40AD6DF2"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Style w:val="cursor-pointer"/>
          <w:rFonts w:ascii="Arial" w:hAnsi="Arial" w:cs="Arial"/>
        </w:rPr>
        <w:t>Organisational barriers that were reported to limit the quality and responsiveness of clinical delivery were high workload.</w:t>
      </w:r>
      <w:r w:rsidRPr="00C8206E">
        <w:rPr>
          <w:rFonts w:ascii="Arial" w:hAnsi="Arial" w:cs="Arial"/>
        </w:rPr>
        <w:t xml:space="preserve"> </w:t>
      </w:r>
      <w:r w:rsidRPr="00C8206E">
        <w:rPr>
          <w:rStyle w:val="cursor-pointer"/>
          <w:rFonts w:ascii="Arial" w:hAnsi="Arial" w:cs="Arial"/>
        </w:rPr>
        <w:t xml:space="preserve">Based on 109 semi-structured interviews with young people, parents and carers, and the NHS staff based in eight CAMHS sites in </w:t>
      </w:r>
      <w:r w:rsidRPr="00C8206E">
        <w:rPr>
          <w:rStyle w:val="cursor-pointer"/>
          <w:rFonts w:ascii="Arial" w:hAnsi="Arial" w:cs="Arial"/>
        </w:rPr>
        <w:lastRenderedPageBreak/>
        <w:t>England, Newman et al. (2024) identified limited clinical capacity and lack of resources as most commonly reported constraints to satisfactory service provision.</w:t>
      </w:r>
      <w:r w:rsidRPr="00C8206E">
        <w:rPr>
          <w:rFonts w:ascii="Arial" w:hAnsi="Arial" w:cs="Arial"/>
        </w:rPr>
        <w:t xml:space="preserve"> </w:t>
      </w:r>
      <w:r w:rsidRPr="00C8206E">
        <w:rPr>
          <w:rStyle w:val="cursor-pointer"/>
          <w:rFonts w:ascii="Arial" w:hAnsi="Arial" w:cs="Arial"/>
        </w:rPr>
        <w:t>Participating staff members reported that they did not feel sufficiently able to respond promptly and engage regularly with families when waiting.</w:t>
      </w:r>
      <w:r w:rsidRPr="00C8206E">
        <w:rPr>
          <w:rFonts w:ascii="Arial" w:hAnsi="Arial" w:cs="Arial"/>
        </w:rPr>
        <w:t xml:space="preserve"> </w:t>
      </w:r>
      <w:r w:rsidRPr="00C8206E">
        <w:rPr>
          <w:rStyle w:val="cursor-pointer"/>
          <w:rFonts w:ascii="Arial" w:hAnsi="Arial" w:cs="Arial"/>
        </w:rPr>
        <w:t>In the EN-CAMHS mixed-methods study, which included focus group data of more than 100 participants (across four NHS Trusts), Abel et al. (2025) discovered that staff reported systemic time and capacity pressures as the reason behind their inability to offer sufficient support or communication to families during the referral route.</w:t>
      </w:r>
    </w:p>
    <w:p w14:paraId="585FBCD2"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p>
    <w:p w14:paraId="6BDBB14F" w14:textId="71BCECD4" w:rsidR="007913C6" w:rsidRPr="00C8206E" w:rsidRDefault="007913C6" w:rsidP="00892D94">
      <w:pPr>
        <w:pStyle w:val="Heading2"/>
      </w:pPr>
      <w:bookmarkStart w:id="65" w:name="_Toc241025678"/>
      <w:r w:rsidRPr="00C8206E">
        <w:t>4.</w:t>
      </w:r>
      <w:r w:rsidR="00FC2B85">
        <w:t>5</w:t>
      </w:r>
      <w:r w:rsidRPr="00C8206E">
        <w:t xml:space="preserve"> Theme 3: Referral and Pathway Barriers</w:t>
      </w:r>
      <w:bookmarkEnd w:id="65"/>
    </w:p>
    <w:p w14:paraId="662E088D" w14:textId="777C1D4D" w:rsidR="007913C6" w:rsidRPr="00C8206E" w:rsidRDefault="007913C6" w:rsidP="002A2137">
      <w:pPr>
        <w:spacing w:after="0" w:line="360" w:lineRule="auto"/>
        <w:jc w:val="both"/>
        <w:outlineLvl w:val="3"/>
        <w:rPr>
          <w:rFonts w:ascii="Arial" w:eastAsiaTheme="majorEastAsia" w:hAnsi="Arial" w:cs="Arial"/>
          <w:b/>
          <w:bCs/>
          <w:color w:val="0F4761" w:themeColor="accent1" w:themeShade="BF"/>
          <w:lang w:val="en-IN"/>
        </w:rPr>
      </w:pPr>
      <w:r w:rsidRPr="00C8206E">
        <w:rPr>
          <w:rFonts w:ascii="Arial" w:eastAsiaTheme="majorEastAsia" w:hAnsi="Arial" w:cs="Arial"/>
          <w:b/>
          <w:bCs/>
          <w:color w:val="0F4761" w:themeColor="accent1" w:themeShade="BF"/>
          <w:lang w:val="en-IN"/>
        </w:rPr>
        <w:t>4.</w:t>
      </w:r>
      <w:r w:rsidR="00FC2B85">
        <w:rPr>
          <w:rFonts w:ascii="Arial" w:eastAsiaTheme="majorEastAsia" w:hAnsi="Arial" w:cs="Arial"/>
          <w:b/>
          <w:bCs/>
          <w:color w:val="0F4761" w:themeColor="accent1" w:themeShade="BF"/>
          <w:lang w:val="en-IN"/>
        </w:rPr>
        <w:t>5</w:t>
      </w:r>
      <w:r w:rsidRPr="00C8206E">
        <w:rPr>
          <w:rFonts w:ascii="Arial" w:eastAsiaTheme="majorEastAsia" w:hAnsi="Arial" w:cs="Arial"/>
          <w:b/>
          <w:bCs/>
          <w:color w:val="0F4761" w:themeColor="accent1" w:themeShade="BF"/>
          <w:lang w:val="en-IN"/>
        </w:rPr>
        <w:t>.1 High and Variable Referral Rejection Rates</w:t>
      </w:r>
    </w:p>
    <w:p w14:paraId="0F0AF5F2"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Referral rejection was found to be a significant and under-reported barrier to access in various studies. A study by Crenna-Jennings and Hutchinson (2020) based on Freedom of Information requests to access data not provided by the usual NHS reporting revealed that in 2018-19, 26.0 per cent of all CAMHS referrals in the country were declined or inappropriate, which is about 133,000 individual children. Rejection rates across regions ranged between 17 per cent in London to 28 per cent in the South of England with the major cause of most rejections of about one-third of the rejection being registered as unknown by provider records. </w:t>
      </w:r>
    </w:p>
    <w:p w14:paraId="328A0DE5"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In an audit of 1,322 referrals to a CAMHS in south London, Hickling et al. (2023) discovered that 317 (24.0 per cent) of referrals had been rejected on severity threshold grounds; most had been assessed as potentially eligible for a lower-intensity pathway, which was not always communicated to referrers. In their quantitative study of 497,502 CAMHS referrals in England in 2020-21, Abel et al. (2025) found that nearly every fourth referral failed, and qualitative data showed that confusion about the eligibility remit of CAMHS was the main cause of referral failure. </w:t>
      </w:r>
      <w:proofErr w:type="spellStart"/>
      <w:r w:rsidRPr="00C8206E">
        <w:rPr>
          <w:rFonts w:ascii="Arial" w:hAnsi="Arial" w:cs="Arial"/>
        </w:rPr>
        <w:t>Edbrooke-Childs</w:t>
      </w:r>
      <w:proofErr w:type="spellEnd"/>
      <w:r w:rsidRPr="00C8206E">
        <w:rPr>
          <w:rFonts w:ascii="Arial" w:hAnsi="Arial" w:cs="Arial"/>
        </w:rPr>
        <w:t xml:space="preserve"> and Deighton (2020) discovered that referral source was a notable predictor of acceptance and subsequent waiting time, with primary care referrals having longer waits than referrals in the accident and emergency setting, and there was a difference in how referrals in different source types were processed.</w:t>
      </w:r>
    </w:p>
    <w:p w14:paraId="7543E0E1" w14:textId="2D01EF56" w:rsidR="007913C6" w:rsidRPr="00C8206E" w:rsidRDefault="007913C6" w:rsidP="002A2137">
      <w:pPr>
        <w:spacing w:after="0" w:line="360" w:lineRule="auto"/>
        <w:jc w:val="both"/>
        <w:outlineLvl w:val="3"/>
        <w:rPr>
          <w:rFonts w:ascii="Arial" w:eastAsiaTheme="majorEastAsia" w:hAnsi="Arial" w:cs="Arial"/>
          <w:b/>
          <w:bCs/>
          <w:color w:val="0F4761" w:themeColor="accent1" w:themeShade="BF"/>
          <w:lang w:val="en-IN"/>
        </w:rPr>
      </w:pPr>
      <w:r w:rsidRPr="00C8206E">
        <w:rPr>
          <w:rFonts w:ascii="Arial" w:eastAsiaTheme="majorEastAsia" w:hAnsi="Arial" w:cs="Arial"/>
          <w:b/>
          <w:bCs/>
          <w:color w:val="0F4761" w:themeColor="accent1" w:themeShade="BF"/>
          <w:lang w:val="en-IN"/>
        </w:rPr>
        <w:t>4.</w:t>
      </w:r>
      <w:r w:rsidR="00FC2B85">
        <w:rPr>
          <w:rFonts w:ascii="Arial" w:eastAsiaTheme="majorEastAsia" w:hAnsi="Arial" w:cs="Arial"/>
          <w:b/>
          <w:bCs/>
          <w:color w:val="0F4761" w:themeColor="accent1" w:themeShade="BF"/>
          <w:lang w:val="en-IN"/>
        </w:rPr>
        <w:t>5</w:t>
      </w:r>
      <w:r w:rsidRPr="00C8206E">
        <w:rPr>
          <w:rFonts w:ascii="Arial" w:eastAsiaTheme="majorEastAsia" w:hAnsi="Arial" w:cs="Arial"/>
          <w:b/>
          <w:bCs/>
          <w:color w:val="0F4761" w:themeColor="accent1" w:themeShade="BF"/>
          <w:lang w:val="en-IN"/>
        </w:rPr>
        <w:t>.2 Unclear Referral Processes and Pathway Confusion</w:t>
      </w:r>
    </w:p>
    <w:p w14:paraId="48171E02"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Lack of clear, standardised referral pathways was cited as an obstacle from both service-user and professional viewpoints. Newman et al. (2024) referred to the </w:t>
      </w:r>
      <w:r w:rsidRPr="00C8206E">
        <w:rPr>
          <w:rFonts w:ascii="Arial" w:hAnsi="Arial" w:cs="Arial"/>
        </w:rPr>
        <w:lastRenderedPageBreak/>
        <w:t xml:space="preserve">experiences of families affected by the referral process as snakes and ladders, a sequential process of referral, rejection, re-referral, additional waiting and, in some instances, repeated rejection, and every step adds delay but does not ensure access. Abel et al. (2025) discovered that the process of referral was opaque as described by the referring professionals, and that it was unclear what criteria were required, what documentation was needed, and what happened once the referral was made; they identified a lack of standardised referral documentation as a major amenable barrier. </w:t>
      </w:r>
    </w:p>
    <w:p w14:paraId="39E71FBF"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In an evaluation of one point of access in two CAMHS services in England, Rocks et al. (2020) discovered that before the introduction of the SPA, families and referrers found the CAMHS entry system confusing and difficult to navigate, with telephone referral processes especially cited as a barrier to families with limited time or confidence.</w:t>
      </w:r>
    </w:p>
    <w:p w14:paraId="72B9C73D" w14:textId="58DCD968" w:rsidR="007913C6" w:rsidRPr="00C8206E" w:rsidRDefault="007913C6" w:rsidP="002A2137">
      <w:pPr>
        <w:spacing w:after="0" w:line="360" w:lineRule="auto"/>
        <w:jc w:val="both"/>
        <w:outlineLvl w:val="3"/>
        <w:rPr>
          <w:rFonts w:ascii="Arial" w:eastAsiaTheme="majorEastAsia" w:hAnsi="Arial" w:cs="Arial"/>
          <w:b/>
          <w:bCs/>
          <w:color w:val="0F4761" w:themeColor="accent1" w:themeShade="BF"/>
          <w:lang w:val="en-IN"/>
        </w:rPr>
      </w:pPr>
      <w:r w:rsidRPr="00C8206E">
        <w:rPr>
          <w:rFonts w:ascii="Arial" w:eastAsiaTheme="majorEastAsia" w:hAnsi="Arial" w:cs="Arial"/>
          <w:b/>
          <w:bCs/>
          <w:color w:val="0F4761" w:themeColor="accent1" w:themeShade="BF"/>
          <w:lang w:val="en-IN"/>
        </w:rPr>
        <w:t>4.</w:t>
      </w:r>
      <w:r w:rsidR="00FC2B85">
        <w:rPr>
          <w:rFonts w:ascii="Arial" w:eastAsiaTheme="majorEastAsia" w:hAnsi="Arial" w:cs="Arial"/>
          <w:b/>
          <w:bCs/>
          <w:color w:val="0F4761" w:themeColor="accent1" w:themeShade="BF"/>
          <w:lang w:val="en-IN"/>
        </w:rPr>
        <w:t>5</w:t>
      </w:r>
      <w:r w:rsidRPr="00C8206E">
        <w:rPr>
          <w:rFonts w:ascii="Arial" w:eastAsiaTheme="majorEastAsia" w:hAnsi="Arial" w:cs="Arial"/>
          <w:b/>
          <w:bCs/>
          <w:color w:val="0F4761" w:themeColor="accent1" w:themeShade="BF"/>
          <w:lang w:val="en-IN"/>
        </w:rPr>
        <w:t>.3 Absence of Support During Waiting Periods</w:t>
      </w:r>
    </w:p>
    <w:p w14:paraId="5C1D5BBB"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Time between referral acceptance and first appointment was reported in various included studies as a period of heightened risk among young people not consistently effectively addressed by services. Newman et al. (2024) discovered that one of the most commonly reported dissatisfaction sources among youth and families was the lack of communication and perceived abandonment during waiting time. Participants reported no CAMHS contact during a wait of several months. </w:t>
      </w:r>
    </w:p>
    <w:p w14:paraId="6D54F66A"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In qualitative interviews of nine young people (between 14 and 18) who had heard voices, Ellis et al. (2025) found that long wait lists dissuaded disclosure and help-seeking, with some participants stating that they had since given up on seeking help after experiencing long wait times that provided no interim care. A study by Ganga et al. (2024) showed that the average waiting time increased by 37.76 days to 53.89 days in the early implementation of a digital referral platform, which was fuelled by a 108 per cent increase in referral volume that was not accompanied by a capacity increase. </w:t>
      </w:r>
    </w:p>
    <w:p w14:paraId="6F7E2668" w14:textId="65B6979F" w:rsidR="007913C6" w:rsidRPr="00C8206E" w:rsidRDefault="007913C6" w:rsidP="002A2137">
      <w:pPr>
        <w:spacing w:after="0" w:line="360" w:lineRule="auto"/>
        <w:jc w:val="both"/>
        <w:outlineLvl w:val="3"/>
        <w:rPr>
          <w:rFonts w:ascii="Arial" w:eastAsiaTheme="majorEastAsia" w:hAnsi="Arial" w:cs="Arial"/>
          <w:b/>
          <w:bCs/>
          <w:color w:val="0F4761" w:themeColor="accent1" w:themeShade="BF"/>
          <w:lang w:val="en-IN"/>
        </w:rPr>
      </w:pPr>
      <w:r w:rsidRPr="00C8206E">
        <w:rPr>
          <w:rFonts w:ascii="Arial" w:eastAsiaTheme="majorEastAsia" w:hAnsi="Arial" w:cs="Arial"/>
          <w:b/>
          <w:bCs/>
          <w:color w:val="0F4761" w:themeColor="accent1" w:themeShade="BF"/>
          <w:lang w:val="en-IN"/>
        </w:rPr>
        <w:t>4.</w:t>
      </w:r>
      <w:r w:rsidR="00FC2B85">
        <w:rPr>
          <w:rFonts w:ascii="Arial" w:eastAsiaTheme="majorEastAsia" w:hAnsi="Arial" w:cs="Arial"/>
          <w:b/>
          <w:bCs/>
          <w:color w:val="0F4761" w:themeColor="accent1" w:themeShade="BF"/>
          <w:lang w:val="en-IN"/>
        </w:rPr>
        <w:t>5</w:t>
      </w:r>
      <w:r w:rsidRPr="00C8206E">
        <w:rPr>
          <w:rFonts w:ascii="Arial" w:eastAsiaTheme="majorEastAsia" w:hAnsi="Arial" w:cs="Arial"/>
          <w:b/>
          <w:bCs/>
          <w:color w:val="0F4761" w:themeColor="accent1" w:themeShade="BF"/>
          <w:lang w:val="en-IN"/>
        </w:rPr>
        <w:t>.4 Triage Inconsistency and Threshold Variation</w:t>
      </w:r>
    </w:p>
    <w:p w14:paraId="5594652E" w14:textId="4EC2203B"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Variability of triage procedures and eligibility criteria was observed in studies included</w:t>
      </w:r>
      <w:r w:rsidR="00387B18">
        <w:rPr>
          <w:rFonts w:ascii="Arial" w:hAnsi="Arial" w:cs="Arial"/>
        </w:rPr>
        <w:t>,</w:t>
      </w:r>
      <w:r w:rsidRPr="00C8206E">
        <w:rPr>
          <w:rFonts w:ascii="Arial" w:hAnsi="Arial" w:cs="Arial"/>
        </w:rPr>
        <w:t xml:space="preserve"> creating unfair access and referral confusion. Thomson et al. (2025) discovered that there was no uniform triage protocol used in eight CAMHS sites, and assessment methods differed across and within teams in a way that did not allow referring professionals to determine the success of the referral. </w:t>
      </w:r>
      <w:proofErr w:type="spellStart"/>
      <w:r w:rsidRPr="00C8206E">
        <w:rPr>
          <w:rFonts w:ascii="Arial" w:hAnsi="Arial" w:cs="Arial"/>
        </w:rPr>
        <w:t>Edbrooke-Childs</w:t>
      </w:r>
      <w:proofErr w:type="spellEnd"/>
      <w:r w:rsidRPr="00C8206E">
        <w:rPr>
          <w:rFonts w:ascii="Arial" w:hAnsi="Arial" w:cs="Arial"/>
        </w:rPr>
        <w:t xml:space="preserve"> and Deighton (2020) found that the probability of a shorter wait was associated with severity of </w:t>
      </w:r>
      <w:r w:rsidRPr="00C8206E">
        <w:rPr>
          <w:rFonts w:ascii="Arial" w:hAnsi="Arial" w:cs="Arial"/>
        </w:rPr>
        <w:lastRenderedPageBreak/>
        <w:t>presentation at the point of referral, with the most acute cases prioritised over those in earlier stages of need.</w:t>
      </w:r>
    </w:p>
    <w:p w14:paraId="38FA8A3A"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p>
    <w:p w14:paraId="7E9597DA" w14:textId="3EC52D8B" w:rsidR="007913C6" w:rsidRPr="00C8206E" w:rsidRDefault="007913C6" w:rsidP="00892D94">
      <w:pPr>
        <w:pStyle w:val="Heading2"/>
      </w:pPr>
      <w:bookmarkStart w:id="66" w:name="_Toc241025679"/>
      <w:r w:rsidRPr="00C8206E">
        <w:t>4.</w:t>
      </w:r>
      <w:r w:rsidR="00FC2B85">
        <w:t>6</w:t>
      </w:r>
      <w:r w:rsidRPr="00C8206E">
        <w:t xml:space="preserve"> Theme 4: Policy and Commissioning Barriers</w:t>
      </w:r>
      <w:bookmarkEnd w:id="66"/>
    </w:p>
    <w:p w14:paraId="4BEF7CA8" w14:textId="19F16CF9" w:rsidR="007913C6" w:rsidRPr="00C8206E" w:rsidRDefault="007913C6" w:rsidP="002A2137">
      <w:pPr>
        <w:spacing w:after="0" w:line="360" w:lineRule="auto"/>
        <w:jc w:val="both"/>
        <w:outlineLvl w:val="3"/>
        <w:rPr>
          <w:rFonts w:ascii="Arial" w:eastAsiaTheme="majorEastAsia" w:hAnsi="Arial" w:cs="Arial"/>
          <w:b/>
          <w:bCs/>
          <w:color w:val="0F4761" w:themeColor="accent1" w:themeShade="BF"/>
          <w:lang w:val="en-IN"/>
        </w:rPr>
      </w:pPr>
      <w:r w:rsidRPr="00C8206E">
        <w:rPr>
          <w:rFonts w:ascii="Arial" w:eastAsiaTheme="majorEastAsia" w:hAnsi="Arial" w:cs="Arial"/>
          <w:b/>
          <w:bCs/>
          <w:color w:val="0F4761" w:themeColor="accent1" w:themeShade="BF"/>
          <w:lang w:val="en-IN"/>
        </w:rPr>
        <w:t>4.</w:t>
      </w:r>
      <w:r w:rsidR="00FC2B85">
        <w:rPr>
          <w:rFonts w:ascii="Arial" w:eastAsiaTheme="majorEastAsia" w:hAnsi="Arial" w:cs="Arial"/>
          <w:b/>
          <w:bCs/>
          <w:color w:val="0F4761" w:themeColor="accent1" w:themeShade="BF"/>
          <w:lang w:val="en-IN"/>
        </w:rPr>
        <w:t>6</w:t>
      </w:r>
      <w:r w:rsidRPr="00C8206E">
        <w:rPr>
          <w:rFonts w:ascii="Arial" w:eastAsiaTheme="majorEastAsia" w:hAnsi="Arial" w:cs="Arial"/>
          <w:b/>
          <w:bCs/>
          <w:color w:val="0F4761" w:themeColor="accent1" w:themeShade="BF"/>
          <w:lang w:val="en-IN"/>
        </w:rPr>
        <w:t>.1 The Policy Implementation Gap</w:t>
      </w:r>
    </w:p>
    <w:p w14:paraId="3D8E199D" w14:textId="60CC4AE1"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An endemic disconnect between what the national policy promised to do and what it could actually deliver in terms of its operations was recorded throughout the grey literature. According to the Children Commissioner of England (2025), although the NHS </w:t>
      </w:r>
      <w:r w:rsidR="00204059">
        <w:rPr>
          <w:rFonts w:ascii="Arial" w:hAnsi="Arial" w:cs="Arial"/>
        </w:rPr>
        <w:t>Long-Term Plan</w:t>
      </w:r>
      <w:r w:rsidRPr="00C8206E">
        <w:rPr>
          <w:rFonts w:ascii="Arial" w:hAnsi="Arial" w:cs="Arial"/>
        </w:rPr>
        <w:t xml:space="preserve"> committed to ensuring that 345,000 more children receive mental health support by 2023-24, 320,000 children at the end of the year were still waiting to be treated, and less than half of them received their first contact within the planned four weeks. The Care Quality Commission (2018) has also found that there were children who could not obtain timely support despite the explicitly prioritised policy landscape where CYP mental health was the priority. </w:t>
      </w:r>
    </w:p>
    <w:p w14:paraId="0F797B0C" w14:textId="175F8DC7" w:rsidR="007913C6" w:rsidRPr="00C8206E" w:rsidRDefault="007913C6" w:rsidP="002A2137">
      <w:pPr>
        <w:spacing w:after="0" w:line="360" w:lineRule="auto"/>
        <w:jc w:val="both"/>
        <w:outlineLvl w:val="3"/>
        <w:rPr>
          <w:rFonts w:ascii="Arial" w:eastAsiaTheme="majorEastAsia" w:hAnsi="Arial" w:cs="Arial"/>
          <w:b/>
          <w:bCs/>
          <w:color w:val="0F4761" w:themeColor="accent1" w:themeShade="BF"/>
          <w:lang w:val="en-IN"/>
        </w:rPr>
      </w:pPr>
      <w:r w:rsidRPr="00C8206E">
        <w:rPr>
          <w:rFonts w:ascii="Arial" w:eastAsiaTheme="majorEastAsia" w:hAnsi="Arial" w:cs="Arial"/>
          <w:b/>
          <w:bCs/>
          <w:color w:val="0F4761" w:themeColor="accent1" w:themeShade="BF"/>
          <w:lang w:val="en-IN"/>
        </w:rPr>
        <w:t>4.</w:t>
      </w:r>
      <w:r w:rsidR="00FC2B85">
        <w:rPr>
          <w:rFonts w:ascii="Arial" w:eastAsiaTheme="majorEastAsia" w:hAnsi="Arial" w:cs="Arial"/>
          <w:b/>
          <w:bCs/>
          <w:color w:val="0F4761" w:themeColor="accent1" w:themeShade="BF"/>
          <w:lang w:val="en-IN"/>
        </w:rPr>
        <w:t>6</w:t>
      </w:r>
      <w:r w:rsidRPr="00C8206E">
        <w:rPr>
          <w:rFonts w:ascii="Arial" w:eastAsiaTheme="majorEastAsia" w:hAnsi="Arial" w:cs="Arial"/>
          <w:b/>
          <w:bCs/>
          <w:color w:val="0F4761" w:themeColor="accent1" w:themeShade="BF"/>
          <w:lang w:val="en-IN"/>
        </w:rPr>
        <w:t>.2 Absence of Standardised National Data</w:t>
      </w:r>
    </w:p>
    <w:p w14:paraId="42723B20"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Lack of nationally standardised and publicly reported data on key access metrics was identified as a policy barrier to accountability. A Freedom of Information analysis by Crenna-Jennings and Hutchinson (2020) showed that the standard published reporting by NHS England did not include the rate of referral rejection, i.e. about one in four CAMHS referrals nationally was not measured and not followed up in official data. This report also determined that about a third of rejections were reported with unknown as the major cause, and that waiting times were measured and reported inconsistently, which made it impossible to meaningfully compare the waiting times nationally. According to the report by the Children Commissioner of England (2025), the level of discrepancy in the completeness and comparability of waiting-time data among ICBs also meant that the worst-performing regions could not be identified and improved. </w:t>
      </w:r>
    </w:p>
    <w:p w14:paraId="33530435" w14:textId="60B0264A" w:rsidR="007913C6" w:rsidRPr="00C8206E" w:rsidRDefault="007913C6" w:rsidP="002A2137">
      <w:pPr>
        <w:spacing w:after="0" w:line="360" w:lineRule="auto"/>
        <w:jc w:val="both"/>
        <w:outlineLvl w:val="3"/>
        <w:rPr>
          <w:rFonts w:ascii="Arial" w:eastAsiaTheme="majorEastAsia" w:hAnsi="Arial" w:cs="Arial"/>
          <w:b/>
          <w:bCs/>
          <w:color w:val="0F4761" w:themeColor="accent1" w:themeShade="BF"/>
          <w:lang w:val="en-IN"/>
        </w:rPr>
      </w:pPr>
      <w:r w:rsidRPr="00C8206E">
        <w:rPr>
          <w:rFonts w:ascii="Arial" w:eastAsiaTheme="majorEastAsia" w:hAnsi="Arial" w:cs="Arial"/>
          <w:b/>
          <w:bCs/>
          <w:color w:val="0F4761" w:themeColor="accent1" w:themeShade="BF"/>
          <w:lang w:val="en-IN"/>
        </w:rPr>
        <w:t>4.</w:t>
      </w:r>
      <w:r w:rsidR="00FC2B85">
        <w:rPr>
          <w:rFonts w:ascii="Arial" w:eastAsiaTheme="majorEastAsia" w:hAnsi="Arial" w:cs="Arial"/>
          <w:b/>
          <w:bCs/>
          <w:color w:val="0F4761" w:themeColor="accent1" w:themeShade="BF"/>
          <w:lang w:val="en-IN"/>
        </w:rPr>
        <w:t>6</w:t>
      </w:r>
      <w:r w:rsidRPr="00C8206E">
        <w:rPr>
          <w:rFonts w:ascii="Arial" w:eastAsiaTheme="majorEastAsia" w:hAnsi="Arial" w:cs="Arial"/>
          <w:b/>
          <w:bCs/>
          <w:color w:val="0F4761" w:themeColor="accent1" w:themeShade="BF"/>
          <w:lang w:val="en-IN"/>
        </w:rPr>
        <w:t>.3 Commissioning Misalignment and Accountability Deficits</w:t>
      </w:r>
    </w:p>
    <w:p w14:paraId="12D526F8"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The commissioning structures were found to create misalignment between the strategic policy intent and service delivery. According to </w:t>
      </w:r>
      <w:proofErr w:type="spellStart"/>
      <w:r w:rsidRPr="00C8206E">
        <w:rPr>
          <w:rFonts w:ascii="Arial" w:hAnsi="Arial" w:cs="Arial"/>
        </w:rPr>
        <w:t>Svirydzenka</w:t>
      </w:r>
      <w:proofErr w:type="spellEnd"/>
      <w:r w:rsidRPr="00C8206E">
        <w:rPr>
          <w:rFonts w:ascii="Arial" w:hAnsi="Arial" w:cs="Arial"/>
        </w:rPr>
        <w:t xml:space="preserve"> et al. (2017), commissioners did not always associate their perceptions of quality with commissioning guidelines or predetermined evidence-based standards, and commissioning decisions were characterised by participants as personal views of </w:t>
      </w:r>
      <w:r w:rsidRPr="00C8206E">
        <w:rPr>
          <w:rFonts w:ascii="Arial" w:hAnsi="Arial" w:cs="Arial"/>
        </w:rPr>
        <w:lastRenderedPageBreak/>
        <w:t xml:space="preserve">commissioners instead of collective models. Care Quality Commission (2018) found that commissioning of CAMHS was shared among various organisations, including NHS England, ICBs, local authorities and schools, with overlapping yet disjointed roles and no explicit responsibility to see children through to relevant support. </w:t>
      </w:r>
    </w:p>
    <w:p w14:paraId="1644B709" w14:textId="77777777" w:rsidR="007913C6" w:rsidRPr="00C8206E" w:rsidRDefault="007913C6" w:rsidP="002A2137">
      <w:pPr>
        <w:spacing w:after="0" w:line="360" w:lineRule="auto"/>
        <w:jc w:val="both"/>
        <w:rPr>
          <w:rFonts w:ascii="Arial" w:eastAsia="Times New Roman" w:hAnsi="Arial" w:cs="Arial"/>
          <w:kern w:val="0"/>
          <w:lang w:eastAsia="en-IN"/>
          <w14:ligatures w14:val="none"/>
        </w:rPr>
      </w:pPr>
    </w:p>
    <w:p w14:paraId="652E9DEC" w14:textId="53C1EF41" w:rsidR="007913C6" w:rsidRPr="00C8206E" w:rsidRDefault="007913C6" w:rsidP="00892D94">
      <w:pPr>
        <w:pStyle w:val="Heading2"/>
      </w:pPr>
      <w:bookmarkStart w:id="67" w:name="_Toc241025680"/>
      <w:r w:rsidRPr="00C8206E">
        <w:t>4.</w:t>
      </w:r>
      <w:r w:rsidR="00FC2B85">
        <w:t>7</w:t>
      </w:r>
      <w:r w:rsidRPr="00C8206E">
        <w:t xml:space="preserve"> Identified Interventions and Effective Strategies</w:t>
      </w:r>
      <w:bookmarkEnd w:id="67"/>
    </w:p>
    <w:p w14:paraId="486D55C7" w14:textId="7A5AE156" w:rsidR="007913C6" w:rsidRPr="00C8206E" w:rsidRDefault="007913C6" w:rsidP="002A2137">
      <w:pPr>
        <w:spacing w:after="0" w:line="360" w:lineRule="auto"/>
        <w:jc w:val="both"/>
        <w:rPr>
          <w:rFonts w:ascii="Arial" w:eastAsia="Times New Roman" w:hAnsi="Arial" w:cs="Arial"/>
          <w:kern w:val="0"/>
          <w:lang w:eastAsia="en-IN"/>
          <w14:ligatures w14:val="none"/>
        </w:rPr>
      </w:pPr>
      <w:r w:rsidRPr="00C8206E">
        <w:rPr>
          <w:rFonts w:ascii="Arial" w:hAnsi="Arial" w:cs="Arial"/>
        </w:rPr>
        <w:t xml:space="preserve">Some of the studies found or assessed interventions that could potentially decrease waiting times or enhance access. In North England, Ganga et al. (2024) assessed the CYP as </w:t>
      </w:r>
      <w:r w:rsidR="00C8307E">
        <w:rPr>
          <w:rFonts w:ascii="Arial" w:hAnsi="Arial" w:cs="Arial"/>
        </w:rPr>
        <w:t>one</w:t>
      </w:r>
      <w:r w:rsidRPr="00C8206E">
        <w:rPr>
          <w:rFonts w:ascii="Arial" w:hAnsi="Arial" w:cs="Arial"/>
        </w:rPr>
        <w:t xml:space="preserve"> digital single point of access and reported that it boosted total referrals (by 1,314 and self-referrals by 71 per cent) and waiting times were back to baseline within the 10-12</w:t>
      </w:r>
      <w:r w:rsidR="002A2137">
        <w:rPr>
          <w:rFonts w:ascii="Arial" w:hAnsi="Arial" w:cs="Arial"/>
        </w:rPr>
        <w:t xml:space="preserve"> </w:t>
      </w:r>
      <w:r w:rsidRPr="00C8206E">
        <w:rPr>
          <w:rFonts w:ascii="Arial" w:hAnsi="Arial" w:cs="Arial"/>
        </w:rPr>
        <w:t>month timeframes. Rocks et al. (2020) discovered that one point of access made referral entry point easier, but did not add clinical capacity, and necessitated structured collection of information to sustain triage consistency.</w:t>
      </w:r>
    </w:p>
    <w:p w14:paraId="2580947A" w14:textId="54B40644" w:rsidR="00532ADF" w:rsidRDefault="007913C6" w:rsidP="002A2137">
      <w:pPr>
        <w:pStyle w:val="text-15px"/>
        <w:spacing w:before="0" w:beforeAutospacing="0" w:after="0" w:afterAutospacing="0" w:line="360" w:lineRule="auto"/>
        <w:jc w:val="both"/>
        <w:rPr>
          <w:rFonts w:ascii="Arial" w:hAnsi="Arial" w:cs="Arial"/>
        </w:rPr>
      </w:pPr>
      <w:r w:rsidRPr="00C8206E">
        <w:rPr>
          <w:rFonts w:ascii="Arial" w:hAnsi="Arial" w:cs="Arial"/>
        </w:rPr>
        <w:t xml:space="preserve">Abel et al. (2025) found standardised digital referral forms and consistent communication during the referral journey as the two most supported interventions by participants in the EN-CAMHS study. Thomson et al. (2025) discovered that the Development and Wellbeing Assessment tool demonstrated the possibility of being used to facilitate regular triage and engage families </w:t>
      </w:r>
      <w:r w:rsidR="00387B18">
        <w:rPr>
          <w:rFonts w:ascii="Arial" w:hAnsi="Arial" w:cs="Arial"/>
        </w:rPr>
        <w:t>during</w:t>
      </w:r>
      <w:r w:rsidRPr="00C8206E">
        <w:rPr>
          <w:rFonts w:ascii="Arial" w:hAnsi="Arial" w:cs="Arial"/>
        </w:rPr>
        <w:t xml:space="preserve"> the waiting time, despite the obstacles towards routine clinical implementation. The most essential service improvements reported by Newman et al. (2024) consisted of more staffing, better communication during waiting times, and alternative appointment scheduling.</w:t>
      </w:r>
    </w:p>
    <w:p w14:paraId="303824A0" w14:textId="79B10708" w:rsidR="00532ADF" w:rsidRPr="00532ADF" w:rsidRDefault="00532ADF" w:rsidP="00532ADF">
      <w:pPr>
        <w:rPr>
          <w:rFonts w:ascii="Arial" w:eastAsia="Times New Roman" w:hAnsi="Arial" w:cs="Arial"/>
          <w:kern w:val="0"/>
          <w:lang w:val="en-IN" w:eastAsia="en-IN"/>
          <w14:ligatures w14:val="none"/>
        </w:rPr>
      </w:pPr>
      <w:r>
        <w:rPr>
          <w:rFonts w:ascii="Arial" w:hAnsi="Arial" w:cs="Arial"/>
        </w:rPr>
        <w:br w:type="page"/>
      </w:r>
    </w:p>
    <w:p w14:paraId="242BBF8F" w14:textId="1CEFBCEE" w:rsidR="00532ADF" w:rsidRPr="00532ADF" w:rsidRDefault="00532ADF" w:rsidP="004C0ECA">
      <w:pPr>
        <w:pStyle w:val="Heading1"/>
      </w:pPr>
      <w:bookmarkStart w:id="68" w:name="_Toc241025681"/>
      <w:r w:rsidRPr="00532ADF">
        <w:lastRenderedPageBreak/>
        <w:t>CHAPTER 5: DISCUSSION</w:t>
      </w:r>
      <w:bookmarkEnd w:id="68"/>
    </w:p>
    <w:p w14:paraId="3D6098E2" w14:textId="77777777" w:rsidR="00532ADF" w:rsidRPr="00532ADF" w:rsidRDefault="00532ADF" w:rsidP="00892D94">
      <w:pPr>
        <w:pStyle w:val="Heading2"/>
      </w:pPr>
      <w:bookmarkStart w:id="69" w:name="_Toc241025682"/>
      <w:r w:rsidRPr="00532ADF">
        <w:t>5.1 Introduction</w:t>
      </w:r>
      <w:bookmarkEnd w:id="69"/>
    </w:p>
    <w:p w14:paraId="3DD5D7F7" w14:textId="0B01447B" w:rsidR="00532ADF" w:rsidRPr="00532ADF" w:rsidRDefault="00532ADF" w:rsidP="00B4208E">
      <w:pPr>
        <w:spacing w:after="0" w:line="360" w:lineRule="auto"/>
        <w:jc w:val="both"/>
        <w:rPr>
          <w:rFonts w:ascii="Arial" w:hAnsi="Arial" w:cs="Arial"/>
        </w:rPr>
      </w:pPr>
      <w:r w:rsidRPr="00532ADF">
        <w:rPr>
          <w:rFonts w:ascii="Arial" w:hAnsi="Arial" w:cs="Arial"/>
        </w:rPr>
        <w:t>This chapter critically interprets and contextualises the findings by Chapter 4 and analyses them within the context of the literature reviewed in Chapter 2 and the Patient-Centred Access to Health Care framework (Levesque, Harris and Russell, 2013) as an analysis paradigm. In relation to each of the four barrier themes, the results of the studies included are compared to both supportive and contradictory evidence</w:t>
      </w:r>
      <w:r w:rsidR="00506E20">
        <w:rPr>
          <w:rFonts w:ascii="Arial" w:hAnsi="Arial" w:cs="Arial"/>
        </w:rPr>
        <w:t>,</w:t>
      </w:r>
      <w:r w:rsidRPr="00532ADF">
        <w:rPr>
          <w:rFonts w:ascii="Arial" w:hAnsi="Arial" w:cs="Arial"/>
        </w:rPr>
        <w:t xml:space="preserve"> and their theoretical implications are taken into account. The chapter continues with an analysis of the implications of findings to policy and practice, </w:t>
      </w:r>
      <w:r w:rsidR="00506E20">
        <w:rPr>
          <w:rFonts w:ascii="Arial" w:hAnsi="Arial" w:cs="Arial"/>
        </w:rPr>
        <w:t>recognises</w:t>
      </w:r>
      <w:r w:rsidRPr="00532ADF">
        <w:rPr>
          <w:rFonts w:ascii="Arial" w:hAnsi="Arial" w:cs="Arial"/>
        </w:rPr>
        <w:t xml:space="preserve"> the limitations of this systematic review and points out future research directions.</w:t>
      </w:r>
    </w:p>
    <w:p w14:paraId="4FCAEB9B" w14:textId="77777777" w:rsidR="00532ADF" w:rsidRPr="00532ADF" w:rsidRDefault="00532ADF" w:rsidP="00B4208E">
      <w:pPr>
        <w:spacing w:after="0" w:line="360" w:lineRule="auto"/>
        <w:jc w:val="both"/>
        <w:rPr>
          <w:rFonts w:ascii="Arial" w:hAnsi="Arial" w:cs="Arial"/>
        </w:rPr>
      </w:pPr>
    </w:p>
    <w:p w14:paraId="36BD8116" w14:textId="77777777" w:rsidR="00532ADF" w:rsidRPr="00532ADF" w:rsidRDefault="00532ADF" w:rsidP="00892D94">
      <w:pPr>
        <w:pStyle w:val="Heading2"/>
      </w:pPr>
      <w:bookmarkStart w:id="70" w:name="_Toc241025683"/>
      <w:r w:rsidRPr="00532ADF">
        <w:t>5.2 Discussion of Theme 1: Systemic and Structural Barriers</w:t>
      </w:r>
      <w:bookmarkEnd w:id="70"/>
    </w:p>
    <w:p w14:paraId="1F0DF26D" w14:textId="5B374FCA" w:rsidR="00532ADF" w:rsidRPr="00532ADF" w:rsidRDefault="00532ADF" w:rsidP="00532ADF">
      <w:pPr>
        <w:spacing w:line="360" w:lineRule="auto"/>
        <w:jc w:val="both"/>
        <w:rPr>
          <w:rFonts w:ascii="Arial" w:hAnsi="Arial" w:cs="Arial"/>
        </w:rPr>
      </w:pPr>
      <w:r w:rsidRPr="00532ADF">
        <w:rPr>
          <w:rFonts w:ascii="Arial" w:hAnsi="Arial" w:cs="Arial"/>
        </w:rPr>
        <w:t xml:space="preserve">The observation that CAMHS demand in England is significantly greater than the capacity is congruent with and supported by a large volume of research that goes well beyond the twelve studies included. At the end of 2023-24, the Children’s Commissioner for England (2025) recorded 320,000 children who were still awaiting the initiation of treatment, and the Nuffield Trust (2025) estimated a community health waiting list in July 2025 of 326,000 children, 58 per cent more than in October 2022. These statistics combine </w:t>
      </w:r>
      <w:r w:rsidR="00506E20">
        <w:rPr>
          <w:rFonts w:ascii="Arial" w:hAnsi="Arial" w:cs="Arial"/>
        </w:rPr>
        <w:t>with</w:t>
      </w:r>
      <w:r w:rsidRPr="00532ADF">
        <w:rPr>
          <w:rFonts w:ascii="Arial" w:hAnsi="Arial" w:cs="Arial"/>
        </w:rPr>
        <w:t xml:space="preserve"> the results of included studies to support the idea that the capacity deficit is not a time-limited, post-pandemic phenomenon but a structural, compounding issue. The review period acknowledged in both the Care Quality Commission (2018) and </w:t>
      </w:r>
      <w:proofErr w:type="spellStart"/>
      <w:r w:rsidRPr="00532ADF">
        <w:rPr>
          <w:rFonts w:ascii="Arial" w:hAnsi="Arial" w:cs="Arial"/>
        </w:rPr>
        <w:t>Edbrooke-Childs</w:t>
      </w:r>
      <w:proofErr w:type="spellEnd"/>
      <w:r w:rsidRPr="00532ADF">
        <w:rPr>
          <w:rFonts w:ascii="Arial" w:hAnsi="Arial" w:cs="Arial"/>
        </w:rPr>
        <w:t xml:space="preserve"> and Deighton (2020) that capacity rationing occurred implicitly in the operations of CAMHS, a fact that the 2025 data indicates has only worsened instead of </w:t>
      </w:r>
      <w:r w:rsidR="00506E20">
        <w:rPr>
          <w:rFonts w:ascii="Arial" w:hAnsi="Arial" w:cs="Arial"/>
        </w:rPr>
        <w:t xml:space="preserve">being </w:t>
      </w:r>
      <w:r w:rsidRPr="00532ADF">
        <w:rPr>
          <w:rFonts w:ascii="Arial" w:hAnsi="Arial" w:cs="Arial"/>
        </w:rPr>
        <w:t>solved.</w:t>
      </w:r>
    </w:p>
    <w:p w14:paraId="7519F35F" w14:textId="561E4F23" w:rsidR="00532ADF" w:rsidRPr="00532ADF" w:rsidRDefault="00532ADF" w:rsidP="00532ADF">
      <w:pPr>
        <w:spacing w:line="360" w:lineRule="auto"/>
        <w:jc w:val="both"/>
        <w:rPr>
          <w:rFonts w:ascii="Arial" w:hAnsi="Arial" w:cs="Arial"/>
        </w:rPr>
      </w:pPr>
      <w:r w:rsidRPr="00532ADF">
        <w:rPr>
          <w:rFonts w:ascii="Arial" w:hAnsi="Arial" w:cs="Arial"/>
        </w:rPr>
        <w:t xml:space="preserve">The geographic variation data provides a contrasting viewpoint, indicating that demand-capacity mismatch is not as serious throughout England. The Children Commissioner of England (2025) noted waiting times as short as six days in Leicester, Leicestershire and Rutland - well within the </w:t>
      </w:r>
      <w:r w:rsidR="00AC0D2D">
        <w:rPr>
          <w:rFonts w:ascii="Arial" w:hAnsi="Arial" w:cs="Arial"/>
        </w:rPr>
        <w:t>four-week</w:t>
      </w:r>
      <w:r w:rsidRPr="00532ADF">
        <w:rPr>
          <w:rFonts w:ascii="Arial" w:hAnsi="Arial" w:cs="Arial"/>
        </w:rPr>
        <w:t xml:space="preserve"> standard of the </w:t>
      </w:r>
      <w:r w:rsidR="00204059">
        <w:rPr>
          <w:rFonts w:ascii="Arial" w:hAnsi="Arial" w:cs="Arial"/>
        </w:rPr>
        <w:t>Long-Term Plan</w:t>
      </w:r>
      <w:r w:rsidRPr="00532ADF">
        <w:rPr>
          <w:rFonts w:ascii="Arial" w:hAnsi="Arial" w:cs="Arial"/>
        </w:rPr>
        <w:t xml:space="preserve"> - showing that timely access is possible within the system architecture that is currently in place. This observation adds a significant twist: the crisis is not only defined by aggregate inadequate capacity but by the very unequal allocation of said capacity that </w:t>
      </w:r>
      <w:r w:rsidRPr="00532ADF">
        <w:rPr>
          <w:rFonts w:ascii="Arial" w:hAnsi="Arial" w:cs="Arial"/>
        </w:rPr>
        <w:lastRenderedPageBreak/>
        <w:t>has a geographical and commissioning aspect that can be resolved by aggregate investment. The 17-fold difference in the ICB suggests that access outcomes in certain localities are being determined by other factors like structure and commissioning, and not national levels of resources.</w:t>
      </w:r>
    </w:p>
    <w:p w14:paraId="7F9A710E" w14:textId="62E57E9E" w:rsidR="00532ADF" w:rsidRPr="00532ADF" w:rsidRDefault="00532ADF" w:rsidP="00E63C51">
      <w:pPr>
        <w:spacing w:after="0" w:line="360" w:lineRule="auto"/>
        <w:jc w:val="both"/>
        <w:rPr>
          <w:rFonts w:ascii="Arial" w:hAnsi="Arial" w:cs="Arial"/>
        </w:rPr>
      </w:pPr>
      <w:r w:rsidRPr="00532ADF">
        <w:rPr>
          <w:rFonts w:ascii="Arial" w:hAnsi="Arial" w:cs="Arial"/>
        </w:rPr>
        <w:t xml:space="preserve">This is a self-perpetuating structural barrier, which is revealed by the Care Quality Commission (2018) and supported by Thorley (2016) as chronic underfunding of early intervention. Reduced investment </w:t>
      </w:r>
      <w:r w:rsidR="00587BDA">
        <w:rPr>
          <w:rFonts w:ascii="Arial" w:hAnsi="Arial" w:cs="Arial"/>
        </w:rPr>
        <w:t>in</w:t>
      </w:r>
      <w:r w:rsidRPr="00532ADF">
        <w:rPr>
          <w:rFonts w:ascii="Arial" w:hAnsi="Arial" w:cs="Arial"/>
        </w:rPr>
        <w:t xml:space="preserve"> lower-threshold services results in a concentration of demand within specialist CAMHS and increases waiting times, which also implies that children who might have received an earlier intervention instead come to the stage of crisis. A recent analysis by the Institute of Public Policy Research (O'Halloran and Gandon 2025) estimated that children with poor mental health have two-thirds </w:t>
      </w:r>
      <w:r w:rsidR="00587BDA">
        <w:rPr>
          <w:rFonts w:ascii="Arial" w:hAnsi="Arial" w:cs="Arial"/>
        </w:rPr>
        <w:t>less</w:t>
      </w:r>
      <w:r w:rsidRPr="00532ADF">
        <w:rPr>
          <w:rFonts w:ascii="Arial" w:hAnsi="Arial" w:cs="Arial"/>
        </w:rPr>
        <w:t xml:space="preserve"> employment capability in adulthood, meaning that the poorer the access to improved mental health in childhood, the higher the economic cost of poor health, which in turn supports the argument </w:t>
      </w:r>
      <w:r w:rsidR="00587BDA">
        <w:rPr>
          <w:rFonts w:ascii="Arial" w:hAnsi="Arial" w:cs="Arial"/>
        </w:rPr>
        <w:t>for</w:t>
      </w:r>
      <w:r w:rsidRPr="00532ADF">
        <w:rPr>
          <w:rFonts w:ascii="Arial" w:hAnsi="Arial" w:cs="Arial"/>
        </w:rPr>
        <w:t xml:space="preserve"> upstream structural reform in the public health argument. The demand-capacity mismatch and geographic inequality in the Levesque et al. (2013) model mainly involve the availability and accommodation aspect of supply-side access: services, no matter how approachable or unacceptable they may be, cannot be delivered </w:t>
      </w:r>
      <w:r w:rsidR="003D24B6">
        <w:rPr>
          <w:rFonts w:ascii="Arial" w:hAnsi="Arial" w:cs="Arial"/>
        </w:rPr>
        <w:t>promptly</w:t>
      </w:r>
      <w:r w:rsidR="00587BDA">
        <w:rPr>
          <w:rFonts w:ascii="Arial" w:hAnsi="Arial" w:cs="Arial"/>
        </w:rPr>
        <w:t xml:space="preserve"> </w:t>
      </w:r>
      <w:r w:rsidRPr="00532ADF">
        <w:rPr>
          <w:rFonts w:ascii="Arial" w:hAnsi="Arial" w:cs="Arial"/>
        </w:rPr>
        <w:t>when the physical and human infrastructure to do so is not available or is not evenly distributed.</w:t>
      </w:r>
    </w:p>
    <w:p w14:paraId="62F01581" w14:textId="3E57C89E" w:rsidR="00532ADF" w:rsidRPr="00532ADF" w:rsidRDefault="00532ADF" w:rsidP="00E63C51">
      <w:pPr>
        <w:spacing w:after="0" w:line="360" w:lineRule="auto"/>
        <w:jc w:val="both"/>
        <w:rPr>
          <w:rFonts w:ascii="Arial" w:hAnsi="Arial" w:cs="Arial"/>
        </w:rPr>
      </w:pPr>
    </w:p>
    <w:p w14:paraId="2F75D39A" w14:textId="77777777" w:rsidR="00532ADF" w:rsidRPr="00532ADF" w:rsidRDefault="00532ADF" w:rsidP="00892D94">
      <w:pPr>
        <w:pStyle w:val="Heading2"/>
      </w:pPr>
      <w:bookmarkStart w:id="71" w:name="_Toc241025684"/>
      <w:r w:rsidRPr="00532ADF">
        <w:t>5.3 Discussion of Theme 2: Organisational and Workforce Barriers</w:t>
      </w:r>
      <w:bookmarkEnd w:id="71"/>
    </w:p>
    <w:p w14:paraId="56437756" w14:textId="47427C33" w:rsidR="00532ADF" w:rsidRPr="00532ADF" w:rsidRDefault="00532ADF" w:rsidP="00532ADF">
      <w:pPr>
        <w:spacing w:line="360" w:lineRule="auto"/>
        <w:jc w:val="both"/>
        <w:rPr>
          <w:rFonts w:ascii="Arial" w:hAnsi="Arial" w:cs="Arial"/>
        </w:rPr>
      </w:pPr>
      <w:r w:rsidRPr="00532ADF">
        <w:rPr>
          <w:rFonts w:ascii="Arial" w:hAnsi="Arial" w:cs="Arial"/>
        </w:rPr>
        <w:t>The results of the workforce shortage that were presented in the studies included are largely supported by the external evidence. Filled vacancies in the Royal College of Psychiatrists (2024) show an actual consultant vacancy rate of 36.8 per cent in child and adolescent psychiatry - the highest of any psychiatric specialism - and the most recent workforce census (Royal College of Psychiatrists, 2026) reports that there is now 1 consultant psychiatrist per 2,500 people expected to have a mental illness each year in England. Such numbers are significantly worse than the estimates that were available at the time of the previous studies</w:t>
      </w:r>
      <w:r w:rsidR="00980702">
        <w:rPr>
          <w:rFonts w:ascii="Arial" w:hAnsi="Arial" w:cs="Arial"/>
        </w:rPr>
        <w:t>,</w:t>
      </w:r>
      <w:r w:rsidRPr="00532ADF">
        <w:rPr>
          <w:rFonts w:ascii="Arial" w:hAnsi="Arial" w:cs="Arial"/>
        </w:rPr>
        <w:t xml:space="preserve"> </w:t>
      </w:r>
      <w:r w:rsidR="00980702">
        <w:rPr>
          <w:rFonts w:ascii="Arial" w:hAnsi="Arial" w:cs="Arial"/>
        </w:rPr>
        <w:t>such as</w:t>
      </w:r>
      <w:r w:rsidRPr="00532ADF">
        <w:rPr>
          <w:rFonts w:ascii="Arial" w:hAnsi="Arial" w:cs="Arial"/>
        </w:rPr>
        <w:t xml:space="preserve"> </w:t>
      </w:r>
      <w:proofErr w:type="spellStart"/>
      <w:r w:rsidRPr="00532ADF">
        <w:rPr>
          <w:rFonts w:ascii="Arial" w:hAnsi="Arial" w:cs="Arial"/>
        </w:rPr>
        <w:t>Svirydzenka</w:t>
      </w:r>
      <w:proofErr w:type="spellEnd"/>
      <w:r w:rsidRPr="00532ADF">
        <w:rPr>
          <w:rFonts w:ascii="Arial" w:hAnsi="Arial" w:cs="Arial"/>
        </w:rPr>
        <w:t xml:space="preserve"> et al. (2017), which means that the </w:t>
      </w:r>
      <w:r w:rsidR="00980702">
        <w:rPr>
          <w:rFonts w:ascii="Arial" w:hAnsi="Arial" w:cs="Arial"/>
        </w:rPr>
        <w:t>labour</w:t>
      </w:r>
      <w:r w:rsidRPr="00532ADF">
        <w:rPr>
          <w:rFonts w:ascii="Arial" w:hAnsi="Arial" w:cs="Arial"/>
        </w:rPr>
        <w:t xml:space="preserve"> market crisis has only exacerbated the situation instead of diminishing it. This trend does not align with the goals of the NHS Long Term Workforce Plan (NHS England, 2023), which forecasts a further shortfall in mental health nursing </w:t>
      </w:r>
      <w:r w:rsidRPr="00532ADF">
        <w:rPr>
          <w:rFonts w:ascii="Arial" w:hAnsi="Arial" w:cs="Arial"/>
        </w:rPr>
        <w:lastRenderedPageBreak/>
        <w:t>of about 17,000 posts by 2036-37</w:t>
      </w:r>
      <w:r w:rsidR="00587BDA">
        <w:rPr>
          <w:rFonts w:ascii="Arial" w:hAnsi="Arial" w:cs="Arial"/>
        </w:rPr>
        <w:t>,</w:t>
      </w:r>
      <w:r w:rsidRPr="00532ADF">
        <w:rPr>
          <w:rFonts w:ascii="Arial" w:hAnsi="Arial" w:cs="Arial"/>
        </w:rPr>
        <w:t xml:space="preserve"> implying that despite the planned expansion, the mismatch between demand and supply will continue to exist over a decade.</w:t>
      </w:r>
    </w:p>
    <w:p w14:paraId="75460783" w14:textId="2DF6C4BE" w:rsidR="00532ADF" w:rsidRPr="00532ADF" w:rsidRDefault="00532ADF" w:rsidP="00532ADF">
      <w:pPr>
        <w:spacing w:line="360" w:lineRule="auto"/>
        <w:jc w:val="both"/>
        <w:rPr>
          <w:rFonts w:ascii="Arial" w:hAnsi="Arial" w:cs="Arial"/>
        </w:rPr>
      </w:pPr>
      <w:r w:rsidRPr="00532ADF">
        <w:rPr>
          <w:rFonts w:ascii="Arial" w:hAnsi="Arial" w:cs="Arial"/>
        </w:rPr>
        <w:t xml:space="preserve">The results of Mareva et al. (2024) on burnout, although based on a single-site </w:t>
      </w:r>
      <w:r w:rsidR="00587BDA">
        <w:rPr>
          <w:rFonts w:ascii="Arial" w:hAnsi="Arial" w:cs="Arial"/>
        </w:rPr>
        <w:t>study</w:t>
      </w:r>
      <w:r w:rsidRPr="00532ADF">
        <w:rPr>
          <w:rFonts w:ascii="Arial" w:hAnsi="Arial" w:cs="Arial"/>
        </w:rPr>
        <w:t xml:space="preserve"> of 97 workers and thus not very generalisable, are consistent with the overall evidence on NHS workforce wellbeing and should be contextualised instead of disregarded. The correlation between burnout and reduced job satisfaction in the Mareva et al. research is not new since it has </w:t>
      </w:r>
      <w:r w:rsidR="00587BDA">
        <w:rPr>
          <w:rFonts w:ascii="Arial" w:hAnsi="Arial" w:cs="Arial"/>
        </w:rPr>
        <w:t>long been</w:t>
      </w:r>
      <w:r w:rsidRPr="00532ADF">
        <w:rPr>
          <w:rFonts w:ascii="Arial" w:hAnsi="Arial" w:cs="Arial"/>
        </w:rPr>
        <w:t xml:space="preserve"> established that there is a relationship between occupational wellbeing and staff retention in health professions. The Care Quality Commission (2018) documented the presence of staff working unsustainably long hours in various CAMHS sites, and Thomson et al. (2025) discovered high workload to be the key obstacle to clinicians adopting better triage tools</w:t>
      </w:r>
      <w:r w:rsidR="00587BDA">
        <w:rPr>
          <w:rFonts w:ascii="Arial" w:hAnsi="Arial" w:cs="Arial"/>
        </w:rPr>
        <w:t>,</w:t>
      </w:r>
      <w:r w:rsidRPr="00532ADF">
        <w:rPr>
          <w:rFonts w:ascii="Arial" w:hAnsi="Arial" w:cs="Arial"/>
        </w:rPr>
        <w:t xml:space="preserve"> indicating that the staff </w:t>
      </w:r>
      <w:r w:rsidR="00EF1DF1">
        <w:rPr>
          <w:rFonts w:ascii="Arial" w:hAnsi="Arial" w:cs="Arial"/>
        </w:rPr>
        <w:t>are</w:t>
      </w:r>
      <w:r w:rsidRPr="00532ADF">
        <w:rPr>
          <w:rFonts w:ascii="Arial" w:hAnsi="Arial" w:cs="Arial"/>
        </w:rPr>
        <w:t xml:space="preserve"> not resistant to service improvement, but are unable to do it due to structural barriers. Collectively, these results suggest that workforce barriers work in several ways: absolute vacancy rates restrict throughput capacity, and burnout and high workload among current staff restrict the quality and consistency of what is provided by the remaining clinicians.</w:t>
      </w:r>
    </w:p>
    <w:p w14:paraId="1A9B34AA" w14:textId="67FB52F5" w:rsidR="00532ADF" w:rsidRPr="00532ADF" w:rsidRDefault="00532ADF" w:rsidP="00E63C51">
      <w:pPr>
        <w:spacing w:after="0" w:line="360" w:lineRule="auto"/>
        <w:jc w:val="both"/>
        <w:rPr>
          <w:rFonts w:ascii="Arial" w:hAnsi="Arial" w:cs="Arial"/>
        </w:rPr>
      </w:pPr>
      <w:r w:rsidRPr="00532ADF">
        <w:rPr>
          <w:rFonts w:ascii="Arial" w:hAnsi="Arial" w:cs="Arial"/>
        </w:rPr>
        <w:t xml:space="preserve">The training and knowledge results provide a con to the strictly structural explanation of workforce barriers. Both </w:t>
      </w:r>
      <w:proofErr w:type="spellStart"/>
      <w:r w:rsidRPr="00532ADF">
        <w:rPr>
          <w:rFonts w:ascii="Arial" w:hAnsi="Arial" w:cs="Arial"/>
        </w:rPr>
        <w:t>Svirydzenka</w:t>
      </w:r>
      <w:proofErr w:type="spellEnd"/>
      <w:r w:rsidRPr="00532ADF">
        <w:rPr>
          <w:rFonts w:ascii="Arial" w:hAnsi="Arial" w:cs="Arial"/>
        </w:rPr>
        <w:t xml:space="preserve"> et al. (2017) and O'Brien et al. (2016) found knowledge gaps in CAMHS staff and referring clinicians as limiting factors that cannot be reduced to vacancy levels. This indicates that although the number of workforce could be increased, the quality of referral decisions and the triage processes could still be suboptimal unless the corresponding investment in training and professional development was made- a difference that had significant implications </w:t>
      </w:r>
      <w:r w:rsidR="003D24B6">
        <w:rPr>
          <w:rFonts w:ascii="Arial" w:hAnsi="Arial" w:cs="Arial"/>
        </w:rPr>
        <w:t>for</w:t>
      </w:r>
      <w:r w:rsidRPr="00532ADF">
        <w:rPr>
          <w:rFonts w:ascii="Arial" w:hAnsi="Arial" w:cs="Arial"/>
        </w:rPr>
        <w:t xml:space="preserve"> the design and assessment of workforce strategies.</w:t>
      </w:r>
    </w:p>
    <w:p w14:paraId="4F400BD7" w14:textId="77777777" w:rsidR="00532ADF" w:rsidRPr="00532ADF" w:rsidRDefault="00532ADF" w:rsidP="00E63C51">
      <w:pPr>
        <w:spacing w:after="0" w:line="360" w:lineRule="auto"/>
        <w:jc w:val="both"/>
        <w:rPr>
          <w:rFonts w:ascii="Arial" w:hAnsi="Arial" w:cs="Arial"/>
        </w:rPr>
      </w:pPr>
    </w:p>
    <w:p w14:paraId="671305C7" w14:textId="77777777" w:rsidR="00532ADF" w:rsidRPr="00532ADF" w:rsidRDefault="00532ADF" w:rsidP="00892D94">
      <w:pPr>
        <w:pStyle w:val="Heading2"/>
      </w:pPr>
      <w:bookmarkStart w:id="72" w:name="_Toc241025685"/>
      <w:r w:rsidRPr="00532ADF">
        <w:t>5.4 Discussion of Theme 3: Referral and Pathway Barriers</w:t>
      </w:r>
      <w:bookmarkEnd w:id="72"/>
    </w:p>
    <w:p w14:paraId="5FD198DB" w14:textId="77777777" w:rsidR="00532ADF" w:rsidRPr="00532ADF" w:rsidRDefault="00532ADF" w:rsidP="00532ADF">
      <w:pPr>
        <w:spacing w:line="360" w:lineRule="auto"/>
        <w:jc w:val="both"/>
        <w:rPr>
          <w:rFonts w:ascii="Arial" w:hAnsi="Arial" w:cs="Arial"/>
        </w:rPr>
      </w:pPr>
      <w:r w:rsidRPr="00532ADF">
        <w:rPr>
          <w:rFonts w:ascii="Arial" w:hAnsi="Arial" w:cs="Arial"/>
        </w:rPr>
        <w:t xml:space="preserve">The findings of referral rejection are one of the most convergent findings across the studies included. Crenna-Jennings and Hutchinson (2020) reported a 26 per cent national rejection rate which included nearly 133,000 children in 2018-19, which was consistent with Abel et al. (2025), who found nearly one in four unsuccessful in a more recent dataset of 497,502 referrals. This number remains consistent across various time periods, data sources, and methodological tools, which enhances the </w:t>
      </w:r>
      <w:r w:rsidRPr="00532ADF">
        <w:rPr>
          <w:rFonts w:ascii="Arial" w:hAnsi="Arial" w:cs="Arial"/>
        </w:rPr>
        <w:lastRenderedPageBreak/>
        <w:t>trustworthiness of this number. In a qualitative study of 20 youth and 15 caregivers in ten CAMHS sites in England, Han et al. (2026) also reported that waiting experiences were characterised by deterioration in mental and physical health, family dynamic strain, lack of clarity in processes and communication and a perceived mismatch between need and support that extends the themes identified in Newman et al. (2024) to a more recent post-pandemic setting.</w:t>
      </w:r>
    </w:p>
    <w:p w14:paraId="06E1E32D" w14:textId="77777777" w:rsidR="00532ADF" w:rsidRPr="00532ADF" w:rsidRDefault="00532ADF" w:rsidP="00532ADF">
      <w:pPr>
        <w:spacing w:line="360" w:lineRule="auto"/>
        <w:jc w:val="both"/>
        <w:rPr>
          <w:rFonts w:ascii="Arial" w:hAnsi="Arial" w:cs="Arial"/>
        </w:rPr>
      </w:pPr>
      <w:proofErr w:type="spellStart"/>
      <w:r w:rsidRPr="00532ADF">
        <w:rPr>
          <w:rFonts w:ascii="Arial" w:hAnsi="Arial" w:cs="Arial"/>
        </w:rPr>
        <w:t>Edbrooke-Childs</w:t>
      </w:r>
      <w:proofErr w:type="spellEnd"/>
      <w:r w:rsidRPr="00532ADF">
        <w:rPr>
          <w:rFonts w:ascii="Arial" w:hAnsi="Arial" w:cs="Arial"/>
        </w:rPr>
        <w:t xml:space="preserve"> and Deighton (2020) provide a subtle insight into the rejection-rate results, discovering that more severe presentations had shorter waits - a result that can be interpreted as either reflecting appropriate clinical prioritisation or as reflecting threshold-based rationing that does not encompass children with moderate but real need. The severity level needed to be accepted by CAMHS differs among ICBs as shown by the 17 to 28 per cent regional difference in rejection observed by Crenna-Jennings and Hutchinson (2020). In a Levesque et al. (2013) viewpoint, such variability involves the approachability dimension: when eligibility criteria are opaque, unstable, and loci-specific the family has no idea whether or how to approach services and the ability to seek care on the demand-side is therefore hampered by a systemic information and navigation failure.</w:t>
      </w:r>
    </w:p>
    <w:p w14:paraId="22D4F21E" w14:textId="77777777" w:rsidR="00532ADF" w:rsidRPr="00532ADF" w:rsidRDefault="00532ADF" w:rsidP="00532ADF">
      <w:pPr>
        <w:spacing w:line="360" w:lineRule="auto"/>
        <w:jc w:val="both"/>
        <w:rPr>
          <w:rFonts w:ascii="Arial" w:hAnsi="Arial" w:cs="Arial"/>
        </w:rPr>
      </w:pPr>
      <w:r w:rsidRPr="00532ADF">
        <w:rPr>
          <w:rFonts w:ascii="Arial" w:hAnsi="Arial" w:cs="Arial"/>
        </w:rPr>
        <w:t xml:space="preserve">The lack of systematic while-you-wait assistance, as revealed by Newman et al. (2024) and Ellis et al. (2025) has clinical and structural implications. This is in line with the hypothesis that children worsen during a long waiting period and then need more serious and expensive treatment, as the Children Commissioner of England (2025) data that stated that 60,000 children in 2023-24 were referred at crisis level (an increase of 7.7 per cent over the previous year) is congruent with the hypothesis. The acceptability aspect of the Levesque model is involved in this: in case the service experience in the waiting period is, so to speak, marked by silence and unresponsiveness to the need, young people and families will disengage or postpone disclosure, which adds to the ongoing clinical worsening which the waiting list itself induces. </w:t>
      </w:r>
    </w:p>
    <w:p w14:paraId="5E592849" w14:textId="77777777" w:rsidR="00532ADF" w:rsidRPr="00532ADF" w:rsidRDefault="00532ADF" w:rsidP="00532ADF">
      <w:pPr>
        <w:spacing w:line="360" w:lineRule="auto"/>
        <w:jc w:val="both"/>
        <w:rPr>
          <w:rFonts w:ascii="Arial" w:hAnsi="Arial" w:cs="Arial"/>
        </w:rPr>
      </w:pPr>
    </w:p>
    <w:p w14:paraId="1D6B6BFD" w14:textId="77777777" w:rsidR="00532ADF" w:rsidRPr="00532ADF" w:rsidRDefault="00532ADF" w:rsidP="00892D94">
      <w:pPr>
        <w:pStyle w:val="Heading2"/>
      </w:pPr>
      <w:bookmarkStart w:id="73" w:name="_Toc241025686"/>
      <w:r w:rsidRPr="00532ADF">
        <w:t>5.5 Discussion of Theme 4: Policy and Commissioning Barriers</w:t>
      </w:r>
      <w:bookmarkEnd w:id="73"/>
    </w:p>
    <w:p w14:paraId="3D1A78DD" w14:textId="4C246F5A" w:rsidR="00532ADF" w:rsidRPr="00532ADF" w:rsidRDefault="00532ADF" w:rsidP="00532ADF">
      <w:pPr>
        <w:spacing w:line="360" w:lineRule="auto"/>
        <w:jc w:val="both"/>
        <w:rPr>
          <w:rFonts w:ascii="Arial" w:hAnsi="Arial" w:cs="Arial"/>
        </w:rPr>
      </w:pPr>
      <w:r w:rsidRPr="00532ADF">
        <w:rPr>
          <w:rFonts w:ascii="Arial" w:hAnsi="Arial" w:cs="Arial"/>
        </w:rPr>
        <w:t xml:space="preserve">The identified policy implementation gap across the studies included in the review - the vast majority of which were issued by the Care Quality Commission (2018), </w:t>
      </w:r>
      <w:r w:rsidRPr="00532ADF">
        <w:rPr>
          <w:rFonts w:ascii="Arial" w:hAnsi="Arial" w:cs="Arial"/>
        </w:rPr>
        <w:lastRenderedPageBreak/>
        <w:t xml:space="preserve">Newman et al. (2024) and Children's Commissioner for England (2025), in particular - corresponds to a wider trend in NHS reform cycles where policy promises significantly exceed the delivery infrastructure. The National Audit Office (2023) identified that the mental health targets in the National Audit Office </w:t>
      </w:r>
      <w:r w:rsidR="00204059">
        <w:rPr>
          <w:rFonts w:ascii="Arial" w:hAnsi="Arial" w:cs="Arial"/>
        </w:rPr>
        <w:t>Long-Term Plan</w:t>
      </w:r>
      <w:r w:rsidRPr="00532ADF">
        <w:rPr>
          <w:rFonts w:ascii="Arial" w:hAnsi="Arial" w:cs="Arial"/>
        </w:rPr>
        <w:t xml:space="preserve"> were not met on a national basis and the House of Commons Health and Social Care Committee (2021) listed the lack of a ringfenced, enforceable waiting-time standard and a unified workforce strategy as the main structural gaps in the delivery architecture. Griffin et al. (2022) discovered that the Green Paper consultation process had gaps in access, workforce capacity, and the effects of austerity, implying that the policy design stage, rather than its implementation, was among the factors that led to identified gaps in delivery.</w:t>
      </w:r>
    </w:p>
    <w:p w14:paraId="1BA4F1C4" w14:textId="77777777" w:rsidR="00F53599" w:rsidRDefault="00532ADF" w:rsidP="00532ADF">
      <w:pPr>
        <w:spacing w:line="360" w:lineRule="auto"/>
        <w:jc w:val="both"/>
        <w:rPr>
          <w:rFonts w:ascii="Arial" w:hAnsi="Arial" w:cs="Arial"/>
        </w:rPr>
      </w:pPr>
      <w:r w:rsidRPr="00532ADF">
        <w:rPr>
          <w:rFonts w:ascii="Arial" w:hAnsi="Arial" w:cs="Arial"/>
        </w:rPr>
        <w:t>An opposing view admits that there is some policy improvement. According to the NHS Confederation (2023), should the NHS Long Term Workforce Plan be implemented, it would be the largest commitment to mental health workforce upsurge in the history of the NHS</w:t>
      </w:r>
      <w:r w:rsidR="00BF2E9E">
        <w:rPr>
          <w:rFonts w:ascii="Arial" w:hAnsi="Arial" w:cs="Arial"/>
        </w:rPr>
        <w:t>,</w:t>
      </w:r>
      <w:r w:rsidRPr="00532ADF">
        <w:rPr>
          <w:rFonts w:ascii="Arial" w:hAnsi="Arial" w:cs="Arial"/>
        </w:rPr>
        <w:t xml:space="preserve"> and Children’s Wellbeing Practitioners have increased sub-threshold provision in certain regions. But in the NIHR trailblazer evaluation, Ellins et al. (2023) discovered the implementation was limited by workforce and inconsistency in commissioning </w:t>
      </w:r>
      <w:r w:rsidR="00387B18">
        <w:rPr>
          <w:rFonts w:ascii="Arial" w:hAnsi="Arial" w:cs="Arial"/>
        </w:rPr>
        <w:t>trailblazers</w:t>
      </w:r>
      <w:r w:rsidRPr="00532ADF">
        <w:rPr>
          <w:rFonts w:ascii="Arial" w:hAnsi="Arial" w:cs="Arial"/>
        </w:rPr>
        <w:t xml:space="preserve"> - meaning that the policy architecture is present, and it is still unfinished to translate it into systematic delivery. The context of this trend</w:t>
      </w:r>
      <w:r w:rsidR="00387B18">
        <w:rPr>
          <w:rFonts w:ascii="Arial" w:hAnsi="Arial" w:cs="Arial"/>
        </w:rPr>
        <w:t>,</w:t>
      </w:r>
      <w:r w:rsidRPr="00532ADF">
        <w:rPr>
          <w:rFonts w:ascii="Arial" w:hAnsi="Arial" w:cs="Arial"/>
        </w:rPr>
        <w:t xml:space="preserve"> as presented in the Marmot Review (Marmot et al., 2020)</w:t>
      </w:r>
      <w:r w:rsidR="00387B18">
        <w:rPr>
          <w:rFonts w:ascii="Arial" w:hAnsi="Arial" w:cs="Arial"/>
        </w:rPr>
        <w:t>,</w:t>
      </w:r>
      <w:r w:rsidRPr="00532ADF">
        <w:rPr>
          <w:rFonts w:ascii="Arial" w:hAnsi="Arial" w:cs="Arial"/>
        </w:rPr>
        <w:t xml:space="preserve"> places this trend in the context of more fundamental structural inequalities, suggesting that health equity cannot be attained solely by health service reform, a view that implicates CAMHS waiting times in part as a downstream expression of social and economic policy failures that cannot be addressed by NHS action alone. </w:t>
      </w:r>
    </w:p>
    <w:p w14:paraId="3B9B99B7" w14:textId="684434A8" w:rsidR="00532ADF" w:rsidRPr="00532ADF" w:rsidRDefault="00532ADF" w:rsidP="00532ADF">
      <w:pPr>
        <w:spacing w:line="360" w:lineRule="auto"/>
        <w:jc w:val="both"/>
        <w:rPr>
          <w:rFonts w:ascii="Arial" w:hAnsi="Arial" w:cs="Arial"/>
        </w:rPr>
      </w:pPr>
      <w:r w:rsidRPr="00532ADF">
        <w:rPr>
          <w:rFonts w:ascii="Arial" w:hAnsi="Arial" w:cs="Arial"/>
        </w:rPr>
        <w:t>The identified gap in data accountability proposed by Crenna-Jennings and Hutchinson (2020)</w:t>
      </w:r>
      <w:r w:rsidR="00F1415D">
        <w:rPr>
          <w:rFonts w:ascii="Arial" w:hAnsi="Arial" w:cs="Arial"/>
        </w:rPr>
        <w:t>,</w:t>
      </w:r>
      <w:r w:rsidRPr="00532ADF">
        <w:rPr>
          <w:rFonts w:ascii="Arial" w:hAnsi="Arial" w:cs="Arial"/>
        </w:rPr>
        <w:t xml:space="preserve"> when NHS standard reporting fails to reflect the rate of referral rejection</w:t>
      </w:r>
      <w:r w:rsidR="00F1415D">
        <w:rPr>
          <w:rFonts w:ascii="Arial" w:hAnsi="Arial" w:cs="Arial"/>
        </w:rPr>
        <w:t>,</w:t>
      </w:r>
      <w:r w:rsidRPr="00532ADF">
        <w:rPr>
          <w:rFonts w:ascii="Arial" w:hAnsi="Arial" w:cs="Arial"/>
        </w:rPr>
        <w:t xml:space="preserve"> is a failure of governance of special importance. NICE NG134 (2019) offers a stepped-care clinical standard of depression in children which implicitly demands timely assessment, but the lack of binding access standards that are enforceable on a provider level implies that clinical guidelines and commissioning reality are still disconnected.</w:t>
      </w:r>
    </w:p>
    <w:p w14:paraId="5B64DCBE" w14:textId="77777777" w:rsidR="00532ADF" w:rsidRPr="00532ADF" w:rsidRDefault="00532ADF" w:rsidP="00532ADF">
      <w:pPr>
        <w:spacing w:line="360" w:lineRule="auto"/>
        <w:jc w:val="both"/>
        <w:rPr>
          <w:rFonts w:ascii="Arial" w:hAnsi="Arial" w:cs="Arial"/>
        </w:rPr>
      </w:pPr>
    </w:p>
    <w:p w14:paraId="47754801" w14:textId="77777777" w:rsidR="00532ADF" w:rsidRPr="00532ADF" w:rsidRDefault="00532ADF" w:rsidP="00892D94">
      <w:pPr>
        <w:pStyle w:val="Heading2"/>
      </w:pPr>
      <w:bookmarkStart w:id="74" w:name="_Toc241025687"/>
      <w:r w:rsidRPr="00532ADF">
        <w:lastRenderedPageBreak/>
        <w:t>5.6 Application of the Theoretical Framework</w:t>
      </w:r>
      <w:bookmarkEnd w:id="74"/>
    </w:p>
    <w:p w14:paraId="0466A6E9" w14:textId="77777777" w:rsidR="00F53599" w:rsidRDefault="00532ADF" w:rsidP="00532ADF">
      <w:pPr>
        <w:spacing w:line="360" w:lineRule="auto"/>
        <w:jc w:val="both"/>
        <w:rPr>
          <w:rFonts w:ascii="Arial" w:hAnsi="Arial" w:cs="Arial"/>
        </w:rPr>
      </w:pPr>
      <w:r w:rsidRPr="00532ADF">
        <w:rPr>
          <w:rFonts w:ascii="Arial" w:hAnsi="Arial" w:cs="Arial"/>
        </w:rPr>
        <w:t xml:space="preserve">The systematic review results mapped onto the five dimensions of </w:t>
      </w:r>
      <w:r w:rsidR="003D24B6">
        <w:rPr>
          <w:rFonts w:ascii="Arial" w:hAnsi="Arial" w:cs="Arial"/>
        </w:rPr>
        <w:t>the supply side</w:t>
      </w:r>
      <w:r w:rsidRPr="00532ADF">
        <w:rPr>
          <w:rFonts w:ascii="Arial" w:hAnsi="Arial" w:cs="Arial"/>
        </w:rPr>
        <w:t xml:space="preserve"> of the Levesque et al. (2013) Patient-Centred Access to Health Care framework can be used to paint a consistent and multidimensional picture of access failure. The approachability dimension - the degree to which services are accessible, recognisable and recognisable by the people requiring them - is compromised by the lack of consistency in referral thresholds, the lack of standardised eligibility criteria, and the lack of coherent communication throughout the referral and waiting process. </w:t>
      </w:r>
    </w:p>
    <w:p w14:paraId="21A52DB5" w14:textId="77777777" w:rsidR="00F53599" w:rsidRDefault="00532ADF" w:rsidP="00532ADF">
      <w:pPr>
        <w:spacing w:line="360" w:lineRule="auto"/>
        <w:jc w:val="both"/>
        <w:rPr>
          <w:rFonts w:ascii="Arial" w:hAnsi="Arial" w:cs="Arial"/>
        </w:rPr>
      </w:pPr>
      <w:r w:rsidRPr="00532ADF">
        <w:rPr>
          <w:rFonts w:ascii="Arial" w:hAnsi="Arial" w:cs="Arial"/>
        </w:rPr>
        <w:t xml:space="preserve">The dimension of acceptability, the social and cultural appropriateness of services to the values and expectations of the users, is questioned by the referral experience as reported by Newman et al. (2024) and the </w:t>
      </w:r>
      <w:r w:rsidR="003D24B6">
        <w:rPr>
          <w:rFonts w:ascii="Arial" w:hAnsi="Arial" w:cs="Arial"/>
        </w:rPr>
        <w:t>insufficiently supplied</w:t>
      </w:r>
      <w:r w:rsidRPr="00532ADF">
        <w:rPr>
          <w:rFonts w:ascii="Arial" w:hAnsi="Arial" w:cs="Arial"/>
        </w:rPr>
        <w:t xml:space="preserve"> while-you-wait service reported by Ellis et al. (2025). The most capacity-related dimension, the availability and accommodation dimension, is affected by the 36.8 per cent consultant vacancy rate (Royal College of Psychiatrists, 2024), the seventeen-fold geographic disparity and the structural gap between demand and capacity. </w:t>
      </w:r>
    </w:p>
    <w:p w14:paraId="7958262D" w14:textId="711DDC9C" w:rsidR="00532ADF" w:rsidRPr="00532ADF" w:rsidRDefault="00532ADF" w:rsidP="00532ADF">
      <w:pPr>
        <w:spacing w:line="360" w:lineRule="auto"/>
        <w:jc w:val="both"/>
        <w:rPr>
          <w:rFonts w:ascii="Arial" w:hAnsi="Arial" w:cs="Arial"/>
        </w:rPr>
      </w:pPr>
      <w:r w:rsidRPr="00532ADF">
        <w:rPr>
          <w:rFonts w:ascii="Arial" w:hAnsi="Arial" w:cs="Arial"/>
        </w:rPr>
        <w:t xml:space="preserve">The affordability aspect, although not as </w:t>
      </w:r>
      <w:r w:rsidR="003D24B6">
        <w:rPr>
          <w:rFonts w:ascii="Arial" w:hAnsi="Arial" w:cs="Arial"/>
        </w:rPr>
        <w:t>prominent</w:t>
      </w:r>
      <w:r w:rsidRPr="00532ADF">
        <w:rPr>
          <w:rFonts w:ascii="Arial" w:hAnsi="Arial" w:cs="Arial"/>
        </w:rPr>
        <w:t xml:space="preserve"> in an NHS setting, is involved in the cost of time spent waiting</w:t>
      </w:r>
      <w:r w:rsidR="003D24B6">
        <w:rPr>
          <w:rFonts w:ascii="Arial" w:hAnsi="Arial" w:cs="Arial"/>
        </w:rPr>
        <w:t>,</w:t>
      </w:r>
      <w:r w:rsidRPr="00532ADF">
        <w:rPr>
          <w:rFonts w:ascii="Arial" w:hAnsi="Arial" w:cs="Arial"/>
        </w:rPr>
        <w:t xml:space="preserve"> which is disproportionately higher in those families that lack the means to cope with alternative provision. Triaging inconsistency, knowledge gaps between referring clinicians, and the discrepancy between what CAMHS offers now and </w:t>
      </w:r>
      <w:r w:rsidR="003D24B6">
        <w:rPr>
          <w:rFonts w:ascii="Arial" w:hAnsi="Arial" w:cs="Arial"/>
        </w:rPr>
        <w:t xml:space="preserve">what </w:t>
      </w:r>
      <w:r w:rsidRPr="00532ADF">
        <w:rPr>
          <w:rFonts w:ascii="Arial" w:hAnsi="Arial" w:cs="Arial"/>
        </w:rPr>
        <w:t xml:space="preserve">most families require when they must wait longer </w:t>
      </w:r>
      <w:r w:rsidR="003D24B6">
        <w:rPr>
          <w:rFonts w:ascii="Arial" w:hAnsi="Arial" w:cs="Arial"/>
        </w:rPr>
        <w:t>challenge</w:t>
      </w:r>
      <w:r w:rsidRPr="00532ADF">
        <w:rPr>
          <w:rFonts w:ascii="Arial" w:hAnsi="Arial" w:cs="Arial"/>
        </w:rPr>
        <w:t xml:space="preserve"> the appropriateness dimension.</w:t>
      </w:r>
    </w:p>
    <w:p w14:paraId="5316161A" w14:textId="77777777" w:rsidR="00F53599" w:rsidRDefault="00532ADF" w:rsidP="00532ADF">
      <w:pPr>
        <w:spacing w:line="360" w:lineRule="auto"/>
        <w:jc w:val="both"/>
        <w:rPr>
          <w:rFonts w:ascii="Arial" w:hAnsi="Arial" w:cs="Arial"/>
        </w:rPr>
      </w:pPr>
      <w:r w:rsidRPr="00532ADF">
        <w:rPr>
          <w:rFonts w:ascii="Arial" w:hAnsi="Arial" w:cs="Arial"/>
        </w:rPr>
        <w:t xml:space="preserve">On the demand side, the framework determines respective deficiencies in the capacities of patients. Stigma and low levels of mental health literacy identified in Ellis et al. (2025) reduce the capacity </w:t>
      </w:r>
      <w:r w:rsidR="003D24B6">
        <w:rPr>
          <w:rFonts w:ascii="Arial" w:hAnsi="Arial" w:cs="Arial"/>
        </w:rPr>
        <w:t>for</w:t>
      </w:r>
      <w:r w:rsidRPr="00532ADF">
        <w:rPr>
          <w:rFonts w:ascii="Arial" w:hAnsi="Arial" w:cs="Arial"/>
        </w:rPr>
        <w:t xml:space="preserve"> need perception. The referral processes are not clear, and the capability to seek care is limited (Abel et al., 2025). Geographic inequality and capacity shortcomings are structural barriers to access to care. In their scoping review of the application of the Levesque framework, Cu et al. (2021) discovered that availability and accommodation constraints were the most commonly reported supply-side barriers across health systems</w:t>
      </w:r>
      <w:r w:rsidR="003D24B6">
        <w:rPr>
          <w:rFonts w:ascii="Arial" w:hAnsi="Arial" w:cs="Arial"/>
        </w:rPr>
        <w:t>,</w:t>
      </w:r>
      <w:r w:rsidRPr="00532ADF">
        <w:rPr>
          <w:rFonts w:ascii="Arial" w:hAnsi="Arial" w:cs="Arial"/>
        </w:rPr>
        <w:t xml:space="preserve"> which directly corresponds to the workforce and capacity constraints as the binding constraints found in this review. </w:t>
      </w:r>
    </w:p>
    <w:p w14:paraId="45BD880E" w14:textId="58D734EC" w:rsidR="00532ADF" w:rsidRPr="00532ADF" w:rsidRDefault="00532ADF" w:rsidP="00532ADF">
      <w:pPr>
        <w:spacing w:line="360" w:lineRule="auto"/>
        <w:jc w:val="both"/>
        <w:rPr>
          <w:rFonts w:ascii="Arial" w:hAnsi="Arial" w:cs="Arial"/>
        </w:rPr>
      </w:pPr>
      <w:r w:rsidRPr="00532ADF">
        <w:rPr>
          <w:rFonts w:ascii="Arial" w:hAnsi="Arial" w:cs="Arial"/>
        </w:rPr>
        <w:t xml:space="preserve">The framework therefore offers an explanatory architecture of how structural, organisational, referral and policy failures interact to create compound access failure </w:t>
      </w:r>
      <w:r w:rsidRPr="00532ADF">
        <w:rPr>
          <w:rFonts w:ascii="Arial" w:hAnsi="Arial" w:cs="Arial"/>
        </w:rPr>
        <w:lastRenderedPageBreak/>
        <w:t xml:space="preserve">and recommends interventions that target only a single dimension alone to be unlikely to lead to sustainable, equitable access improvement. </w:t>
      </w:r>
    </w:p>
    <w:p w14:paraId="4E210F03" w14:textId="77777777" w:rsidR="00532ADF" w:rsidRPr="00532ADF" w:rsidRDefault="00532ADF" w:rsidP="00892D94">
      <w:pPr>
        <w:pStyle w:val="Heading2"/>
      </w:pPr>
      <w:bookmarkStart w:id="75" w:name="_Toc241025688"/>
      <w:r w:rsidRPr="00532ADF">
        <w:t>5.7 Implications for Policy and Practice</w:t>
      </w:r>
      <w:bookmarkEnd w:id="75"/>
    </w:p>
    <w:p w14:paraId="64248846" w14:textId="77777777" w:rsidR="00F53599" w:rsidRDefault="00532ADF" w:rsidP="00794B4D">
      <w:pPr>
        <w:spacing w:after="0" w:line="360" w:lineRule="auto"/>
        <w:jc w:val="both"/>
        <w:rPr>
          <w:rFonts w:ascii="Arial" w:hAnsi="Arial" w:cs="Arial"/>
        </w:rPr>
      </w:pPr>
      <w:r w:rsidRPr="00532ADF">
        <w:rPr>
          <w:rFonts w:ascii="Arial" w:hAnsi="Arial" w:cs="Arial"/>
        </w:rPr>
        <w:t xml:space="preserve">The results of this review have a number of practical implications. On the national policy level, the implementation of a ringfenced and enforceable waiting-time standard with ramifications on non-compliant ICBs similar to the Cancer Waiting Times Standards would fill the accountability gap identified by the House of Commons Health and Social Care Committee (2021) and the geographic inequity reported by the Children Commissioner for England (2025). </w:t>
      </w:r>
    </w:p>
    <w:p w14:paraId="6549C014" w14:textId="115AD185" w:rsidR="00532ADF" w:rsidRPr="00532ADF" w:rsidRDefault="00532ADF" w:rsidP="00794B4D">
      <w:pPr>
        <w:spacing w:after="0" w:line="360" w:lineRule="auto"/>
        <w:jc w:val="both"/>
        <w:rPr>
          <w:rFonts w:ascii="Arial" w:hAnsi="Arial" w:cs="Arial"/>
        </w:rPr>
      </w:pPr>
      <w:r w:rsidRPr="00532ADF">
        <w:rPr>
          <w:rFonts w:ascii="Arial" w:hAnsi="Arial" w:cs="Arial"/>
        </w:rPr>
        <w:t xml:space="preserve">The required disclosure of referral rejection rates by ICB would reveal an existing obstacle to access and allow commissioners and inspectors to detect and deal with threshold variability. At the commissioning level, the compatibility of referral documentation and eligibility criteria of ICBs, which could be suggested by Abel et al. (2025), would decrease the currently observed 25 per cent of failed referrals without the need of extra clinical resources. On the service level, the implementation of designed while-you-wait support (including social prescribing, Children's Wellbeing Practitioners, and digital psychoeducation) would decrease the worsening of situations during waiting time and possibly eliminate crisis-level referral rates. Access reforms should be supported by workforce investment: without concomitant staffing growth, access pathway redesign will lead to growth in referral volume without growth in treatment capacity, as Ganga et al. (2024) and Rocks et al. (2020) both illustrate. </w:t>
      </w:r>
    </w:p>
    <w:p w14:paraId="595A9EDF" w14:textId="77777777" w:rsidR="00532ADF" w:rsidRPr="00532ADF" w:rsidRDefault="00532ADF" w:rsidP="00794B4D">
      <w:pPr>
        <w:spacing w:after="0" w:line="360" w:lineRule="auto"/>
        <w:jc w:val="both"/>
        <w:rPr>
          <w:rFonts w:ascii="Arial" w:hAnsi="Arial" w:cs="Arial"/>
        </w:rPr>
      </w:pPr>
    </w:p>
    <w:p w14:paraId="048DC887" w14:textId="48C112F4" w:rsidR="00532ADF" w:rsidRPr="00532ADF" w:rsidRDefault="006879C3" w:rsidP="00892D94">
      <w:pPr>
        <w:pStyle w:val="Heading2"/>
      </w:pPr>
      <w:bookmarkStart w:id="76" w:name="_Toc241025689"/>
      <w:r w:rsidRPr="006879C3">
        <w:rPr>
          <w:lang w:val="en-GB"/>
        </w:rPr>
        <w:t>5.8 Strengths and Limitations of This Systematic Review</w:t>
      </w:r>
      <w:bookmarkEnd w:id="76"/>
    </w:p>
    <w:p w14:paraId="4E528BA7" w14:textId="77777777" w:rsidR="00532ADF" w:rsidRPr="00532ADF" w:rsidRDefault="00532ADF" w:rsidP="005B2F0F">
      <w:pPr>
        <w:spacing w:after="0" w:line="360" w:lineRule="auto"/>
        <w:jc w:val="both"/>
        <w:rPr>
          <w:rFonts w:ascii="Arial" w:hAnsi="Arial" w:cs="Arial"/>
        </w:rPr>
      </w:pPr>
      <w:r w:rsidRPr="00532ADF">
        <w:rPr>
          <w:rFonts w:ascii="Arial" w:hAnsi="Arial" w:cs="Arial"/>
        </w:rPr>
        <w:t xml:space="preserve">There are a number of shortcomings of this review. First, the single-reviewer study design has an inherent risk of selection and confirmation bias in the screening, data extraction, and quality appraisal processes, which would be reduced in a dual-reviewer design. Second, the Care Quality Commission (2018) and Crenna-Jennings and Hutchinson (2020) are the oldest sources of grey literature, and they are five and six years old, respectively; they are the most authoritative sources on their topics, but service and policy contexts have changed in the meantime. Third, the English-language limitation could have limited the availability of potential comparative evidence to non-English European experiences. Fourth, narrative synthesis, as suitable to the eclectic evidence base collected, lacks the statistical accuracy and </w:t>
      </w:r>
      <w:r w:rsidRPr="00532ADF">
        <w:rPr>
          <w:rFonts w:ascii="Arial" w:hAnsi="Arial" w:cs="Arial"/>
        </w:rPr>
        <w:lastRenderedPageBreak/>
        <w:t xml:space="preserve">causal inference of meta-analysis. Fifth, the protocol decisions were not pre-registered on PROSPERO to facilitate the auditability of the protocol decisions. They are mentioned clearly and can be attributed to the nature of the study as a Level 7 postgraduate dissertation instead of a commissioned research review (Higgins et al., 2024). </w:t>
      </w:r>
    </w:p>
    <w:p w14:paraId="4FC470BD" w14:textId="77777777" w:rsidR="00532ADF" w:rsidRPr="00532ADF" w:rsidRDefault="00532ADF" w:rsidP="005B2F0F">
      <w:pPr>
        <w:spacing w:after="0" w:line="360" w:lineRule="auto"/>
        <w:jc w:val="both"/>
        <w:rPr>
          <w:rFonts w:ascii="Arial" w:hAnsi="Arial" w:cs="Arial"/>
        </w:rPr>
      </w:pPr>
    </w:p>
    <w:p w14:paraId="3E25F227" w14:textId="77777777" w:rsidR="00532ADF" w:rsidRPr="00532ADF" w:rsidRDefault="00532ADF" w:rsidP="00892D94">
      <w:pPr>
        <w:pStyle w:val="Heading2"/>
      </w:pPr>
      <w:bookmarkStart w:id="77" w:name="_Toc241025690"/>
      <w:r w:rsidRPr="00532ADF">
        <w:t>5.9 Recommendations for Future Research</w:t>
      </w:r>
      <w:bookmarkEnd w:id="77"/>
    </w:p>
    <w:p w14:paraId="50C7A6CC" w14:textId="02795273" w:rsidR="00532ADF" w:rsidRPr="00532ADF" w:rsidRDefault="00532ADF" w:rsidP="00532ADF">
      <w:pPr>
        <w:spacing w:line="360" w:lineRule="auto"/>
        <w:jc w:val="both"/>
        <w:rPr>
          <w:rFonts w:ascii="Arial" w:hAnsi="Arial" w:cs="Arial"/>
        </w:rPr>
      </w:pPr>
      <w:r w:rsidRPr="00532ADF">
        <w:rPr>
          <w:rFonts w:ascii="Arial" w:hAnsi="Arial" w:cs="Arial"/>
        </w:rPr>
        <w:t xml:space="preserve">Some of the priorities in future research are identified in this review. Direct evidence regarding the clinical cost of delayed intervention and further rationale in the argument in </w:t>
      </w:r>
      <w:r w:rsidR="001B6EBF">
        <w:rPr>
          <w:rFonts w:ascii="Arial" w:hAnsi="Arial" w:cs="Arial"/>
        </w:rPr>
        <w:t>favour</w:t>
      </w:r>
      <w:r w:rsidRPr="00532ADF">
        <w:rPr>
          <w:rFonts w:ascii="Arial" w:hAnsi="Arial" w:cs="Arial"/>
        </w:rPr>
        <w:t xml:space="preserve"> of investment in while-you-wait provision would be generated through longitudinal research that would monitor the clinical outcomes and mental health trajectories of children who wait long before accessing CAMHS. Studies based on equity </w:t>
      </w:r>
      <w:r w:rsidR="001B6EBF">
        <w:rPr>
          <w:rFonts w:ascii="Arial" w:hAnsi="Arial" w:cs="Arial"/>
        </w:rPr>
        <w:t>that analyse</w:t>
      </w:r>
      <w:r w:rsidRPr="00532ADF">
        <w:rPr>
          <w:rFonts w:ascii="Arial" w:hAnsi="Arial" w:cs="Arial"/>
        </w:rPr>
        <w:t xml:space="preserve"> the variation in waiting times and rejection rates across ethnicity, socioeconomic deprivation and neurodevelopmental profile would consider the apparent geographic and demographic </w:t>
      </w:r>
      <w:r w:rsidR="001B6EBF">
        <w:rPr>
          <w:rFonts w:ascii="Arial" w:hAnsi="Arial" w:cs="Arial"/>
        </w:rPr>
        <w:t>aspects</w:t>
      </w:r>
      <w:r w:rsidRPr="00532ADF">
        <w:rPr>
          <w:rFonts w:ascii="Arial" w:hAnsi="Arial" w:cs="Arial"/>
        </w:rPr>
        <w:t xml:space="preserve"> of the postcode lottery. Stronger evidence of effectiveness would be evident </w:t>
      </w:r>
      <w:r w:rsidR="001B6EBF">
        <w:rPr>
          <w:rFonts w:ascii="Arial" w:hAnsi="Arial" w:cs="Arial"/>
        </w:rPr>
        <w:t>from</w:t>
      </w:r>
      <w:r w:rsidRPr="00532ADF">
        <w:rPr>
          <w:rFonts w:ascii="Arial" w:hAnsi="Arial" w:cs="Arial"/>
        </w:rPr>
        <w:t xml:space="preserve"> randomised controlled trials or robust quasi-experimental studies of particular access interventions, such as digital SPAs, standardised referral tools, </w:t>
      </w:r>
      <w:r w:rsidR="001B6EBF">
        <w:rPr>
          <w:rFonts w:ascii="Arial" w:hAnsi="Arial" w:cs="Arial"/>
        </w:rPr>
        <w:t xml:space="preserve">and </w:t>
      </w:r>
      <w:r w:rsidRPr="00532ADF">
        <w:rPr>
          <w:rFonts w:ascii="Arial" w:hAnsi="Arial" w:cs="Arial"/>
        </w:rPr>
        <w:t>while-you-wait models, rather than the currently predominant service evaluation and observational designs in the literature.</w:t>
      </w:r>
    </w:p>
    <w:p w14:paraId="1656B7C7" w14:textId="77777777" w:rsidR="00532ADF" w:rsidRPr="00532ADF" w:rsidRDefault="00532ADF" w:rsidP="00532ADF">
      <w:pPr>
        <w:spacing w:line="360" w:lineRule="auto"/>
        <w:jc w:val="both"/>
        <w:rPr>
          <w:rFonts w:ascii="Arial" w:hAnsi="Arial" w:cs="Arial"/>
        </w:rPr>
      </w:pPr>
      <w:r w:rsidRPr="00532ADF">
        <w:rPr>
          <w:rFonts w:ascii="Arial" w:hAnsi="Arial" w:cs="Arial"/>
        </w:rPr>
        <w:br w:type="page"/>
      </w:r>
    </w:p>
    <w:p w14:paraId="2DDB8332" w14:textId="451DC80D" w:rsidR="00532ADF" w:rsidRPr="00532ADF" w:rsidRDefault="00532ADF" w:rsidP="004C0ECA">
      <w:pPr>
        <w:pStyle w:val="Heading1"/>
      </w:pPr>
      <w:bookmarkStart w:id="78" w:name="_Toc241025691"/>
      <w:r w:rsidRPr="00532ADF">
        <w:lastRenderedPageBreak/>
        <w:t>CHAPTER 6: CONCLUSION AND CRITICAL REFLECTION</w:t>
      </w:r>
      <w:bookmarkEnd w:id="78"/>
    </w:p>
    <w:p w14:paraId="5944E051" w14:textId="77777777" w:rsidR="00532ADF" w:rsidRPr="00532ADF" w:rsidRDefault="00532ADF" w:rsidP="00892D94">
      <w:pPr>
        <w:pStyle w:val="Heading2"/>
      </w:pPr>
      <w:bookmarkStart w:id="79" w:name="_Toc241025692"/>
      <w:r w:rsidRPr="00532ADF">
        <w:t>6.1 Summary of Key Findings and Answer to the Research Question</w:t>
      </w:r>
      <w:bookmarkEnd w:id="79"/>
    </w:p>
    <w:p w14:paraId="425E6462" w14:textId="77777777" w:rsidR="00532ADF" w:rsidRPr="00532ADF" w:rsidRDefault="00532ADF" w:rsidP="00532ADF">
      <w:pPr>
        <w:spacing w:line="360" w:lineRule="auto"/>
        <w:jc w:val="both"/>
        <w:rPr>
          <w:rFonts w:ascii="Arial" w:hAnsi="Arial" w:cs="Arial"/>
        </w:rPr>
      </w:pPr>
      <w:r w:rsidRPr="00532ADF">
        <w:rPr>
          <w:rFonts w:ascii="Arial" w:hAnsi="Arial" w:cs="Arial"/>
        </w:rPr>
        <w:t>The systematic review was aimed at addressing the following question: What are the barriers (systemic, organisational, and policy-related) that result in long waiting times in Child and Adolescent Mental Health Services (CAMHS) in England, and what can be done (interventions) to efficiently reduce such delays? Based on twelve studies included and using the Patient-Centred Access to Health Care framework (Levesque, Harris and Russell, 2013), the present review will determine four categories of barriers that are interlocking.</w:t>
      </w:r>
    </w:p>
    <w:p w14:paraId="3A3DDF17" w14:textId="121F89FD" w:rsidR="00532ADF" w:rsidRPr="00532ADF" w:rsidRDefault="00532ADF" w:rsidP="00532ADF">
      <w:pPr>
        <w:spacing w:line="360" w:lineRule="auto"/>
        <w:jc w:val="both"/>
        <w:rPr>
          <w:rFonts w:ascii="Arial" w:hAnsi="Arial" w:cs="Arial"/>
        </w:rPr>
      </w:pPr>
      <w:r w:rsidRPr="00532ADF">
        <w:rPr>
          <w:rFonts w:ascii="Arial" w:hAnsi="Arial" w:cs="Arial"/>
        </w:rPr>
        <w:t xml:space="preserve">A structural imbalance between the increasing demand and available capacity exists, systemically, with a seventeen-fold geographic range between the longest and shortest waiting times per Integrated Care Board, and access to it is as much postcode-dependent as it is clinically dependent. At the organisation level, a 36.8 per cent consultant vacancy rate in child and adolescent psychiatry and rampant staff burnout are structural limitations on throughput that cannot be overcome without co-operating workforce growth by any referral pathway redesign. Regarding referral and pathway barriers, one in four CAMHS referrals in the country is declined; families experience ambiguous and inconsistent processes, and children get minimal or no formal assistance during the long waiting periods. An identified policy and </w:t>
      </w:r>
      <w:r w:rsidR="00BF2E9E">
        <w:rPr>
          <w:rFonts w:ascii="Arial" w:hAnsi="Arial" w:cs="Arial"/>
        </w:rPr>
        <w:t>commissioning-level</w:t>
      </w:r>
      <w:r w:rsidRPr="00532ADF">
        <w:rPr>
          <w:rFonts w:ascii="Arial" w:hAnsi="Arial" w:cs="Arial"/>
        </w:rPr>
        <w:t xml:space="preserve"> implementation gap between the ambitious and quantifiable results is further exacerbated by a lack of enforceable waiting-time standards and the invisibility of rejection-rate data in standard NHS reporting.</w:t>
      </w:r>
    </w:p>
    <w:p w14:paraId="72A446E0" w14:textId="77777777" w:rsidR="00532ADF" w:rsidRPr="00532ADF" w:rsidRDefault="00532ADF" w:rsidP="00532ADF">
      <w:pPr>
        <w:spacing w:line="360" w:lineRule="auto"/>
        <w:jc w:val="both"/>
        <w:rPr>
          <w:rFonts w:ascii="Arial" w:hAnsi="Arial" w:cs="Arial"/>
        </w:rPr>
      </w:pPr>
      <w:r w:rsidRPr="00532ADF">
        <w:rPr>
          <w:rFonts w:ascii="Arial" w:hAnsi="Arial" w:cs="Arial"/>
        </w:rPr>
        <w:t>In answering all four research objectives, this review finds that the cause of CAMHS waiting times in England cannot be singular and must be an interactive set of structural, organisational, pathway and governance failures that need a multi-level response. Best interventions found in the studies included are digital single points of access, standardised referral tools, while-you-wait support models, and workforce expansion; however, the evidence consistently shows that access pathway reforms provide lasting improvement only when linked with capacity investment.</w:t>
      </w:r>
    </w:p>
    <w:p w14:paraId="233FF131" w14:textId="77777777" w:rsidR="00532ADF" w:rsidRPr="00532ADF" w:rsidRDefault="00532ADF" w:rsidP="00532ADF">
      <w:pPr>
        <w:spacing w:line="360" w:lineRule="auto"/>
        <w:jc w:val="both"/>
        <w:rPr>
          <w:rFonts w:ascii="Arial" w:hAnsi="Arial" w:cs="Arial"/>
        </w:rPr>
      </w:pPr>
    </w:p>
    <w:p w14:paraId="6714BB57" w14:textId="77777777" w:rsidR="00532ADF" w:rsidRPr="00532ADF" w:rsidRDefault="00532ADF" w:rsidP="00892D94">
      <w:pPr>
        <w:pStyle w:val="Heading2"/>
      </w:pPr>
      <w:bookmarkStart w:id="80" w:name="_Toc241025693"/>
      <w:r w:rsidRPr="00532ADF">
        <w:lastRenderedPageBreak/>
        <w:t>6.2 Original Contribution to Knowledge</w:t>
      </w:r>
      <w:bookmarkEnd w:id="80"/>
    </w:p>
    <w:p w14:paraId="2163F0F1" w14:textId="013820E9" w:rsidR="00532ADF" w:rsidRPr="00532ADF" w:rsidRDefault="00532ADF" w:rsidP="005B2F0F">
      <w:pPr>
        <w:spacing w:after="0" w:line="360" w:lineRule="auto"/>
        <w:jc w:val="both"/>
        <w:rPr>
          <w:rFonts w:ascii="Arial" w:hAnsi="Arial" w:cs="Arial"/>
        </w:rPr>
      </w:pPr>
      <w:r w:rsidRPr="00532ADF">
        <w:rPr>
          <w:rFonts w:ascii="Arial" w:hAnsi="Arial" w:cs="Arial"/>
        </w:rPr>
        <w:t xml:space="preserve">The current research represents an important addition to the existing body of literature by presenting the first PRISMA 2020-compliant, quality-appraised, mixed-method, systematic review of the systemic, organisational, policy, and pathway barriers to accessing CAMHS in England based on the findings </w:t>
      </w:r>
      <w:r w:rsidR="001B6EBF">
        <w:rPr>
          <w:rFonts w:ascii="Arial" w:hAnsi="Arial" w:cs="Arial"/>
        </w:rPr>
        <w:t>from</w:t>
      </w:r>
      <w:r w:rsidRPr="00532ADF">
        <w:rPr>
          <w:rFonts w:ascii="Arial" w:hAnsi="Arial" w:cs="Arial"/>
        </w:rPr>
        <w:t xml:space="preserve"> 2015 to 2025 and including the post-COVID demand surge. Using the </w:t>
      </w:r>
      <w:proofErr w:type="spellStart"/>
      <w:r w:rsidRPr="00532ADF">
        <w:rPr>
          <w:rFonts w:ascii="Arial" w:hAnsi="Arial" w:cs="Arial"/>
        </w:rPr>
        <w:t>Leveske</w:t>
      </w:r>
      <w:proofErr w:type="spellEnd"/>
      <w:r w:rsidRPr="00532ADF">
        <w:rPr>
          <w:rFonts w:ascii="Arial" w:hAnsi="Arial" w:cs="Arial"/>
        </w:rPr>
        <w:t xml:space="preserve"> et al. (2013) framework in all four types of barriers helps to develop knowledge about CAMHS access failure beyond single-factor studies and offers a unified evidence base to guide future policy and commissioning decisions.</w:t>
      </w:r>
    </w:p>
    <w:p w14:paraId="121F1C74" w14:textId="77777777" w:rsidR="00532ADF" w:rsidRPr="00532ADF" w:rsidRDefault="00532ADF" w:rsidP="005B2F0F">
      <w:pPr>
        <w:spacing w:after="0" w:line="360" w:lineRule="auto"/>
        <w:jc w:val="both"/>
        <w:rPr>
          <w:rFonts w:ascii="Arial" w:hAnsi="Arial" w:cs="Arial"/>
        </w:rPr>
      </w:pPr>
    </w:p>
    <w:p w14:paraId="4E934BE2" w14:textId="77777777" w:rsidR="00532ADF" w:rsidRPr="00532ADF" w:rsidRDefault="00532ADF" w:rsidP="00892D94">
      <w:pPr>
        <w:pStyle w:val="Heading2"/>
      </w:pPr>
      <w:bookmarkStart w:id="81" w:name="_Toc241025694"/>
      <w:r w:rsidRPr="00532ADF">
        <w:t>6.3 Recommendations</w:t>
      </w:r>
      <w:bookmarkEnd w:id="81"/>
    </w:p>
    <w:p w14:paraId="03D2EA5B" w14:textId="77777777" w:rsidR="00532ADF" w:rsidRPr="00532ADF" w:rsidRDefault="00532ADF" w:rsidP="00532ADF">
      <w:pPr>
        <w:spacing w:line="360" w:lineRule="auto"/>
        <w:jc w:val="both"/>
        <w:rPr>
          <w:rFonts w:ascii="Arial" w:hAnsi="Arial" w:cs="Arial"/>
        </w:rPr>
      </w:pPr>
      <w:r w:rsidRPr="00532ADF">
        <w:rPr>
          <w:rFonts w:ascii="Arial" w:hAnsi="Arial" w:cs="Arial"/>
        </w:rPr>
        <w:t xml:space="preserve">Based on the synthesised evidence in this review, it is possible to make the following recommendations. </w:t>
      </w:r>
    </w:p>
    <w:p w14:paraId="4D7562F3" w14:textId="77777777" w:rsidR="00532ADF" w:rsidRPr="00532ADF" w:rsidRDefault="00532ADF" w:rsidP="00532ADF">
      <w:pPr>
        <w:spacing w:line="360" w:lineRule="auto"/>
        <w:jc w:val="both"/>
        <w:rPr>
          <w:rFonts w:ascii="Arial" w:hAnsi="Arial" w:cs="Arial"/>
        </w:rPr>
      </w:pPr>
      <w:r w:rsidRPr="00532ADF">
        <w:rPr>
          <w:rFonts w:ascii="Arial" w:hAnsi="Arial" w:cs="Arial"/>
        </w:rPr>
        <w:t xml:space="preserve">To national policymakers: a ringfenced, enforceable CAMHS waiting-time standard, similar to the Cancer Waiting Times Standards, which would require the publication of referral rejection rates by Integrated Care Boards, would fill the lack of accountability and would reveal the extent of unmet need. </w:t>
      </w:r>
    </w:p>
    <w:p w14:paraId="2B61DF77" w14:textId="77777777" w:rsidR="00532ADF" w:rsidRPr="00532ADF" w:rsidRDefault="00532ADF" w:rsidP="00532ADF">
      <w:pPr>
        <w:spacing w:line="360" w:lineRule="auto"/>
        <w:jc w:val="both"/>
        <w:rPr>
          <w:rFonts w:ascii="Arial" w:hAnsi="Arial" w:cs="Arial"/>
        </w:rPr>
      </w:pPr>
      <w:r w:rsidRPr="00532ADF">
        <w:rPr>
          <w:rFonts w:ascii="Arial" w:hAnsi="Arial" w:cs="Arial"/>
        </w:rPr>
        <w:t>To Integrated Care Boards and commissioners: the standardisation of referral documentation and referral eligibility across providers, the single most actionable lever found by Abel et al. (2025), could help lower the roughly 25 per cent referral failure rate in the absence of extra clinical resources, and equity monitoring based on deprivation and ethnicity would see reforms benefit the communities most underserved.</w:t>
      </w:r>
    </w:p>
    <w:p w14:paraId="64C6B43E" w14:textId="77777777" w:rsidR="00532ADF" w:rsidRPr="00532ADF" w:rsidRDefault="00532ADF" w:rsidP="00532ADF">
      <w:pPr>
        <w:spacing w:line="360" w:lineRule="auto"/>
        <w:jc w:val="both"/>
        <w:rPr>
          <w:rFonts w:ascii="Arial" w:hAnsi="Arial" w:cs="Arial"/>
        </w:rPr>
      </w:pPr>
      <w:r w:rsidRPr="00532ADF">
        <w:rPr>
          <w:rFonts w:ascii="Arial" w:hAnsi="Arial" w:cs="Arial"/>
        </w:rPr>
        <w:t xml:space="preserve">To CAMHS service providers: a systematic introduction of systematised while-you-wait support, i.e. Children Wellbeing Practitioners, social prescribing, and digital psychoeducation, would help prevent clinical deterioration during waiting time and is likely to decrease referral rates at crisis levels. </w:t>
      </w:r>
    </w:p>
    <w:p w14:paraId="35FD8A76" w14:textId="5553D7D2" w:rsidR="00532ADF" w:rsidRPr="00532ADF" w:rsidRDefault="00AC0D2D" w:rsidP="00532ADF">
      <w:pPr>
        <w:spacing w:line="360" w:lineRule="auto"/>
        <w:jc w:val="both"/>
        <w:rPr>
          <w:rFonts w:ascii="Arial" w:hAnsi="Arial" w:cs="Arial"/>
        </w:rPr>
      </w:pPr>
      <w:r w:rsidRPr="00AC0D2D">
        <w:rPr>
          <w:rFonts w:ascii="Arial" w:hAnsi="Arial" w:cs="Arial"/>
        </w:rPr>
        <w:t>To researchers: to develop the evidence base</w:t>
      </w:r>
      <w:r w:rsidR="00532ADF" w:rsidRPr="00532ADF">
        <w:rPr>
          <w:rFonts w:ascii="Arial" w:hAnsi="Arial" w:cs="Arial"/>
        </w:rPr>
        <w:t xml:space="preserve"> that is currently lacking in this area, pre-registered randomised controlled trials or quasi-experimental studies of specified access interventions and longitudinal outcome studies testing the clinical cost of long waiting should be conducted.</w:t>
      </w:r>
    </w:p>
    <w:p w14:paraId="05A7DBD6" w14:textId="77777777" w:rsidR="00532ADF" w:rsidRPr="00532ADF" w:rsidRDefault="00532ADF" w:rsidP="00892D94">
      <w:pPr>
        <w:pStyle w:val="Heading2"/>
      </w:pPr>
      <w:bookmarkStart w:id="82" w:name="_Toc241025695"/>
      <w:r w:rsidRPr="00532ADF">
        <w:lastRenderedPageBreak/>
        <w:t>6.4 Critical Reflection on Learning, Academic and Personal Development</w:t>
      </w:r>
      <w:bookmarkEnd w:id="82"/>
    </w:p>
    <w:p w14:paraId="13A95319" w14:textId="77777777" w:rsidR="00532ADF" w:rsidRPr="00532ADF" w:rsidRDefault="00532ADF" w:rsidP="00532ADF">
      <w:pPr>
        <w:spacing w:line="360" w:lineRule="auto"/>
        <w:jc w:val="both"/>
        <w:rPr>
          <w:rFonts w:ascii="Arial" w:hAnsi="Arial" w:cs="Arial"/>
        </w:rPr>
      </w:pPr>
      <w:r w:rsidRPr="00532ADF">
        <w:rPr>
          <w:rFonts w:ascii="Arial" w:hAnsi="Arial" w:cs="Arial"/>
        </w:rPr>
        <w:t>Gibbs Reflective Cycle (Gibbs, 1988) is a six-step tool of professional reflection that is commonly applied in health education, and structured reflection is used. With the systematic review, including search strategy design, quality appraisal tool usage, and narrative synthesis generation, my research method competencies have developed significantly. My true intellectual experience was when I had to differentiate between objective reporting and critical interpretation, and how to balance heterogeneous evidence with coherent conclusions.</w:t>
      </w:r>
    </w:p>
    <w:p w14:paraId="61E59BF4" w14:textId="77777777" w:rsidR="00532ADF" w:rsidRPr="00532ADF" w:rsidRDefault="00532ADF" w:rsidP="00532ADF">
      <w:pPr>
        <w:spacing w:line="360" w:lineRule="auto"/>
        <w:jc w:val="both"/>
        <w:rPr>
          <w:rFonts w:ascii="Arial" w:hAnsi="Arial" w:cs="Arial"/>
        </w:rPr>
      </w:pPr>
      <w:r w:rsidRPr="00532ADF">
        <w:rPr>
          <w:rFonts w:ascii="Arial" w:hAnsi="Arial" w:cs="Arial"/>
        </w:rPr>
        <w:t>This dissertation has helped me to not only to deepen my academic knowledge of the multifaceted relationship between policy intent and service provision in the NHS, a subject that is the core of my MSc programme in Public Health and Social Care, but has also enabled me to more effectively critically assess and evaluate evidence, as well as identify its weaknesses and draw qualified conclusions without overstating the extent to which the data can support them. The tough zero-fabrication policy upheld has reinforced my adherence to research integrity as a professional value.</w:t>
      </w:r>
    </w:p>
    <w:p w14:paraId="409CD07C" w14:textId="70A6AA90" w:rsidR="00532ADF" w:rsidRPr="00532ADF" w:rsidRDefault="00532ADF" w:rsidP="00F814B7">
      <w:pPr>
        <w:spacing w:after="0" w:line="360" w:lineRule="auto"/>
        <w:jc w:val="both"/>
        <w:rPr>
          <w:rFonts w:ascii="Arial" w:hAnsi="Arial" w:cs="Arial"/>
        </w:rPr>
      </w:pPr>
      <w:r w:rsidRPr="00532ADF">
        <w:rPr>
          <w:rFonts w:ascii="Arial" w:hAnsi="Arial" w:cs="Arial"/>
        </w:rPr>
        <w:t xml:space="preserve">Academically, work on this topic has broadened my perspective on the subject of CAMHS commissioning, NHS workforce planning, and health inequalities, which can be readily applied in practice in the field of public health. In consideration of what I would have done differently, I would pre-register this review on PROSPERO and locate a second reviewer to </w:t>
      </w:r>
      <w:r w:rsidR="00F814B7">
        <w:rPr>
          <w:rFonts w:ascii="Arial" w:hAnsi="Arial" w:cs="Arial"/>
        </w:rPr>
        <w:t>minimise</w:t>
      </w:r>
      <w:r w:rsidRPr="00532ADF">
        <w:rPr>
          <w:rFonts w:ascii="Arial" w:hAnsi="Arial" w:cs="Arial"/>
        </w:rPr>
        <w:t xml:space="preserve"> bias - restrictions that Chapter 5 openly admits, and themselves a valuable learning exercise: knowing the limits of evidence is as much as it is important to present its strength.</w:t>
      </w:r>
    </w:p>
    <w:p w14:paraId="5AF6EDA7" w14:textId="77777777" w:rsidR="00532ADF" w:rsidRPr="00532ADF" w:rsidRDefault="00532ADF" w:rsidP="00F814B7">
      <w:pPr>
        <w:spacing w:after="0" w:line="360" w:lineRule="auto"/>
        <w:jc w:val="both"/>
        <w:rPr>
          <w:rFonts w:ascii="Arial" w:hAnsi="Arial" w:cs="Arial"/>
        </w:rPr>
      </w:pPr>
    </w:p>
    <w:p w14:paraId="4E07F9E2" w14:textId="77777777" w:rsidR="00532ADF" w:rsidRPr="00532ADF" w:rsidRDefault="00532ADF" w:rsidP="00892D94">
      <w:pPr>
        <w:pStyle w:val="Heading2"/>
      </w:pPr>
      <w:bookmarkStart w:id="83" w:name="_Toc241025696"/>
      <w:r w:rsidRPr="00532ADF">
        <w:t>6.5 Concluding Statement</w:t>
      </w:r>
      <w:bookmarkEnd w:id="83"/>
    </w:p>
    <w:p w14:paraId="5174A910" w14:textId="230A2141" w:rsidR="00FC63CC" w:rsidRDefault="00532ADF" w:rsidP="00532ADF">
      <w:pPr>
        <w:pStyle w:val="text-15px"/>
        <w:spacing w:before="0" w:beforeAutospacing="0" w:after="0" w:afterAutospacing="0" w:line="360" w:lineRule="auto"/>
        <w:jc w:val="both"/>
        <w:rPr>
          <w:rFonts w:ascii="Arial" w:hAnsi="Arial" w:cs="Arial"/>
        </w:rPr>
      </w:pPr>
      <w:r w:rsidRPr="00532ADF">
        <w:rPr>
          <w:rFonts w:ascii="Arial" w:hAnsi="Arial" w:cs="Arial"/>
        </w:rPr>
        <w:t xml:space="preserve">Child and adolescent mental health is among the urgent challenges of our time in the context of general public health, and CAMHS waiting times in England are a systemic failure with real, documented, and progressive implications for the families and children affected. This review shows that the issue has a structural origin, is multidimensional in nature and most importantly, is not unavoidable. The fact that some Integrated Care Boards attain access in four days demonstrates that prompt care is attainable. To effect that possibility into a national reality, it will take not a reform </w:t>
      </w:r>
      <w:r w:rsidRPr="00532ADF">
        <w:rPr>
          <w:rFonts w:ascii="Arial" w:hAnsi="Arial" w:cs="Arial"/>
        </w:rPr>
        <w:lastRenderedPageBreak/>
        <w:t>but rather a concerted array of structural, workforce, pathway, and governance reforms supported by political goodwill, sufficient investment, and responsibility. This dissertation presents an evidence-based synthesised argument for that change.</w:t>
      </w:r>
    </w:p>
    <w:p w14:paraId="063050AD" w14:textId="687A88B2" w:rsidR="007913C6" w:rsidRPr="00532ADF" w:rsidRDefault="00FC63CC" w:rsidP="00532ADF">
      <w:pPr>
        <w:rPr>
          <w:rFonts w:ascii="Arial" w:eastAsia="Times New Roman" w:hAnsi="Arial" w:cs="Arial"/>
          <w:kern w:val="0"/>
          <w:lang w:val="en-IN" w:eastAsia="en-IN"/>
          <w14:ligatures w14:val="none"/>
        </w:rPr>
      </w:pPr>
      <w:r>
        <w:rPr>
          <w:rFonts w:ascii="Arial" w:hAnsi="Arial" w:cs="Arial"/>
        </w:rPr>
        <w:br w:type="page"/>
      </w:r>
    </w:p>
    <w:p w14:paraId="3300F5C4" w14:textId="57CA7516" w:rsidR="00DF2F9C" w:rsidRDefault="00DF2F9C" w:rsidP="004C0ECA">
      <w:pPr>
        <w:pStyle w:val="Heading1"/>
      </w:pPr>
      <w:bookmarkStart w:id="84" w:name="_Toc241025697"/>
      <w:r>
        <w:lastRenderedPageBreak/>
        <w:t>REFERENCE LIST</w:t>
      </w:r>
      <w:bookmarkEnd w:id="84"/>
      <w:r>
        <w:t xml:space="preserve"> </w:t>
      </w:r>
    </w:p>
    <w:p w14:paraId="53B4CE35" w14:textId="77777777" w:rsidR="00780ADC" w:rsidRPr="000745E9" w:rsidRDefault="00780ADC" w:rsidP="000745E9">
      <w:pPr>
        <w:spacing w:line="360" w:lineRule="auto"/>
        <w:rPr>
          <w:rFonts w:ascii="Arial" w:hAnsi="Arial" w:cs="Arial"/>
        </w:rPr>
      </w:pPr>
      <w:r w:rsidRPr="000745E9">
        <w:rPr>
          <w:rFonts w:ascii="Arial" w:hAnsi="Arial" w:cs="Arial"/>
        </w:rPr>
        <w:t xml:space="preserve">Abel, K.M., Whelan, P., Carter, L.-A., Tranter, H., Stockton-Powdrell, C., Gutridge, K., Hassan, L., Elvins, R. and </w:t>
      </w:r>
      <w:proofErr w:type="spellStart"/>
      <w:r w:rsidRPr="000745E9">
        <w:rPr>
          <w:rFonts w:ascii="Arial" w:hAnsi="Arial" w:cs="Arial"/>
        </w:rPr>
        <w:t>Edbrooke-Childs</w:t>
      </w:r>
      <w:proofErr w:type="spellEnd"/>
      <w:r w:rsidRPr="000745E9">
        <w:rPr>
          <w:rFonts w:ascii="Arial" w:hAnsi="Arial" w:cs="Arial"/>
        </w:rPr>
        <w:t xml:space="preserve">, J. (2025) 'Enhancing referrals to Child and Adolescent Mental Health Services: the EN-CAMHS mixed-methods study', </w:t>
      </w:r>
      <w:r w:rsidRPr="000745E9">
        <w:rPr>
          <w:rFonts w:ascii="Arial" w:hAnsi="Arial" w:cs="Arial"/>
          <w:i/>
          <w:iCs/>
        </w:rPr>
        <w:t>Health and Social Care Delivery Research</w:t>
      </w:r>
      <w:r w:rsidRPr="000745E9">
        <w:rPr>
          <w:rFonts w:ascii="Arial" w:hAnsi="Arial" w:cs="Arial"/>
        </w:rPr>
        <w:t xml:space="preserve">, 13(21), pp. 1–59. </w:t>
      </w:r>
      <w:hyperlink r:id="rId14" w:history="1">
        <w:r w:rsidRPr="000745E9">
          <w:rPr>
            <w:rStyle w:val="Hyperlink"/>
            <w:rFonts w:ascii="Arial" w:hAnsi="Arial" w:cs="Arial"/>
          </w:rPr>
          <w:t>https://doi.org/10.3310/GYDW4507</w:t>
        </w:r>
      </w:hyperlink>
    </w:p>
    <w:p w14:paraId="5A57A643" w14:textId="77777777" w:rsidR="00780ADC" w:rsidRPr="000745E9" w:rsidRDefault="00780ADC" w:rsidP="000745E9">
      <w:pPr>
        <w:spacing w:line="360" w:lineRule="auto"/>
        <w:rPr>
          <w:rFonts w:ascii="Arial" w:hAnsi="Arial" w:cs="Arial"/>
        </w:rPr>
      </w:pPr>
      <w:r w:rsidRPr="000745E9">
        <w:rPr>
          <w:rFonts w:ascii="Arial" w:hAnsi="Arial" w:cs="Arial"/>
        </w:rPr>
        <w:t xml:space="preserve">Anderson, J.K., Howarth, E., Vainre, M., Jones, P.B. and Humphrey, A. (2017) 'A scoping literature review of service-level barriers for access and engagement with mental health services for children and young people', </w:t>
      </w:r>
      <w:r w:rsidRPr="000745E9">
        <w:rPr>
          <w:rFonts w:ascii="Arial" w:hAnsi="Arial" w:cs="Arial"/>
          <w:i/>
          <w:iCs/>
        </w:rPr>
        <w:t>Children and Youth Services Review</w:t>
      </w:r>
      <w:r w:rsidRPr="000745E9">
        <w:rPr>
          <w:rFonts w:ascii="Arial" w:hAnsi="Arial" w:cs="Arial"/>
        </w:rPr>
        <w:t xml:space="preserve">, 77, pp. 164–176. </w:t>
      </w:r>
      <w:hyperlink r:id="rId15" w:history="1">
        <w:r w:rsidRPr="000745E9">
          <w:rPr>
            <w:rStyle w:val="Hyperlink"/>
            <w:rFonts w:ascii="Arial" w:hAnsi="Arial" w:cs="Arial"/>
          </w:rPr>
          <w:t>https://doi.org/10.1016/j.childyouth.2017.04.017</w:t>
        </w:r>
      </w:hyperlink>
    </w:p>
    <w:p w14:paraId="6F923E77" w14:textId="77777777" w:rsidR="00780ADC" w:rsidRPr="000745E9" w:rsidRDefault="00780ADC" w:rsidP="000745E9">
      <w:pPr>
        <w:spacing w:line="360" w:lineRule="auto"/>
        <w:rPr>
          <w:rFonts w:ascii="Arial" w:hAnsi="Arial" w:cs="Arial"/>
        </w:rPr>
      </w:pPr>
      <w:r w:rsidRPr="000745E9">
        <w:rPr>
          <w:rFonts w:ascii="Arial" w:hAnsi="Arial" w:cs="Arial"/>
        </w:rPr>
        <w:t xml:space="preserve">British Medical Association (2025) </w:t>
      </w:r>
      <w:r w:rsidRPr="000745E9">
        <w:rPr>
          <w:rFonts w:ascii="Arial" w:hAnsi="Arial" w:cs="Arial"/>
          <w:i/>
          <w:iCs/>
        </w:rPr>
        <w:t>Children and young people's mental health services in England</w:t>
      </w:r>
      <w:r w:rsidRPr="000745E9">
        <w:rPr>
          <w:rFonts w:ascii="Arial" w:hAnsi="Arial" w:cs="Arial"/>
        </w:rPr>
        <w:t xml:space="preserve">. Available at: </w:t>
      </w:r>
      <w:hyperlink r:id="rId16" w:history="1">
        <w:r w:rsidRPr="000745E9">
          <w:rPr>
            <w:rStyle w:val="Hyperlink"/>
            <w:rFonts w:ascii="Arial" w:hAnsi="Arial" w:cs="Arial"/>
          </w:rPr>
          <w:t>https://www.bma.org.uk/advice-and-support/nhs-delivery-and-workforce/pressures/children-and-young-people-s-mental-health-services-in-england</w:t>
        </w:r>
      </w:hyperlink>
      <w:r w:rsidRPr="000745E9">
        <w:rPr>
          <w:rFonts w:ascii="Arial" w:hAnsi="Arial" w:cs="Arial"/>
        </w:rPr>
        <w:t xml:space="preserve"> (Accessed: 3 July 2026).</w:t>
      </w:r>
    </w:p>
    <w:p w14:paraId="58734B2C" w14:textId="77777777" w:rsidR="00780ADC" w:rsidRPr="000745E9" w:rsidRDefault="00780ADC" w:rsidP="000745E9">
      <w:pPr>
        <w:spacing w:line="360" w:lineRule="auto"/>
        <w:rPr>
          <w:rFonts w:ascii="Arial" w:hAnsi="Arial" w:cs="Arial"/>
        </w:rPr>
      </w:pPr>
      <w:r w:rsidRPr="000745E9">
        <w:rPr>
          <w:rFonts w:ascii="Arial" w:hAnsi="Arial" w:cs="Arial"/>
        </w:rPr>
        <w:t xml:space="preserve">Care Quality Commission (2018) </w:t>
      </w:r>
      <w:r w:rsidRPr="000745E9">
        <w:rPr>
          <w:rFonts w:ascii="Arial" w:hAnsi="Arial" w:cs="Arial"/>
          <w:i/>
          <w:iCs/>
        </w:rPr>
        <w:t>Are we listening? A review of children and young people's mental health services</w:t>
      </w:r>
      <w:r w:rsidRPr="000745E9">
        <w:rPr>
          <w:rFonts w:ascii="Arial" w:hAnsi="Arial" w:cs="Arial"/>
        </w:rPr>
        <w:t xml:space="preserve">. Newcastle upon Tyne: CQC. Available at: </w:t>
      </w:r>
      <w:hyperlink r:id="rId17" w:history="1">
        <w:r w:rsidRPr="000745E9">
          <w:rPr>
            <w:rStyle w:val="Hyperlink"/>
            <w:rFonts w:ascii="Arial" w:hAnsi="Arial" w:cs="Arial"/>
          </w:rPr>
          <w:t>https://www.cqc.org.uk/publications/themed-work/are-we-listening-review-children-young-peoples-mental-health-services</w:t>
        </w:r>
      </w:hyperlink>
      <w:r w:rsidRPr="000745E9">
        <w:rPr>
          <w:rFonts w:ascii="Arial" w:hAnsi="Arial" w:cs="Arial"/>
        </w:rPr>
        <w:t xml:space="preserve"> (Accessed: 5 July 2026).</w:t>
      </w:r>
    </w:p>
    <w:p w14:paraId="5A17BF35" w14:textId="77777777" w:rsidR="00780ADC" w:rsidRPr="000745E9" w:rsidRDefault="00780ADC" w:rsidP="000745E9">
      <w:pPr>
        <w:spacing w:line="360" w:lineRule="auto"/>
        <w:rPr>
          <w:rFonts w:ascii="Arial" w:hAnsi="Arial" w:cs="Arial"/>
        </w:rPr>
      </w:pPr>
      <w:r w:rsidRPr="000745E9">
        <w:rPr>
          <w:rFonts w:ascii="Arial" w:hAnsi="Arial" w:cs="Arial"/>
        </w:rPr>
        <w:t xml:space="preserve">Children and Young People's Mental Health Coalition (2024) </w:t>
      </w:r>
      <w:r w:rsidRPr="000745E9">
        <w:rPr>
          <w:rFonts w:ascii="Arial" w:hAnsi="Arial" w:cs="Arial"/>
          <w:i/>
          <w:iCs/>
        </w:rPr>
        <w:t>Facts and figures</w:t>
      </w:r>
      <w:r w:rsidRPr="000745E9">
        <w:rPr>
          <w:rFonts w:ascii="Arial" w:hAnsi="Arial" w:cs="Arial"/>
        </w:rPr>
        <w:t xml:space="preserve">. Available at: </w:t>
      </w:r>
      <w:hyperlink r:id="rId18" w:history="1">
        <w:r w:rsidRPr="000745E9">
          <w:rPr>
            <w:rStyle w:val="Hyperlink"/>
            <w:rFonts w:ascii="Arial" w:hAnsi="Arial" w:cs="Arial"/>
          </w:rPr>
          <w:t>https://cypmhc.org.uk/resources/facts-and-figures/</w:t>
        </w:r>
      </w:hyperlink>
      <w:r w:rsidRPr="000745E9">
        <w:rPr>
          <w:rFonts w:ascii="Arial" w:hAnsi="Arial" w:cs="Arial"/>
        </w:rPr>
        <w:t xml:space="preserve"> (Accessed: 12 July 2026).</w:t>
      </w:r>
    </w:p>
    <w:p w14:paraId="5C0F477E" w14:textId="77777777" w:rsidR="00780ADC" w:rsidRPr="000745E9" w:rsidRDefault="00780ADC" w:rsidP="000745E9">
      <w:pPr>
        <w:spacing w:line="360" w:lineRule="auto"/>
        <w:rPr>
          <w:rFonts w:ascii="Arial" w:hAnsi="Arial" w:cs="Arial"/>
        </w:rPr>
      </w:pPr>
      <w:r w:rsidRPr="000745E9">
        <w:rPr>
          <w:rFonts w:ascii="Arial" w:hAnsi="Arial" w:cs="Arial"/>
        </w:rPr>
        <w:t xml:space="preserve">Children's Commissioner for England (2025) </w:t>
      </w:r>
      <w:r w:rsidRPr="000745E9">
        <w:rPr>
          <w:rFonts w:ascii="Arial" w:hAnsi="Arial" w:cs="Arial"/>
          <w:i/>
          <w:iCs/>
        </w:rPr>
        <w:t>Children's mental health services 2023–24</w:t>
      </w:r>
      <w:r w:rsidRPr="000745E9">
        <w:rPr>
          <w:rFonts w:ascii="Arial" w:hAnsi="Arial" w:cs="Arial"/>
        </w:rPr>
        <w:t xml:space="preserve">. London: Office of the Children's Commissioner. Available at: </w:t>
      </w:r>
      <w:hyperlink r:id="rId19" w:history="1">
        <w:r w:rsidRPr="000745E9">
          <w:rPr>
            <w:rStyle w:val="Hyperlink"/>
            <w:rFonts w:ascii="Arial" w:hAnsi="Arial" w:cs="Arial"/>
          </w:rPr>
          <w:t>https://www.childrenscommissioner.gov.uk/resource/childrens-mental-health-services-2023-24/</w:t>
        </w:r>
      </w:hyperlink>
      <w:r w:rsidRPr="000745E9">
        <w:rPr>
          <w:rFonts w:ascii="Arial" w:hAnsi="Arial" w:cs="Arial"/>
        </w:rPr>
        <w:t xml:space="preserve"> (Accessed: 15 July 2026).</w:t>
      </w:r>
    </w:p>
    <w:p w14:paraId="5136948C" w14:textId="77777777" w:rsidR="00780ADC" w:rsidRPr="000745E9" w:rsidRDefault="00780ADC" w:rsidP="000745E9">
      <w:pPr>
        <w:spacing w:line="360" w:lineRule="auto"/>
        <w:rPr>
          <w:rFonts w:ascii="Arial" w:hAnsi="Arial" w:cs="Arial"/>
        </w:rPr>
      </w:pPr>
      <w:r w:rsidRPr="000745E9">
        <w:rPr>
          <w:rFonts w:ascii="Arial" w:hAnsi="Arial" w:cs="Arial"/>
        </w:rPr>
        <w:t xml:space="preserve">Crenna-Jennings, W. and Hutchinson, J. (2020) </w:t>
      </w:r>
      <w:r w:rsidRPr="000745E9">
        <w:rPr>
          <w:rFonts w:ascii="Arial" w:hAnsi="Arial" w:cs="Arial"/>
          <w:i/>
          <w:iCs/>
        </w:rPr>
        <w:t>Access to child and adolescent mental health services in 2019</w:t>
      </w:r>
      <w:r w:rsidRPr="000745E9">
        <w:rPr>
          <w:rFonts w:ascii="Arial" w:hAnsi="Arial" w:cs="Arial"/>
        </w:rPr>
        <w:t xml:space="preserve">. London: Education Policy Institute. Available at: </w:t>
      </w:r>
      <w:hyperlink r:id="rId20" w:history="1">
        <w:r w:rsidRPr="000745E9">
          <w:rPr>
            <w:rStyle w:val="Hyperlink"/>
            <w:rFonts w:ascii="Arial" w:hAnsi="Arial" w:cs="Arial"/>
          </w:rPr>
          <w:t>https://epi.org.uk/wp-content/uploads/2020/01/Access-to-CAMHS-in-2019_EPI.pdf</w:t>
        </w:r>
      </w:hyperlink>
      <w:r w:rsidRPr="000745E9">
        <w:rPr>
          <w:rFonts w:ascii="Arial" w:hAnsi="Arial" w:cs="Arial"/>
        </w:rPr>
        <w:t xml:space="preserve"> (Accessed: 2 July 2026).</w:t>
      </w:r>
    </w:p>
    <w:p w14:paraId="35EDAEA7" w14:textId="77777777" w:rsidR="00780ADC" w:rsidRPr="000745E9" w:rsidRDefault="00780ADC" w:rsidP="000745E9">
      <w:pPr>
        <w:spacing w:line="360" w:lineRule="auto"/>
        <w:rPr>
          <w:rFonts w:ascii="Arial" w:hAnsi="Arial" w:cs="Arial"/>
        </w:rPr>
      </w:pPr>
      <w:r w:rsidRPr="000745E9">
        <w:rPr>
          <w:rFonts w:ascii="Arial" w:hAnsi="Arial" w:cs="Arial"/>
        </w:rPr>
        <w:lastRenderedPageBreak/>
        <w:t xml:space="preserve">Critical Appraisal Skills Programme (2024) </w:t>
      </w:r>
      <w:r w:rsidRPr="000745E9">
        <w:rPr>
          <w:rFonts w:ascii="Arial" w:hAnsi="Arial" w:cs="Arial"/>
          <w:i/>
          <w:iCs/>
        </w:rPr>
        <w:t>CASP qualitative studies checklist</w:t>
      </w:r>
      <w:r w:rsidRPr="000745E9">
        <w:rPr>
          <w:rFonts w:ascii="Arial" w:hAnsi="Arial" w:cs="Arial"/>
        </w:rPr>
        <w:t xml:space="preserve">. Available at: </w:t>
      </w:r>
      <w:hyperlink r:id="rId21" w:history="1">
        <w:r w:rsidRPr="000745E9">
          <w:rPr>
            <w:rStyle w:val="Hyperlink"/>
            <w:rFonts w:ascii="Arial" w:hAnsi="Arial" w:cs="Arial"/>
          </w:rPr>
          <w:t>https://casp-uk.net/casp-tools-checklists/</w:t>
        </w:r>
      </w:hyperlink>
      <w:r w:rsidRPr="000745E9">
        <w:rPr>
          <w:rFonts w:ascii="Arial" w:hAnsi="Arial" w:cs="Arial"/>
        </w:rPr>
        <w:t xml:space="preserve"> (Accessed: 8 July 2026).</w:t>
      </w:r>
    </w:p>
    <w:p w14:paraId="7A5216CE" w14:textId="77777777" w:rsidR="00780ADC" w:rsidRPr="000745E9" w:rsidRDefault="00780ADC" w:rsidP="000745E9">
      <w:pPr>
        <w:spacing w:line="360" w:lineRule="auto"/>
        <w:rPr>
          <w:rFonts w:ascii="Arial" w:hAnsi="Arial" w:cs="Arial"/>
        </w:rPr>
      </w:pPr>
      <w:r w:rsidRPr="000745E9">
        <w:rPr>
          <w:rFonts w:ascii="Arial" w:hAnsi="Arial" w:cs="Arial"/>
        </w:rPr>
        <w:t xml:space="preserve">Cu, A., Meister, S., Lefebvre, B. and </w:t>
      </w:r>
      <w:proofErr w:type="spellStart"/>
      <w:r w:rsidRPr="000745E9">
        <w:rPr>
          <w:rFonts w:ascii="Arial" w:hAnsi="Arial" w:cs="Arial"/>
        </w:rPr>
        <w:t>Ridde</w:t>
      </w:r>
      <w:proofErr w:type="spellEnd"/>
      <w:r w:rsidRPr="000745E9">
        <w:rPr>
          <w:rFonts w:ascii="Arial" w:hAnsi="Arial" w:cs="Arial"/>
        </w:rPr>
        <w:t xml:space="preserve">, V. (2021) 'Assessing healthcare access using the Levesque's conceptual framework — a scoping review', </w:t>
      </w:r>
      <w:r w:rsidRPr="000745E9">
        <w:rPr>
          <w:rFonts w:ascii="Arial" w:hAnsi="Arial" w:cs="Arial"/>
          <w:i/>
          <w:iCs/>
        </w:rPr>
        <w:t>International Journal for Equity in Health</w:t>
      </w:r>
      <w:r w:rsidRPr="000745E9">
        <w:rPr>
          <w:rFonts w:ascii="Arial" w:hAnsi="Arial" w:cs="Arial"/>
        </w:rPr>
        <w:t xml:space="preserve">, 20(116). </w:t>
      </w:r>
      <w:hyperlink r:id="rId22" w:history="1">
        <w:r w:rsidRPr="000745E9">
          <w:rPr>
            <w:rStyle w:val="Hyperlink"/>
            <w:rFonts w:ascii="Arial" w:hAnsi="Arial" w:cs="Arial"/>
          </w:rPr>
          <w:t>https://doi.org/10.1186/s12939-021-01416-3</w:t>
        </w:r>
      </w:hyperlink>
    </w:p>
    <w:p w14:paraId="3A41CA62" w14:textId="77777777" w:rsidR="00780ADC" w:rsidRPr="000745E9" w:rsidRDefault="00780ADC" w:rsidP="000745E9">
      <w:pPr>
        <w:spacing w:line="360" w:lineRule="auto"/>
        <w:rPr>
          <w:rFonts w:ascii="Arial" w:hAnsi="Arial" w:cs="Arial"/>
        </w:rPr>
      </w:pPr>
      <w:r w:rsidRPr="000745E9">
        <w:rPr>
          <w:rFonts w:ascii="Arial" w:hAnsi="Arial" w:cs="Arial"/>
        </w:rPr>
        <w:t xml:space="preserve">Department of Health and NHS England (2015) </w:t>
      </w:r>
      <w:r w:rsidRPr="000745E9">
        <w:rPr>
          <w:rFonts w:ascii="Arial" w:hAnsi="Arial" w:cs="Arial"/>
          <w:i/>
          <w:iCs/>
        </w:rPr>
        <w:t>Future in Mind: promoting, protecting and improving our children and young people's mental health and wellbeing</w:t>
      </w:r>
      <w:r w:rsidRPr="000745E9">
        <w:rPr>
          <w:rFonts w:ascii="Arial" w:hAnsi="Arial" w:cs="Arial"/>
        </w:rPr>
        <w:t xml:space="preserve">. London: NHS England. Available at: </w:t>
      </w:r>
      <w:hyperlink r:id="rId23" w:history="1">
        <w:r w:rsidRPr="000745E9">
          <w:rPr>
            <w:rStyle w:val="Hyperlink"/>
            <w:rFonts w:ascii="Arial" w:hAnsi="Arial" w:cs="Arial"/>
          </w:rPr>
          <w:t>https://assets.publishing.service.gov.uk/government/uploads/system/uploads/attachment_data/file/414024/Childrens_Mental_Health.pdf</w:t>
        </w:r>
      </w:hyperlink>
      <w:r w:rsidRPr="000745E9">
        <w:rPr>
          <w:rFonts w:ascii="Arial" w:hAnsi="Arial" w:cs="Arial"/>
        </w:rPr>
        <w:t xml:space="preserve"> (Accessed: 30 June 2026).</w:t>
      </w:r>
    </w:p>
    <w:p w14:paraId="08FDDAA9" w14:textId="77777777" w:rsidR="00780ADC" w:rsidRPr="000745E9" w:rsidRDefault="00780ADC" w:rsidP="000745E9">
      <w:pPr>
        <w:spacing w:line="360" w:lineRule="auto"/>
        <w:rPr>
          <w:rFonts w:ascii="Arial" w:hAnsi="Arial" w:cs="Arial"/>
        </w:rPr>
      </w:pPr>
      <w:r w:rsidRPr="000745E9">
        <w:rPr>
          <w:rFonts w:ascii="Arial" w:hAnsi="Arial" w:cs="Arial"/>
        </w:rPr>
        <w:t xml:space="preserve">Department of Health and Social Care (2025) </w:t>
      </w:r>
      <w:r w:rsidRPr="000745E9">
        <w:rPr>
          <w:rFonts w:ascii="Arial" w:hAnsi="Arial" w:cs="Arial"/>
          <w:i/>
          <w:iCs/>
        </w:rPr>
        <w:t>Fit for the Future: 10 Year Health Plan for England</w:t>
      </w:r>
      <w:r w:rsidRPr="000745E9">
        <w:rPr>
          <w:rFonts w:ascii="Arial" w:hAnsi="Arial" w:cs="Arial"/>
        </w:rPr>
        <w:t xml:space="preserve">. London: DHSC. Available at: </w:t>
      </w:r>
      <w:hyperlink r:id="rId24" w:history="1">
        <w:r w:rsidRPr="000745E9">
          <w:rPr>
            <w:rStyle w:val="Hyperlink"/>
            <w:rFonts w:ascii="Arial" w:hAnsi="Arial" w:cs="Arial"/>
          </w:rPr>
          <w:t>https://www.gov.uk/government/publications/10-year-health-plan-for-england-fit-for-the-future</w:t>
        </w:r>
      </w:hyperlink>
      <w:r w:rsidRPr="000745E9">
        <w:rPr>
          <w:rFonts w:ascii="Arial" w:hAnsi="Arial" w:cs="Arial"/>
        </w:rPr>
        <w:t xml:space="preserve"> (Accessed: 14 August 2026).</w:t>
      </w:r>
    </w:p>
    <w:p w14:paraId="0DBA3CB2" w14:textId="77777777" w:rsidR="00780ADC" w:rsidRPr="000745E9" w:rsidRDefault="00780ADC" w:rsidP="000745E9">
      <w:pPr>
        <w:spacing w:line="360" w:lineRule="auto"/>
        <w:rPr>
          <w:rFonts w:ascii="Arial" w:hAnsi="Arial" w:cs="Arial"/>
        </w:rPr>
      </w:pPr>
      <w:r w:rsidRPr="000745E9">
        <w:rPr>
          <w:rFonts w:ascii="Arial" w:hAnsi="Arial" w:cs="Arial"/>
        </w:rPr>
        <w:t xml:space="preserve">Department of Health and Social Care and Department for Education (2017) </w:t>
      </w:r>
      <w:r w:rsidRPr="000745E9">
        <w:rPr>
          <w:rFonts w:ascii="Arial" w:hAnsi="Arial" w:cs="Arial"/>
          <w:i/>
          <w:iCs/>
        </w:rPr>
        <w:t>Transforming children and young people's mental health provision: a green paper</w:t>
      </w:r>
      <w:r w:rsidRPr="000745E9">
        <w:rPr>
          <w:rFonts w:ascii="Arial" w:hAnsi="Arial" w:cs="Arial"/>
        </w:rPr>
        <w:t xml:space="preserve">. London: HMSO. Available at: </w:t>
      </w:r>
      <w:hyperlink r:id="rId25" w:history="1">
        <w:r w:rsidRPr="000745E9">
          <w:rPr>
            <w:rStyle w:val="Hyperlink"/>
            <w:rFonts w:ascii="Arial" w:hAnsi="Arial" w:cs="Arial"/>
          </w:rPr>
          <w:t>https://assets.publishing.service.gov.uk/media/5a823518e5274a2e87dc1b56/Transforming_children_and_young_people_s_mental_health_provision.pdf</w:t>
        </w:r>
      </w:hyperlink>
      <w:r w:rsidRPr="000745E9">
        <w:rPr>
          <w:rFonts w:ascii="Arial" w:hAnsi="Arial" w:cs="Arial"/>
        </w:rPr>
        <w:t xml:space="preserve"> (Accessed: 7 July 2026).</w:t>
      </w:r>
    </w:p>
    <w:p w14:paraId="3CB72E17" w14:textId="77777777" w:rsidR="00780ADC" w:rsidRPr="000745E9" w:rsidRDefault="00780ADC" w:rsidP="000745E9">
      <w:pPr>
        <w:spacing w:line="360" w:lineRule="auto"/>
        <w:rPr>
          <w:rFonts w:ascii="Arial" w:hAnsi="Arial" w:cs="Arial"/>
        </w:rPr>
      </w:pPr>
      <w:proofErr w:type="spellStart"/>
      <w:r w:rsidRPr="000745E9">
        <w:rPr>
          <w:rFonts w:ascii="Arial" w:hAnsi="Arial" w:cs="Arial"/>
        </w:rPr>
        <w:t>Edbrooke-Childs</w:t>
      </w:r>
      <w:proofErr w:type="spellEnd"/>
      <w:r w:rsidRPr="000745E9">
        <w:rPr>
          <w:rFonts w:ascii="Arial" w:hAnsi="Arial" w:cs="Arial"/>
        </w:rPr>
        <w:t xml:space="preserve">, J. and Deighton, J. (2020) 'Problem severity and waiting times for young people accessing mental health services', </w:t>
      </w:r>
      <w:r w:rsidRPr="000745E9">
        <w:rPr>
          <w:rFonts w:ascii="Arial" w:hAnsi="Arial" w:cs="Arial"/>
          <w:i/>
          <w:iCs/>
        </w:rPr>
        <w:t>BJPsych Open</w:t>
      </w:r>
      <w:r w:rsidRPr="000745E9">
        <w:rPr>
          <w:rFonts w:ascii="Arial" w:hAnsi="Arial" w:cs="Arial"/>
        </w:rPr>
        <w:t xml:space="preserve">, 6(6), e118. </w:t>
      </w:r>
      <w:hyperlink r:id="rId26" w:history="1">
        <w:r w:rsidRPr="000745E9">
          <w:rPr>
            <w:rStyle w:val="Hyperlink"/>
            <w:rFonts w:ascii="Arial" w:hAnsi="Arial" w:cs="Arial"/>
          </w:rPr>
          <w:t>https://doi.org/10.1192/bjo.2020.103</w:t>
        </w:r>
      </w:hyperlink>
    </w:p>
    <w:p w14:paraId="5A6FEF63" w14:textId="77777777" w:rsidR="00780ADC" w:rsidRPr="000745E9" w:rsidRDefault="00780ADC" w:rsidP="000745E9">
      <w:pPr>
        <w:spacing w:line="360" w:lineRule="auto"/>
        <w:rPr>
          <w:rFonts w:ascii="Arial" w:hAnsi="Arial" w:cs="Arial"/>
        </w:rPr>
      </w:pPr>
      <w:r w:rsidRPr="000745E9">
        <w:rPr>
          <w:rFonts w:ascii="Arial" w:hAnsi="Arial" w:cs="Arial"/>
        </w:rPr>
        <w:t xml:space="preserve">Ellins, J., Hocking, L., </w:t>
      </w:r>
      <w:proofErr w:type="spellStart"/>
      <w:r w:rsidRPr="000745E9">
        <w:rPr>
          <w:rFonts w:ascii="Arial" w:hAnsi="Arial" w:cs="Arial"/>
        </w:rPr>
        <w:t>Al-Haboubi</w:t>
      </w:r>
      <w:proofErr w:type="spellEnd"/>
      <w:r w:rsidRPr="000745E9">
        <w:rPr>
          <w:rFonts w:ascii="Arial" w:hAnsi="Arial" w:cs="Arial"/>
        </w:rPr>
        <w:t xml:space="preserve">, M., Newbould, J., Fenton, S.J., Daniel, K., Stockwell, S., Leach, B., Sidhu, M., Bousfield, J., McKenna, G., Saunders, K., O'Neill, S. and Mays, N. (2023) 'Early evaluation of the Children and Young People's Mental Health Trailblazer programme: a rapid mixed-methods study', </w:t>
      </w:r>
      <w:r w:rsidRPr="000745E9">
        <w:rPr>
          <w:rFonts w:ascii="Arial" w:hAnsi="Arial" w:cs="Arial"/>
          <w:i/>
          <w:iCs/>
        </w:rPr>
        <w:t>Health and Social Care Delivery Research</w:t>
      </w:r>
      <w:r w:rsidRPr="000745E9">
        <w:rPr>
          <w:rFonts w:ascii="Arial" w:hAnsi="Arial" w:cs="Arial"/>
        </w:rPr>
        <w:t xml:space="preserve">, 11(8), pp. 1–137. </w:t>
      </w:r>
      <w:hyperlink r:id="rId27" w:history="1">
        <w:r w:rsidRPr="000745E9">
          <w:rPr>
            <w:rStyle w:val="Hyperlink"/>
            <w:rFonts w:ascii="Arial" w:hAnsi="Arial" w:cs="Arial"/>
          </w:rPr>
          <w:t>https://doi.org/10.3310/XQWU4117</w:t>
        </w:r>
      </w:hyperlink>
    </w:p>
    <w:p w14:paraId="133F8A4D" w14:textId="77777777" w:rsidR="00780ADC" w:rsidRPr="000745E9" w:rsidRDefault="00780ADC" w:rsidP="000745E9">
      <w:pPr>
        <w:spacing w:line="360" w:lineRule="auto"/>
        <w:rPr>
          <w:rFonts w:ascii="Arial" w:hAnsi="Arial" w:cs="Arial"/>
        </w:rPr>
      </w:pPr>
      <w:r w:rsidRPr="000745E9">
        <w:rPr>
          <w:rFonts w:ascii="Arial" w:hAnsi="Arial" w:cs="Arial"/>
        </w:rPr>
        <w:t xml:space="preserve">Ellis, M., Hayward, M., Berry, C., Fowler, D. and </w:t>
      </w:r>
      <w:proofErr w:type="spellStart"/>
      <w:r w:rsidRPr="000745E9">
        <w:rPr>
          <w:rFonts w:ascii="Arial" w:hAnsi="Arial" w:cs="Arial"/>
        </w:rPr>
        <w:t>Rammou</w:t>
      </w:r>
      <w:proofErr w:type="spellEnd"/>
      <w:r w:rsidRPr="000745E9">
        <w:rPr>
          <w:rFonts w:ascii="Arial" w:hAnsi="Arial" w:cs="Arial"/>
        </w:rPr>
        <w:t xml:space="preserve">, A. (2025) '"We are humans, and we are people" — a thematic analysis exploring the disclosure and help-seeking experiences of young people who experience voice-hearing within </w:t>
      </w:r>
      <w:r w:rsidRPr="000745E9">
        <w:rPr>
          <w:rFonts w:ascii="Arial" w:hAnsi="Arial" w:cs="Arial"/>
        </w:rPr>
        <w:lastRenderedPageBreak/>
        <w:t xml:space="preserve">mental health services in the UK', </w:t>
      </w:r>
      <w:r w:rsidRPr="000745E9">
        <w:rPr>
          <w:rFonts w:ascii="Arial" w:hAnsi="Arial" w:cs="Arial"/>
          <w:i/>
          <w:iCs/>
        </w:rPr>
        <w:t>Clinical Child Psychology and Psychiatry</w:t>
      </w:r>
      <w:r w:rsidRPr="000745E9">
        <w:rPr>
          <w:rFonts w:ascii="Arial" w:hAnsi="Arial" w:cs="Arial"/>
        </w:rPr>
        <w:t xml:space="preserve">, 31(2), pp. 744–763. </w:t>
      </w:r>
      <w:hyperlink r:id="rId28" w:history="1">
        <w:r w:rsidRPr="000745E9">
          <w:rPr>
            <w:rStyle w:val="Hyperlink"/>
            <w:rFonts w:ascii="Arial" w:hAnsi="Arial" w:cs="Arial"/>
          </w:rPr>
          <w:t>https://doi.org/10.1177/13591045251400393</w:t>
        </w:r>
      </w:hyperlink>
    </w:p>
    <w:p w14:paraId="07A95D94" w14:textId="77777777" w:rsidR="00780ADC" w:rsidRPr="000745E9" w:rsidRDefault="00780ADC" w:rsidP="000745E9">
      <w:pPr>
        <w:spacing w:line="360" w:lineRule="auto"/>
        <w:rPr>
          <w:rFonts w:ascii="Arial" w:hAnsi="Arial" w:cs="Arial"/>
        </w:rPr>
      </w:pPr>
      <w:r w:rsidRPr="000745E9">
        <w:rPr>
          <w:rFonts w:ascii="Arial" w:hAnsi="Arial" w:cs="Arial"/>
        </w:rPr>
        <w:t xml:space="preserve">Ganga, R.N., Santa, K., Ali, M. and Smith, G. (2024) 'The impact of a digital referral platform to improve access to child and adolescent mental health services: a prospective observational study with real-world data', </w:t>
      </w:r>
      <w:r w:rsidRPr="000745E9">
        <w:rPr>
          <w:rFonts w:ascii="Arial" w:hAnsi="Arial" w:cs="Arial"/>
          <w:i/>
          <w:iCs/>
        </w:rPr>
        <w:t>International Journal of Environmental Research and Public Health</w:t>
      </w:r>
      <w:r w:rsidRPr="000745E9">
        <w:rPr>
          <w:rFonts w:ascii="Arial" w:hAnsi="Arial" w:cs="Arial"/>
        </w:rPr>
        <w:t xml:space="preserve">, 21(10), 1318. </w:t>
      </w:r>
      <w:hyperlink r:id="rId29" w:history="1">
        <w:r w:rsidRPr="000745E9">
          <w:rPr>
            <w:rStyle w:val="Hyperlink"/>
            <w:rFonts w:ascii="Arial" w:hAnsi="Arial" w:cs="Arial"/>
          </w:rPr>
          <w:t>https://doi.org/10.3390/ijerph21101318</w:t>
        </w:r>
      </w:hyperlink>
    </w:p>
    <w:p w14:paraId="0777B3B0" w14:textId="77777777" w:rsidR="00780ADC" w:rsidRPr="000745E9" w:rsidRDefault="00780ADC" w:rsidP="000745E9">
      <w:pPr>
        <w:spacing w:line="360" w:lineRule="auto"/>
        <w:rPr>
          <w:rFonts w:ascii="Arial" w:hAnsi="Arial" w:cs="Arial"/>
        </w:rPr>
      </w:pPr>
      <w:r w:rsidRPr="000745E9">
        <w:rPr>
          <w:rFonts w:ascii="Arial" w:hAnsi="Arial" w:cs="Arial"/>
        </w:rPr>
        <w:t xml:space="preserve">Gibbs, G. (1988) </w:t>
      </w:r>
      <w:r w:rsidRPr="000745E9">
        <w:rPr>
          <w:rFonts w:ascii="Arial" w:hAnsi="Arial" w:cs="Arial"/>
          <w:i/>
          <w:iCs/>
        </w:rPr>
        <w:t>Learning by doing: a guide to teaching and learning methods</w:t>
      </w:r>
      <w:r w:rsidRPr="000745E9">
        <w:rPr>
          <w:rFonts w:ascii="Arial" w:hAnsi="Arial" w:cs="Arial"/>
        </w:rPr>
        <w:t>. Oxford: Further Education Unit, Oxford Polytechnic.</w:t>
      </w:r>
    </w:p>
    <w:p w14:paraId="16350DE7" w14:textId="77777777" w:rsidR="00780ADC" w:rsidRPr="000745E9" w:rsidRDefault="00780ADC" w:rsidP="000745E9">
      <w:pPr>
        <w:spacing w:line="360" w:lineRule="auto"/>
        <w:rPr>
          <w:rFonts w:ascii="Arial" w:hAnsi="Arial" w:cs="Arial"/>
        </w:rPr>
      </w:pPr>
      <w:r w:rsidRPr="000745E9">
        <w:rPr>
          <w:rFonts w:ascii="Arial" w:hAnsi="Arial" w:cs="Arial"/>
        </w:rPr>
        <w:t xml:space="preserve">Griffin, N., </w:t>
      </w:r>
      <w:proofErr w:type="spellStart"/>
      <w:r w:rsidRPr="000745E9">
        <w:rPr>
          <w:rFonts w:ascii="Arial" w:hAnsi="Arial" w:cs="Arial"/>
        </w:rPr>
        <w:t>Wistow</w:t>
      </w:r>
      <w:proofErr w:type="spellEnd"/>
      <w:r w:rsidRPr="000745E9">
        <w:rPr>
          <w:rFonts w:ascii="Arial" w:hAnsi="Arial" w:cs="Arial"/>
        </w:rPr>
        <w:t xml:space="preserve">, J., Fairbrother, H., Holding, E., Sirisena, M., Powell, K. and Summerbell, C. (2022) 'An analysis of English national policy approaches to health inequalities: "Transforming children and young people's mental health provision" and its consultation process', </w:t>
      </w:r>
      <w:r w:rsidRPr="000745E9">
        <w:rPr>
          <w:rFonts w:ascii="Arial" w:hAnsi="Arial" w:cs="Arial"/>
          <w:i/>
          <w:iCs/>
        </w:rPr>
        <w:t>BMC Public Health</w:t>
      </w:r>
      <w:r w:rsidRPr="000745E9">
        <w:rPr>
          <w:rFonts w:ascii="Arial" w:hAnsi="Arial" w:cs="Arial"/>
        </w:rPr>
        <w:t xml:space="preserve">, 22, 1084. </w:t>
      </w:r>
      <w:hyperlink r:id="rId30" w:history="1">
        <w:r w:rsidRPr="000745E9">
          <w:rPr>
            <w:rStyle w:val="Hyperlink"/>
            <w:rFonts w:ascii="Arial" w:hAnsi="Arial" w:cs="Arial"/>
          </w:rPr>
          <w:t>https://doi.org/10.1186/s12889-022-13473-6</w:t>
        </w:r>
      </w:hyperlink>
    </w:p>
    <w:p w14:paraId="0C631BC8" w14:textId="77777777" w:rsidR="00780ADC" w:rsidRPr="000745E9" w:rsidRDefault="00780ADC" w:rsidP="000745E9">
      <w:pPr>
        <w:spacing w:line="360" w:lineRule="auto"/>
        <w:rPr>
          <w:rFonts w:ascii="Arial" w:hAnsi="Arial" w:cs="Arial"/>
        </w:rPr>
      </w:pPr>
      <w:r w:rsidRPr="000745E9">
        <w:rPr>
          <w:rFonts w:ascii="Arial" w:hAnsi="Arial" w:cs="Arial"/>
        </w:rPr>
        <w:t xml:space="preserve">Han, E., Burton, A., Bradbury, A., Hayes, D., Wright, J., </w:t>
      </w:r>
      <w:proofErr w:type="spellStart"/>
      <w:r w:rsidRPr="000745E9">
        <w:rPr>
          <w:rFonts w:ascii="Arial" w:hAnsi="Arial" w:cs="Arial"/>
        </w:rPr>
        <w:t>Sticpewich</w:t>
      </w:r>
      <w:proofErr w:type="spellEnd"/>
      <w:r w:rsidRPr="000745E9">
        <w:rPr>
          <w:rFonts w:ascii="Arial" w:hAnsi="Arial" w:cs="Arial"/>
        </w:rPr>
        <w:t xml:space="preserve">, L., Page, J. and Fancourt, D. (2026) 'Experiences of youth and caregivers waiting for mental health services in the UK: a qualitative study to inform policy and practice', </w:t>
      </w:r>
      <w:r w:rsidRPr="000745E9">
        <w:rPr>
          <w:rFonts w:ascii="Arial" w:hAnsi="Arial" w:cs="Arial"/>
          <w:i/>
          <w:iCs/>
        </w:rPr>
        <w:t>European Child and Adolescent Psychiatry</w:t>
      </w:r>
      <w:r w:rsidRPr="000745E9">
        <w:rPr>
          <w:rFonts w:ascii="Arial" w:hAnsi="Arial" w:cs="Arial"/>
        </w:rPr>
        <w:t xml:space="preserve">, 35, pp. 1467–1477. </w:t>
      </w:r>
      <w:hyperlink r:id="rId31" w:history="1">
        <w:r w:rsidRPr="000745E9">
          <w:rPr>
            <w:rStyle w:val="Hyperlink"/>
            <w:rFonts w:ascii="Arial" w:hAnsi="Arial" w:cs="Arial"/>
          </w:rPr>
          <w:t>https://doi.org/10.1007/s00787-025-02952-x</w:t>
        </w:r>
      </w:hyperlink>
    </w:p>
    <w:p w14:paraId="512D785C" w14:textId="77777777" w:rsidR="00780ADC" w:rsidRPr="000745E9" w:rsidRDefault="00780ADC" w:rsidP="000745E9">
      <w:pPr>
        <w:spacing w:line="360" w:lineRule="auto"/>
        <w:rPr>
          <w:rFonts w:ascii="Arial" w:hAnsi="Arial" w:cs="Arial"/>
        </w:rPr>
      </w:pPr>
      <w:r w:rsidRPr="000745E9">
        <w:rPr>
          <w:rFonts w:ascii="Arial" w:hAnsi="Arial" w:cs="Arial"/>
        </w:rPr>
        <w:t xml:space="preserve">Hansen, A.S., </w:t>
      </w:r>
      <w:proofErr w:type="spellStart"/>
      <w:r w:rsidRPr="000745E9">
        <w:rPr>
          <w:rFonts w:ascii="Arial" w:hAnsi="Arial" w:cs="Arial"/>
        </w:rPr>
        <w:t>Christoffersen</w:t>
      </w:r>
      <w:proofErr w:type="spellEnd"/>
      <w:r w:rsidRPr="000745E9">
        <w:rPr>
          <w:rFonts w:ascii="Arial" w:hAnsi="Arial" w:cs="Arial"/>
        </w:rPr>
        <w:t xml:space="preserve">, C.H., </w:t>
      </w:r>
      <w:proofErr w:type="spellStart"/>
      <w:r w:rsidRPr="000745E9">
        <w:rPr>
          <w:rFonts w:ascii="Arial" w:hAnsi="Arial" w:cs="Arial"/>
        </w:rPr>
        <w:t>Telléus</w:t>
      </w:r>
      <w:proofErr w:type="spellEnd"/>
      <w:r w:rsidRPr="000745E9">
        <w:rPr>
          <w:rFonts w:ascii="Arial" w:hAnsi="Arial" w:cs="Arial"/>
        </w:rPr>
        <w:t xml:space="preserve">, G.K. and </w:t>
      </w:r>
      <w:proofErr w:type="spellStart"/>
      <w:r w:rsidRPr="000745E9">
        <w:rPr>
          <w:rFonts w:ascii="Arial" w:hAnsi="Arial" w:cs="Arial"/>
        </w:rPr>
        <w:t>Lauritsen</w:t>
      </w:r>
      <w:proofErr w:type="spellEnd"/>
      <w:r w:rsidRPr="000745E9">
        <w:rPr>
          <w:rFonts w:ascii="Arial" w:hAnsi="Arial" w:cs="Arial"/>
        </w:rPr>
        <w:t xml:space="preserve">, M.B. (2021) 'Referral patterns to outpatient child and adolescent mental health services and factors associated with referrals being rejected: a cross-sectional observational study', </w:t>
      </w:r>
      <w:r w:rsidRPr="000745E9">
        <w:rPr>
          <w:rFonts w:ascii="Arial" w:hAnsi="Arial" w:cs="Arial"/>
          <w:i/>
          <w:iCs/>
        </w:rPr>
        <w:t>BMC Health Services Research</w:t>
      </w:r>
      <w:r w:rsidRPr="000745E9">
        <w:rPr>
          <w:rFonts w:ascii="Arial" w:hAnsi="Arial" w:cs="Arial"/>
        </w:rPr>
        <w:t xml:space="preserve">, 21(1), 1063. </w:t>
      </w:r>
      <w:hyperlink r:id="rId32" w:history="1">
        <w:r w:rsidRPr="000745E9">
          <w:rPr>
            <w:rStyle w:val="Hyperlink"/>
            <w:rFonts w:ascii="Arial" w:hAnsi="Arial" w:cs="Arial"/>
          </w:rPr>
          <w:t>https://doi.org/10.1186/s12913-021-07114-8</w:t>
        </w:r>
      </w:hyperlink>
    </w:p>
    <w:p w14:paraId="586F3DCF" w14:textId="77777777" w:rsidR="00780ADC" w:rsidRPr="000745E9" w:rsidRDefault="00780ADC" w:rsidP="000745E9">
      <w:pPr>
        <w:spacing w:line="360" w:lineRule="auto"/>
        <w:rPr>
          <w:rFonts w:ascii="Arial" w:hAnsi="Arial" w:cs="Arial"/>
        </w:rPr>
      </w:pPr>
      <w:r w:rsidRPr="000745E9">
        <w:rPr>
          <w:rFonts w:ascii="Arial" w:hAnsi="Arial" w:cs="Arial"/>
        </w:rPr>
        <w:t xml:space="preserve">Hickling, L.M., Dabrowski, J. and Williams, S. (2024) 'Expanding the early intervention offer: a new care pathway for children's wellbeing practitioners in a south London CAMHS', </w:t>
      </w:r>
      <w:r w:rsidRPr="000745E9">
        <w:rPr>
          <w:rFonts w:ascii="Arial" w:hAnsi="Arial" w:cs="Arial"/>
          <w:i/>
          <w:iCs/>
        </w:rPr>
        <w:t>Clinical Child Psychology and Psychiatry</w:t>
      </w:r>
      <w:r w:rsidRPr="000745E9">
        <w:rPr>
          <w:rFonts w:ascii="Arial" w:hAnsi="Arial" w:cs="Arial"/>
        </w:rPr>
        <w:t xml:space="preserve">, 29(1), pp. 155–167. </w:t>
      </w:r>
      <w:hyperlink r:id="rId33" w:history="1">
        <w:r w:rsidRPr="000745E9">
          <w:rPr>
            <w:rStyle w:val="Hyperlink"/>
            <w:rFonts w:ascii="Arial" w:hAnsi="Arial" w:cs="Arial"/>
          </w:rPr>
          <w:t>https://doi.org/10.1177/13591045231201195</w:t>
        </w:r>
      </w:hyperlink>
    </w:p>
    <w:p w14:paraId="3EA3069D" w14:textId="77777777" w:rsidR="00780ADC" w:rsidRPr="000745E9" w:rsidRDefault="00780ADC" w:rsidP="000745E9">
      <w:pPr>
        <w:spacing w:line="360" w:lineRule="auto"/>
        <w:rPr>
          <w:rFonts w:ascii="Arial" w:hAnsi="Arial" w:cs="Arial"/>
        </w:rPr>
      </w:pPr>
      <w:r w:rsidRPr="000745E9">
        <w:rPr>
          <w:rFonts w:ascii="Arial" w:hAnsi="Arial" w:cs="Arial"/>
        </w:rPr>
        <w:t xml:space="preserve">Higgins, J.P.T., Thomas, J., Chandler, J., Cumpston, M., Li, T., Page, M.J. and Welch, V.A. (eds.) (2024) </w:t>
      </w:r>
      <w:r w:rsidRPr="000745E9">
        <w:rPr>
          <w:rFonts w:ascii="Arial" w:hAnsi="Arial" w:cs="Arial"/>
          <w:i/>
          <w:iCs/>
        </w:rPr>
        <w:t>Cochrane Handbook for Systematic Reviews of Interventions</w:t>
      </w:r>
      <w:r w:rsidRPr="000745E9">
        <w:rPr>
          <w:rFonts w:ascii="Arial" w:hAnsi="Arial" w:cs="Arial"/>
        </w:rPr>
        <w:t xml:space="preserve">. Version 6.5. Available at: </w:t>
      </w:r>
      <w:hyperlink r:id="rId34" w:history="1">
        <w:r w:rsidRPr="000745E9">
          <w:rPr>
            <w:rStyle w:val="Hyperlink"/>
            <w:rFonts w:ascii="Arial" w:hAnsi="Arial" w:cs="Arial"/>
          </w:rPr>
          <w:t>https://training.cochrane.org/handbook</w:t>
        </w:r>
      </w:hyperlink>
      <w:r w:rsidRPr="000745E9">
        <w:rPr>
          <w:rFonts w:ascii="Arial" w:hAnsi="Arial" w:cs="Arial"/>
        </w:rPr>
        <w:t xml:space="preserve"> (Accessed: 11 July 2026).</w:t>
      </w:r>
    </w:p>
    <w:p w14:paraId="0F419BC4" w14:textId="77777777" w:rsidR="00780ADC" w:rsidRPr="000745E9" w:rsidRDefault="00780ADC" w:rsidP="000745E9">
      <w:pPr>
        <w:spacing w:line="360" w:lineRule="auto"/>
        <w:rPr>
          <w:rFonts w:ascii="Arial" w:hAnsi="Arial" w:cs="Arial"/>
        </w:rPr>
      </w:pPr>
      <w:r w:rsidRPr="000745E9">
        <w:rPr>
          <w:rFonts w:ascii="Arial" w:hAnsi="Arial" w:cs="Arial"/>
        </w:rPr>
        <w:lastRenderedPageBreak/>
        <w:t xml:space="preserve">House of Commons Health and Social Care Committee (2021) </w:t>
      </w:r>
      <w:r w:rsidRPr="000745E9">
        <w:rPr>
          <w:rFonts w:ascii="Arial" w:hAnsi="Arial" w:cs="Arial"/>
          <w:i/>
          <w:iCs/>
        </w:rPr>
        <w:t>Children and young people's mental health</w:t>
      </w:r>
      <w:r w:rsidRPr="000745E9">
        <w:rPr>
          <w:rFonts w:ascii="Arial" w:hAnsi="Arial" w:cs="Arial"/>
        </w:rPr>
        <w:t xml:space="preserve"> (HC 17). London: House of Commons. Available at: </w:t>
      </w:r>
      <w:hyperlink r:id="rId35" w:history="1">
        <w:r w:rsidRPr="000745E9">
          <w:rPr>
            <w:rStyle w:val="Hyperlink"/>
            <w:rFonts w:ascii="Arial" w:hAnsi="Arial" w:cs="Arial"/>
          </w:rPr>
          <w:t>https://publications.parliament.uk/pa/cm5802/cmselect/cmhealth/17/report.html</w:t>
        </w:r>
      </w:hyperlink>
      <w:r w:rsidRPr="000745E9">
        <w:rPr>
          <w:rFonts w:ascii="Arial" w:hAnsi="Arial" w:cs="Arial"/>
        </w:rPr>
        <w:t xml:space="preserve"> (Accessed: 22 July 2026).</w:t>
      </w:r>
    </w:p>
    <w:p w14:paraId="630162CD" w14:textId="77777777" w:rsidR="00780ADC" w:rsidRPr="000745E9" w:rsidRDefault="00780ADC" w:rsidP="000745E9">
      <w:pPr>
        <w:spacing w:line="360" w:lineRule="auto"/>
        <w:rPr>
          <w:rFonts w:ascii="Arial" w:hAnsi="Arial" w:cs="Arial"/>
        </w:rPr>
      </w:pPr>
      <w:r w:rsidRPr="000745E9">
        <w:rPr>
          <w:rFonts w:ascii="Arial" w:hAnsi="Arial" w:cs="Arial"/>
        </w:rPr>
        <w:t xml:space="preserve">House of Commons Library (2024) </w:t>
      </w:r>
      <w:r w:rsidRPr="000745E9">
        <w:rPr>
          <w:rFonts w:ascii="Arial" w:hAnsi="Arial" w:cs="Arial"/>
          <w:i/>
          <w:iCs/>
        </w:rPr>
        <w:t>Children and young people's mental health: policy and services (England)</w:t>
      </w:r>
      <w:r w:rsidRPr="000745E9">
        <w:rPr>
          <w:rFonts w:ascii="Arial" w:hAnsi="Arial" w:cs="Arial"/>
        </w:rPr>
        <w:t xml:space="preserve"> (CBP-7196). Available at: </w:t>
      </w:r>
      <w:hyperlink r:id="rId36" w:history="1">
        <w:r w:rsidRPr="000745E9">
          <w:rPr>
            <w:rStyle w:val="Hyperlink"/>
            <w:rFonts w:ascii="Arial" w:hAnsi="Arial" w:cs="Arial"/>
          </w:rPr>
          <w:t>https://commonslibrary.parliament.uk/research-briefings/cbp-7196/</w:t>
        </w:r>
      </w:hyperlink>
      <w:r w:rsidRPr="000745E9">
        <w:rPr>
          <w:rFonts w:ascii="Arial" w:hAnsi="Arial" w:cs="Arial"/>
        </w:rPr>
        <w:t xml:space="preserve"> (Accessed: 4 July 2026).</w:t>
      </w:r>
    </w:p>
    <w:p w14:paraId="47383FF1" w14:textId="77777777" w:rsidR="00780ADC" w:rsidRPr="000745E9" w:rsidRDefault="00780ADC" w:rsidP="000745E9">
      <w:pPr>
        <w:spacing w:line="360" w:lineRule="auto"/>
        <w:rPr>
          <w:rFonts w:ascii="Arial" w:hAnsi="Arial" w:cs="Arial"/>
        </w:rPr>
      </w:pPr>
      <w:r w:rsidRPr="000745E9">
        <w:rPr>
          <w:rFonts w:ascii="Arial" w:hAnsi="Arial" w:cs="Arial"/>
        </w:rPr>
        <w:t xml:space="preserve">Hudson, L.D. (2019) 'Mental health delivery in schools and the NHS long-term plan', </w:t>
      </w:r>
      <w:r w:rsidRPr="000745E9">
        <w:rPr>
          <w:rFonts w:ascii="Arial" w:hAnsi="Arial" w:cs="Arial"/>
          <w:i/>
          <w:iCs/>
        </w:rPr>
        <w:t>Clinical Child Psychology and Psychiatry</w:t>
      </w:r>
      <w:r w:rsidRPr="000745E9">
        <w:rPr>
          <w:rFonts w:ascii="Arial" w:hAnsi="Arial" w:cs="Arial"/>
        </w:rPr>
        <w:t xml:space="preserve">, 24(4), pp. 658–660. </w:t>
      </w:r>
      <w:hyperlink r:id="rId37" w:history="1">
        <w:r w:rsidRPr="000745E9">
          <w:rPr>
            <w:rStyle w:val="Hyperlink"/>
            <w:rFonts w:ascii="Arial" w:hAnsi="Arial" w:cs="Arial"/>
          </w:rPr>
          <w:t>https://doi.org/10.1177/1359104519871129</w:t>
        </w:r>
      </w:hyperlink>
    </w:p>
    <w:p w14:paraId="53F9E8DA" w14:textId="77777777" w:rsidR="00780ADC" w:rsidRPr="000745E9" w:rsidRDefault="00780ADC" w:rsidP="000745E9">
      <w:pPr>
        <w:spacing w:line="360" w:lineRule="auto"/>
        <w:rPr>
          <w:rFonts w:ascii="Arial" w:hAnsi="Arial" w:cs="Arial"/>
        </w:rPr>
      </w:pPr>
      <w:r w:rsidRPr="000745E9">
        <w:rPr>
          <w:rFonts w:ascii="Arial" w:hAnsi="Arial" w:cs="Arial"/>
        </w:rPr>
        <w:t xml:space="preserve">King's Fund (2019) </w:t>
      </w:r>
      <w:r w:rsidRPr="000745E9">
        <w:rPr>
          <w:rFonts w:ascii="Arial" w:hAnsi="Arial" w:cs="Arial"/>
          <w:i/>
          <w:iCs/>
        </w:rPr>
        <w:t>The NHS Long-Term Plan explained</w:t>
      </w:r>
      <w:r w:rsidRPr="000745E9">
        <w:rPr>
          <w:rFonts w:ascii="Arial" w:hAnsi="Arial" w:cs="Arial"/>
        </w:rPr>
        <w:t xml:space="preserve">. Available at: </w:t>
      </w:r>
      <w:hyperlink r:id="rId38" w:history="1">
        <w:r w:rsidRPr="000745E9">
          <w:rPr>
            <w:rStyle w:val="Hyperlink"/>
            <w:rFonts w:ascii="Arial" w:hAnsi="Arial" w:cs="Arial"/>
          </w:rPr>
          <w:t>https://www.kingsfund.org.uk/insight-and-analysis/long-reads/nhs-long-term-plan-explained</w:t>
        </w:r>
      </w:hyperlink>
      <w:r w:rsidRPr="000745E9">
        <w:rPr>
          <w:rFonts w:ascii="Arial" w:hAnsi="Arial" w:cs="Arial"/>
        </w:rPr>
        <w:t xml:space="preserve"> (Accessed: 11 July 2026).</w:t>
      </w:r>
    </w:p>
    <w:p w14:paraId="3566C70B" w14:textId="77777777" w:rsidR="00780ADC" w:rsidRPr="000745E9" w:rsidRDefault="00780ADC" w:rsidP="000745E9">
      <w:pPr>
        <w:spacing w:line="360" w:lineRule="auto"/>
        <w:rPr>
          <w:rFonts w:ascii="Arial" w:hAnsi="Arial" w:cs="Arial"/>
        </w:rPr>
      </w:pPr>
      <w:r w:rsidRPr="000745E9">
        <w:rPr>
          <w:rFonts w:ascii="Arial" w:hAnsi="Arial" w:cs="Arial"/>
        </w:rPr>
        <w:t xml:space="preserve">King's Fund (2024) </w:t>
      </w:r>
      <w:r w:rsidRPr="000745E9">
        <w:rPr>
          <w:rFonts w:ascii="Arial" w:hAnsi="Arial" w:cs="Arial"/>
          <w:i/>
          <w:iCs/>
        </w:rPr>
        <w:t>Mental health 360: children and young people</w:t>
      </w:r>
      <w:r w:rsidRPr="000745E9">
        <w:rPr>
          <w:rFonts w:ascii="Arial" w:hAnsi="Arial" w:cs="Arial"/>
        </w:rPr>
        <w:t xml:space="preserve">. Available at: </w:t>
      </w:r>
      <w:hyperlink r:id="rId39" w:history="1">
        <w:r w:rsidRPr="000745E9">
          <w:rPr>
            <w:rStyle w:val="Hyperlink"/>
            <w:rFonts w:ascii="Arial" w:hAnsi="Arial" w:cs="Arial"/>
          </w:rPr>
          <w:t>https://www.kingsfund.org.uk/insight-and-analysis/long-reads/mental-health-360-services-children-young-people</w:t>
        </w:r>
      </w:hyperlink>
      <w:r w:rsidRPr="000745E9">
        <w:rPr>
          <w:rFonts w:ascii="Arial" w:hAnsi="Arial" w:cs="Arial"/>
        </w:rPr>
        <w:t xml:space="preserve"> (Accessed: 25 July 2026).</w:t>
      </w:r>
    </w:p>
    <w:p w14:paraId="42EEAE4A" w14:textId="77777777" w:rsidR="00780ADC" w:rsidRPr="000745E9" w:rsidRDefault="00780ADC" w:rsidP="000745E9">
      <w:pPr>
        <w:spacing w:line="360" w:lineRule="auto"/>
        <w:rPr>
          <w:rFonts w:ascii="Arial" w:hAnsi="Arial" w:cs="Arial"/>
        </w:rPr>
      </w:pPr>
      <w:proofErr w:type="spellStart"/>
      <w:r w:rsidRPr="000745E9">
        <w:rPr>
          <w:rFonts w:ascii="Arial" w:hAnsi="Arial" w:cs="Arial"/>
        </w:rPr>
        <w:t>Kourgiantakis</w:t>
      </w:r>
      <w:proofErr w:type="spellEnd"/>
      <w:r w:rsidRPr="000745E9">
        <w:rPr>
          <w:rFonts w:ascii="Arial" w:hAnsi="Arial" w:cs="Arial"/>
        </w:rPr>
        <w:t xml:space="preserve">, T., </w:t>
      </w:r>
      <w:proofErr w:type="spellStart"/>
      <w:r w:rsidRPr="000745E9">
        <w:rPr>
          <w:rFonts w:ascii="Arial" w:hAnsi="Arial" w:cs="Arial"/>
        </w:rPr>
        <w:t>Markoulakis</w:t>
      </w:r>
      <w:proofErr w:type="spellEnd"/>
      <w:r w:rsidRPr="000745E9">
        <w:rPr>
          <w:rFonts w:ascii="Arial" w:hAnsi="Arial" w:cs="Arial"/>
        </w:rPr>
        <w:t xml:space="preserve">, R., Lee, E., Hussain, A., Lau, C., Ashcroft, R., Goldstein, A.L., Kodeeswaran, S., Williams, C.C. and Levitt, A. (2023) 'Access to mental health and addiction services for youth and their families in Ontario: perspectives of parents, youth, and service providers', </w:t>
      </w:r>
      <w:r w:rsidRPr="000745E9">
        <w:rPr>
          <w:rFonts w:ascii="Arial" w:hAnsi="Arial" w:cs="Arial"/>
          <w:i/>
          <w:iCs/>
        </w:rPr>
        <w:t>International Journal of Mental Health Systems</w:t>
      </w:r>
      <w:r w:rsidRPr="000745E9">
        <w:rPr>
          <w:rFonts w:ascii="Arial" w:hAnsi="Arial" w:cs="Arial"/>
        </w:rPr>
        <w:t xml:space="preserve">, 17(1), 4. </w:t>
      </w:r>
      <w:hyperlink r:id="rId40" w:history="1">
        <w:r w:rsidRPr="000745E9">
          <w:rPr>
            <w:rStyle w:val="Hyperlink"/>
            <w:rFonts w:ascii="Arial" w:hAnsi="Arial" w:cs="Arial"/>
          </w:rPr>
          <w:t>https://doi.org/10.1186/s13033-023-00572-z</w:t>
        </w:r>
      </w:hyperlink>
    </w:p>
    <w:p w14:paraId="59A116B0" w14:textId="77777777" w:rsidR="00780ADC" w:rsidRPr="000745E9" w:rsidRDefault="00780ADC" w:rsidP="000745E9">
      <w:pPr>
        <w:spacing w:line="360" w:lineRule="auto"/>
        <w:rPr>
          <w:rFonts w:ascii="Arial" w:hAnsi="Arial" w:cs="Arial"/>
        </w:rPr>
      </w:pPr>
      <w:r w:rsidRPr="000745E9">
        <w:rPr>
          <w:rFonts w:ascii="Arial" w:hAnsi="Arial" w:cs="Arial"/>
        </w:rPr>
        <w:t xml:space="preserve">Levesque, J.F., Harris, M.F. and Russell, G. (2013) 'Patient-centred access to health care: conceptualising access at the interface of health systems and populations', </w:t>
      </w:r>
      <w:r w:rsidRPr="000745E9">
        <w:rPr>
          <w:rFonts w:ascii="Arial" w:hAnsi="Arial" w:cs="Arial"/>
          <w:i/>
          <w:iCs/>
        </w:rPr>
        <w:t>International Journal for Equity in Health</w:t>
      </w:r>
      <w:r w:rsidRPr="000745E9">
        <w:rPr>
          <w:rFonts w:ascii="Arial" w:hAnsi="Arial" w:cs="Arial"/>
        </w:rPr>
        <w:t xml:space="preserve">, 12(1), 18. </w:t>
      </w:r>
      <w:hyperlink r:id="rId41" w:history="1">
        <w:r w:rsidRPr="000745E9">
          <w:rPr>
            <w:rStyle w:val="Hyperlink"/>
            <w:rFonts w:ascii="Arial" w:hAnsi="Arial" w:cs="Arial"/>
          </w:rPr>
          <w:t>https://doi.org/10.1186/1475-9276-12-18</w:t>
        </w:r>
      </w:hyperlink>
    </w:p>
    <w:p w14:paraId="13F0348F" w14:textId="77777777" w:rsidR="00780ADC" w:rsidRPr="000745E9" w:rsidRDefault="00780ADC" w:rsidP="000745E9">
      <w:pPr>
        <w:spacing w:line="360" w:lineRule="auto"/>
        <w:rPr>
          <w:rFonts w:ascii="Arial" w:hAnsi="Arial" w:cs="Arial"/>
        </w:rPr>
      </w:pPr>
      <w:r w:rsidRPr="000745E9">
        <w:rPr>
          <w:rFonts w:ascii="Arial" w:hAnsi="Arial" w:cs="Arial"/>
        </w:rPr>
        <w:t xml:space="preserve">Local Government Association (2023) </w:t>
      </w:r>
      <w:r w:rsidRPr="000745E9">
        <w:rPr>
          <w:rFonts w:ascii="Arial" w:hAnsi="Arial" w:cs="Arial"/>
          <w:i/>
          <w:iCs/>
        </w:rPr>
        <w:t>Children and young people's mental health: an independent review into policy success and challenges over the last decade</w:t>
      </w:r>
      <w:r w:rsidRPr="000745E9">
        <w:rPr>
          <w:rFonts w:ascii="Arial" w:hAnsi="Arial" w:cs="Arial"/>
        </w:rPr>
        <w:t xml:space="preserve">. Available at: </w:t>
      </w:r>
      <w:hyperlink r:id="rId42" w:history="1">
        <w:r w:rsidRPr="000745E9">
          <w:rPr>
            <w:rStyle w:val="Hyperlink"/>
            <w:rFonts w:ascii="Arial" w:hAnsi="Arial" w:cs="Arial"/>
          </w:rPr>
          <w:t>https://www.local.gov.uk/publications/children-and-young-peoples-mental-health-independent-review-policy-success-and</w:t>
        </w:r>
      </w:hyperlink>
      <w:r w:rsidRPr="000745E9">
        <w:rPr>
          <w:rFonts w:ascii="Arial" w:hAnsi="Arial" w:cs="Arial"/>
        </w:rPr>
        <w:t xml:space="preserve"> (Accessed: 16 July 2026).</w:t>
      </w:r>
    </w:p>
    <w:p w14:paraId="011D0488" w14:textId="77777777" w:rsidR="00780ADC" w:rsidRPr="000745E9" w:rsidRDefault="00780ADC" w:rsidP="000745E9">
      <w:pPr>
        <w:spacing w:line="360" w:lineRule="auto"/>
        <w:rPr>
          <w:rFonts w:ascii="Arial" w:hAnsi="Arial" w:cs="Arial"/>
        </w:rPr>
      </w:pPr>
      <w:r w:rsidRPr="000745E9">
        <w:rPr>
          <w:rFonts w:ascii="Arial" w:hAnsi="Arial" w:cs="Arial"/>
        </w:rPr>
        <w:lastRenderedPageBreak/>
        <w:t xml:space="preserve">Mareva, S., Chapman, B., Hardwick, R., Hewlett, C., Mitchell, S., Sanders, A. and Hayes, R. (2024) 'The mental wellbeing of Child and Adolescent Mental Health Service (CAMHS) workers in England: a cross-sectional descriptive study reporting levels of burnout, wellbeing and job satisfaction', </w:t>
      </w:r>
      <w:r w:rsidRPr="000745E9">
        <w:rPr>
          <w:rFonts w:ascii="Arial" w:hAnsi="Arial" w:cs="Arial"/>
          <w:i/>
          <w:iCs/>
        </w:rPr>
        <w:t>Healthcare</w:t>
      </w:r>
      <w:r w:rsidRPr="000745E9">
        <w:rPr>
          <w:rFonts w:ascii="Arial" w:hAnsi="Arial" w:cs="Arial"/>
        </w:rPr>
        <w:t xml:space="preserve">, 12(4), 430. </w:t>
      </w:r>
      <w:hyperlink r:id="rId43" w:history="1">
        <w:r w:rsidRPr="000745E9">
          <w:rPr>
            <w:rStyle w:val="Hyperlink"/>
            <w:rFonts w:ascii="Arial" w:hAnsi="Arial" w:cs="Arial"/>
          </w:rPr>
          <w:t>https://doi.org/10.3390/healthcare12040430</w:t>
        </w:r>
      </w:hyperlink>
    </w:p>
    <w:p w14:paraId="514379D2" w14:textId="77777777" w:rsidR="00780ADC" w:rsidRPr="000745E9" w:rsidRDefault="00780ADC" w:rsidP="000745E9">
      <w:pPr>
        <w:spacing w:line="360" w:lineRule="auto"/>
        <w:rPr>
          <w:rFonts w:ascii="Arial" w:hAnsi="Arial" w:cs="Arial"/>
        </w:rPr>
      </w:pPr>
      <w:r w:rsidRPr="000745E9">
        <w:rPr>
          <w:rFonts w:ascii="Arial" w:hAnsi="Arial" w:cs="Arial"/>
        </w:rPr>
        <w:t xml:space="preserve">Marmot, M., Allen, J., Boyce, T., Goldblatt, P. and Morrison, J. (2020) </w:t>
      </w:r>
      <w:r w:rsidRPr="000745E9">
        <w:rPr>
          <w:rFonts w:ascii="Arial" w:hAnsi="Arial" w:cs="Arial"/>
          <w:i/>
          <w:iCs/>
        </w:rPr>
        <w:t>Health Equity in England: The Marmot Review 10 Years On</w:t>
      </w:r>
      <w:r w:rsidRPr="000745E9">
        <w:rPr>
          <w:rFonts w:ascii="Arial" w:hAnsi="Arial" w:cs="Arial"/>
        </w:rPr>
        <w:t xml:space="preserve">. London: Institute of Health Equity. Available at: </w:t>
      </w:r>
      <w:hyperlink r:id="rId44" w:history="1">
        <w:r w:rsidRPr="000745E9">
          <w:rPr>
            <w:rStyle w:val="Hyperlink"/>
            <w:rFonts w:ascii="Arial" w:hAnsi="Arial" w:cs="Arial"/>
          </w:rPr>
          <w:t>https://www.instituteofhealthequity.org/resources-reports/marmot-review-10-years-on</w:t>
        </w:r>
      </w:hyperlink>
      <w:r w:rsidRPr="000745E9">
        <w:rPr>
          <w:rFonts w:ascii="Arial" w:hAnsi="Arial" w:cs="Arial"/>
        </w:rPr>
        <w:t xml:space="preserve"> (Accessed: 17 July 2026).</w:t>
      </w:r>
    </w:p>
    <w:p w14:paraId="24A551C5" w14:textId="77777777" w:rsidR="00780ADC" w:rsidRPr="000745E9" w:rsidRDefault="00780ADC" w:rsidP="000745E9">
      <w:pPr>
        <w:spacing w:line="360" w:lineRule="auto"/>
        <w:rPr>
          <w:rFonts w:ascii="Arial" w:hAnsi="Arial" w:cs="Arial"/>
        </w:rPr>
      </w:pPr>
      <w:r w:rsidRPr="000745E9">
        <w:rPr>
          <w:rFonts w:ascii="Arial" w:hAnsi="Arial" w:cs="Arial"/>
        </w:rPr>
        <w:t xml:space="preserve">Mental Health Foundation (2021) </w:t>
      </w:r>
      <w:r w:rsidRPr="000745E9">
        <w:rPr>
          <w:rFonts w:ascii="Arial" w:hAnsi="Arial" w:cs="Arial"/>
          <w:i/>
          <w:iCs/>
        </w:rPr>
        <w:t>Children and young people: statistics</w:t>
      </w:r>
      <w:r w:rsidRPr="000745E9">
        <w:rPr>
          <w:rFonts w:ascii="Arial" w:hAnsi="Arial" w:cs="Arial"/>
        </w:rPr>
        <w:t xml:space="preserve">. Available at: </w:t>
      </w:r>
      <w:hyperlink r:id="rId45" w:history="1">
        <w:r w:rsidRPr="000745E9">
          <w:rPr>
            <w:rStyle w:val="Hyperlink"/>
            <w:rFonts w:ascii="Arial" w:hAnsi="Arial" w:cs="Arial"/>
          </w:rPr>
          <w:t>https://www.mentalhealth.org.uk/explore-mental-health/statistics/children-young-people-statistics</w:t>
        </w:r>
      </w:hyperlink>
      <w:r w:rsidRPr="000745E9">
        <w:rPr>
          <w:rFonts w:ascii="Arial" w:hAnsi="Arial" w:cs="Arial"/>
        </w:rPr>
        <w:t xml:space="preserve"> (Accessed: 6 July 2026).</w:t>
      </w:r>
    </w:p>
    <w:p w14:paraId="753EC7C2" w14:textId="77777777" w:rsidR="00780ADC" w:rsidRPr="000745E9" w:rsidRDefault="00780ADC" w:rsidP="000745E9">
      <w:pPr>
        <w:spacing w:line="360" w:lineRule="auto"/>
        <w:rPr>
          <w:rFonts w:ascii="Arial" w:hAnsi="Arial" w:cs="Arial"/>
        </w:rPr>
      </w:pPr>
      <w:r w:rsidRPr="000745E9">
        <w:rPr>
          <w:rFonts w:ascii="Arial" w:hAnsi="Arial" w:cs="Arial"/>
        </w:rPr>
        <w:t xml:space="preserve">National Audit Office (2023) </w:t>
      </w:r>
      <w:r w:rsidRPr="000745E9">
        <w:rPr>
          <w:rFonts w:ascii="Arial" w:hAnsi="Arial" w:cs="Arial"/>
          <w:i/>
          <w:iCs/>
        </w:rPr>
        <w:t>Progress in improving mental health services in England</w:t>
      </w:r>
      <w:r w:rsidRPr="000745E9">
        <w:rPr>
          <w:rFonts w:ascii="Arial" w:hAnsi="Arial" w:cs="Arial"/>
        </w:rPr>
        <w:t xml:space="preserve">. London: NAO. Available at: </w:t>
      </w:r>
      <w:hyperlink r:id="rId46" w:history="1">
        <w:r w:rsidRPr="000745E9">
          <w:rPr>
            <w:rStyle w:val="Hyperlink"/>
            <w:rFonts w:ascii="Arial" w:hAnsi="Arial" w:cs="Arial"/>
          </w:rPr>
          <w:t>https://www.nao.org.uk/reports/progress-in-improving-mental-health-services-in-england/</w:t>
        </w:r>
      </w:hyperlink>
      <w:r w:rsidRPr="000745E9">
        <w:rPr>
          <w:rFonts w:ascii="Arial" w:hAnsi="Arial" w:cs="Arial"/>
        </w:rPr>
        <w:t xml:space="preserve"> (Accessed: 28 July 2026).</w:t>
      </w:r>
    </w:p>
    <w:p w14:paraId="04824B7A" w14:textId="77777777" w:rsidR="00780ADC" w:rsidRPr="000745E9" w:rsidRDefault="00780ADC" w:rsidP="000745E9">
      <w:pPr>
        <w:spacing w:line="360" w:lineRule="auto"/>
        <w:rPr>
          <w:rFonts w:ascii="Arial" w:hAnsi="Arial" w:cs="Arial"/>
        </w:rPr>
      </w:pPr>
      <w:r w:rsidRPr="000745E9">
        <w:rPr>
          <w:rFonts w:ascii="Arial" w:hAnsi="Arial" w:cs="Arial"/>
        </w:rPr>
        <w:t xml:space="preserve">National Health Service Confederation (2023) </w:t>
      </w:r>
      <w:r w:rsidRPr="000745E9">
        <w:rPr>
          <w:rFonts w:ascii="Arial" w:hAnsi="Arial" w:cs="Arial"/>
          <w:i/>
          <w:iCs/>
        </w:rPr>
        <w:t>NHS Long Term Workforce Plan: what you need to know</w:t>
      </w:r>
      <w:r w:rsidRPr="000745E9">
        <w:rPr>
          <w:rFonts w:ascii="Arial" w:hAnsi="Arial" w:cs="Arial"/>
        </w:rPr>
        <w:t xml:space="preserve">. Available at: </w:t>
      </w:r>
      <w:hyperlink r:id="rId47" w:history="1">
        <w:r w:rsidRPr="000745E9">
          <w:rPr>
            <w:rStyle w:val="Hyperlink"/>
            <w:rFonts w:ascii="Arial" w:hAnsi="Arial" w:cs="Arial"/>
          </w:rPr>
          <w:t>https://www.nhsconfed.org/publications/nhs-long-term-workforce-plan-what-you-need-know</w:t>
        </w:r>
      </w:hyperlink>
      <w:r w:rsidRPr="000745E9">
        <w:rPr>
          <w:rFonts w:ascii="Arial" w:hAnsi="Arial" w:cs="Arial"/>
        </w:rPr>
        <w:t xml:space="preserve"> (Accessed: 14 August 2026).</w:t>
      </w:r>
    </w:p>
    <w:p w14:paraId="15962D50" w14:textId="77777777" w:rsidR="00780ADC" w:rsidRPr="000745E9" w:rsidRDefault="00780ADC" w:rsidP="000745E9">
      <w:pPr>
        <w:spacing w:line="360" w:lineRule="auto"/>
        <w:rPr>
          <w:rFonts w:ascii="Arial" w:hAnsi="Arial" w:cs="Arial"/>
        </w:rPr>
      </w:pPr>
      <w:r w:rsidRPr="000745E9">
        <w:rPr>
          <w:rFonts w:ascii="Arial" w:hAnsi="Arial" w:cs="Arial"/>
        </w:rPr>
        <w:t xml:space="preserve">National Institute for Health and Care Excellence (2019) </w:t>
      </w:r>
      <w:r w:rsidRPr="000745E9">
        <w:rPr>
          <w:rFonts w:ascii="Arial" w:hAnsi="Arial" w:cs="Arial"/>
          <w:i/>
          <w:iCs/>
        </w:rPr>
        <w:t>Depression in children and young people: identification and management</w:t>
      </w:r>
      <w:r w:rsidRPr="000745E9">
        <w:rPr>
          <w:rFonts w:ascii="Arial" w:hAnsi="Arial" w:cs="Arial"/>
        </w:rPr>
        <w:t xml:space="preserve"> (NG134). Available at: </w:t>
      </w:r>
      <w:hyperlink r:id="rId48" w:history="1">
        <w:r w:rsidRPr="000745E9">
          <w:rPr>
            <w:rStyle w:val="Hyperlink"/>
            <w:rFonts w:ascii="Arial" w:hAnsi="Arial" w:cs="Arial"/>
          </w:rPr>
          <w:t>https://www.nice.org.uk/guidance/ng134</w:t>
        </w:r>
      </w:hyperlink>
      <w:r w:rsidRPr="000745E9">
        <w:rPr>
          <w:rFonts w:ascii="Arial" w:hAnsi="Arial" w:cs="Arial"/>
        </w:rPr>
        <w:t xml:space="preserve"> (Accessed: 23 July 2026).</w:t>
      </w:r>
    </w:p>
    <w:p w14:paraId="3D550D0F" w14:textId="77777777" w:rsidR="00780ADC" w:rsidRPr="000745E9" w:rsidRDefault="00780ADC" w:rsidP="000745E9">
      <w:pPr>
        <w:spacing w:line="360" w:lineRule="auto"/>
        <w:rPr>
          <w:rFonts w:ascii="Arial" w:hAnsi="Arial" w:cs="Arial"/>
        </w:rPr>
      </w:pPr>
      <w:r w:rsidRPr="000745E9">
        <w:rPr>
          <w:rFonts w:ascii="Arial" w:hAnsi="Arial" w:cs="Arial"/>
        </w:rPr>
        <w:t xml:space="preserve">Newman, K.L., Sayal, K., Ewart, C., Lang, A., Bhardwaj, A., Dubicka, B., Marshall, T. and Thomson, L. (2024) 'Snakes and ladders: the experience of being referred to and seen by Child and Adolescent Mental Health Services', </w:t>
      </w:r>
      <w:r w:rsidRPr="000745E9">
        <w:rPr>
          <w:rFonts w:ascii="Arial" w:hAnsi="Arial" w:cs="Arial"/>
          <w:i/>
          <w:iCs/>
        </w:rPr>
        <w:t>SSM – Mental Health</w:t>
      </w:r>
      <w:r w:rsidRPr="000745E9">
        <w:rPr>
          <w:rFonts w:ascii="Arial" w:hAnsi="Arial" w:cs="Arial"/>
        </w:rPr>
        <w:t xml:space="preserve">, 6, 100343. </w:t>
      </w:r>
      <w:hyperlink r:id="rId49" w:history="1">
        <w:r w:rsidRPr="000745E9">
          <w:rPr>
            <w:rStyle w:val="Hyperlink"/>
            <w:rFonts w:ascii="Arial" w:hAnsi="Arial" w:cs="Arial"/>
          </w:rPr>
          <w:t>https://doi.org/10.1016/j.ssmmh.2024.100343</w:t>
        </w:r>
      </w:hyperlink>
    </w:p>
    <w:p w14:paraId="02E2DEBB" w14:textId="77777777" w:rsidR="00780ADC" w:rsidRPr="000745E9" w:rsidRDefault="00780ADC" w:rsidP="000745E9">
      <w:pPr>
        <w:spacing w:line="360" w:lineRule="auto"/>
        <w:rPr>
          <w:rFonts w:ascii="Arial" w:hAnsi="Arial" w:cs="Arial"/>
        </w:rPr>
      </w:pPr>
      <w:r w:rsidRPr="000745E9">
        <w:rPr>
          <w:rFonts w:ascii="Arial" w:hAnsi="Arial" w:cs="Arial"/>
        </w:rPr>
        <w:t xml:space="preserve">Newlove-Delgado, T., </w:t>
      </w:r>
      <w:proofErr w:type="spellStart"/>
      <w:r w:rsidRPr="000745E9">
        <w:rPr>
          <w:rFonts w:ascii="Arial" w:hAnsi="Arial" w:cs="Arial"/>
        </w:rPr>
        <w:t>Marcheselli</w:t>
      </w:r>
      <w:proofErr w:type="spellEnd"/>
      <w:r w:rsidRPr="000745E9">
        <w:rPr>
          <w:rFonts w:ascii="Arial" w:hAnsi="Arial" w:cs="Arial"/>
        </w:rPr>
        <w:t xml:space="preserve">, F., Williams, T., Mandalia, D., Davis, J., McManus, S., Savic, M., Treloar, W. and Ford, T. (2022) </w:t>
      </w:r>
      <w:r w:rsidRPr="000745E9">
        <w:rPr>
          <w:rFonts w:ascii="Arial" w:hAnsi="Arial" w:cs="Arial"/>
          <w:i/>
          <w:iCs/>
        </w:rPr>
        <w:t>Mental health of children and young people in England 2022 — wave 3 follow up to the 2017 survey</w:t>
      </w:r>
      <w:r w:rsidRPr="000745E9">
        <w:rPr>
          <w:rFonts w:ascii="Arial" w:hAnsi="Arial" w:cs="Arial"/>
        </w:rPr>
        <w:t xml:space="preserve">. Leeds: NHS England. Available at: </w:t>
      </w:r>
      <w:hyperlink r:id="rId50" w:history="1">
        <w:r w:rsidRPr="000745E9">
          <w:rPr>
            <w:rStyle w:val="Hyperlink"/>
            <w:rFonts w:ascii="Arial" w:hAnsi="Arial" w:cs="Arial"/>
          </w:rPr>
          <w:t>https://digital.nhs.uk/data-and-information/publications/statistical/mental-health-of-children-and-young-people-in-england</w:t>
        </w:r>
      </w:hyperlink>
      <w:r w:rsidRPr="000745E9">
        <w:rPr>
          <w:rFonts w:ascii="Arial" w:hAnsi="Arial" w:cs="Arial"/>
        </w:rPr>
        <w:t xml:space="preserve"> (Accessed: 1 July 2026).</w:t>
      </w:r>
    </w:p>
    <w:p w14:paraId="54875D16" w14:textId="77777777" w:rsidR="00780ADC" w:rsidRPr="000745E9" w:rsidRDefault="00780ADC" w:rsidP="000745E9">
      <w:pPr>
        <w:spacing w:line="360" w:lineRule="auto"/>
        <w:rPr>
          <w:rFonts w:ascii="Arial" w:hAnsi="Arial" w:cs="Arial"/>
        </w:rPr>
      </w:pPr>
      <w:r w:rsidRPr="000745E9">
        <w:rPr>
          <w:rFonts w:ascii="Arial" w:hAnsi="Arial" w:cs="Arial"/>
        </w:rPr>
        <w:lastRenderedPageBreak/>
        <w:t xml:space="preserve">Newlove-Delgado, T., </w:t>
      </w:r>
      <w:proofErr w:type="spellStart"/>
      <w:r w:rsidRPr="000745E9">
        <w:rPr>
          <w:rFonts w:ascii="Arial" w:hAnsi="Arial" w:cs="Arial"/>
        </w:rPr>
        <w:t>Marcheselli</w:t>
      </w:r>
      <w:proofErr w:type="spellEnd"/>
      <w:r w:rsidRPr="000745E9">
        <w:rPr>
          <w:rFonts w:ascii="Arial" w:hAnsi="Arial" w:cs="Arial"/>
        </w:rPr>
        <w:t xml:space="preserve">, F., Williams, T., Mandalia, D., Dennes, M., McManus, S., Savic, M., Treloar, W., Croft, K. and Ford, T. (2023) </w:t>
      </w:r>
      <w:r w:rsidRPr="000745E9">
        <w:rPr>
          <w:rFonts w:ascii="Arial" w:hAnsi="Arial" w:cs="Arial"/>
          <w:i/>
          <w:iCs/>
        </w:rPr>
        <w:t>Mental health of children and young people in England, 2023 — wave 4 follow up to the 2017 survey</w:t>
      </w:r>
      <w:r w:rsidRPr="000745E9">
        <w:rPr>
          <w:rFonts w:ascii="Arial" w:hAnsi="Arial" w:cs="Arial"/>
        </w:rPr>
        <w:t xml:space="preserve">. Leeds: NHS England. Available at: </w:t>
      </w:r>
      <w:hyperlink r:id="rId51" w:history="1">
        <w:r w:rsidRPr="000745E9">
          <w:rPr>
            <w:rStyle w:val="Hyperlink"/>
            <w:rFonts w:ascii="Arial" w:hAnsi="Arial" w:cs="Arial"/>
          </w:rPr>
          <w:t>https://digital.nhs.uk/data-and-information/publications/statistical/mental-health-of-children-and-young-people-in-england/2023-wave-4-follow-up</w:t>
        </w:r>
      </w:hyperlink>
      <w:r w:rsidRPr="000745E9">
        <w:rPr>
          <w:rFonts w:ascii="Arial" w:hAnsi="Arial" w:cs="Arial"/>
        </w:rPr>
        <w:t xml:space="preserve"> (Accessed: 9 July 2026).</w:t>
      </w:r>
    </w:p>
    <w:p w14:paraId="680AF4D3" w14:textId="77777777" w:rsidR="00780ADC" w:rsidRPr="000745E9" w:rsidRDefault="00780ADC" w:rsidP="000745E9">
      <w:pPr>
        <w:spacing w:line="360" w:lineRule="auto"/>
        <w:rPr>
          <w:rFonts w:ascii="Arial" w:hAnsi="Arial" w:cs="Arial"/>
        </w:rPr>
      </w:pPr>
      <w:r w:rsidRPr="000745E9">
        <w:rPr>
          <w:rFonts w:ascii="Arial" w:hAnsi="Arial" w:cs="Arial"/>
        </w:rPr>
        <w:t xml:space="preserve">NHS Digital (2020) </w:t>
      </w:r>
      <w:r w:rsidRPr="000745E9">
        <w:rPr>
          <w:rFonts w:ascii="Arial" w:hAnsi="Arial" w:cs="Arial"/>
          <w:i/>
          <w:iCs/>
        </w:rPr>
        <w:t>Mental health of children and young people in England, 2020: wave 1 follow up to the 2017 survey</w:t>
      </w:r>
      <w:r w:rsidRPr="000745E9">
        <w:rPr>
          <w:rFonts w:ascii="Arial" w:hAnsi="Arial" w:cs="Arial"/>
        </w:rPr>
        <w:t xml:space="preserve">. Available at: </w:t>
      </w:r>
      <w:hyperlink r:id="rId52" w:history="1">
        <w:r w:rsidRPr="000745E9">
          <w:rPr>
            <w:rStyle w:val="Hyperlink"/>
            <w:rFonts w:ascii="Arial" w:hAnsi="Arial" w:cs="Arial"/>
          </w:rPr>
          <w:t>https://digital.nhs.uk/data-and-information/publications/statistical/mental-health-of-children-and-young-people-in-england</w:t>
        </w:r>
      </w:hyperlink>
      <w:r w:rsidRPr="000745E9">
        <w:rPr>
          <w:rFonts w:ascii="Arial" w:hAnsi="Arial" w:cs="Arial"/>
        </w:rPr>
        <w:t xml:space="preserve"> (Accessed: 3 August 2026).</w:t>
      </w:r>
    </w:p>
    <w:p w14:paraId="075F3FB6" w14:textId="77777777" w:rsidR="00780ADC" w:rsidRPr="000745E9" w:rsidRDefault="00780ADC" w:rsidP="000745E9">
      <w:pPr>
        <w:spacing w:line="360" w:lineRule="auto"/>
        <w:rPr>
          <w:rFonts w:ascii="Arial" w:hAnsi="Arial" w:cs="Arial"/>
        </w:rPr>
      </w:pPr>
      <w:r w:rsidRPr="000745E9">
        <w:rPr>
          <w:rFonts w:ascii="Arial" w:hAnsi="Arial" w:cs="Arial"/>
        </w:rPr>
        <w:t xml:space="preserve">NHS England (2016) </w:t>
      </w:r>
      <w:r w:rsidRPr="000745E9">
        <w:rPr>
          <w:rFonts w:ascii="Arial" w:hAnsi="Arial" w:cs="Arial"/>
          <w:i/>
          <w:iCs/>
        </w:rPr>
        <w:t>Five Year Forward View for Mental Health: a report from the independent Mental Health Taskforce to the NHS in England</w:t>
      </w:r>
      <w:r w:rsidRPr="000745E9">
        <w:rPr>
          <w:rFonts w:ascii="Arial" w:hAnsi="Arial" w:cs="Arial"/>
        </w:rPr>
        <w:t xml:space="preserve">. London: NHS England. Available at: </w:t>
      </w:r>
      <w:hyperlink r:id="rId53" w:history="1">
        <w:r w:rsidRPr="000745E9">
          <w:rPr>
            <w:rStyle w:val="Hyperlink"/>
            <w:rFonts w:ascii="Arial" w:hAnsi="Arial" w:cs="Arial"/>
          </w:rPr>
          <w:t>https://www.england.nhs.uk/wp-content/uploads/2016/02/Mental-Health-Taskforce-FYFV-final.pdf</w:t>
        </w:r>
      </w:hyperlink>
      <w:r w:rsidRPr="000745E9">
        <w:rPr>
          <w:rFonts w:ascii="Arial" w:hAnsi="Arial" w:cs="Arial"/>
        </w:rPr>
        <w:t xml:space="preserve"> (Accessed: 30 June 2026).</w:t>
      </w:r>
    </w:p>
    <w:p w14:paraId="6C1BE2A9" w14:textId="77777777" w:rsidR="00780ADC" w:rsidRPr="000745E9" w:rsidRDefault="00780ADC" w:rsidP="000745E9">
      <w:pPr>
        <w:spacing w:line="360" w:lineRule="auto"/>
        <w:rPr>
          <w:rFonts w:ascii="Arial" w:hAnsi="Arial" w:cs="Arial"/>
        </w:rPr>
      </w:pPr>
      <w:r w:rsidRPr="000745E9">
        <w:rPr>
          <w:rFonts w:ascii="Arial" w:hAnsi="Arial" w:cs="Arial"/>
        </w:rPr>
        <w:t xml:space="preserve">NHS England (2019a) </w:t>
      </w:r>
      <w:r w:rsidRPr="000745E9">
        <w:rPr>
          <w:rFonts w:ascii="Arial" w:hAnsi="Arial" w:cs="Arial"/>
          <w:i/>
          <w:iCs/>
        </w:rPr>
        <w:t>The NHS Long-Term Plan</w:t>
      </w:r>
      <w:r w:rsidRPr="000745E9">
        <w:rPr>
          <w:rFonts w:ascii="Arial" w:hAnsi="Arial" w:cs="Arial"/>
        </w:rPr>
        <w:t xml:space="preserve">. Available at: </w:t>
      </w:r>
      <w:hyperlink r:id="rId54" w:history="1">
        <w:r w:rsidRPr="000745E9">
          <w:rPr>
            <w:rStyle w:val="Hyperlink"/>
            <w:rFonts w:ascii="Arial" w:hAnsi="Arial" w:cs="Arial"/>
          </w:rPr>
          <w:t>https://www.longtermplan.nhs.uk/</w:t>
        </w:r>
      </w:hyperlink>
      <w:r w:rsidRPr="000745E9">
        <w:rPr>
          <w:rFonts w:ascii="Arial" w:hAnsi="Arial" w:cs="Arial"/>
        </w:rPr>
        <w:t xml:space="preserve"> (Accessed: 14 July 2026).</w:t>
      </w:r>
    </w:p>
    <w:p w14:paraId="04D35A6B" w14:textId="77777777" w:rsidR="00780ADC" w:rsidRPr="000745E9" w:rsidRDefault="00780ADC" w:rsidP="000745E9">
      <w:pPr>
        <w:spacing w:line="360" w:lineRule="auto"/>
        <w:rPr>
          <w:rFonts w:ascii="Arial" w:hAnsi="Arial" w:cs="Arial"/>
        </w:rPr>
      </w:pPr>
      <w:r w:rsidRPr="000745E9">
        <w:rPr>
          <w:rFonts w:ascii="Arial" w:hAnsi="Arial" w:cs="Arial"/>
        </w:rPr>
        <w:t xml:space="preserve">NHS England (2019b) </w:t>
      </w:r>
      <w:r w:rsidRPr="000745E9">
        <w:rPr>
          <w:rFonts w:ascii="Arial" w:hAnsi="Arial" w:cs="Arial"/>
          <w:i/>
          <w:iCs/>
        </w:rPr>
        <w:t>NHS Mental Health Implementation Plan 2019/20–2023/24</w:t>
      </w:r>
      <w:r w:rsidRPr="000745E9">
        <w:rPr>
          <w:rFonts w:ascii="Arial" w:hAnsi="Arial" w:cs="Arial"/>
        </w:rPr>
        <w:t xml:space="preserve">. Available at: </w:t>
      </w:r>
      <w:hyperlink r:id="rId55" w:history="1">
        <w:r w:rsidRPr="000745E9">
          <w:rPr>
            <w:rStyle w:val="Hyperlink"/>
            <w:rFonts w:ascii="Arial" w:hAnsi="Arial" w:cs="Arial"/>
          </w:rPr>
          <w:t>https://www.england.nhs.uk/wp-content/uploads/2022/07/nhs-mental-health-implementation-plan-2019-20-2023-24.pdf</w:t>
        </w:r>
      </w:hyperlink>
      <w:r w:rsidRPr="000745E9">
        <w:rPr>
          <w:rFonts w:ascii="Arial" w:hAnsi="Arial" w:cs="Arial"/>
        </w:rPr>
        <w:t xml:space="preserve"> (Accessed: 18 July 2026).</w:t>
      </w:r>
    </w:p>
    <w:p w14:paraId="3B407970" w14:textId="77777777" w:rsidR="00780ADC" w:rsidRPr="000745E9" w:rsidRDefault="00780ADC" w:rsidP="000745E9">
      <w:pPr>
        <w:spacing w:line="360" w:lineRule="auto"/>
        <w:rPr>
          <w:rFonts w:ascii="Arial" w:hAnsi="Arial" w:cs="Arial"/>
        </w:rPr>
      </w:pPr>
      <w:r w:rsidRPr="000745E9">
        <w:rPr>
          <w:rFonts w:ascii="Arial" w:hAnsi="Arial" w:cs="Arial"/>
        </w:rPr>
        <w:t xml:space="preserve">NHS England (2023) </w:t>
      </w:r>
      <w:r w:rsidRPr="000745E9">
        <w:rPr>
          <w:rFonts w:ascii="Arial" w:hAnsi="Arial" w:cs="Arial"/>
          <w:i/>
          <w:iCs/>
        </w:rPr>
        <w:t>NHS Long Term Workforce Plan</w:t>
      </w:r>
      <w:r w:rsidRPr="000745E9">
        <w:rPr>
          <w:rFonts w:ascii="Arial" w:hAnsi="Arial" w:cs="Arial"/>
        </w:rPr>
        <w:t xml:space="preserve">. Available at: </w:t>
      </w:r>
      <w:hyperlink r:id="rId56" w:history="1">
        <w:r w:rsidRPr="000745E9">
          <w:rPr>
            <w:rStyle w:val="Hyperlink"/>
            <w:rFonts w:ascii="Arial" w:hAnsi="Arial" w:cs="Arial"/>
          </w:rPr>
          <w:t>https://www.england.nhs.uk/publication/nhs-long-term-workforce-plan/</w:t>
        </w:r>
      </w:hyperlink>
      <w:r w:rsidRPr="000745E9">
        <w:rPr>
          <w:rFonts w:ascii="Arial" w:hAnsi="Arial" w:cs="Arial"/>
        </w:rPr>
        <w:t xml:space="preserve"> (Accessed: 14 August 2026).</w:t>
      </w:r>
    </w:p>
    <w:p w14:paraId="337F8ADD" w14:textId="77777777" w:rsidR="00780ADC" w:rsidRPr="000745E9" w:rsidRDefault="00780ADC" w:rsidP="000745E9">
      <w:pPr>
        <w:spacing w:line="360" w:lineRule="auto"/>
        <w:rPr>
          <w:rFonts w:ascii="Arial" w:hAnsi="Arial" w:cs="Arial"/>
        </w:rPr>
      </w:pPr>
      <w:r w:rsidRPr="000745E9">
        <w:rPr>
          <w:rFonts w:ascii="Arial" w:hAnsi="Arial" w:cs="Arial"/>
        </w:rPr>
        <w:t xml:space="preserve">Nuffield Trust (2025) </w:t>
      </w:r>
      <w:r w:rsidRPr="000745E9">
        <w:rPr>
          <w:rFonts w:ascii="Arial" w:hAnsi="Arial" w:cs="Arial"/>
          <w:i/>
          <w:iCs/>
        </w:rPr>
        <w:t>How will waiting times in community health services affect the shift towards neighbourhood health?</w:t>
      </w:r>
      <w:r w:rsidRPr="000745E9">
        <w:rPr>
          <w:rFonts w:ascii="Arial" w:hAnsi="Arial" w:cs="Arial"/>
        </w:rPr>
        <w:t xml:space="preserve"> Available at: </w:t>
      </w:r>
      <w:hyperlink r:id="rId57" w:history="1">
        <w:r w:rsidRPr="000745E9">
          <w:rPr>
            <w:rStyle w:val="Hyperlink"/>
            <w:rFonts w:ascii="Arial" w:hAnsi="Arial" w:cs="Arial"/>
          </w:rPr>
          <w:t>https://www.nuffieldtrust.org.uk/resource/how-will-waiting-times-in-community-health-services-affect-the-shift-towards-neighbourhood-health</w:t>
        </w:r>
      </w:hyperlink>
      <w:r w:rsidRPr="000745E9">
        <w:rPr>
          <w:rFonts w:ascii="Arial" w:hAnsi="Arial" w:cs="Arial"/>
        </w:rPr>
        <w:t xml:space="preserve"> (Accessed: 6 August 2026).</w:t>
      </w:r>
    </w:p>
    <w:p w14:paraId="3EFF1D92" w14:textId="77777777" w:rsidR="00780ADC" w:rsidRPr="000745E9" w:rsidRDefault="00780ADC" w:rsidP="000745E9">
      <w:pPr>
        <w:spacing w:line="360" w:lineRule="auto"/>
        <w:rPr>
          <w:rFonts w:ascii="Arial" w:hAnsi="Arial" w:cs="Arial"/>
        </w:rPr>
      </w:pPr>
      <w:r w:rsidRPr="000745E9">
        <w:rPr>
          <w:rFonts w:ascii="Arial" w:hAnsi="Arial" w:cs="Arial"/>
        </w:rPr>
        <w:t xml:space="preserve">O'Brien, D., Harvey, K., Howse, J., Reardon, T. and Creswell, C. (2016) 'Barriers to managing child and adolescent mental health problems: a systematic review of primary care practitioners' perceptions', </w:t>
      </w:r>
      <w:r w:rsidRPr="000745E9">
        <w:rPr>
          <w:rFonts w:ascii="Arial" w:hAnsi="Arial" w:cs="Arial"/>
          <w:i/>
          <w:iCs/>
        </w:rPr>
        <w:t>British Journal of General Practice</w:t>
      </w:r>
      <w:r w:rsidRPr="000745E9">
        <w:rPr>
          <w:rFonts w:ascii="Arial" w:hAnsi="Arial" w:cs="Arial"/>
        </w:rPr>
        <w:t xml:space="preserve">, 66(651), pp. e693–e707. </w:t>
      </w:r>
      <w:hyperlink r:id="rId58" w:history="1">
        <w:r w:rsidRPr="000745E9">
          <w:rPr>
            <w:rStyle w:val="Hyperlink"/>
            <w:rFonts w:ascii="Arial" w:hAnsi="Arial" w:cs="Arial"/>
          </w:rPr>
          <w:t>https://doi.org/10.3399/bjgp16X687061</w:t>
        </w:r>
      </w:hyperlink>
    </w:p>
    <w:p w14:paraId="5C1E4959" w14:textId="77777777" w:rsidR="00780ADC" w:rsidRPr="000745E9" w:rsidRDefault="00780ADC" w:rsidP="000745E9">
      <w:pPr>
        <w:spacing w:line="360" w:lineRule="auto"/>
        <w:rPr>
          <w:rFonts w:ascii="Arial" w:hAnsi="Arial" w:cs="Arial"/>
        </w:rPr>
      </w:pPr>
      <w:r w:rsidRPr="000745E9">
        <w:rPr>
          <w:rFonts w:ascii="Arial" w:hAnsi="Arial" w:cs="Arial"/>
        </w:rPr>
        <w:lastRenderedPageBreak/>
        <w:t xml:space="preserve">O'Halloran, J. and Gandon, A. (2025) </w:t>
      </w:r>
      <w:r w:rsidRPr="000745E9">
        <w:rPr>
          <w:rFonts w:ascii="Arial" w:hAnsi="Arial" w:cs="Arial"/>
          <w:i/>
          <w:iCs/>
        </w:rPr>
        <w:t>Fixing the foundations: the case for investing in children's health</w:t>
      </w:r>
      <w:r w:rsidRPr="000745E9">
        <w:rPr>
          <w:rFonts w:ascii="Arial" w:hAnsi="Arial" w:cs="Arial"/>
        </w:rPr>
        <w:t xml:space="preserve">. London: Institute for Public Policy Research. Available at: </w:t>
      </w:r>
      <w:hyperlink r:id="rId59" w:history="1">
        <w:r w:rsidRPr="000745E9">
          <w:rPr>
            <w:rStyle w:val="Hyperlink"/>
            <w:rFonts w:ascii="Arial" w:hAnsi="Arial" w:cs="Arial"/>
          </w:rPr>
          <w:t>https://www.ippr.org/articles/fixing-the-foundations</w:t>
        </w:r>
      </w:hyperlink>
      <w:r w:rsidRPr="000745E9">
        <w:rPr>
          <w:rFonts w:ascii="Arial" w:hAnsi="Arial" w:cs="Arial"/>
        </w:rPr>
        <w:t xml:space="preserve"> (Accessed: 30 June 2026).</w:t>
      </w:r>
    </w:p>
    <w:p w14:paraId="10F0B6F9" w14:textId="77777777" w:rsidR="00780ADC" w:rsidRPr="000745E9" w:rsidRDefault="00780ADC" w:rsidP="000745E9">
      <w:pPr>
        <w:spacing w:line="360" w:lineRule="auto"/>
        <w:rPr>
          <w:rFonts w:ascii="Arial" w:hAnsi="Arial" w:cs="Arial"/>
        </w:rPr>
      </w:pPr>
      <w:r w:rsidRPr="000745E9">
        <w:rPr>
          <w:rFonts w:ascii="Arial" w:hAnsi="Arial" w:cs="Arial"/>
        </w:rPr>
        <w:t xml:space="preserve">Page, M.J., McKenzie, J.E., Bossuyt, P.M., Boutron, I., Hoffmann, T.C., Mulrow, C.D. et al. (2021) 'The PRISMA 2020 statement: an updated guideline for reporting systematic reviews', </w:t>
      </w:r>
      <w:r w:rsidRPr="000745E9">
        <w:rPr>
          <w:rFonts w:ascii="Arial" w:hAnsi="Arial" w:cs="Arial"/>
          <w:i/>
          <w:iCs/>
        </w:rPr>
        <w:t>BMJ</w:t>
      </w:r>
      <w:r w:rsidRPr="000745E9">
        <w:rPr>
          <w:rFonts w:ascii="Arial" w:hAnsi="Arial" w:cs="Arial"/>
        </w:rPr>
        <w:t xml:space="preserve">, 372, n71. </w:t>
      </w:r>
      <w:hyperlink r:id="rId60" w:history="1">
        <w:r w:rsidRPr="000745E9">
          <w:rPr>
            <w:rStyle w:val="Hyperlink"/>
            <w:rFonts w:ascii="Arial" w:hAnsi="Arial" w:cs="Arial"/>
          </w:rPr>
          <w:t>https://doi.org/10.1136/bmj.n71</w:t>
        </w:r>
      </w:hyperlink>
    </w:p>
    <w:p w14:paraId="7DA8278D" w14:textId="77777777" w:rsidR="00780ADC" w:rsidRPr="000745E9" w:rsidRDefault="00780ADC" w:rsidP="000745E9">
      <w:pPr>
        <w:spacing w:line="360" w:lineRule="auto"/>
        <w:rPr>
          <w:rFonts w:ascii="Arial" w:hAnsi="Arial" w:cs="Arial"/>
        </w:rPr>
      </w:pPr>
      <w:r w:rsidRPr="000745E9">
        <w:rPr>
          <w:rFonts w:ascii="Arial" w:hAnsi="Arial" w:cs="Arial"/>
        </w:rPr>
        <w:t xml:space="preserve">Parliamentary Office of Science and Technology (2025) </w:t>
      </w:r>
      <w:r w:rsidRPr="000745E9">
        <w:rPr>
          <w:rFonts w:ascii="Arial" w:hAnsi="Arial" w:cs="Arial"/>
          <w:i/>
          <w:iCs/>
        </w:rPr>
        <w:t>Children and young people's health and social care</w:t>
      </w:r>
      <w:r w:rsidRPr="000745E9">
        <w:rPr>
          <w:rFonts w:ascii="Arial" w:hAnsi="Arial" w:cs="Arial"/>
        </w:rPr>
        <w:t xml:space="preserve">. Available at: </w:t>
      </w:r>
      <w:hyperlink r:id="rId61" w:history="1">
        <w:r w:rsidRPr="000745E9">
          <w:rPr>
            <w:rStyle w:val="Hyperlink"/>
            <w:rFonts w:ascii="Arial" w:hAnsi="Arial" w:cs="Arial"/>
          </w:rPr>
          <w:t>https://post.parliament.uk/children-and-young-peoples-health-and-social-care/</w:t>
        </w:r>
      </w:hyperlink>
      <w:r w:rsidRPr="000745E9">
        <w:rPr>
          <w:rFonts w:ascii="Arial" w:hAnsi="Arial" w:cs="Arial"/>
        </w:rPr>
        <w:t xml:space="preserve"> (Accessed: 20 July 2026).</w:t>
      </w:r>
    </w:p>
    <w:p w14:paraId="370235CC" w14:textId="77777777" w:rsidR="00780ADC" w:rsidRPr="000745E9" w:rsidRDefault="00780ADC" w:rsidP="000745E9">
      <w:pPr>
        <w:spacing w:line="360" w:lineRule="auto"/>
        <w:rPr>
          <w:rFonts w:ascii="Arial" w:hAnsi="Arial" w:cs="Arial"/>
        </w:rPr>
      </w:pPr>
      <w:r w:rsidRPr="000745E9">
        <w:rPr>
          <w:rFonts w:ascii="Arial" w:hAnsi="Arial" w:cs="Arial"/>
        </w:rPr>
        <w:t xml:space="preserve">Peytrignet, S. and Grimm, F. (2022) 'Children and young people's mental health in England, Scotland and Wales — case studies using linked data from the Networked Data Lab', </w:t>
      </w:r>
      <w:r w:rsidRPr="000745E9">
        <w:rPr>
          <w:rFonts w:ascii="Arial" w:hAnsi="Arial" w:cs="Arial"/>
          <w:i/>
          <w:iCs/>
        </w:rPr>
        <w:t>International Journal of Population Data Science</w:t>
      </w:r>
      <w:r w:rsidRPr="000745E9">
        <w:rPr>
          <w:rFonts w:ascii="Arial" w:hAnsi="Arial" w:cs="Arial"/>
        </w:rPr>
        <w:t xml:space="preserve">, 7(3), 1866. </w:t>
      </w:r>
      <w:hyperlink r:id="rId62" w:history="1">
        <w:r w:rsidRPr="000745E9">
          <w:rPr>
            <w:rStyle w:val="Hyperlink"/>
            <w:rFonts w:ascii="Arial" w:hAnsi="Arial" w:cs="Arial"/>
          </w:rPr>
          <w:t>https://doi.org/10.23889/ijpds.v7i3.1866</w:t>
        </w:r>
      </w:hyperlink>
    </w:p>
    <w:p w14:paraId="6AD6AA66" w14:textId="77777777" w:rsidR="00780ADC" w:rsidRPr="000745E9" w:rsidRDefault="00780ADC" w:rsidP="000745E9">
      <w:pPr>
        <w:spacing w:line="360" w:lineRule="auto"/>
        <w:rPr>
          <w:rFonts w:ascii="Arial" w:hAnsi="Arial" w:cs="Arial"/>
        </w:rPr>
      </w:pPr>
      <w:r w:rsidRPr="000745E9">
        <w:rPr>
          <w:rFonts w:ascii="Arial" w:hAnsi="Arial" w:cs="Arial"/>
        </w:rPr>
        <w:t xml:space="preserve">Rocks, S., Glogowska, M., Stepney, M., </w:t>
      </w:r>
      <w:proofErr w:type="spellStart"/>
      <w:r w:rsidRPr="000745E9">
        <w:rPr>
          <w:rFonts w:ascii="Arial" w:hAnsi="Arial" w:cs="Arial"/>
        </w:rPr>
        <w:t>Tsiachristas</w:t>
      </w:r>
      <w:proofErr w:type="spellEnd"/>
      <w:r w:rsidRPr="000745E9">
        <w:rPr>
          <w:rFonts w:ascii="Arial" w:hAnsi="Arial" w:cs="Arial"/>
        </w:rPr>
        <w:t xml:space="preserve">, A. and Fazel, M. (2020) 'Introducing a single point of access (SPA) to child and adolescent mental health services in England: a mixed-methods observational study', </w:t>
      </w:r>
      <w:r w:rsidRPr="000745E9">
        <w:rPr>
          <w:rFonts w:ascii="Arial" w:hAnsi="Arial" w:cs="Arial"/>
          <w:i/>
          <w:iCs/>
        </w:rPr>
        <w:t>BMC Health Services Research</w:t>
      </w:r>
      <w:r w:rsidRPr="000745E9">
        <w:rPr>
          <w:rFonts w:ascii="Arial" w:hAnsi="Arial" w:cs="Arial"/>
        </w:rPr>
        <w:t xml:space="preserve">, 20(1), 623. </w:t>
      </w:r>
      <w:hyperlink r:id="rId63" w:history="1">
        <w:r w:rsidRPr="000745E9">
          <w:rPr>
            <w:rStyle w:val="Hyperlink"/>
            <w:rFonts w:ascii="Arial" w:hAnsi="Arial" w:cs="Arial"/>
          </w:rPr>
          <w:t>https://doi.org/10.1186/s12913-020-05463-4</w:t>
        </w:r>
      </w:hyperlink>
    </w:p>
    <w:p w14:paraId="4853FC59" w14:textId="77777777" w:rsidR="00780ADC" w:rsidRPr="000745E9" w:rsidRDefault="00780ADC" w:rsidP="000745E9">
      <w:pPr>
        <w:spacing w:line="360" w:lineRule="auto"/>
        <w:rPr>
          <w:rFonts w:ascii="Arial" w:hAnsi="Arial" w:cs="Arial"/>
        </w:rPr>
      </w:pPr>
      <w:r w:rsidRPr="000745E9">
        <w:rPr>
          <w:rFonts w:ascii="Arial" w:hAnsi="Arial" w:cs="Arial"/>
        </w:rPr>
        <w:t xml:space="preserve">Royal College of Psychiatrists (2024) </w:t>
      </w:r>
      <w:r w:rsidRPr="000745E9">
        <w:rPr>
          <w:rFonts w:ascii="Arial" w:hAnsi="Arial" w:cs="Arial"/>
          <w:i/>
          <w:iCs/>
        </w:rPr>
        <w:t>Children's mental health crisis deepens: severe shortage of psychiatrists to meet growing demand</w:t>
      </w:r>
      <w:r w:rsidRPr="000745E9">
        <w:rPr>
          <w:rFonts w:ascii="Arial" w:hAnsi="Arial" w:cs="Arial"/>
        </w:rPr>
        <w:t xml:space="preserve">. Available at: </w:t>
      </w:r>
      <w:hyperlink r:id="rId64" w:history="1">
        <w:r w:rsidRPr="000745E9">
          <w:rPr>
            <w:rStyle w:val="Hyperlink"/>
            <w:rFonts w:ascii="Arial" w:hAnsi="Arial" w:cs="Arial"/>
          </w:rPr>
          <w:t>https://www.rcpsych.ac.uk/news-and-features/latest-news/detail/2024/11/28/children-s-mental-health-crisis-deepens--severe-shortage-of-psychiatrists-to-meet-growing-demand</w:t>
        </w:r>
      </w:hyperlink>
      <w:r w:rsidRPr="000745E9">
        <w:rPr>
          <w:rFonts w:ascii="Arial" w:hAnsi="Arial" w:cs="Arial"/>
        </w:rPr>
        <w:t xml:space="preserve"> (Accessed: 29 July 2026).</w:t>
      </w:r>
    </w:p>
    <w:p w14:paraId="5904AE62" w14:textId="77777777" w:rsidR="00780ADC" w:rsidRPr="000745E9" w:rsidRDefault="00780ADC" w:rsidP="000745E9">
      <w:pPr>
        <w:spacing w:line="360" w:lineRule="auto"/>
        <w:rPr>
          <w:rFonts w:ascii="Arial" w:hAnsi="Arial" w:cs="Arial"/>
        </w:rPr>
      </w:pPr>
      <w:r w:rsidRPr="000745E9">
        <w:rPr>
          <w:rFonts w:ascii="Arial" w:hAnsi="Arial" w:cs="Arial"/>
        </w:rPr>
        <w:t xml:space="preserve">Royal College of Psychiatrists (2026) </w:t>
      </w:r>
      <w:r w:rsidRPr="000745E9">
        <w:rPr>
          <w:rFonts w:ascii="Arial" w:hAnsi="Arial" w:cs="Arial"/>
          <w:i/>
          <w:iCs/>
        </w:rPr>
        <w:t>One consultant psychiatrist for every 2,500 people who will experience a mental illness each year in England, latest census shows</w:t>
      </w:r>
      <w:r w:rsidRPr="000745E9">
        <w:rPr>
          <w:rFonts w:ascii="Arial" w:hAnsi="Arial" w:cs="Arial"/>
        </w:rPr>
        <w:t xml:space="preserve">. Available at: </w:t>
      </w:r>
      <w:hyperlink r:id="rId65" w:history="1">
        <w:r w:rsidRPr="000745E9">
          <w:rPr>
            <w:rStyle w:val="Hyperlink"/>
            <w:rFonts w:ascii="Arial" w:hAnsi="Arial" w:cs="Arial"/>
          </w:rPr>
          <w:t>https://www.rcpsych.ac.uk/news-and-features/latest-news/detail/2026/03/13/one-consultant-psychiatrist-for-every-2-500-people-who-will-experience-a-mental-illness-each-year-in-england--latest-census-shows</w:t>
        </w:r>
      </w:hyperlink>
      <w:r w:rsidRPr="000745E9">
        <w:rPr>
          <w:rFonts w:ascii="Arial" w:hAnsi="Arial" w:cs="Arial"/>
        </w:rPr>
        <w:t xml:space="preserve"> (Accessed: 14 August 2026).</w:t>
      </w:r>
    </w:p>
    <w:p w14:paraId="23A2CD74" w14:textId="77777777" w:rsidR="00780ADC" w:rsidRPr="000745E9" w:rsidRDefault="00780ADC" w:rsidP="000745E9">
      <w:pPr>
        <w:spacing w:line="360" w:lineRule="auto"/>
        <w:rPr>
          <w:rFonts w:ascii="Arial" w:hAnsi="Arial" w:cs="Arial"/>
        </w:rPr>
      </w:pPr>
      <w:proofErr w:type="spellStart"/>
      <w:r w:rsidRPr="000745E9">
        <w:rPr>
          <w:rFonts w:ascii="Arial" w:hAnsi="Arial" w:cs="Arial"/>
        </w:rPr>
        <w:t>Svirydzenka</w:t>
      </w:r>
      <w:proofErr w:type="spellEnd"/>
      <w:r w:rsidRPr="000745E9">
        <w:rPr>
          <w:rFonts w:ascii="Arial" w:hAnsi="Arial" w:cs="Arial"/>
        </w:rPr>
        <w:t xml:space="preserve">, N., Ronzoni, P. and Dogra, N. (2017) 'Meaning and barriers to quality care service provision in Child and Adolescent Mental Health Services: qualitative </w:t>
      </w:r>
      <w:r w:rsidRPr="000745E9">
        <w:rPr>
          <w:rFonts w:ascii="Arial" w:hAnsi="Arial" w:cs="Arial"/>
        </w:rPr>
        <w:lastRenderedPageBreak/>
        <w:t xml:space="preserve">study of stakeholder perspectives', </w:t>
      </w:r>
      <w:r w:rsidRPr="000745E9">
        <w:rPr>
          <w:rFonts w:ascii="Arial" w:hAnsi="Arial" w:cs="Arial"/>
          <w:i/>
          <w:iCs/>
        </w:rPr>
        <w:t>BMC Health Services Research</w:t>
      </w:r>
      <w:r w:rsidRPr="000745E9">
        <w:rPr>
          <w:rFonts w:ascii="Arial" w:hAnsi="Arial" w:cs="Arial"/>
        </w:rPr>
        <w:t xml:space="preserve">, 17(1), 151. </w:t>
      </w:r>
      <w:hyperlink r:id="rId66" w:history="1">
        <w:r w:rsidRPr="000745E9">
          <w:rPr>
            <w:rStyle w:val="Hyperlink"/>
            <w:rFonts w:ascii="Arial" w:hAnsi="Arial" w:cs="Arial"/>
          </w:rPr>
          <w:t>https://doi.org/10.1186/s12913-017-2080-z</w:t>
        </w:r>
      </w:hyperlink>
    </w:p>
    <w:p w14:paraId="37B0AB8A" w14:textId="77777777" w:rsidR="00780ADC" w:rsidRPr="000745E9" w:rsidRDefault="00780ADC" w:rsidP="000745E9">
      <w:pPr>
        <w:spacing w:line="360" w:lineRule="auto"/>
        <w:rPr>
          <w:rFonts w:ascii="Arial" w:hAnsi="Arial" w:cs="Arial"/>
        </w:rPr>
      </w:pPr>
      <w:r w:rsidRPr="000745E9">
        <w:rPr>
          <w:rFonts w:ascii="Arial" w:hAnsi="Arial" w:cs="Arial"/>
        </w:rPr>
        <w:t xml:space="preserve">Thomson, L., Newman, K., Ewart, C., Bhardwaj, A., Dubicka, B., Marshall, T., Gledhill, J., Lang, A., Sprange, K. and Sayal, K. (2025) 'Barriers and facilitators to using standardised diagnostic assessments in child and adolescent mental health services: a qualitative process evaluation of the STADIA trial', </w:t>
      </w:r>
      <w:r w:rsidRPr="000745E9">
        <w:rPr>
          <w:rFonts w:ascii="Arial" w:hAnsi="Arial" w:cs="Arial"/>
          <w:i/>
          <w:iCs/>
        </w:rPr>
        <w:t>European Child and Adolescent Psychiatry</w:t>
      </w:r>
      <w:r w:rsidRPr="000745E9">
        <w:rPr>
          <w:rFonts w:ascii="Arial" w:hAnsi="Arial" w:cs="Arial"/>
        </w:rPr>
        <w:t xml:space="preserve">, 34(9), pp. 2763–2777. </w:t>
      </w:r>
      <w:hyperlink r:id="rId67" w:history="1">
        <w:r w:rsidRPr="000745E9">
          <w:rPr>
            <w:rStyle w:val="Hyperlink"/>
            <w:rFonts w:ascii="Arial" w:hAnsi="Arial" w:cs="Arial"/>
          </w:rPr>
          <w:t>https://doi.org/10.1007/s00787-025-02678-w</w:t>
        </w:r>
      </w:hyperlink>
    </w:p>
    <w:p w14:paraId="0FB1A327" w14:textId="77777777" w:rsidR="00780ADC" w:rsidRPr="000745E9" w:rsidRDefault="00780ADC" w:rsidP="000745E9">
      <w:pPr>
        <w:spacing w:line="360" w:lineRule="auto"/>
        <w:rPr>
          <w:rFonts w:ascii="Arial" w:hAnsi="Arial" w:cs="Arial"/>
        </w:rPr>
      </w:pPr>
      <w:r w:rsidRPr="000745E9">
        <w:rPr>
          <w:rFonts w:ascii="Arial" w:hAnsi="Arial" w:cs="Arial"/>
        </w:rPr>
        <w:t xml:space="preserve">Thorley, C. (2016) </w:t>
      </w:r>
      <w:r w:rsidRPr="000745E9">
        <w:rPr>
          <w:rFonts w:ascii="Arial" w:hAnsi="Arial" w:cs="Arial"/>
          <w:i/>
          <w:iCs/>
        </w:rPr>
        <w:t>Education, education, mental health: supporting secondary schools to play a central role in early intervention mental health services</w:t>
      </w:r>
      <w:r w:rsidRPr="000745E9">
        <w:rPr>
          <w:rFonts w:ascii="Arial" w:hAnsi="Arial" w:cs="Arial"/>
        </w:rPr>
        <w:t xml:space="preserve">. London: IPPR. Available at: </w:t>
      </w:r>
      <w:hyperlink r:id="rId68" w:history="1">
        <w:r w:rsidRPr="000745E9">
          <w:rPr>
            <w:rStyle w:val="Hyperlink"/>
            <w:rFonts w:ascii="Arial" w:hAnsi="Arial" w:cs="Arial"/>
          </w:rPr>
          <w:t>https://www.ippr.org/articles/education-education-mental-health</w:t>
        </w:r>
      </w:hyperlink>
      <w:r w:rsidRPr="000745E9">
        <w:rPr>
          <w:rFonts w:ascii="Arial" w:hAnsi="Arial" w:cs="Arial"/>
        </w:rPr>
        <w:t xml:space="preserve"> (Accessed: 13 July 2026).</w:t>
      </w:r>
    </w:p>
    <w:p w14:paraId="2CCCD6BA" w14:textId="77777777" w:rsidR="00780ADC" w:rsidRPr="000745E9" w:rsidRDefault="00780ADC" w:rsidP="000745E9">
      <w:pPr>
        <w:spacing w:line="360" w:lineRule="auto"/>
        <w:rPr>
          <w:rFonts w:ascii="Arial" w:hAnsi="Arial" w:cs="Arial"/>
        </w:rPr>
      </w:pPr>
      <w:r w:rsidRPr="000745E9">
        <w:rPr>
          <w:rFonts w:ascii="Arial" w:hAnsi="Arial" w:cs="Arial"/>
        </w:rPr>
        <w:t xml:space="preserve">Tyndall, J. (2010) </w:t>
      </w:r>
      <w:r w:rsidRPr="000745E9">
        <w:rPr>
          <w:rFonts w:ascii="Arial" w:hAnsi="Arial" w:cs="Arial"/>
          <w:i/>
          <w:iCs/>
        </w:rPr>
        <w:t>AACODS checklist</w:t>
      </w:r>
      <w:r w:rsidRPr="000745E9">
        <w:rPr>
          <w:rFonts w:ascii="Arial" w:hAnsi="Arial" w:cs="Arial"/>
        </w:rPr>
        <w:t xml:space="preserve">. Adelaide: Flinders University. Available at: </w:t>
      </w:r>
      <w:hyperlink r:id="rId69" w:history="1">
        <w:r w:rsidRPr="000745E9">
          <w:rPr>
            <w:rStyle w:val="Hyperlink"/>
            <w:rFonts w:ascii="Arial" w:hAnsi="Arial" w:cs="Arial"/>
          </w:rPr>
          <w:t>https://dspace.flinders.edu.au/xmlui/handle/2328/3326</w:t>
        </w:r>
      </w:hyperlink>
      <w:r w:rsidRPr="000745E9">
        <w:rPr>
          <w:rFonts w:ascii="Arial" w:hAnsi="Arial" w:cs="Arial"/>
        </w:rPr>
        <w:t xml:space="preserve"> (Accessed: 8 August 2026).</w:t>
      </w:r>
    </w:p>
    <w:p w14:paraId="495662F4" w14:textId="77777777" w:rsidR="00780ADC" w:rsidRPr="000745E9" w:rsidRDefault="00780ADC" w:rsidP="000745E9">
      <w:pPr>
        <w:spacing w:line="360" w:lineRule="auto"/>
        <w:rPr>
          <w:rFonts w:ascii="Arial" w:hAnsi="Arial" w:cs="Arial"/>
        </w:rPr>
      </w:pPr>
      <w:r w:rsidRPr="000745E9">
        <w:rPr>
          <w:rFonts w:ascii="Arial" w:hAnsi="Arial" w:cs="Arial"/>
        </w:rPr>
        <w:t xml:space="preserve">Valentine, A.Z., Hall, S.S., Sayal, K. and Hall, C.L. (2024) 'Waiting-list interventions for children and young people using CAMHS: a systematic review', </w:t>
      </w:r>
      <w:r w:rsidRPr="000745E9">
        <w:rPr>
          <w:rFonts w:ascii="Arial" w:hAnsi="Arial" w:cs="Arial"/>
          <w:i/>
          <w:iCs/>
        </w:rPr>
        <w:t>BMJ Mental Health</w:t>
      </w:r>
      <w:r w:rsidRPr="000745E9">
        <w:rPr>
          <w:rFonts w:ascii="Arial" w:hAnsi="Arial" w:cs="Arial"/>
        </w:rPr>
        <w:t xml:space="preserve">, 27(1), e300844. </w:t>
      </w:r>
      <w:hyperlink r:id="rId70" w:history="1">
        <w:r w:rsidRPr="000745E9">
          <w:rPr>
            <w:rStyle w:val="Hyperlink"/>
            <w:rFonts w:ascii="Arial" w:hAnsi="Arial" w:cs="Arial"/>
          </w:rPr>
          <w:t>https://doi.org/10.1136/bmjment-2023-300844</w:t>
        </w:r>
      </w:hyperlink>
    </w:p>
    <w:p w14:paraId="121F0C20" w14:textId="77777777" w:rsidR="00780ADC" w:rsidRPr="000745E9" w:rsidRDefault="00780ADC" w:rsidP="000745E9">
      <w:pPr>
        <w:spacing w:line="360" w:lineRule="auto"/>
        <w:rPr>
          <w:rFonts w:ascii="Arial" w:hAnsi="Arial" w:cs="Arial"/>
        </w:rPr>
      </w:pPr>
      <w:r w:rsidRPr="000745E9">
        <w:rPr>
          <w:rFonts w:ascii="Arial" w:hAnsi="Arial" w:cs="Arial"/>
        </w:rPr>
        <w:t xml:space="preserve">Wang, Z., Dou, Y., Yang, X., Guo, X., Ma, X., Zhou, B. and Zhang, W. (2025) 'Global, regional, and national burden of mental disorders among adolescents and young adults, 1990–2021: a systematic analysis for the Global Burden of Disease Study 2021', </w:t>
      </w:r>
      <w:r w:rsidRPr="000745E9">
        <w:rPr>
          <w:rFonts w:ascii="Arial" w:hAnsi="Arial" w:cs="Arial"/>
          <w:i/>
          <w:iCs/>
        </w:rPr>
        <w:t>Translational Psychiatry</w:t>
      </w:r>
      <w:r w:rsidRPr="000745E9">
        <w:rPr>
          <w:rFonts w:ascii="Arial" w:hAnsi="Arial" w:cs="Arial"/>
        </w:rPr>
        <w:t xml:space="preserve">, 15(1), 397. </w:t>
      </w:r>
      <w:hyperlink r:id="rId71" w:history="1">
        <w:r w:rsidRPr="000745E9">
          <w:rPr>
            <w:rStyle w:val="Hyperlink"/>
            <w:rFonts w:ascii="Arial" w:hAnsi="Arial" w:cs="Arial"/>
          </w:rPr>
          <w:t>https://doi.org/10.1038/s41398-025-03623-w</w:t>
        </w:r>
      </w:hyperlink>
    </w:p>
    <w:p w14:paraId="4C20E72A" w14:textId="77777777" w:rsidR="00780ADC" w:rsidRPr="000745E9" w:rsidRDefault="00780ADC" w:rsidP="000745E9">
      <w:pPr>
        <w:spacing w:line="360" w:lineRule="auto"/>
        <w:rPr>
          <w:rFonts w:ascii="Arial" w:hAnsi="Arial" w:cs="Arial"/>
        </w:rPr>
      </w:pPr>
      <w:r w:rsidRPr="000745E9">
        <w:rPr>
          <w:rFonts w:ascii="Arial" w:hAnsi="Arial" w:cs="Arial"/>
        </w:rPr>
        <w:t xml:space="preserve">Wells, G.A., Shea, B., O'Connell, D., Peterson, J., Welch, V., </w:t>
      </w:r>
      <w:proofErr w:type="spellStart"/>
      <w:r w:rsidRPr="000745E9">
        <w:rPr>
          <w:rFonts w:ascii="Arial" w:hAnsi="Arial" w:cs="Arial"/>
        </w:rPr>
        <w:t>Losos</w:t>
      </w:r>
      <w:proofErr w:type="spellEnd"/>
      <w:r w:rsidRPr="000745E9">
        <w:rPr>
          <w:rFonts w:ascii="Arial" w:hAnsi="Arial" w:cs="Arial"/>
        </w:rPr>
        <w:t xml:space="preserve">, M. and Tugwell, P. (2020) </w:t>
      </w:r>
      <w:r w:rsidRPr="000745E9">
        <w:rPr>
          <w:rFonts w:ascii="Arial" w:hAnsi="Arial" w:cs="Arial"/>
          <w:i/>
          <w:iCs/>
        </w:rPr>
        <w:t>The Newcastle-Ottawa Scale (NOS) for assessing the quality of non-randomized studies in meta-analyses</w:t>
      </w:r>
      <w:r w:rsidRPr="000745E9">
        <w:rPr>
          <w:rFonts w:ascii="Arial" w:hAnsi="Arial" w:cs="Arial"/>
        </w:rPr>
        <w:t xml:space="preserve">. Ottawa: Ottawa Hospital Research Institute. Available at: </w:t>
      </w:r>
      <w:hyperlink r:id="rId72" w:history="1">
        <w:r w:rsidRPr="000745E9">
          <w:rPr>
            <w:rStyle w:val="Hyperlink"/>
            <w:rFonts w:ascii="Arial" w:hAnsi="Arial" w:cs="Arial"/>
          </w:rPr>
          <w:t>http://www.ohri.ca/programs/clinical_epidemiology/oxford.asp</w:t>
        </w:r>
      </w:hyperlink>
      <w:r w:rsidRPr="000745E9">
        <w:rPr>
          <w:rFonts w:ascii="Arial" w:hAnsi="Arial" w:cs="Arial"/>
        </w:rPr>
        <w:t xml:space="preserve"> (Accessed: 2 August 2026).</w:t>
      </w:r>
    </w:p>
    <w:p w14:paraId="691F54B3" w14:textId="77777777" w:rsidR="00532ADF" w:rsidRDefault="00532ADF">
      <w:pPr>
        <w:rPr>
          <w:rFonts w:ascii="Arial" w:hAnsi="Arial" w:cs="Arial"/>
        </w:rPr>
      </w:pPr>
    </w:p>
    <w:p w14:paraId="36CD1781" w14:textId="77777777" w:rsidR="00532ADF" w:rsidRDefault="00532ADF">
      <w:pPr>
        <w:rPr>
          <w:rFonts w:ascii="Arial" w:hAnsi="Arial" w:cs="Arial"/>
        </w:rPr>
      </w:pPr>
    </w:p>
    <w:p w14:paraId="57440956" w14:textId="77777777" w:rsidR="00532ADF" w:rsidRDefault="00532ADF">
      <w:pPr>
        <w:rPr>
          <w:rFonts w:ascii="Arial" w:hAnsi="Arial" w:cs="Arial"/>
        </w:rPr>
      </w:pPr>
    </w:p>
    <w:p w14:paraId="3DDD9667" w14:textId="77777777" w:rsidR="00532ADF" w:rsidRDefault="00532ADF">
      <w:pPr>
        <w:rPr>
          <w:rFonts w:ascii="Arial" w:hAnsi="Arial" w:cs="Arial"/>
        </w:rPr>
      </w:pPr>
    </w:p>
    <w:p w14:paraId="39E0D830" w14:textId="77777777" w:rsidR="00532ADF" w:rsidRDefault="00532ADF">
      <w:pPr>
        <w:rPr>
          <w:rFonts w:ascii="Arial" w:hAnsi="Arial" w:cs="Arial"/>
        </w:rPr>
      </w:pPr>
    </w:p>
    <w:p w14:paraId="015CAAFD" w14:textId="77777777" w:rsidR="00532ADF" w:rsidRDefault="00532ADF">
      <w:pPr>
        <w:rPr>
          <w:rFonts w:ascii="Arial" w:hAnsi="Arial" w:cs="Arial"/>
        </w:rPr>
      </w:pPr>
    </w:p>
    <w:p w14:paraId="53046B21" w14:textId="77777777" w:rsidR="00532ADF" w:rsidRDefault="00532ADF">
      <w:pPr>
        <w:rPr>
          <w:rFonts w:ascii="Arial" w:hAnsi="Arial" w:cs="Arial"/>
        </w:rPr>
      </w:pPr>
    </w:p>
    <w:p w14:paraId="5E783371" w14:textId="77777777" w:rsidR="00532ADF" w:rsidRDefault="00532ADF">
      <w:pPr>
        <w:rPr>
          <w:rFonts w:ascii="Arial" w:hAnsi="Arial" w:cs="Arial"/>
        </w:rPr>
      </w:pPr>
    </w:p>
    <w:p w14:paraId="58082BE1" w14:textId="77777777" w:rsidR="00532ADF" w:rsidRDefault="00532ADF">
      <w:pPr>
        <w:rPr>
          <w:rFonts w:ascii="Arial" w:hAnsi="Arial" w:cs="Arial"/>
        </w:rPr>
      </w:pPr>
    </w:p>
    <w:p w14:paraId="1F9FB0BC" w14:textId="77777777" w:rsidR="00532ADF" w:rsidRDefault="00532ADF">
      <w:pPr>
        <w:rPr>
          <w:rFonts w:ascii="Arial" w:hAnsi="Arial" w:cs="Arial"/>
        </w:rPr>
      </w:pPr>
    </w:p>
    <w:p w14:paraId="13CAAC77" w14:textId="77777777" w:rsidR="00532ADF" w:rsidRDefault="00532ADF">
      <w:pPr>
        <w:rPr>
          <w:rFonts w:ascii="Arial" w:hAnsi="Arial" w:cs="Arial"/>
        </w:rPr>
      </w:pPr>
    </w:p>
    <w:p w14:paraId="7FB700F4" w14:textId="77777777" w:rsidR="00532ADF" w:rsidRDefault="00532ADF">
      <w:pPr>
        <w:rPr>
          <w:rFonts w:ascii="Arial" w:hAnsi="Arial" w:cs="Arial"/>
        </w:rPr>
      </w:pPr>
    </w:p>
    <w:p w14:paraId="377D1464" w14:textId="77777777" w:rsidR="00532ADF" w:rsidRDefault="00532ADF">
      <w:pPr>
        <w:rPr>
          <w:rFonts w:ascii="Arial" w:hAnsi="Arial" w:cs="Arial"/>
        </w:rPr>
      </w:pPr>
    </w:p>
    <w:p w14:paraId="0A28C2E4" w14:textId="0BF24CBD" w:rsidR="00532ADF" w:rsidRPr="00093AA7" w:rsidRDefault="00532ADF" w:rsidP="00093AA7">
      <w:pPr>
        <w:rPr>
          <w:rFonts w:ascii="Arial" w:hAnsi="Arial" w:cs="Arial"/>
          <w:b/>
          <w:bCs/>
        </w:rPr>
      </w:pPr>
    </w:p>
    <w:p w14:paraId="1B50F396" w14:textId="59F90230" w:rsidR="00093AA7" w:rsidRDefault="008317AA" w:rsidP="004C0ECA">
      <w:pPr>
        <w:pStyle w:val="Heading1"/>
      </w:pPr>
      <w:bookmarkStart w:id="85" w:name="_Toc241025698"/>
      <w:r w:rsidRPr="008317AA">
        <w:t>Appendix 1 — CASP Quality Appraisal Results</w:t>
      </w:r>
      <w:bookmarkEnd w:id="85"/>
    </w:p>
    <w:p w14:paraId="0B9D7067" w14:textId="01CBD865" w:rsidR="00093AA7" w:rsidRDefault="00093AA7" w:rsidP="00892D94">
      <w:pPr>
        <w:pStyle w:val="Heading2"/>
      </w:pPr>
      <w:bookmarkStart w:id="86" w:name="_Toc241025699"/>
      <w:r>
        <w:t>Table A</w:t>
      </w:r>
      <w:r w:rsidR="008317AA">
        <w:t>1</w:t>
      </w:r>
      <w:r>
        <w:t>.1 — CASP qualitative checklist (qualitative and mixed-methods studies, n = 6)</w:t>
      </w:r>
      <w:bookmarkEnd w:id="86"/>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474"/>
        <w:gridCol w:w="1474"/>
        <w:gridCol w:w="1474"/>
        <w:gridCol w:w="1102"/>
        <w:gridCol w:w="1559"/>
        <w:gridCol w:w="1276"/>
        <w:gridCol w:w="992"/>
      </w:tblGrid>
      <w:tr w:rsidR="00093AA7" w14:paraId="7AD7D2B9" w14:textId="77777777" w:rsidTr="004A1B51">
        <w:trPr>
          <w:trHeight w:val="850"/>
          <w:tblHeader/>
        </w:trPr>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1EDC7A8" w14:textId="77777777" w:rsidR="00093AA7" w:rsidRDefault="00093AA7">
            <w:pPr>
              <w:spacing w:before="80" w:after="80"/>
              <w:jc w:val="center"/>
            </w:pPr>
            <w:r>
              <w:rPr>
                <w:b/>
                <w:bCs/>
                <w:sz w:val="16"/>
                <w:szCs w:val="16"/>
              </w:rPr>
              <w:t>CASP Criterion</w:t>
            </w:r>
          </w:p>
        </w:tc>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0A114044" w14:textId="77777777" w:rsidR="00093AA7" w:rsidRDefault="00093AA7">
            <w:pPr>
              <w:spacing w:before="80" w:after="80"/>
              <w:jc w:val="center"/>
            </w:pPr>
            <w:r>
              <w:rPr>
                <w:b/>
                <w:bCs/>
                <w:sz w:val="16"/>
                <w:szCs w:val="16"/>
              </w:rPr>
              <w:t>Rocks et al. (2020)</w:t>
            </w:r>
          </w:p>
        </w:tc>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52DB2813" w14:textId="77777777" w:rsidR="00093AA7" w:rsidRDefault="00093AA7">
            <w:pPr>
              <w:spacing w:before="80" w:after="80"/>
              <w:jc w:val="center"/>
            </w:pPr>
            <w:r>
              <w:rPr>
                <w:b/>
                <w:bCs/>
                <w:sz w:val="16"/>
                <w:szCs w:val="16"/>
              </w:rPr>
              <w:t>Newman et al. (2024)</w:t>
            </w:r>
          </w:p>
        </w:tc>
        <w:tc>
          <w:tcPr>
            <w:tcW w:w="1102"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C9D43A9" w14:textId="77777777" w:rsidR="00093AA7" w:rsidRDefault="00093AA7">
            <w:pPr>
              <w:spacing w:before="80" w:after="80"/>
              <w:jc w:val="center"/>
            </w:pPr>
            <w:r>
              <w:rPr>
                <w:b/>
                <w:bCs/>
                <w:sz w:val="16"/>
                <w:szCs w:val="16"/>
              </w:rPr>
              <w:t>Thomson et al. (2025)</w:t>
            </w:r>
          </w:p>
        </w:tc>
        <w:tc>
          <w:tcPr>
            <w:tcW w:w="1559"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78396D4D" w14:textId="77777777" w:rsidR="00093AA7" w:rsidRDefault="00093AA7">
            <w:pPr>
              <w:spacing w:before="80" w:after="80"/>
              <w:jc w:val="center"/>
            </w:pPr>
            <w:proofErr w:type="spellStart"/>
            <w:r>
              <w:rPr>
                <w:b/>
                <w:bCs/>
                <w:sz w:val="16"/>
                <w:szCs w:val="16"/>
              </w:rPr>
              <w:t>Svirydzenka</w:t>
            </w:r>
            <w:proofErr w:type="spellEnd"/>
            <w:r>
              <w:rPr>
                <w:b/>
                <w:bCs/>
                <w:sz w:val="16"/>
                <w:szCs w:val="16"/>
              </w:rPr>
              <w:t xml:space="preserve"> et al. (2017)</w:t>
            </w:r>
          </w:p>
        </w:tc>
        <w:tc>
          <w:tcPr>
            <w:tcW w:w="1276"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4E232B0B" w14:textId="77777777" w:rsidR="00093AA7" w:rsidRDefault="00093AA7">
            <w:pPr>
              <w:spacing w:before="80" w:after="80"/>
              <w:jc w:val="center"/>
            </w:pPr>
            <w:r>
              <w:rPr>
                <w:b/>
                <w:bCs/>
                <w:sz w:val="16"/>
                <w:szCs w:val="16"/>
              </w:rPr>
              <w:t>Ellis et al. (2025)</w:t>
            </w:r>
          </w:p>
        </w:tc>
        <w:tc>
          <w:tcPr>
            <w:tcW w:w="992"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6371971" w14:textId="77777777" w:rsidR="00093AA7" w:rsidRDefault="00093AA7">
            <w:pPr>
              <w:spacing w:before="80" w:after="80"/>
              <w:jc w:val="center"/>
            </w:pPr>
            <w:r>
              <w:rPr>
                <w:b/>
                <w:bCs/>
                <w:sz w:val="16"/>
                <w:szCs w:val="16"/>
              </w:rPr>
              <w:t>Abel et al. (2025)</w:t>
            </w:r>
          </w:p>
        </w:tc>
      </w:tr>
      <w:tr w:rsidR="00093AA7" w14:paraId="604CB117"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4BBF8C5" w14:textId="77777777" w:rsidR="00093AA7" w:rsidRDefault="00093AA7">
            <w:pPr>
              <w:spacing w:before="80" w:after="80"/>
            </w:pPr>
            <w:r>
              <w:rPr>
                <w:sz w:val="16"/>
                <w:szCs w:val="16"/>
              </w:rPr>
              <w:t>Q1: Clear statement of aims?</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A437741"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942E2B7"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60041BF"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2E7303A" w14:textId="77777777" w:rsidR="00093AA7" w:rsidRDefault="00093AA7">
            <w:pPr>
              <w:spacing w:before="80" w:after="80"/>
              <w:jc w:val="center"/>
            </w:pPr>
            <w:r>
              <w:rPr>
                <w:sz w:val="16"/>
                <w:szCs w:val="16"/>
              </w:rPr>
              <w:t>Y</w:t>
            </w:r>
          </w:p>
        </w:tc>
        <w:tc>
          <w:tcPr>
            <w:tcW w:w="1276"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A31F3DD"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9655A7A" w14:textId="77777777" w:rsidR="00093AA7" w:rsidRDefault="00093AA7">
            <w:pPr>
              <w:spacing w:before="80" w:after="80"/>
              <w:jc w:val="center"/>
            </w:pPr>
            <w:r>
              <w:rPr>
                <w:sz w:val="16"/>
                <w:szCs w:val="16"/>
              </w:rPr>
              <w:t>Y</w:t>
            </w:r>
          </w:p>
        </w:tc>
      </w:tr>
      <w:tr w:rsidR="00093AA7" w14:paraId="37785DA0"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932B716" w14:textId="77777777" w:rsidR="00093AA7" w:rsidRDefault="00093AA7">
            <w:pPr>
              <w:spacing w:before="80" w:after="80"/>
            </w:pPr>
            <w:r>
              <w:rPr>
                <w:sz w:val="16"/>
                <w:szCs w:val="16"/>
              </w:rPr>
              <w:t>Q2: Qualitative methodology appropriate?</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9A6D13D"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FB5C994"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C032A59"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07C94A4" w14:textId="77777777" w:rsidR="00093AA7" w:rsidRDefault="00093AA7">
            <w:pPr>
              <w:spacing w:before="80" w:after="80"/>
              <w:jc w:val="center"/>
            </w:pPr>
            <w:r>
              <w:rPr>
                <w:sz w:val="16"/>
                <w:szCs w:val="16"/>
              </w:rPr>
              <w:t>Y</w:t>
            </w:r>
          </w:p>
        </w:tc>
        <w:tc>
          <w:tcPr>
            <w:tcW w:w="1276"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65F183D"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931D2FF" w14:textId="77777777" w:rsidR="00093AA7" w:rsidRDefault="00093AA7">
            <w:pPr>
              <w:spacing w:before="80" w:after="80"/>
              <w:jc w:val="center"/>
            </w:pPr>
            <w:r>
              <w:rPr>
                <w:sz w:val="16"/>
                <w:szCs w:val="16"/>
              </w:rPr>
              <w:t>Y</w:t>
            </w:r>
          </w:p>
        </w:tc>
      </w:tr>
      <w:tr w:rsidR="00093AA7" w14:paraId="16BD2E88"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FAC8690" w14:textId="77777777" w:rsidR="00093AA7" w:rsidRDefault="00093AA7">
            <w:pPr>
              <w:spacing w:before="80" w:after="80"/>
            </w:pPr>
            <w:r>
              <w:rPr>
                <w:sz w:val="16"/>
                <w:szCs w:val="16"/>
              </w:rPr>
              <w:t>Q3: Research design appropriate to aims?</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8B30812"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7497880"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8A097CC"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3EC4A05" w14:textId="77777777" w:rsidR="00093AA7" w:rsidRDefault="00093AA7">
            <w:pPr>
              <w:spacing w:before="80" w:after="80"/>
              <w:jc w:val="center"/>
            </w:pPr>
            <w:r>
              <w:rPr>
                <w:sz w:val="16"/>
                <w:szCs w:val="16"/>
              </w:rPr>
              <w:t>Y</w:t>
            </w:r>
          </w:p>
        </w:tc>
        <w:tc>
          <w:tcPr>
            <w:tcW w:w="1276"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AE084A6"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24D9E43" w14:textId="77777777" w:rsidR="00093AA7" w:rsidRDefault="00093AA7">
            <w:pPr>
              <w:spacing w:before="80" w:after="80"/>
              <w:jc w:val="center"/>
            </w:pPr>
            <w:r>
              <w:rPr>
                <w:sz w:val="16"/>
                <w:szCs w:val="16"/>
              </w:rPr>
              <w:t>Y</w:t>
            </w:r>
          </w:p>
        </w:tc>
      </w:tr>
      <w:tr w:rsidR="00093AA7" w14:paraId="1E0A69D9"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2AEE81A" w14:textId="77777777" w:rsidR="00093AA7" w:rsidRDefault="00093AA7">
            <w:pPr>
              <w:spacing w:before="80" w:after="80"/>
            </w:pPr>
            <w:r>
              <w:rPr>
                <w:sz w:val="16"/>
                <w:szCs w:val="16"/>
              </w:rPr>
              <w:t>Q4: Recruitment strategy appropriate?</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B0B1F56"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4BE03AE"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89FF117"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AF0F91E" w14:textId="77777777" w:rsidR="00093AA7" w:rsidRDefault="00093AA7">
            <w:pPr>
              <w:spacing w:before="80" w:after="80"/>
              <w:jc w:val="center"/>
            </w:pPr>
            <w:r>
              <w:rPr>
                <w:sz w:val="16"/>
                <w:szCs w:val="16"/>
              </w:rPr>
              <w:t>CT</w:t>
            </w:r>
          </w:p>
        </w:tc>
        <w:tc>
          <w:tcPr>
            <w:tcW w:w="1276"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991ADD1" w14:textId="77777777" w:rsidR="00093AA7" w:rsidRDefault="00093AA7">
            <w:pPr>
              <w:spacing w:before="80" w:after="80"/>
              <w:jc w:val="center"/>
            </w:pPr>
            <w:r>
              <w:rPr>
                <w:sz w:val="16"/>
                <w:szCs w:val="16"/>
              </w:rPr>
              <w:t>CT</w:t>
            </w:r>
          </w:p>
        </w:tc>
        <w:tc>
          <w:tcPr>
            <w:tcW w:w="99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4C6146C" w14:textId="77777777" w:rsidR="00093AA7" w:rsidRDefault="00093AA7">
            <w:pPr>
              <w:spacing w:before="80" w:after="80"/>
              <w:jc w:val="center"/>
            </w:pPr>
            <w:r>
              <w:rPr>
                <w:sz w:val="16"/>
                <w:szCs w:val="16"/>
              </w:rPr>
              <w:t>Y</w:t>
            </w:r>
          </w:p>
        </w:tc>
      </w:tr>
      <w:tr w:rsidR="00093AA7" w14:paraId="2780F7BE"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08B71EB" w14:textId="77777777" w:rsidR="00093AA7" w:rsidRDefault="00093AA7">
            <w:pPr>
              <w:spacing w:before="80" w:after="80"/>
            </w:pPr>
            <w:r>
              <w:rPr>
                <w:sz w:val="16"/>
                <w:szCs w:val="16"/>
              </w:rPr>
              <w:t>Q5: Data collected addressing the issue?</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09DEDCE"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5B8E2D5"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0E2EDE8"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CCD9FAC" w14:textId="77777777" w:rsidR="00093AA7" w:rsidRDefault="00093AA7">
            <w:pPr>
              <w:spacing w:before="80" w:after="80"/>
              <w:jc w:val="center"/>
            </w:pPr>
            <w:r>
              <w:rPr>
                <w:sz w:val="16"/>
                <w:szCs w:val="16"/>
              </w:rPr>
              <w:t>Y</w:t>
            </w:r>
          </w:p>
        </w:tc>
        <w:tc>
          <w:tcPr>
            <w:tcW w:w="1276"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7733A6A"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A94BF70" w14:textId="77777777" w:rsidR="00093AA7" w:rsidRDefault="00093AA7">
            <w:pPr>
              <w:spacing w:before="80" w:after="80"/>
              <w:jc w:val="center"/>
            </w:pPr>
            <w:r>
              <w:rPr>
                <w:sz w:val="16"/>
                <w:szCs w:val="16"/>
              </w:rPr>
              <w:t>Y</w:t>
            </w:r>
          </w:p>
        </w:tc>
      </w:tr>
      <w:tr w:rsidR="00093AA7" w14:paraId="684F4BBA"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19ACF583" w14:textId="77777777" w:rsidR="00093AA7" w:rsidRDefault="00093AA7">
            <w:pPr>
              <w:spacing w:before="80" w:after="80"/>
            </w:pPr>
            <w:r>
              <w:rPr>
                <w:sz w:val="16"/>
                <w:szCs w:val="16"/>
              </w:rPr>
              <w:t xml:space="preserve">Q6: Researcher–participant </w:t>
            </w:r>
            <w:r>
              <w:rPr>
                <w:sz w:val="16"/>
                <w:szCs w:val="16"/>
              </w:rPr>
              <w:lastRenderedPageBreak/>
              <w:t>relationship considered?</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1B5372FE" w14:textId="77777777" w:rsidR="00093AA7" w:rsidRDefault="00093AA7">
            <w:pPr>
              <w:spacing w:before="80" w:after="80"/>
              <w:jc w:val="center"/>
            </w:pPr>
            <w:r>
              <w:rPr>
                <w:sz w:val="16"/>
                <w:szCs w:val="16"/>
              </w:rPr>
              <w:lastRenderedPageBreak/>
              <w:t>Y</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B6F29ED"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2A85705"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F1F2047" w14:textId="77777777" w:rsidR="00093AA7" w:rsidRDefault="00093AA7">
            <w:pPr>
              <w:spacing w:before="80" w:after="80"/>
              <w:jc w:val="center"/>
            </w:pPr>
            <w:r>
              <w:rPr>
                <w:sz w:val="16"/>
                <w:szCs w:val="16"/>
              </w:rPr>
              <w:t>CT</w:t>
            </w:r>
          </w:p>
        </w:tc>
        <w:tc>
          <w:tcPr>
            <w:tcW w:w="1276"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82605E1"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5BC6A85" w14:textId="77777777" w:rsidR="00093AA7" w:rsidRDefault="00093AA7">
            <w:pPr>
              <w:spacing w:before="80" w:after="80"/>
              <w:jc w:val="center"/>
            </w:pPr>
            <w:r>
              <w:rPr>
                <w:sz w:val="16"/>
                <w:szCs w:val="16"/>
              </w:rPr>
              <w:t>Y</w:t>
            </w:r>
          </w:p>
        </w:tc>
      </w:tr>
      <w:tr w:rsidR="00093AA7" w14:paraId="14A1D8B5"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5190F7D" w14:textId="77777777" w:rsidR="00093AA7" w:rsidRDefault="00093AA7">
            <w:pPr>
              <w:spacing w:before="80" w:after="80"/>
            </w:pPr>
            <w:r>
              <w:rPr>
                <w:sz w:val="16"/>
                <w:szCs w:val="16"/>
              </w:rPr>
              <w:t>Q7: Ethical issues considered?</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D73FDFB"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5E382A4"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4179C2D"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8CF58F2" w14:textId="77777777" w:rsidR="00093AA7" w:rsidRDefault="00093AA7">
            <w:pPr>
              <w:spacing w:before="80" w:after="80"/>
              <w:jc w:val="center"/>
            </w:pPr>
            <w:r>
              <w:rPr>
                <w:sz w:val="16"/>
                <w:szCs w:val="16"/>
              </w:rPr>
              <w:t>Y</w:t>
            </w:r>
          </w:p>
        </w:tc>
        <w:tc>
          <w:tcPr>
            <w:tcW w:w="1276"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593F349"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7E91A47" w14:textId="77777777" w:rsidR="00093AA7" w:rsidRDefault="00093AA7">
            <w:pPr>
              <w:spacing w:before="80" w:after="80"/>
              <w:jc w:val="center"/>
            </w:pPr>
            <w:r>
              <w:rPr>
                <w:sz w:val="16"/>
                <w:szCs w:val="16"/>
              </w:rPr>
              <w:t>Y</w:t>
            </w:r>
          </w:p>
        </w:tc>
      </w:tr>
      <w:tr w:rsidR="00093AA7" w14:paraId="585A7B2C"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0035319" w14:textId="77777777" w:rsidR="00093AA7" w:rsidRDefault="00093AA7">
            <w:pPr>
              <w:spacing w:before="80" w:after="80"/>
            </w:pPr>
            <w:r>
              <w:rPr>
                <w:sz w:val="16"/>
                <w:szCs w:val="16"/>
              </w:rPr>
              <w:t>Q8: Data analysis sufficiently rigorous?</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A97BA87"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9DB9BB7"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8F1B10B"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B21CC9C" w14:textId="77777777" w:rsidR="00093AA7" w:rsidRDefault="00093AA7">
            <w:pPr>
              <w:spacing w:before="80" w:after="80"/>
              <w:jc w:val="center"/>
            </w:pPr>
            <w:r>
              <w:rPr>
                <w:sz w:val="16"/>
                <w:szCs w:val="16"/>
              </w:rPr>
              <w:t>Y</w:t>
            </w:r>
          </w:p>
        </w:tc>
        <w:tc>
          <w:tcPr>
            <w:tcW w:w="1276"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AB35FCD"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E6F213B" w14:textId="77777777" w:rsidR="00093AA7" w:rsidRDefault="00093AA7">
            <w:pPr>
              <w:spacing w:before="80" w:after="80"/>
              <w:jc w:val="center"/>
            </w:pPr>
            <w:r>
              <w:rPr>
                <w:sz w:val="16"/>
                <w:szCs w:val="16"/>
              </w:rPr>
              <w:t>Y</w:t>
            </w:r>
          </w:p>
        </w:tc>
      </w:tr>
      <w:tr w:rsidR="00093AA7" w14:paraId="2AF73C55"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2341D4E" w14:textId="77777777" w:rsidR="00093AA7" w:rsidRDefault="00093AA7">
            <w:pPr>
              <w:spacing w:before="80" w:after="80"/>
            </w:pPr>
            <w:r>
              <w:rPr>
                <w:sz w:val="16"/>
                <w:szCs w:val="16"/>
              </w:rPr>
              <w:t>Q9: Clear statement of findings?</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454F667"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A7DA8AF"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1BCFE32"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A70759F" w14:textId="77777777" w:rsidR="00093AA7" w:rsidRDefault="00093AA7">
            <w:pPr>
              <w:spacing w:before="80" w:after="80"/>
              <w:jc w:val="center"/>
            </w:pPr>
            <w:r>
              <w:rPr>
                <w:sz w:val="16"/>
                <w:szCs w:val="16"/>
              </w:rPr>
              <w:t>Y</w:t>
            </w:r>
          </w:p>
        </w:tc>
        <w:tc>
          <w:tcPr>
            <w:tcW w:w="1276"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75D03BD"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6656597" w14:textId="77777777" w:rsidR="00093AA7" w:rsidRDefault="00093AA7">
            <w:pPr>
              <w:spacing w:before="80" w:after="80"/>
              <w:jc w:val="center"/>
            </w:pPr>
            <w:r>
              <w:rPr>
                <w:sz w:val="16"/>
                <w:szCs w:val="16"/>
              </w:rPr>
              <w:t>Y</w:t>
            </w:r>
          </w:p>
        </w:tc>
      </w:tr>
      <w:tr w:rsidR="00093AA7" w14:paraId="317503D1"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9D240B3" w14:textId="77777777" w:rsidR="00093AA7" w:rsidRDefault="00093AA7">
            <w:pPr>
              <w:spacing w:before="80" w:after="80"/>
            </w:pPr>
            <w:r>
              <w:rPr>
                <w:sz w:val="16"/>
                <w:szCs w:val="16"/>
              </w:rPr>
              <w:t>Q10: How valuable is the research?</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208F93B" w14:textId="77777777" w:rsidR="00093AA7" w:rsidRDefault="00093AA7">
            <w:pPr>
              <w:spacing w:before="80" w:after="80"/>
              <w:jc w:val="center"/>
            </w:pPr>
            <w:r>
              <w:rPr>
                <w:sz w:val="16"/>
                <w:szCs w:val="16"/>
              </w:rPr>
              <w:t>Y</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D4E1CFB" w14:textId="77777777" w:rsidR="00093AA7" w:rsidRDefault="00093AA7">
            <w:pPr>
              <w:spacing w:before="80" w:after="80"/>
              <w:jc w:val="center"/>
            </w:pPr>
            <w:r>
              <w:rPr>
                <w:sz w:val="16"/>
                <w:szCs w:val="16"/>
              </w:rPr>
              <w:t>Y</w:t>
            </w:r>
          </w:p>
        </w:tc>
        <w:tc>
          <w:tcPr>
            <w:tcW w:w="110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8BAAD23" w14:textId="77777777" w:rsidR="00093AA7" w:rsidRDefault="00093AA7">
            <w:pPr>
              <w:spacing w:before="80" w:after="80"/>
              <w:jc w:val="center"/>
            </w:pPr>
            <w:r>
              <w:rPr>
                <w:sz w:val="16"/>
                <w:szCs w:val="16"/>
              </w:rPr>
              <w:t>Y</w:t>
            </w:r>
          </w:p>
        </w:tc>
        <w:tc>
          <w:tcPr>
            <w:tcW w:w="1559"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C90FD8A" w14:textId="77777777" w:rsidR="00093AA7" w:rsidRDefault="00093AA7">
            <w:pPr>
              <w:spacing w:before="80" w:after="80"/>
              <w:jc w:val="center"/>
            </w:pPr>
            <w:r>
              <w:rPr>
                <w:sz w:val="16"/>
                <w:szCs w:val="16"/>
              </w:rPr>
              <w:t>Y</w:t>
            </w:r>
          </w:p>
        </w:tc>
        <w:tc>
          <w:tcPr>
            <w:tcW w:w="1276"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15B9191" w14:textId="77777777" w:rsidR="00093AA7" w:rsidRDefault="00093AA7">
            <w:pPr>
              <w:spacing w:before="80" w:after="80"/>
              <w:jc w:val="center"/>
            </w:pPr>
            <w:r>
              <w:rPr>
                <w:sz w:val="16"/>
                <w:szCs w:val="16"/>
              </w:rPr>
              <w:t>Y</w:t>
            </w:r>
          </w:p>
        </w:tc>
        <w:tc>
          <w:tcPr>
            <w:tcW w:w="99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0EC39DF" w14:textId="77777777" w:rsidR="00093AA7" w:rsidRDefault="00093AA7">
            <w:pPr>
              <w:spacing w:before="80" w:after="80"/>
              <w:jc w:val="center"/>
            </w:pPr>
            <w:r>
              <w:rPr>
                <w:sz w:val="16"/>
                <w:szCs w:val="16"/>
              </w:rPr>
              <w:t>Y</w:t>
            </w:r>
          </w:p>
        </w:tc>
      </w:tr>
      <w:tr w:rsidR="00093AA7" w14:paraId="3DE696D2"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12040AA" w14:textId="77777777" w:rsidR="00093AA7" w:rsidRDefault="00093AA7">
            <w:pPr>
              <w:spacing w:before="80" w:after="80"/>
            </w:pPr>
            <w:r>
              <w:rPr>
                <w:sz w:val="16"/>
                <w:szCs w:val="16"/>
              </w:rPr>
              <w:t>Overall quality</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D5DAE7E" w14:textId="77777777" w:rsidR="00093AA7" w:rsidRDefault="00093AA7">
            <w:pPr>
              <w:spacing w:before="80" w:after="80"/>
              <w:jc w:val="center"/>
            </w:pPr>
            <w:r>
              <w:rPr>
                <w:sz w:val="16"/>
                <w:szCs w:val="16"/>
              </w:rPr>
              <w:t>HIGH</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DFC17FB" w14:textId="77777777" w:rsidR="00093AA7" w:rsidRDefault="00093AA7">
            <w:pPr>
              <w:spacing w:before="80" w:after="80"/>
              <w:jc w:val="center"/>
            </w:pPr>
            <w:r>
              <w:rPr>
                <w:sz w:val="16"/>
                <w:szCs w:val="16"/>
              </w:rPr>
              <w:t>HIGH</w:t>
            </w:r>
          </w:p>
        </w:tc>
        <w:tc>
          <w:tcPr>
            <w:tcW w:w="110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B30A392" w14:textId="77777777" w:rsidR="00093AA7" w:rsidRDefault="00093AA7">
            <w:pPr>
              <w:spacing w:before="80" w:after="80"/>
              <w:jc w:val="center"/>
            </w:pPr>
            <w:r>
              <w:rPr>
                <w:sz w:val="16"/>
                <w:szCs w:val="16"/>
              </w:rPr>
              <w:t>HIGH</w:t>
            </w:r>
          </w:p>
        </w:tc>
        <w:tc>
          <w:tcPr>
            <w:tcW w:w="1559"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3FFD209" w14:textId="77777777" w:rsidR="00093AA7" w:rsidRDefault="00093AA7">
            <w:pPr>
              <w:spacing w:before="80" w:after="80"/>
              <w:jc w:val="center"/>
            </w:pPr>
            <w:r>
              <w:rPr>
                <w:sz w:val="16"/>
                <w:szCs w:val="16"/>
              </w:rPr>
              <w:t>MODERATE</w:t>
            </w:r>
          </w:p>
        </w:tc>
        <w:tc>
          <w:tcPr>
            <w:tcW w:w="1276"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8296D5F" w14:textId="77777777" w:rsidR="00093AA7" w:rsidRDefault="00093AA7">
            <w:pPr>
              <w:spacing w:before="80" w:after="80"/>
              <w:jc w:val="center"/>
            </w:pPr>
            <w:r>
              <w:rPr>
                <w:sz w:val="16"/>
                <w:szCs w:val="16"/>
              </w:rPr>
              <w:t>MODERATE</w:t>
            </w:r>
          </w:p>
        </w:tc>
        <w:tc>
          <w:tcPr>
            <w:tcW w:w="992"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855C800" w14:textId="77777777" w:rsidR="00093AA7" w:rsidRDefault="00093AA7">
            <w:pPr>
              <w:spacing w:before="80" w:after="80"/>
              <w:jc w:val="center"/>
            </w:pPr>
            <w:r>
              <w:rPr>
                <w:sz w:val="16"/>
                <w:szCs w:val="16"/>
              </w:rPr>
              <w:t>HIGH</w:t>
            </w:r>
          </w:p>
        </w:tc>
      </w:tr>
      <w:tr w:rsidR="00093AA7" w14:paraId="0879DFB0" w14:textId="77777777" w:rsidTr="004A1B51">
        <w:trPr>
          <w:trHeight w:val="850"/>
        </w:trPr>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234C291" w14:textId="77777777" w:rsidR="00093AA7" w:rsidRDefault="00093AA7">
            <w:pPr>
              <w:spacing w:before="80" w:after="80"/>
            </w:pPr>
            <w:r>
              <w:rPr>
                <w:sz w:val="16"/>
                <w:szCs w:val="16"/>
              </w:rPr>
              <w:t>Study notes / limitations</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D190B11" w14:textId="77777777" w:rsidR="00093AA7" w:rsidRDefault="00093AA7">
            <w:pPr>
              <w:spacing w:before="80" w:after="80"/>
              <w:jc w:val="center"/>
            </w:pPr>
            <w:r>
              <w:rPr>
                <w:sz w:val="16"/>
                <w:szCs w:val="16"/>
              </w:rPr>
              <w:t>Mixed-methods; 2 CAMHS sites; strong design</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4CA7593" w14:textId="77777777" w:rsidR="00093AA7" w:rsidRDefault="00093AA7">
            <w:pPr>
              <w:spacing w:before="80" w:after="80"/>
              <w:jc w:val="center"/>
            </w:pPr>
            <w:r>
              <w:rPr>
                <w:sz w:val="16"/>
                <w:szCs w:val="16"/>
              </w:rPr>
              <w:t>109 interviews; 8 NHS sites; STADIA trial; robust</w:t>
            </w:r>
          </w:p>
        </w:tc>
        <w:tc>
          <w:tcPr>
            <w:tcW w:w="110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60D5F8A" w14:textId="77777777" w:rsidR="00093AA7" w:rsidRDefault="00093AA7">
            <w:pPr>
              <w:spacing w:before="80" w:after="80"/>
              <w:jc w:val="center"/>
            </w:pPr>
            <w:r>
              <w:rPr>
                <w:sz w:val="16"/>
                <w:szCs w:val="16"/>
              </w:rPr>
              <w:t>CFIR-guided; 109 interviews; 8 sites; ISRCTN registered</w:t>
            </w:r>
          </w:p>
        </w:tc>
        <w:tc>
          <w:tcPr>
            <w:tcW w:w="1559"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A173AD9" w14:textId="77777777" w:rsidR="00093AA7" w:rsidRDefault="00093AA7">
            <w:pPr>
              <w:spacing w:before="80" w:after="80"/>
              <w:jc w:val="center"/>
            </w:pPr>
            <w:r>
              <w:rPr>
                <w:sz w:val="16"/>
                <w:szCs w:val="16"/>
              </w:rPr>
              <w:t>N=24; single area; small purposive sample; limited transferability</w:t>
            </w:r>
          </w:p>
        </w:tc>
        <w:tc>
          <w:tcPr>
            <w:tcW w:w="1276"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83991A3" w14:textId="77777777" w:rsidR="00093AA7" w:rsidRDefault="00093AA7">
            <w:pPr>
              <w:spacing w:before="80" w:after="80"/>
              <w:jc w:val="center"/>
            </w:pPr>
            <w:r>
              <w:rPr>
                <w:sz w:val="16"/>
                <w:szCs w:val="16"/>
              </w:rPr>
              <w:t>N=9; voice-hearing subgroup; exploratory; small sample</w:t>
            </w:r>
          </w:p>
        </w:tc>
        <w:tc>
          <w:tcPr>
            <w:tcW w:w="992"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3950F55" w14:textId="77777777" w:rsidR="00093AA7" w:rsidRDefault="00093AA7">
            <w:pPr>
              <w:spacing w:before="80" w:after="80"/>
              <w:jc w:val="center"/>
            </w:pPr>
            <w:r>
              <w:rPr>
                <w:sz w:val="16"/>
                <w:szCs w:val="16"/>
              </w:rPr>
              <w:t>NIHR-funded; 9 CAMHS; 100+ participants; largest mixed-methods study</w:t>
            </w:r>
          </w:p>
        </w:tc>
      </w:tr>
    </w:tbl>
    <w:p w14:paraId="46871211" w14:textId="77777777" w:rsidR="00093AA7" w:rsidRDefault="00093AA7" w:rsidP="00093AA7">
      <w:pPr>
        <w:spacing w:before="60" w:after="60"/>
        <w:rPr>
          <w:sz w:val="20"/>
          <w:szCs w:val="20"/>
        </w:rPr>
      </w:pPr>
    </w:p>
    <w:p w14:paraId="46CCF9AE" w14:textId="77777777" w:rsidR="00093AA7" w:rsidRDefault="00093AA7" w:rsidP="00093AA7">
      <w:pPr>
        <w:spacing w:before="80" w:after="80"/>
      </w:pPr>
      <w:r>
        <w:rPr>
          <w:i/>
          <w:iCs/>
          <w:sz w:val="16"/>
          <w:szCs w:val="16"/>
        </w:rPr>
        <w:t>Key: Y = Yes (criterion met)  |  N = No (criterion not met)  |  CT = Cannot Tell  |  HIGH = Low risk of bias  |  MODERATE = Some limitations</w:t>
      </w:r>
    </w:p>
    <w:p w14:paraId="40936A71" w14:textId="77777777" w:rsidR="00093AA7" w:rsidRDefault="00093AA7" w:rsidP="00093AA7">
      <w:pPr>
        <w:spacing w:before="60" w:after="60"/>
      </w:pPr>
    </w:p>
    <w:p w14:paraId="72674FE8" w14:textId="2519BD91" w:rsidR="00093AA7" w:rsidRDefault="00093AA7" w:rsidP="00892D94">
      <w:pPr>
        <w:pStyle w:val="Heading2"/>
      </w:pPr>
      <w:bookmarkStart w:id="87" w:name="_Toc241025700"/>
      <w:r>
        <w:t>Table A</w:t>
      </w:r>
      <w:r w:rsidR="008317AA">
        <w:t>1</w:t>
      </w:r>
      <w:r>
        <w:t>.2 — Newcastle-Ottawa Scale (NOS): quantitative studies (n = 3)</w:t>
      </w:r>
      <w:bookmarkEnd w:id="87"/>
    </w:p>
    <w:tbl>
      <w:tblPr>
        <w:tblW w:w="99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417"/>
        <w:gridCol w:w="1417"/>
        <w:gridCol w:w="1417"/>
        <w:gridCol w:w="1417"/>
        <w:gridCol w:w="1417"/>
        <w:gridCol w:w="1417"/>
        <w:gridCol w:w="1417"/>
      </w:tblGrid>
      <w:tr w:rsidR="00093AA7" w14:paraId="396E7A83" w14:textId="77777777" w:rsidTr="00093AA7">
        <w:trPr>
          <w:tblHeader/>
        </w:trPr>
        <w:tc>
          <w:tcPr>
            <w:tcW w:w="141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007175D7" w14:textId="77777777" w:rsidR="00093AA7" w:rsidRDefault="00093AA7">
            <w:pPr>
              <w:spacing w:before="80" w:after="80"/>
              <w:jc w:val="center"/>
            </w:pPr>
            <w:r>
              <w:rPr>
                <w:b/>
                <w:bCs/>
                <w:sz w:val="16"/>
                <w:szCs w:val="16"/>
              </w:rPr>
              <w:t>Study</w:t>
            </w:r>
          </w:p>
        </w:tc>
        <w:tc>
          <w:tcPr>
            <w:tcW w:w="141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1BC264A4" w14:textId="77777777" w:rsidR="00093AA7" w:rsidRDefault="00093AA7">
            <w:pPr>
              <w:spacing w:before="80" w:after="80"/>
              <w:jc w:val="center"/>
            </w:pPr>
            <w:r>
              <w:rPr>
                <w:b/>
                <w:bCs/>
                <w:sz w:val="16"/>
                <w:szCs w:val="16"/>
              </w:rPr>
              <w:t>Study Design</w:t>
            </w:r>
          </w:p>
        </w:tc>
        <w:tc>
          <w:tcPr>
            <w:tcW w:w="141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0B9BAF84" w14:textId="77777777" w:rsidR="00093AA7" w:rsidRDefault="00093AA7">
            <w:pPr>
              <w:spacing w:before="80" w:after="80"/>
              <w:jc w:val="center"/>
            </w:pPr>
            <w:r>
              <w:rPr>
                <w:b/>
                <w:bCs/>
                <w:sz w:val="16"/>
                <w:szCs w:val="16"/>
              </w:rPr>
              <w:t xml:space="preserve">Selection (max 4 </w:t>
            </w:r>
            <w:r>
              <w:rPr>
                <w:rFonts w:ascii="Segoe UI Symbol" w:hAnsi="Segoe UI Symbol" w:cs="Segoe UI Symbol"/>
                <w:b/>
                <w:bCs/>
                <w:sz w:val="16"/>
                <w:szCs w:val="16"/>
              </w:rPr>
              <w:t>★</w:t>
            </w:r>
            <w:r>
              <w:rPr>
                <w:b/>
                <w:bCs/>
                <w:sz w:val="16"/>
                <w:szCs w:val="16"/>
              </w:rPr>
              <w:t>)</w:t>
            </w:r>
          </w:p>
        </w:tc>
        <w:tc>
          <w:tcPr>
            <w:tcW w:w="141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6EA901F3" w14:textId="77777777" w:rsidR="00093AA7" w:rsidRDefault="00093AA7">
            <w:pPr>
              <w:spacing w:before="80" w:after="80"/>
              <w:jc w:val="center"/>
            </w:pPr>
            <w:r>
              <w:rPr>
                <w:b/>
                <w:bCs/>
                <w:sz w:val="16"/>
                <w:szCs w:val="16"/>
              </w:rPr>
              <w:t xml:space="preserve">Comparability (max 2 </w:t>
            </w:r>
            <w:r>
              <w:rPr>
                <w:rFonts w:ascii="Segoe UI Symbol" w:hAnsi="Segoe UI Symbol" w:cs="Segoe UI Symbol"/>
                <w:b/>
                <w:bCs/>
                <w:sz w:val="16"/>
                <w:szCs w:val="16"/>
              </w:rPr>
              <w:t>★</w:t>
            </w:r>
            <w:r>
              <w:rPr>
                <w:b/>
                <w:bCs/>
                <w:sz w:val="16"/>
                <w:szCs w:val="16"/>
              </w:rPr>
              <w:t>)</w:t>
            </w:r>
          </w:p>
        </w:tc>
        <w:tc>
          <w:tcPr>
            <w:tcW w:w="141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64BCC92A" w14:textId="77777777" w:rsidR="00093AA7" w:rsidRDefault="00093AA7">
            <w:pPr>
              <w:spacing w:before="80" w:after="80"/>
              <w:jc w:val="center"/>
            </w:pPr>
            <w:r>
              <w:rPr>
                <w:b/>
                <w:bCs/>
                <w:sz w:val="16"/>
                <w:szCs w:val="16"/>
              </w:rPr>
              <w:t xml:space="preserve">Outcome (max 3 </w:t>
            </w:r>
            <w:r>
              <w:rPr>
                <w:rFonts w:ascii="Segoe UI Symbol" w:hAnsi="Segoe UI Symbol" w:cs="Segoe UI Symbol"/>
                <w:b/>
                <w:bCs/>
                <w:sz w:val="16"/>
                <w:szCs w:val="16"/>
              </w:rPr>
              <w:t>★</w:t>
            </w:r>
            <w:r>
              <w:rPr>
                <w:b/>
                <w:bCs/>
                <w:sz w:val="16"/>
                <w:szCs w:val="16"/>
              </w:rPr>
              <w:t>)</w:t>
            </w:r>
          </w:p>
        </w:tc>
        <w:tc>
          <w:tcPr>
            <w:tcW w:w="141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97E387C" w14:textId="77777777" w:rsidR="00093AA7" w:rsidRDefault="00093AA7">
            <w:pPr>
              <w:spacing w:before="80" w:after="80"/>
              <w:jc w:val="center"/>
            </w:pPr>
            <w:r>
              <w:rPr>
                <w:b/>
                <w:bCs/>
                <w:sz w:val="16"/>
                <w:szCs w:val="16"/>
              </w:rPr>
              <w:t>Total Score</w:t>
            </w:r>
          </w:p>
        </w:tc>
        <w:tc>
          <w:tcPr>
            <w:tcW w:w="141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A49B9ED" w14:textId="77777777" w:rsidR="00093AA7" w:rsidRDefault="00093AA7">
            <w:pPr>
              <w:spacing w:before="80" w:after="80"/>
              <w:jc w:val="center"/>
            </w:pPr>
            <w:r>
              <w:rPr>
                <w:b/>
                <w:bCs/>
                <w:sz w:val="16"/>
                <w:szCs w:val="16"/>
              </w:rPr>
              <w:t>Quality</w:t>
            </w:r>
          </w:p>
        </w:tc>
      </w:tr>
      <w:tr w:rsidR="00093AA7" w14:paraId="6D0A0347" w14:textId="77777777" w:rsidTr="00093AA7">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E5EBD05" w14:textId="77777777" w:rsidR="00093AA7" w:rsidRDefault="00093AA7">
            <w:pPr>
              <w:spacing w:before="80" w:after="80"/>
            </w:pPr>
            <w:proofErr w:type="spellStart"/>
            <w:r>
              <w:rPr>
                <w:sz w:val="16"/>
                <w:szCs w:val="16"/>
              </w:rPr>
              <w:t>Edbrooke-Childs</w:t>
            </w:r>
            <w:proofErr w:type="spellEnd"/>
            <w:r>
              <w:rPr>
                <w:sz w:val="16"/>
                <w:szCs w:val="16"/>
              </w:rPr>
              <w:t xml:space="preserve"> &amp; Deighton (2020)</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38642F4" w14:textId="77777777" w:rsidR="00093AA7" w:rsidRDefault="00093AA7">
            <w:pPr>
              <w:spacing w:before="80" w:after="80"/>
            </w:pPr>
            <w:r>
              <w:rPr>
                <w:sz w:val="16"/>
                <w:szCs w:val="16"/>
              </w:rPr>
              <w:t>Cross-sectional / Cohort</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0C37831" w14:textId="77777777" w:rsidR="00093AA7" w:rsidRDefault="00093AA7">
            <w:pPr>
              <w:spacing w:before="80" w:after="80"/>
            </w:pPr>
            <w:r>
              <w:rPr>
                <w:rFonts w:ascii="Segoe UI Symbol" w:hAnsi="Segoe UI Symbol" w:cs="Segoe UI Symbol"/>
                <w:sz w:val="16"/>
                <w:szCs w:val="16"/>
              </w:rPr>
              <w:t>★★★★</w:t>
            </w:r>
            <w:r>
              <w:rPr>
                <w:sz w:val="16"/>
                <w:szCs w:val="16"/>
              </w:rPr>
              <w:t xml:space="preserve"> 21,419 episodes; England CAMHS; medical records; episodes of care</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5E6927E" w14:textId="77777777" w:rsidR="00093AA7" w:rsidRDefault="00093AA7">
            <w:pPr>
              <w:spacing w:before="80" w:after="80"/>
            </w:pPr>
            <w:r>
              <w:rPr>
                <w:rFonts w:ascii="Segoe UI Symbol" w:hAnsi="Segoe UI Symbol" w:cs="Segoe UI Symbol"/>
                <w:sz w:val="16"/>
                <w:szCs w:val="16"/>
              </w:rPr>
              <w:t>★★</w:t>
            </w:r>
            <w:r>
              <w:rPr>
                <w:sz w:val="16"/>
                <w:szCs w:val="16"/>
              </w:rPr>
              <w:t xml:space="preserve"> Controlled: service-area deprivation, age, gender, ethnicity, referral source</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98EC96F" w14:textId="77777777" w:rsidR="00093AA7" w:rsidRDefault="00093AA7">
            <w:pPr>
              <w:spacing w:before="80" w:after="80"/>
            </w:pPr>
            <w:r>
              <w:rPr>
                <w:rFonts w:ascii="Segoe UI Symbol" w:hAnsi="Segoe UI Symbol" w:cs="Segoe UI Symbol"/>
                <w:sz w:val="16"/>
                <w:szCs w:val="16"/>
              </w:rPr>
              <w:t>★★★</w:t>
            </w:r>
            <w:r>
              <w:rPr>
                <w:sz w:val="16"/>
                <w:szCs w:val="16"/>
              </w:rPr>
              <w:t xml:space="preserve"> Electronic records; all episodes followed; complete data</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5D28E93" w14:textId="77777777" w:rsidR="00093AA7" w:rsidRDefault="00093AA7">
            <w:pPr>
              <w:spacing w:before="80" w:after="80"/>
            </w:pPr>
            <w:r>
              <w:rPr>
                <w:sz w:val="16"/>
                <w:szCs w:val="16"/>
              </w:rPr>
              <w:t>9/9</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9B482C9" w14:textId="77777777" w:rsidR="00093AA7" w:rsidRDefault="00093AA7">
            <w:pPr>
              <w:spacing w:before="80" w:after="80"/>
            </w:pPr>
            <w:r>
              <w:rPr>
                <w:sz w:val="16"/>
                <w:szCs w:val="16"/>
              </w:rPr>
              <w:t>HIGH</w:t>
            </w:r>
          </w:p>
        </w:tc>
      </w:tr>
      <w:tr w:rsidR="00093AA7" w14:paraId="7ECD6F84" w14:textId="77777777" w:rsidTr="00093AA7">
        <w:tc>
          <w:tcPr>
            <w:tcW w:w="141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42CA5B7" w14:textId="77777777" w:rsidR="00093AA7" w:rsidRDefault="00093AA7">
            <w:pPr>
              <w:spacing w:before="80" w:after="80"/>
            </w:pPr>
            <w:r>
              <w:rPr>
                <w:sz w:val="16"/>
                <w:szCs w:val="16"/>
              </w:rPr>
              <w:lastRenderedPageBreak/>
              <w:t>Ganga et al. (2024)</w:t>
            </w:r>
          </w:p>
        </w:tc>
        <w:tc>
          <w:tcPr>
            <w:tcW w:w="141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FDE3F1D" w14:textId="77777777" w:rsidR="00093AA7" w:rsidRDefault="00093AA7">
            <w:pPr>
              <w:spacing w:before="80" w:after="80"/>
            </w:pPr>
            <w:r>
              <w:rPr>
                <w:sz w:val="16"/>
                <w:szCs w:val="16"/>
              </w:rPr>
              <w:t>Prospective Observational</w:t>
            </w:r>
          </w:p>
        </w:tc>
        <w:tc>
          <w:tcPr>
            <w:tcW w:w="141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C280902" w14:textId="77777777" w:rsidR="00093AA7" w:rsidRDefault="00093AA7">
            <w:pPr>
              <w:spacing w:before="80" w:after="80"/>
            </w:pPr>
            <w:r>
              <w:rPr>
                <w:rFonts w:ascii="Segoe UI Symbol" w:hAnsi="Segoe UI Symbol" w:cs="Segoe UI Symbol"/>
                <w:sz w:val="16"/>
                <w:szCs w:val="16"/>
              </w:rPr>
              <w:t>★★★★</w:t>
            </w:r>
            <w:r>
              <w:rPr>
                <w:sz w:val="16"/>
                <w:szCs w:val="16"/>
              </w:rPr>
              <w:t xml:space="preserve"> Single CAMHS, North England; pre/post comparison; administrative data</w:t>
            </w:r>
          </w:p>
        </w:tc>
        <w:tc>
          <w:tcPr>
            <w:tcW w:w="141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6EE8AE3" w14:textId="77777777" w:rsidR="00093AA7" w:rsidRDefault="00093AA7">
            <w:pPr>
              <w:spacing w:before="80" w:after="80"/>
            </w:pPr>
            <w:r>
              <w:rPr>
                <w:rFonts w:ascii="Segoe UI Symbol" w:hAnsi="Segoe UI Symbol" w:cs="Segoe UI Symbol"/>
                <w:sz w:val="16"/>
                <w:szCs w:val="16"/>
              </w:rPr>
              <w:t>★</w:t>
            </w:r>
            <w:r>
              <w:rPr>
                <w:rFonts w:ascii="Times New Roman" w:hAnsi="Times New Roman" w:cs="Times New Roman"/>
                <w:sz w:val="16"/>
                <w:szCs w:val="16"/>
              </w:rPr>
              <w:t>—</w:t>
            </w:r>
            <w:r>
              <w:rPr>
                <w:sz w:val="16"/>
                <w:szCs w:val="16"/>
              </w:rPr>
              <w:t xml:space="preserve"> Pre/post comparison; no randomisation; limited confounders controlled</w:t>
            </w:r>
          </w:p>
        </w:tc>
        <w:tc>
          <w:tcPr>
            <w:tcW w:w="141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852F55E" w14:textId="77777777" w:rsidR="00093AA7" w:rsidRDefault="00093AA7">
            <w:pPr>
              <w:spacing w:before="80" w:after="80"/>
            </w:pPr>
            <w:r>
              <w:rPr>
                <w:rFonts w:ascii="Segoe UI Symbol" w:hAnsi="Segoe UI Symbol" w:cs="Segoe UI Symbol"/>
                <w:sz w:val="16"/>
                <w:szCs w:val="16"/>
              </w:rPr>
              <w:t>★★★</w:t>
            </w:r>
            <w:r>
              <w:rPr>
                <w:sz w:val="16"/>
                <w:szCs w:val="16"/>
              </w:rPr>
              <w:t xml:space="preserve"> Administrative waiting-time records; 12 months pre/post; complete</w:t>
            </w:r>
          </w:p>
        </w:tc>
        <w:tc>
          <w:tcPr>
            <w:tcW w:w="141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119BD4E4" w14:textId="77777777" w:rsidR="00093AA7" w:rsidRDefault="00093AA7">
            <w:pPr>
              <w:spacing w:before="80" w:after="80"/>
            </w:pPr>
            <w:r>
              <w:rPr>
                <w:sz w:val="16"/>
                <w:szCs w:val="16"/>
              </w:rPr>
              <w:t>7/9</w:t>
            </w:r>
          </w:p>
        </w:tc>
        <w:tc>
          <w:tcPr>
            <w:tcW w:w="141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242FC15" w14:textId="77777777" w:rsidR="00093AA7" w:rsidRDefault="00093AA7">
            <w:pPr>
              <w:spacing w:before="80" w:after="80"/>
            </w:pPr>
            <w:r>
              <w:rPr>
                <w:sz w:val="16"/>
                <w:szCs w:val="16"/>
              </w:rPr>
              <w:t>MODERATE-HIGH</w:t>
            </w:r>
          </w:p>
        </w:tc>
      </w:tr>
      <w:tr w:rsidR="00093AA7" w14:paraId="1B718855" w14:textId="77777777" w:rsidTr="00093AA7">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A3C1C81" w14:textId="77777777" w:rsidR="00093AA7" w:rsidRDefault="00093AA7">
            <w:pPr>
              <w:spacing w:before="80" w:after="80"/>
            </w:pPr>
            <w:r>
              <w:rPr>
                <w:sz w:val="16"/>
                <w:szCs w:val="16"/>
              </w:rPr>
              <w:t>Mareva et al. (2024)</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F1E5CF3" w14:textId="77777777" w:rsidR="00093AA7" w:rsidRDefault="00093AA7">
            <w:pPr>
              <w:spacing w:before="80" w:after="80"/>
            </w:pPr>
            <w:r>
              <w:rPr>
                <w:sz w:val="16"/>
                <w:szCs w:val="16"/>
              </w:rPr>
              <w:t>Cross-sectional Descriptive</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AE0B92F" w14:textId="77777777" w:rsidR="00093AA7" w:rsidRDefault="00093AA7">
            <w:pPr>
              <w:spacing w:before="80" w:after="80"/>
            </w:pPr>
            <w:r>
              <w:rPr>
                <w:rFonts w:ascii="Segoe UI Symbol" w:hAnsi="Segoe UI Symbol" w:cs="Segoe UI Symbol"/>
                <w:sz w:val="16"/>
                <w:szCs w:val="16"/>
              </w:rPr>
              <w:t>★</w:t>
            </w:r>
            <w:r>
              <w:rPr>
                <w:rFonts w:ascii="Times New Roman" w:hAnsi="Times New Roman" w:cs="Times New Roman"/>
                <w:sz w:val="16"/>
                <w:szCs w:val="16"/>
              </w:rPr>
              <w:t>—</w:t>
            </w:r>
            <w:r>
              <w:rPr>
                <w:rFonts w:ascii="Segoe UI Symbol" w:hAnsi="Segoe UI Symbol" w:cs="Segoe UI Symbol"/>
                <w:sz w:val="16"/>
                <w:szCs w:val="16"/>
              </w:rPr>
              <w:t>★★</w:t>
            </w:r>
            <w:r>
              <w:rPr>
                <w:sz w:val="16"/>
                <w:szCs w:val="16"/>
              </w:rPr>
              <w:t xml:space="preserve"> Single CAMHS; self-report survey; validated scales (CBI, SWEMWBS)</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A2D10ED" w14:textId="77777777" w:rsidR="00093AA7" w:rsidRDefault="00093AA7">
            <w:pPr>
              <w:spacing w:before="80" w:after="80"/>
            </w:pPr>
            <w:r>
              <w:rPr>
                <w:rFonts w:ascii="Segoe UI Symbol" w:hAnsi="Segoe UI Symbol" w:cs="Segoe UI Symbol"/>
                <w:sz w:val="16"/>
                <w:szCs w:val="16"/>
              </w:rPr>
              <w:t>★</w:t>
            </w:r>
            <w:r>
              <w:rPr>
                <w:rFonts w:ascii="Times New Roman" w:hAnsi="Times New Roman" w:cs="Times New Roman"/>
                <w:sz w:val="16"/>
                <w:szCs w:val="16"/>
              </w:rPr>
              <w:t>—</w:t>
            </w:r>
            <w:r>
              <w:rPr>
                <w:sz w:val="16"/>
                <w:szCs w:val="16"/>
              </w:rPr>
              <w:t xml:space="preserve"> Limited control variables; no comparison service</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DEF0732" w14:textId="77777777" w:rsidR="00093AA7" w:rsidRDefault="00093AA7">
            <w:pPr>
              <w:spacing w:before="80" w:after="80"/>
            </w:pPr>
            <w:r>
              <w:rPr>
                <w:rFonts w:ascii="Segoe UI Symbol" w:hAnsi="Segoe UI Symbol" w:cs="Segoe UI Symbol"/>
                <w:sz w:val="16"/>
                <w:szCs w:val="16"/>
              </w:rPr>
              <w:t>★</w:t>
            </w:r>
            <w:r>
              <w:rPr>
                <w:rFonts w:ascii="Times New Roman" w:hAnsi="Times New Roman" w:cs="Times New Roman"/>
                <w:sz w:val="16"/>
                <w:szCs w:val="16"/>
              </w:rPr>
              <w:t>——</w:t>
            </w:r>
            <w:r>
              <w:rPr>
                <w:sz w:val="16"/>
                <w:szCs w:val="16"/>
              </w:rPr>
              <w:t xml:space="preserve"> Validated burnout/wellbeing scales; cross-sectional; n=97</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5F404B8" w14:textId="77777777" w:rsidR="00093AA7" w:rsidRDefault="00093AA7">
            <w:pPr>
              <w:spacing w:before="80" w:after="80"/>
            </w:pPr>
            <w:r>
              <w:rPr>
                <w:sz w:val="16"/>
                <w:szCs w:val="16"/>
              </w:rPr>
              <w:t>6/9</w:t>
            </w:r>
          </w:p>
        </w:tc>
        <w:tc>
          <w:tcPr>
            <w:tcW w:w="141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D65F4EB" w14:textId="77777777" w:rsidR="00093AA7" w:rsidRDefault="00093AA7">
            <w:pPr>
              <w:spacing w:before="80" w:after="80"/>
            </w:pPr>
            <w:r>
              <w:rPr>
                <w:sz w:val="16"/>
                <w:szCs w:val="16"/>
              </w:rPr>
              <w:t>MODERATE</w:t>
            </w:r>
          </w:p>
        </w:tc>
      </w:tr>
    </w:tbl>
    <w:p w14:paraId="6D87D7C1" w14:textId="77777777" w:rsidR="00093AA7" w:rsidRDefault="00093AA7" w:rsidP="00093AA7">
      <w:pPr>
        <w:spacing w:before="60" w:after="60"/>
        <w:rPr>
          <w:sz w:val="20"/>
          <w:szCs w:val="20"/>
        </w:rPr>
      </w:pPr>
    </w:p>
    <w:p w14:paraId="0F6CEDC5" w14:textId="77777777" w:rsidR="00093AA7" w:rsidRDefault="00093AA7" w:rsidP="00093AA7">
      <w:pPr>
        <w:spacing w:before="80" w:after="80"/>
      </w:pPr>
      <w:r>
        <w:rPr>
          <w:i/>
          <w:iCs/>
          <w:sz w:val="16"/>
          <w:szCs w:val="16"/>
        </w:rPr>
        <w:t xml:space="preserve">Key: </w:t>
      </w:r>
      <w:r>
        <w:rPr>
          <w:rFonts w:ascii="Segoe UI Symbol" w:hAnsi="Segoe UI Symbol" w:cs="Segoe UI Symbol"/>
          <w:i/>
          <w:iCs/>
          <w:sz w:val="16"/>
          <w:szCs w:val="16"/>
        </w:rPr>
        <w:t>★</w:t>
      </w:r>
      <w:r>
        <w:rPr>
          <w:i/>
          <w:iCs/>
          <w:sz w:val="16"/>
          <w:szCs w:val="16"/>
        </w:rPr>
        <w:t xml:space="preserve"> = Criterion fully met  |  — = Not applicable / not reported  |  9/9 = HIGH  |  7–8/9 = MODERATE-HIGH  |  5–6/9 = MODERATE  |  &lt;5/9 = LOW</w:t>
      </w:r>
    </w:p>
    <w:p w14:paraId="60EA4C59" w14:textId="77777777" w:rsidR="00093AA7" w:rsidRDefault="00093AA7" w:rsidP="00093AA7">
      <w:pPr>
        <w:spacing w:before="60" w:after="60"/>
      </w:pPr>
    </w:p>
    <w:p w14:paraId="177FCB80" w14:textId="386A2012" w:rsidR="00093AA7" w:rsidRDefault="00093AA7" w:rsidP="00892D94">
      <w:pPr>
        <w:pStyle w:val="Heading2"/>
      </w:pPr>
      <w:bookmarkStart w:id="88" w:name="_Toc241025701"/>
      <w:r>
        <w:t>Table A</w:t>
      </w:r>
      <w:r w:rsidR="008317AA">
        <w:t>1</w:t>
      </w:r>
      <w:r>
        <w:t>.3 — AACODS checklist: grey literature (n = 3)</w:t>
      </w:r>
      <w:bookmarkEnd w:id="88"/>
    </w:p>
    <w:tbl>
      <w:tblPr>
        <w:tblW w:w="99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247"/>
        <w:gridCol w:w="1247"/>
        <w:gridCol w:w="1247"/>
        <w:gridCol w:w="1247"/>
        <w:gridCol w:w="1247"/>
        <w:gridCol w:w="1247"/>
        <w:gridCol w:w="1247"/>
        <w:gridCol w:w="1247"/>
      </w:tblGrid>
      <w:tr w:rsidR="00093AA7" w14:paraId="414F38CA" w14:textId="77777777" w:rsidTr="00093AA7">
        <w:trPr>
          <w:tblHeader/>
        </w:trPr>
        <w:tc>
          <w:tcPr>
            <w:tcW w:w="124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1CAEA6D3" w14:textId="77777777" w:rsidR="00093AA7" w:rsidRDefault="00093AA7">
            <w:pPr>
              <w:spacing w:before="80" w:after="80"/>
              <w:jc w:val="center"/>
            </w:pPr>
            <w:r>
              <w:rPr>
                <w:b/>
                <w:bCs/>
                <w:sz w:val="16"/>
                <w:szCs w:val="16"/>
              </w:rPr>
              <w:t>Study</w:t>
            </w:r>
          </w:p>
        </w:tc>
        <w:tc>
          <w:tcPr>
            <w:tcW w:w="124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73429E67" w14:textId="77777777" w:rsidR="00093AA7" w:rsidRDefault="00093AA7">
            <w:pPr>
              <w:spacing w:before="80" w:after="80"/>
              <w:jc w:val="center"/>
            </w:pPr>
            <w:r>
              <w:rPr>
                <w:b/>
                <w:bCs/>
                <w:sz w:val="16"/>
                <w:szCs w:val="16"/>
              </w:rPr>
              <w:t>Authority</w:t>
            </w:r>
          </w:p>
        </w:tc>
        <w:tc>
          <w:tcPr>
            <w:tcW w:w="124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5DC3C6A2" w14:textId="77777777" w:rsidR="00093AA7" w:rsidRDefault="00093AA7">
            <w:pPr>
              <w:spacing w:before="80" w:after="80"/>
              <w:jc w:val="center"/>
            </w:pPr>
            <w:r>
              <w:rPr>
                <w:b/>
                <w:bCs/>
                <w:sz w:val="16"/>
                <w:szCs w:val="16"/>
              </w:rPr>
              <w:t>Accuracy</w:t>
            </w:r>
          </w:p>
        </w:tc>
        <w:tc>
          <w:tcPr>
            <w:tcW w:w="124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AA82060" w14:textId="77777777" w:rsidR="00093AA7" w:rsidRDefault="00093AA7">
            <w:pPr>
              <w:spacing w:before="80" w:after="80"/>
              <w:jc w:val="center"/>
            </w:pPr>
            <w:r>
              <w:rPr>
                <w:b/>
                <w:bCs/>
                <w:sz w:val="16"/>
                <w:szCs w:val="16"/>
              </w:rPr>
              <w:t>Coverage</w:t>
            </w:r>
          </w:p>
        </w:tc>
        <w:tc>
          <w:tcPr>
            <w:tcW w:w="124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5EEECF73" w14:textId="77777777" w:rsidR="00093AA7" w:rsidRDefault="00093AA7">
            <w:pPr>
              <w:spacing w:before="80" w:after="80"/>
              <w:jc w:val="center"/>
            </w:pPr>
            <w:r>
              <w:rPr>
                <w:b/>
                <w:bCs/>
                <w:sz w:val="16"/>
                <w:szCs w:val="16"/>
              </w:rPr>
              <w:t>Objectivity</w:t>
            </w:r>
          </w:p>
        </w:tc>
        <w:tc>
          <w:tcPr>
            <w:tcW w:w="124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0A99610C" w14:textId="77777777" w:rsidR="00093AA7" w:rsidRDefault="00093AA7">
            <w:pPr>
              <w:spacing w:before="80" w:after="80"/>
              <w:jc w:val="center"/>
            </w:pPr>
            <w:r>
              <w:rPr>
                <w:b/>
                <w:bCs/>
                <w:sz w:val="16"/>
                <w:szCs w:val="16"/>
              </w:rPr>
              <w:t>Currency/Date</w:t>
            </w:r>
          </w:p>
        </w:tc>
        <w:tc>
          <w:tcPr>
            <w:tcW w:w="124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92CBCE9" w14:textId="77777777" w:rsidR="00093AA7" w:rsidRDefault="00093AA7">
            <w:pPr>
              <w:spacing w:before="80" w:after="80"/>
              <w:jc w:val="center"/>
            </w:pPr>
            <w:r>
              <w:rPr>
                <w:b/>
                <w:bCs/>
                <w:sz w:val="16"/>
                <w:szCs w:val="16"/>
              </w:rPr>
              <w:t>Significance</w:t>
            </w:r>
          </w:p>
        </w:tc>
        <w:tc>
          <w:tcPr>
            <w:tcW w:w="1247"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04580F4A" w14:textId="77777777" w:rsidR="00093AA7" w:rsidRDefault="00093AA7">
            <w:pPr>
              <w:spacing w:before="80" w:after="80"/>
              <w:jc w:val="center"/>
            </w:pPr>
            <w:r>
              <w:rPr>
                <w:b/>
                <w:bCs/>
                <w:sz w:val="16"/>
                <w:szCs w:val="16"/>
              </w:rPr>
              <w:t>Overall</w:t>
            </w:r>
          </w:p>
        </w:tc>
      </w:tr>
      <w:tr w:rsidR="00093AA7" w14:paraId="36D23199" w14:textId="77777777" w:rsidTr="00093AA7">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7426BFC" w14:textId="77777777" w:rsidR="00093AA7" w:rsidRDefault="00093AA7">
            <w:pPr>
              <w:spacing w:before="80" w:after="80"/>
            </w:pPr>
            <w:r>
              <w:rPr>
                <w:sz w:val="16"/>
                <w:szCs w:val="16"/>
              </w:rPr>
              <w:t>Children's Commissioner for England (2025)</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A356AC7" w14:textId="77777777" w:rsidR="00093AA7" w:rsidRDefault="00093AA7">
            <w:pPr>
              <w:spacing w:before="80" w:after="80"/>
            </w:pPr>
            <w:r>
              <w:rPr>
                <w:sz w:val="16"/>
                <w:szCs w:val="16"/>
              </w:rPr>
              <w:t>HIGH — Statutory government office; independent of NHS commissioning</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E4E3208" w14:textId="77777777" w:rsidR="00093AA7" w:rsidRDefault="00093AA7">
            <w:pPr>
              <w:spacing w:before="80" w:after="80"/>
            </w:pPr>
            <w:r>
              <w:rPr>
                <w:sz w:val="16"/>
                <w:szCs w:val="16"/>
              </w:rPr>
              <w:t>HIGH — Direct NHS England administrative data; obtained under statutory powers</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8E2194D" w14:textId="77777777" w:rsidR="00093AA7" w:rsidRDefault="00093AA7">
            <w:pPr>
              <w:spacing w:before="80" w:after="80"/>
            </w:pPr>
            <w:r>
              <w:rPr>
                <w:sz w:val="16"/>
                <w:szCs w:val="16"/>
              </w:rPr>
              <w:t>HIGH — National; all ICBs in England; 2023–24 data (most current available)</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4F161E2" w14:textId="77777777" w:rsidR="00093AA7" w:rsidRDefault="00093AA7">
            <w:pPr>
              <w:spacing w:before="80" w:after="80"/>
            </w:pPr>
            <w:r>
              <w:rPr>
                <w:sz w:val="16"/>
                <w:szCs w:val="16"/>
              </w:rPr>
              <w:t>HIGH — Independent of NHS; no commercial interest; transparent methodology</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B44FCCF" w14:textId="77777777" w:rsidR="00093AA7" w:rsidRDefault="00093AA7">
            <w:pPr>
              <w:spacing w:before="80" w:after="80"/>
            </w:pPr>
            <w:r>
              <w:rPr>
                <w:sz w:val="16"/>
                <w:szCs w:val="16"/>
              </w:rPr>
              <w:t>HIGH — Published May 2025; uses 2023–24 data</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0A365A5" w14:textId="77777777" w:rsidR="00093AA7" w:rsidRDefault="00093AA7">
            <w:pPr>
              <w:spacing w:before="80" w:after="80"/>
            </w:pPr>
            <w:r>
              <w:rPr>
                <w:sz w:val="16"/>
                <w:szCs w:val="16"/>
              </w:rPr>
              <w:t>HIGH — Directly addresses waiting times, demand, geographic inequality</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77F399F" w14:textId="77777777" w:rsidR="00093AA7" w:rsidRDefault="00093AA7">
            <w:pPr>
              <w:spacing w:before="80" w:after="80"/>
            </w:pPr>
            <w:r>
              <w:rPr>
                <w:sz w:val="16"/>
                <w:szCs w:val="16"/>
              </w:rPr>
              <w:t>HIGH</w:t>
            </w:r>
          </w:p>
        </w:tc>
      </w:tr>
      <w:tr w:rsidR="00093AA7" w14:paraId="3C034AC5" w14:textId="77777777" w:rsidTr="00093AA7">
        <w:tc>
          <w:tcPr>
            <w:tcW w:w="124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8C59432" w14:textId="77777777" w:rsidR="00093AA7" w:rsidRDefault="00093AA7">
            <w:pPr>
              <w:spacing w:before="80" w:after="80"/>
            </w:pPr>
            <w:r>
              <w:rPr>
                <w:sz w:val="16"/>
                <w:szCs w:val="16"/>
              </w:rPr>
              <w:t>Crenna-Jennings &amp; Hutchinson / EPI (2020)</w:t>
            </w:r>
          </w:p>
        </w:tc>
        <w:tc>
          <w:tcPr>
            <w:tcW w:w="124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ED3254C" w14:textId="77777777" w:rsidR="00093AA7" w:rsidRDefault="00093AA7">
            <w:pPr>
              <w:spacing w:before="80" w:after="80"/>
            </w:pPr>
            <w:r>
              <w:rPr>
                <w:sz w:val="16"/>
                <w:szCs w:val="16"/>
              </w:rPr>
              <w:t>HIGH — Independent think tank; evidence-based policy research</w:t>
            </w:r>
          </w:p>
        </w:tc>
        <w:tc>
          <w:tcPr>
            <w:tcW w:w="124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54A93FF" w14:textId="77777777" w:rsidR="00093AA7" w:rsidRDefault="00093AA7">
            <w:pPr>
              <w:spacing w:before="80" w:after="80"/>
            </w:pPr>
            <w:r>
              <w:rPr>
                <w:sz w:val="16"/>
                <w:szCs w:val="16"/>
              </w:rPr>
              <w:t>HIGH — Freedom of Information requests to all NHS mental health trusts</w:t>
            </w:r>
          </w:p>
        </w:tc>
        <w:tc>
          <w:tcPr>
            <w:tcW w:w="124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91C911A" w14:textId="77777777" w:rsidR="00093AA7" w:rsidRDefault="00093AA7">
            <w:pPr>
              <w:spacing w:before="80" w:after="80"/>
            </w:pPr>
            <w:r>
              <w:rPr>
                <w:sz w:val="16"/>
                <w:szCs w:val="16"/>
              </w:rPr>
              <w:t>HIGH — National; all NHS providers; 2018–19 data (foundational source)</w:t>
            </w:r>
          </w:p>
        </w:tc>
        <w:tc>
          <w:tcPr>
            <w:tcW w:w="124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7F768C3" w14:textId="77777777" w:rsidR="00093AA7" w:rsidRDefault="00093AA7">
            <w:pPr>
              <w:spacing w:before="80" w:after="80"/>
            </w:pPr>
            <w:r>
              <w:rPr>
                <w:sz w:val="16"/>
                <w:szCs w:val="16"/>
              </w:rPr>
              <w:t>HIGH — Independent; no conflicts of interest declared</w:t>
            </w:r>
          </w:p>
        </w:tc>
        <w:tc>
          <w:tcPr>
            <w:tcW w:w="124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97AE444" w14:textId="77777777" w:rsidR="00093AA7" w:rsidRDefault="00093AA7">
            <w:pPr>
              <w:spacing w:before="80" w:after="80"/>
            </w:pPr>
            <w:r>
              <w:rPr>
                <w:sz w:val="16"/>
                <w:szCs w:val="16"/>
              </w:rPr>
              <w:t>MODERATE — 2020 report on 2018–19 data; older but only source for rejection rates</w:t>
            </w:r>
          </w:p>
        </w:tc>
        <w:tc>
          <w:tcPr>
            <w:tcW w:w="124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A940653" w14:textId="77777777" w:rsidR="00093AA7" w:rsidRDefault="00093AA7">
            <w:pPr>
              <w:spacing w:before="80" w:after="80"/>
            </w:pPr>
            <w:r>
              <w:rPr>
                <w:sz w:val="16"/>
                <w:szCs w:val="16"/>
              </w:rPr>
              <w:t>HIGH — Unique rejection-rate data unavailable through standard NHS reporting</w:t>
            </w:r>
          </w:p>
        </w:tc>
        <w:tc>
          <w:tcPr>
            <w:tcW w:w="1247"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1BC3A7A6" w14:textId="77777777" w:rsidR="00093AA7" w:rsidRDefault="00093AA7">
            <w:pPr>
              <w:spacing w:before="80" w:after="80"/>
            </w:pPr>
            <w:r>
              <w:rPr>
                <w:sz w:val="16"/>
                <w:szCs w:val="16"/>
              </w:rPr>
              <w:t>HIGH</w:t>
            </w:r>
          </w:p>
        </w:tc>
      </w:tr>
      <w:tr w:rsidR="00093AA7" w14:paraId="266500B2" w14:textId="77777777" w:rsidTr="00093AA7">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5583BA2" w14:textId="77777777" w:rsidR="00093AA7" w:rsidRDefault="00093AA7">
            <w:pPr>
              <w:spacing w:before="80" w:after="80"/>
            </w:pPr>
            <w:r>
              <w:rPr>
                <w:sz w:val="16"/>
                <w:szCs w:val="16"/>
              </w:rPr>
              <w:t>Care Quality Commission (2018)</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4F4AE6A" w14:textId="77777777" w:rsidR="00093AA7" w:rsidRDefault="00093AA7">
            <w:pPr>
              <w:spacing w:before="80" w:after="80"/>
            </w:pPr>
            <w:r>
              <w:rPr>
                <w:sz w:val="16"/>
                <w:szCs w:val="16"/>
              </w:rPr>
              <w:t>HIGH — Statutory regulator of health and social care in England</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9D3D5F3" w14:textId="77777777" w:rsidR="00093AA7" w:rsidRDefault="00093AA7">
            <w:pPr>
              <w:spacing w:before="80" w:after="80"/>
            </w:pPr>
            <w:r>
              <w:rPr>
                <w:sz w:val="16"/>
                <w:szCs w:val="16"/>
              </w:rPr>
              <w:t>HIGH — Fieldwork; 1,300+ participants; commissioned by Prime Minister</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EC3A306" w14:textId="77777777" w:rsidR="00093AA7" w:rsidRDefault="00093AA7">
            <w:pPr>
              <w:spacing w:before="80" w:after="80"/>
            </w:pPr>
            <w:r>
              <w:rPr>
                <w:sz w:val="16"/>
                <w:szCs w:val="16"/>
              </w:rPr>
              <w:t>HIGH — 10 health and wellbeing board areas; wide geographic spread</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251C532" w14:textId="77777777" w:rsidR="00093AA7" w:rsidRDefault="00093AA7">
            <w:pPr>
              <w:spacing w:before="80" w:after="80"/>
            </w:pPr>
            <w:r>
              <w:rPr>
                <w:sz w:val="16"/>
                <w:szCs w:val="16"/>
              </w:rPr>
              <w:t>HIGH — Regulatory independence; transparent methodology</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606C27E" w14:textId="77777777" w:rsidR="00093AA7" w:rsidRDefault="00093AA7">
            <w:pPr>
              <w:spacing w:before="80" w:after="80"/>
            </w:pPr>
            <w:r>
              <w:rPr>
                <w:sz w:val="16"/>
                <w:szCs w:val="16"/>
              </w:rPr>
              <w:t>MODERATE — 2018 report; older but foundational; still cited in NHS policy</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C601F83" w14:textId="77777777" w:rsidR="00093AA7" w:rsidRDefault="00093AA7">
            <w:pPr>
              <w:spacing w:before="80" w:after="80"/>
            </w:pPr>
            <w:r>
              <w:rPr>
                <w:sz w:val="16"/>
                <w:szCs w:val="16"/>
              </w:rPr>
              <w:t>HIGH — Systemic/commissioning barriers; still relevant as structural barriers unchanged</w:t>
            </w:r>
          </w:p>
        </w:tc>
        <w:tc>
          <w:tcPr>
            <w:tcW w:w="1247"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EA5B6DD" w14:textId="77777777" w:rsidR="00093AA7" w:rsidRDefault="00093AA7">
            <w:pPr>
              <w:spacing w:before="80" w:after="80"/>
            </w:pPr>
            <w:r>
              <w:rPr>
                <w:sz w:val="16"/>
                <w:szCs w:val="16"/>
              </w:rPr>
              <w:t>HIGH (noted: 2018)</w:t>
            </w:r>
          </w:p>
        </w:tc>
      </w:tr>
    </w:tbl>
    <w:p w14:paraId="0BD8804A" w14:textId="77777777" w:rsidR="00093AA7" w:rsidRDefault="00093AA7" w:rsidP="00093AA7">
      <w:pPr>
        <w:spacing w:before="60" w:after="60"/>
        <w:rPr>
          <w:sz w:val="20"/>
          <w:szCs w:val="20"/>
        </w:rPr>
      </w:pPr>
    </w:p>
    <w:p w14:paraId="0BBE3F46" w14:textId="77777777" w:rsidR="00093AA7" w:rsidRDefault="00093AA7" w:rsidP="00093AA7">
      <w:pPr>
        <w:spacing w:before="80" w:after="80"/>
      </w:pPr>
      <w:r>
        <w:rPr>
          <w:i/>
          <w:iCs/>
          <w:sz w:val="16"/>
          <w:szCs w:val="16"/>
        </w:rPr>
        <w:t>Key: HIGH = Strong quality on this dimension  |  MODERATE = Acceptable; minor limitations  |  LOW = Significant limitation</w:t>
      </w:r>
    </w:p>
    <w:p w14:paraId="1C8E103D" w14:textId="77777777" w:rsidR="00093AA7" w:rsidRDefault="00093AA7" w:rsidP="00093AA7">
      <w:pPr>
        <w:spacing w:before="60" w:after="60"/>
      </w:pPr>
    </w:p>
    <w:p w14:paraId="1111A34B" w14:textId="44C1284C" w:rsidR="00093AA7" w:rsidRDefault="00093AA7" w:rsidP="00892D94">
      <w:pPr>
        <w:pStyle w:val="Heading2"/>
      </w:pPr>
      <w:bookmarkStart w:id="89" w:name="_Toc241025702"/>
      <w:r>
        <w:lastRenderedPageBreak/>
        <w:t>Table A</w:t>
      </w:r>
      <w:r w:rsidR="008317AA">
        <w:t>1</w:t>
      </w:r>
      <w:r>
        <w:t>.4 — Quality appraisal summary: all 12 included studies</w:t>
      </w:r>
      <w:bookmarkEnd w:id="89"/>
    </w:p>
    <w:tbl>
      <w:tblPr>
        <w:tblW w:w="10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474"/>
        <w:gridCol w:w="1474"/>
        <w:gridCol w:w="1474"/>
        <w:gridCol w:w="1474"/>
        <w:gridCol w:w="1474"/>
        <w:gridCol w:w="1474"/>
        <w:gridCol w:w="1474"/>
      </w:tblGrid>
      <w:tr w:rsidR="00093AA7" w14:paraId="579BEC91" w14:textId="77777777" w:rsidTr="00093AA7">
        <w:trPr>
          <w:tblHeader/>
        </w:trPr>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6CB23163" w14:textId="77777777" w:rsidR="00093AA7" w:rsidRDefault="00093AA7">
            <w:pPr>
              <w:spacing w:before="80" w:after="80"/>
              <w:jc w:val="center"/>
            </w:pPr>
            <w:r>
              <w:rPr>
                <w:b/>
                <w:bCs/>
                <w:sz w:val="16"/>
                <w:szCs w:val="16"/>
              </w:rPr>
              <w:t>#</w:t>
            </w:r>
          </w:p>
        </w:tc>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0B1D8533" w14:textId="77777777" w:rsidR="00093AA7" w:rsidRDefault="00093AA7">
            <w:pPr>
              <w:spacing w:before="80" w:after="80"/>
              <w:jc w:val="center"/>
            </w:pPr>
            <w:r>
              <w:rPr>
                <w:b/>
                <w:bCs/>
                <w:sz w:val="16"/>
                <w:szCs w:val="16"/>
              </w:rPr>
              <w:t>Study</w:t>
            </w:r>
          </w:p>
        </w:tc>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068BAE1A" w14:textId="77777777" w:rsidR="00093AA7" w:rsidRDefault="00093AA7">
            <w:pPr>
              <w:spacing w:before="80" w:after="80"/>
              <w:jc w:val="center"/>
            </w:pPr>
            <w:r>
              <w:rPr>
                <w:b/>
                <w:bCs/>
                <w:sz w:val="16"/>
                <w:szCs w:val="16"/>
              </w:rPr>
              <w:t>Tool</w:t>
            </w:r>
          </w:p>
        </w:tc>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7A2D43E" w14:textId="77777777" w:rsidR="00093AA7" w:rsidRDefault="00093AA7">
            <w:pPr>
              <w:spacing w:before="80" w:after="80"/>
              <w:jc w:val="center"/>
            </w:pPr>
            <w:r>
              <w:rPr>
                <w:b/>
                <w:bCs/>
                <w:sz w:val="16"/>
                <w:szCs w:val="16"/>
              </w:rPr>
              <w:t>Study Design</w:t>
            </w:r>
          </w:p>
        </w:tc>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7CB51C38" w14:textId="77777777" w:rsidR="00093AA7" w:rsidRDefault="00093AA7">
            <w:pPr>
              <w:spacing w:before="80" w:after="80"/>
              <w:jc w:val="center"/>
            </w:pPr>
            <w:r>
              <w:rPr>
                <w:b/>
                <w:bCs/>
                <w:sz w:val="16"/>
                <w:szCs w:val="16"/>
              </w:rPr>
              <w:t>Year</w:t>
            </w:r>
          </w:p>
        </w:tc>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4B089E68" w14:textId="77777777" w:rsidR="00093AA7" w:rsidRDefault="00093AA7">
            <w:pPr>
              <w:spacing w:before="80" w:after="80"/>
              <w:jc w:val="center"/>
            </w:pPr>
            <w:r>
              <w:rPr>
                <w:b/>
                <w:bCs/>
                <w:sz w:val="16"/>
                <w:szCs w:val="16"/>
              </w:rPr>
              <w:t>Region</w:t>
            </w:r>
          </w:p>
        </w:tc>
        <w:tc>
          <w:tcPr>
            <w:tcW w:w="1474"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24B1E49C" w14:textId="77777777" w:rsidR="00093AA7" w:rsidRDefault="00093AA7">
            <w:pPr>
              <w:spacing w:before="80" w:after="80"/>
              <w:jc w:val="center"/>
            </w:pPr>
            <w:r>
              <w:rPr>
                <w:b/>
                <w:bCs/>
                <w:sz w:val="16"/>
                <w:szCs w:val="16"/>
              </w:rPr>
              <w:t>Quality</w:t>
            </w:r>
          </w:p>
        </w:tc>
      </w:tr>
      <w:tr w:rsidR="00093AA7" w14:paraId="7F96CA64"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3CF63D9" w14:textId="77777777" w:rsidR="00093AA7" w:rsidRDefault="00093AA7">
            <w:pPr>
              <w:spacing w:before="80" w:after="80"/>
            </w:pPr>
            <w:r>
              <w:rPr>
                <w:sz w:val="16"/>
                <w:szCs w:val="16"/>
              </w:rPr>
              <w:t>1</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6364843" w14:textId="77777777" w:rsidR="00093AA7" w:rsidRDefault="00093AA7">
            <w:pPr>
              <w:spacing w:before="80" w:after="80"/>
            </w:pPr>
            <w:proofErr w:type="spellStart"/>
            <w:r>
              <w:rPr>
                <w:sz w:val="16"/>
                <w:szCs w:val="16"/>
              </w:rPr>
              <w:t>Edbrooke-Childs</w:t>
            </w:r>
            <w:proofErr w:type="spellEnd"/>
            <w:r>
              <w:rPr>
                <w:sz w:val="16"/>
                <w:szCs w:val="16"/>
              </w:rPr>
              <w:t xml:space="preserve"> &amp; Deighton</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B7EF04E" w14:textId="77777777" w:rsidR="00093AA7" w:rsidRDefault="00093AA7">
            <w:pPr>
              <w:spacing w:before="80" w:after="80"/>
            </w:pPr>
            <w:r>
              <w:rPr>
                <w:sz w:val="16"/>
                <w:szCs w:val="16"/>
              </w:rPr>
              <w:t>NOS</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FD5C27F" w14:textId="77777777" w:rsidR="00093AA7" w:rsidRDefault="00093AA7">
            <w:pPr>
              <w:spacing w:before="80" w:after="80"/>
            </w:pPr>
            <w:r>
              <w:rPr>
                <w:sz w:val="16"/>
                <w:szCs w:val="16"/>
              </w:rPr>
              <w:t>Quantitative (regression)</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69333AB" w14:textId="77777777" w:rsidR="00093AA7" w:rsidRDefault="00093AA7">
            <w:pPr>
              <w:spacing w:before="80" w:after="80"/>
            </w:pPr>
            <w:r>
              <w:rPr>
                <w:sz w:val="16"/>
                <w:szCs w:val="16"/>
              </w:rPr>
              <w:t>2020</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831DD12"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BFACCFD" w14:textId="77777777" w:rsidR="00093AA7" w:rsidRDefault="00093AA7">
            <w:pPr>
              <w:spacing w:before="80" w:after="80"/>
            </w:pPr>
            <w:r>
              <w:rPr>
                <w:sz w:val="16"/>
                <w:szCs w:val="16"/>
              </w:rPr>
              <w:t>HIGH 9/9</w:t>
            </w:r>
          </w:p>
        </w:tc>
      </w:tr>
      <w:tr w:rsidR="00093AA7" w14:paraId="616CB839"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6DF5F47" w14:textId="77777777" w:rsidR="00093AA7" w:rsidRDefault="00093AA7">
            <w:pPr>
              <w:spacing w:before="80" w:after="80"/>
            </w:pPr>
            <w:r>
              <w:rPr>
                <w:sz w:val="16"/>
                <w:szCs w:val="16"/>
              </w:rPr>
              <w:t>2</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25717DC" w14:textId="77777777" w:rsidR="00093AA7" w:rsidRDefault="00093AA7">
            <w:pPr>
              <w:spacing w:before="80" w:after="80"/>
            </w:pPr>
            <w:r>
              <w:rPr>
                <w:sz w:val="16"/>
                <w:szCs w:val="16"/>
              </w:rPr>
              <w:t>Ganga et al.</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23B306E" w14:textId="77777777" w:rsidR="00093AA7" w:rsidRDefault="00093AA7">
            <w:pPr>
              <w:spacing w:before="80" w:after="80"/>
            </w:pPr>
            <w:r>
              <w:rPr>
                <w:sz w:val="16"/>
                <w:szCs w:val="16"/>
              </w:rPr>
              <w:t>NOS</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3BDE02C" w14:textId="77777777" w:rsidR="00093AA7" w:rsidRDefault="00093AA7">
            <w:pPr>
              <w:spacing w:before="80" w:after="80"/>
            </w:pPr>
            <w:r>
              <w:rPr>
                <w:sz w:val="16"/>
                <w:szCs w:val="16"/>
              </w:rPr>
              <w:t>Quantitative (observational)</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64DEDB3" w14:textId="77777777" w:rsidR="00093AA7" w:rsidRDefault="00093AA7">
            <w:pPr>
              <w:spacing w:before="80" w:after="80"/>
            </w:pPr>
            <w:r>
              <w:rPr>
                <w:sz w:val="16"/>
                <w:szCs w:val="16"/>
              </w:rPr>
              <w:t>2024</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6A4AD36"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695F1DF" w14:textId="77777777" w:rsidR="00093AA7" w:rsidRDefault="00093AA7">
            <w:pPr>
              <w:spacing w:before="80" w:after="80"/>
            </w:pPr>
            <w:r>
              <w:rPr>
                <w:sz w:val="16"/>
                <w:szCs w:val="16"/>
              </w:rPr>
              <w:t>MOD-HIGH 7/9</w:t>
            </w:r>
          </w:p>
        </w:tc>
      </w:tr>
      <w:tr w:rsidR="00093AA7" w14:paraId="5339AFAB"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2E45619" w14:textId="77777777" w:rsidR="00093AA7" w:rsidRDefault="00093AA7">
            <w:pPr>
              <w:spacing w:before="80" w:after="80"/>
            </w:pPr>
            <w:r>
              <w:rPr>
                <w:sz w:val="16"/>
                <w:szCs w:val="16"/>
              </w:rPr>
              <w:t>3</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CC7CC6F" w14:textId="77777777" w:rsidR="00093AA7" w:rsidRDefault="00093AA7">
            <w:pPr>
              <w:spacing w:before="80" w:after="80"/>
            </w:pPr>
            <w:r>
              <w:rPr>
                <w:sz w:val="16"/>
                <w:szCs w:val="16"/>
              </w:rPr>
              <w:t>Mareva et al.</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7FA7F84" w14:textId="77777777" w:rsidR="00093AA7" w:rsidRDefault="00093AA7">
            <w:pPr>
              <w:spacing w:before="80" w:after="80"/>
            </w:pPr>
            <w:r>
              <w:rPr>
                <w:sz w:val="16"/>
                <w:szCs w:val="16"/>
              </w:rPr>
              <w:t>NOS</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FFA9F7B" w14:textId="77777777" w:rsidR="00093AA7" w:rsidRDefault="00093AA7">
            <w:pPr>
              <w:spacing w:before="80" w:after="80"/>
            </w:pPr>
            <w:r>
              <w:rPr>
                <w:sz w:val="16"/>
                <w:szCs w:val="16"/>
              </w:rPr>
              <w:t>Quantitative (cross-sectional)</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CC4F1D3" w14:textId="77777777" w:rsidR="00093AA7" w:rsidRDefault="00093AA7">
            <w:pPr>
              <w:spacing w:before="80" w:after="80"/>
            </w:pPr>
            <w:r>
              <w:rPr>
                <w:sz w:val="16"/>
                <w:szCs w:val="16"/>
              </w:rPr>
              <w:t>2024</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A7DF1B5"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CAEA695" w14:textId="77777777" w:rsidR="00093AA7" w:rsidRDefault="00093AA7">
            <w:pPr>
              <w:spacing w:before="80" w:after="80"/>
            </w:pPr>
            <w:r>
              <w:rPr>
                <w:sz w:val="16"/>
                <w:szCs w:val="16"/>
              </w:rPr>
              <w:t>MODERATE 6/9</w:t>
            </w:r>
          </w:p>
        </w:tc>
      </w:tr>
      <w:tr w:rsidR="00093AA7" w14:paraId="630EA939"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715119B" w14:textId="77777777" w:rsidR="00093AA7" w:rsidRDefault="00093AA7">
            <w:pPr>
              <w:spacing w:before="80" w:after="80"/>
            </w:pPr>
            <w:r>
              <w:rPr>
                <w:sz w:val="16"/>
                <w:szCs w:val="16"/>
              </w:rPr>
              <w:t>4</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E514306" w14:textId="77777777" w:rsidR="00093AA7" w:rsidRDefault="00093AA7">
            <w:pPr>
              <w:spacing w:before="80" w:after="80"/>
            </w:pPr>
            <w:r>
              <w:rPr>
                <w:sz w:val="16"/>
                <w:szCs w:val="16"/>
              </w:rPr>
              <w:t>Rocks et al.</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E84FD3D" w14:textId="77777777" w:rsidR="00093AA7" w:rsidRDefault="00093AA7">
            <w:pPr>
              <w:spacing w:before="80" w:after="80"/>
            </w:pPr>
            <w:r>
              <w:rPr>
                <w:sz w:val="16"/>
                <w:szCs w:val="16"/>
              </w:rPr>
              <w:t>CASP</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EF418FA" w14:textId="77777777" w:rsidR="00093AA7" w:rsidRDefault="00093AA7">
            <w:pPr>
              <w:spacing w:before="80" w:after="80"/>
            </w:pPr>
            <w:r>
              <w:rPr>
                <w:sz w:val="16"/>
                <w:szCs w:val="16"/>
              </w:rPr>
              <w:t>Mixed-methods observational</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56F0691" w14:textId="77777777" w:rsidR="00093AA7" w:rsidRDefault="00093AA7">
            <w:pPr>
              <w:spacing w:before="80" w:after="80"/>
            </w:pPr>
            <w:r>
              <w:rPr>
                <w:sz w:val="16"/>
                <w:szCs w:val="16"/>
              </w:rPr>
              <w:t>2020</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F5B90B1"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6CA89A0" w14:textId="77777777" w:rsidR="00093AA7" w:rsidRDefault="00093AA7">
            <w:pPr>
              <w:spacing w:before="80" w:after="80"/>
            </w:pPr>
            <w:r>
              <w:rPr>
                <w:sz w:val="16"/>
                <w:szCs w:val="16"/>
              </w:rPr>
              <w:t>HIGH</w:t>
            </w:r>
          </w:p>
        </w:tc>
      </w:tr>
      <w:tr w:rsidR="00093AA7" w14:paraId="48E729E5"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47ED157" w14:textId="77777777" w:rsidR="00093AA7" w:rsidRDefault="00093AA7">
            <w:pPr>
              <w:spacing w:before="80" w:after="80"/>
            </w:pPr>
            <w:r>
              <w:rPr>
                <w:sz w:val="16"/>
                <w:szCs w:val="16"/>
              </w:rPr>
              <w:t>5</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031C415" w14:textId="77777777" w:rsidR="00093AA7" w:rsidRDefault="00093AA7">
            <w:pPr>
              <w:spacing w:before="80" w:after="80"/>
            </w:pPr>
            <w:r>
              <w:rPr>
                <w:sz w:val="16"/>
                <w:szCs w:val="16"/>
              </w:rPr>
              <w:t>Newman et al.</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03C2C6D" w14:textId="77777777" w:rsidR="00093AA7" w:rsidRDefault="00093AA7">
            <w:pPr>
              <w:spacing w:before="80" w:after="80"/>
            </w:pPr>
            <w:r>
              <w:rPr>
                <w:sz w:val="16"/>
                <w:szCs w:val="16"/>
              </w:rPr>
              <w:t>CASP</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F81206C" w14:textId="77777777" w:rsidR="00093AA7" w:rsidRDefault="00093AA7">
            <w:pPr>
              <w:spacing w:before="80" w:after="80"/>
            </w:pPr>
            <w:r>
              <w:rPr>
                <w:sz w:val="16"/>
                <w:szCs w:val="16"/>
              </w:rPr>
              <w:t>Qualitative (thematic)</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7C5AC5E" w14:textId="77777777" w:rsidR="00093AA7" w:rsidRDefault="00093AA7">
            <w:pPr>
              <w:spacing w:before="80" w:after="80"/>
            </w:pPr>
            <w:r>
              <w:rPr>
                <w:sz w:val="16"/>
                <w:szCs w:val="16"/>
              </w:rPr>
              <w:t>2024</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57289E2"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62086FC" w14:textId="77777777" w:rsidR="00093AA7" w:rsidRDefault="00093AA7">
            <w:pPr>
              <w:spacing w:before="80" w:after="80"/>
            </w:pPr>
            <w:r>
              <w:rPr>
                <w:sz w:val="16"/>
                <w:szCs w:val="16"/>
              </w:rPr>
              <w:t>HIGH</w:t>
            </w:r>
          </w:p>
        </w:tc>
      </w:tr>
      <w:tr w:rsidR="00093AA7" w14:paraId="213F9DA1"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73F0071" w14:textId="77777777" w:rsidR="00093AA7" w:rsidRDefault="00093AA7">
            <w:pPr>
              <w:spacing w:before="80" w:after="80"/>
            </w:pPr>
            <w:r>
              <w:rPr>
                <w:sz w:val="16"/>
                <w:szCs w:val="16"/>
              </w:rPr>
              <w:t>6</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700EF7A" w14:textId="77777777" w:rsidR="00093AA7" w:rsidRDefault="00093AA7">
            <w:pPr>
              <w:spacing w:before="80" w:after="80"/>
            </w:pPr>
            <w:r>
              <w:rPr>
                <w:sz w:val="16"/>
                <w:szCs w:val="16"/>
              </w:rPr>
              <w:t>Thomson et al.</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9F001E5" w14:textId="77777777" w:rsidR="00093AA7" w:rsidRDefault="00093AA7">
            <w:pPr>
              <w:spacing w:before="80" w:after="80"/>
            </w:pPr>
            <w:r>
              <w:rPr>
                <w:sz w:val="16"/>
                <w:szCs w:val="16"/>
              </w:rPr>
              <w:t>CASP</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785A1A9" w14:textId="77777777" w:rsidR="00093AA7" w:rsidRDefault="00093AA7">
            <w:pPr>
              <w:spacing w:before="80" w:after="80"/>
            </w:pPr>
            <w:r>
              <w:rPr>
                <w:sz w:val="16"/>
                <w:szCs w:val="16"/>
              </w:rPr>
              <w:t>Qualitative (process eval.)</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C97806D" w14:textId="77777777" w:rsidR="00093AA7" w:rsidRDefault="00093AA7">
            <w:pPr>
              <w:spacing w:before="80" w:after="80"/>
            </w:pPr>
            <w:r>
              <w:rPr>
                <w:sz w:val="16"/>
                <w:szCs w:val="16"/>
              </w:rPr>
              <w:t>2025</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B2699A2"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2E0B2FF" w14:textId="77777777" w:rsidR="00093AA7" w:rsidRDefault="00093AA7">
            <w:pPr>
              <w:spacing w:before="80" w:after="80"/>
            </w:pPr>
            <w:r>
              <w:rPr>
                <w:sz w:val="16"/>
                <w:szCs w:val="16"/>
              </w:rPr>
              <w:t>HIGH</w:t>
            </w:r>
          </w:p>
        </w:tc>
      </w:tr>
      <w:tr w:rsidR="00093AA7" w14:paraId="0170CCE2"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08EFDC9" w14:textId="77777777" w:rsidR="00093AA7" w:rsidRDefault="00093AA7">
            <w:pPr>
              <w:spacing w:before="80" w:after="80"/>
            </w:pPr>
            <w:r>
              <w:rPr>
                <w:sz w:val="16"/>
                <w:szCs w:val="16"/>
              </w:rPr>
              <w:t>7</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8AAC8C2" w14:textId="77777777" w:rsidR="00093AA7" w:rsidRDefault="00093AA7">
            <w:pPr>
              <w:spacing w:before="80" w:after="80"/>
            </w:pPr>
            <w:proofErr w:type="spellStart"/>
            <w:r>
              <w:rPr>
                <w:sz w:val="16"/>
                <w:szCs w:val="16"/>
              </w:rPr>
              <w:t>Svirydzenka</w:t>
            </w:r>
            <w:proofErr w:type="spellEnd"/>
            <w:r>
              <w:rPr>
                <w:sz w:val="16"/>
                <w:szCs w:val="16"/>
              </w:rPr>
              <w:t xml:space="preserve"> et al.</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AE491EB" w14:textId="77777777" w:rsidR="00093AA7" w:rsidRDefault="00093AA7">
            <w:pPr>
              <w:spacing w:before="80" w:after="80"/>
            </w:pPr>
            <w:r>
              <w:rPr>
                <w:sz w:val="16"/>
                <w:szCs w:val="16"/>
              </w:rPr>
              <w:t>CASP</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DBEBD3C" w14:textId="77777777" w:rsidR="00093AA7" w:rsidRDefault="00093AA7">
            <w:pPr>
              <w:spacing w:before="80" w:after="80"/>
            </w:pPr>
            <w:r>
              <w:rPr>
                <w:sz w:val="16"/>
                <w:szCs w:val="16"/>
              </w:rPr>
              <w:t>Qualitative (thematic)</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96E90F8" w14:textId="77777777" w:rsidR="00093AA7" w:rsidRDefault="00093AA7">
            <w:pPr>
              <w:spacing w:before="80" w:after="80"/>
            </w:pPr>
            <w:r>
              <w:rPr>
                <w:sz w:val="16"/>
                <w:szCs w:val="16"/>
              </w:rPr>
              <w:t>2017</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1BC62C5" w14:textId="77777777" w:rsidR="00093AA7" w:rsidRDefault="00093AA7">
            <w:pPr>
              <w:spacing w:before="80" w:after="80"/>
            </w:pPr>
            <w:r>
              <w:rPr>
                <w:sz w:val="16"/>
                <w:szCs w:val="16"/>
              </w:rPr>
              <w:t>England/Wales</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325EFE4" w14:textId="77777777" w:rsidR="00093AA7" w:rsidRDefault="00093AA7">
            <w:pPr>
              <w:spacing w:before="80" w:after="80"/>
            </w:pPr>
            <w:r>
              <w:rPr>
                <w:sz w:val="16"/>
                <w:szCs w:val="16"/>
              </w:rPr>
              <w:t>MODERATE</w:t>
            </w:r>
          </w:p>
        </w:tc>
      </w:tr>
      <w:tr w:rsidR="00093AA7" w14:paraId="56379069"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F709F6A" w14:textId="77777777" w:rsidR="00093AA7" w:rsidRDefault="00093AA7">
            <w:pPr>
              <w:spacing w:before="80" w:after="80"/>
            </w:pPr>
            <w:r>
              <w:rPr>
                <w:sz w:val="16"/>
                <w:szCs w:val="16"/>
              </w:rPr>
              <w:t>8</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EA090E1" w14:textId="77777777" w:rsidR="00093AA7" w:rsidRDefault="00093AA7">
            <w:pPr>
              <w:spacing w:before="80" w:after="80"/>
            </w:pPr>
            <w:r>
              <w:rPr>
                <w:sz w:val="16"/>
                <w:szCs w:val="16"/>
              </w:rPr>
              <w:t>Ellis et al.</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0E2F834" w14:textId="77777777" w:rsidR="00093AA7" w:rsidRDefault="00093AA7">
            <w:pPr>
              <w:spacing w:before="80" w:after="80"/>
            </w:pPr>
            <w:r>
              <w:rPr>
                <w:sz w:val="16"/>
                <w:szCs w:val="16"/>
              </w:rPr>
              <w:t>CASP</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E58D575" w14:textId="77777777" w:rsidR="00093AA7" w:rsidRDefault="00093AA7">
            <w:pPr>
              <w:spacing w:before="80" w:after="80"/>
            </w:pPr>
            <w:r>
              <w:rPr>
                <w:sz w:val="16"/>
                <w:szCs w:val="16"/>
              </w:rPr>
              <w:t>Qualitative (thematic)</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101B901" w14:textId="77777777" w:rsidR="00093AA7" w:rsidRDefault="00093AA7">
            <w:pPr>
              <w:spacing w:before="80" w:after="80"/>
            </w:pPr>
            <w:r>
              <w:rPr>
                <w:sz w:val="16"/>
                <w:szCs w:val="16"/>
              </w:rPr>
              <w:t>2025</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A232A7C" w14:textId="77777777" w:rsidR="00093AA7" w:rsidRDefault="00093AA7">
            <w:pPr>
              <w:spacing w:before="80" w:after="80"/>
            </w:pPr>
            <w:r>
              <w:rPr>
                <w:sz w:val="16"/>
                <w:szCs w:val="16"/>
              </w:rPr>
              <w:t>UK</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221D00F" w14:textId="77777777" w:rsidR="00093AA7" w:rsidRDefault="00093AA7">
            <w:pPr>
              <w:spacing w:before="80" w:after="80"/>
            </w:pPr>
            <w:r>
              <w:rPr>
                <w:sz w:val="16"/>
                <w:szCs w:val="16"/>
              </w:rPr>
              <w:t>MODERATE</w:t>
            </w:r>
          </w:p>
        </w:tc>
      </w:tr>
      <w:tr w:rsidR="00093AA7" w14:paraId="5622A715"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CABF87E" w14:textId="77777777" w:rsidR="00093AA7" w:rsidRDefault="00093AA7">
            <w:pPr>
              <w:spacing w:before="80" w:after="80"/>
            </w:pPr>
            <w:r>
              <w:rPr>
                <w:sz w:val="16"/>
                <w:szCs w:val="16"/>
              </w:rPr>
              <w:t>9</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C68C646" w14:textId="77777777" w:rsidR="00093AA7" w:rsidRDefault="00093AA7">
            <w:pPr>
              <w:spacing w:before="80" w:after="80"/>
            </w:pPr>
            <w:r>
              <w:rPr>
                <w:sz w:val="16"/>
                <w:szCs w:val="16"/>
              </w:rPr>
              <w:t>Abel et al.</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3A8B56BA" w14:textId="77777777" w:rsidR="00093AA7" w:rsidRDefault="00093AA7">
            <w:pPr>
              <w:spacing w:before="80" w:after="80"/>
            </w:pPr>
            <w:r>
              <w:rPr>
                <w:sz w:val="16"/>
                <w:szCs w:val="16"/>
              </w:rPr>
              <w:t>CASP</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E8AFB9C" w14:textId="77777777" w:rsidR="00093AA7" w:rsidRDefault="00093AA7">
            <w:pPr>
              <w:spacing w:before="80" w:after="80"/>
            </w:pPr>
            <w:r>
              <w:rPr>
                <w:sz w:val="16"/>
                <w:szCs w:val="16"/>
              </w:rPr>
              <w:t>Mixed-methods (NIHR)</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4E34194" w14:textId="77777777" w:rsidR="00093AA7" w:rsidRDefault="00093AA7">
            <w:pPr>
              <w:spacing w:before="80" w:after="80"/>
            </w:pPr>
            <w:r>
              <w:rPr>
                <w:sz w:val="16"/>
                <w:szCs w:val="16"/>
              </w:rPr>
              <w:t>2025</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D577D32"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06AA402" w14:textId="77777777" w:rsidR="00093AA7" w:rsidRDefault="00093AA7">
            <w:pPr>
              <w:spacing w:before="80" w:after="80"/>
            </w:pPr>
            <w:r>
              <w:rPr>
                <w:sz w:val="16"/>
                <w:szCs w:val="16"/>
              </w:rPr>
              <w:t>HIGH</w:t>
            </w:r>
          </w:p>
        </w:tc>
      </w:tr>
      <w:tr w:rsidR="00093AA7" w14:paraId="145C0E2F"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A70BFFA" w14:textId="77777777" w:rsidR="00093AA7" w:rsidRDefault="00093AA7">
            <w:pPr>
              <w:spacing w:before="80" w:after="80"/>
            </w:pPr>
            <w:r>
              <w:rPr>
                <w:sz w:val="16"/>
                <w:szCs w:val="16"/>
              </w:rPr>
              <w:t>10</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2818A27" w14:textId="77777777" w:rsidR="00093AA7" w:rsidRDefault="00093AA7">
            <w:pPr>
              <w:spacing w:before="80" w:after="80"/>
            </w:pPr>
            <w:r>
              <w:rPr>
                <w:sz w:val="16"/>
                <w:szCs w:val="16"/>
              </w:rPr>
              <w:t>Care Quality Commission</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5E9DB3B6" w14:textId="77777777" w:rsidR="00093AA7" w:rsidRDefault="00093AA7">
            <w:pPr>
              <w:spacing w:before="80" w:after="80"/>
            </w:pPr>
            <w:r>
              <w:rPr>
                <w:sz w:val="16"/>
                <w:szCs w:val="16"/>
              </w:rPr>
              <w:t>AACODS</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3043A23" w14:textId="77777777" w:rsidR="00093AA7" w:rsidRDefault="00093AA7">
            <w:pPr>
              <w:spacing w:before="80" w:after="80"/>
            </w:pPr>
            <w:r>
              <w:rPr>
                <w:sz w:val="16"/>
                <w:szCs w:val="16"/>
              </w:rPr>
              <w:t>Statutory review</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4373592" w14:textId="77777777" w:rsidR="00093AA7" w:rsidRDefault="00093AA7">
            <w:pPr>
              <w:spacing w:before="80" w:after="80"/>
            </w:pPr>
            <w:r>
              <w:rPr>
                <w:sz w:val="16"/>
                <w:szCs w:val="16"/>
              </w:rPr>
              <w:t>2018</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50EE83F"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7F09A4B" w14:textId="77777777" w:rsidR="00093AA7" w:rsidRDefault="00093AA7">
            <w:pPr>
              <w:spacing w:before="80" w:after="80"/>
            </w:pPr>
            <w:r>
              <w:rPr>
                <w:sz w:val="16"/>
                <w:szCs w:val="16"/>
              </w:rPr>
              <w:t>HIGH</w:t>
            </w:r>
          </w:p>
        </w:tc>
      </w:tr>
      <w:tr w:rsidR="00093AA7" w14:paraId="2EEA1584"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A98D9DF" w14:textId="77777777" w:rsidR="00093AA7" w:rsidRDefault="00093AA7">
            <w:pPr>
              <w:spacing w:before="80" w:after="80"/>
            </w:pPr>
            <w:r>
              <w:rPr>
                <w:sz w:val="16"/>
                <w:szCs w:val="16"/>
              </w:rPr>
              <w:t>11</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4EB0DB6" w14:textId="77777777" w:rsidR="00093AA7" w:rsidRDefault="00093AA7">
            <w:pPr>
              <w:spacing w:before="80" w:after="80"/>
            </w:pPr>
            <w:r>
              <w:rPr>
                <w:sz w:val="16"/>
                <w:szCs w:val="16"/>
              </w:rPr>
              <w:t>Crenna-Jennings &amp; Hutchinson</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879E6D2" w14:textId="77777777" w:rsidR="00093AA7" w:rsidRDefault="00093AA7">
            <w:pPr>
              <w:spacing w:before="80" w:after="80"/>
            </w:pPr>
            <w:r>
              <w:rPr>
                <w:sz w:val="16"/>
                <w:szCs w:val="16"/>
              </w:rPr>
              <w:t>AACODS</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798C8C0" w14:textId="77777777" w:rsidR="00093AA7" w:rsidRDefault="00093AA7">
            <w:pPr>
              <w:spacing w:before="80" w:after="80"/>
            </w:pPr>
            <w:r>
              <w:rPr>
                <w:sz w:val="16"/>
                <w:szCs w:val="16"/>
              </w:rPr>
              <w:t>Grey literature (FOI)</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B5A4C02" w14:textId="77777777" w:rsidR="00093AA7" w:rsidRDefault="00093AA7">
            <w:pPr>
              <w:spacing w:before="80" w:after="80"/>
            </w:pPr>
            <w:r>
              <w:rPr>
                <w:sz w:val="16"/>
                <w:szCs w:val="16"/>
              </w:rPr>
              <w:t>2020</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222D5E5"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D74A4FB" w14:textId="77777777" w:rsidR="00093AA7" w:rsidRDefault="00093AA7">
            <w:pPr>
              <w:spacing w:before="80" w:after="80"/>
            </w:pPr>
            <w:r>
              <w:rPr>
                <w:sz w:val="16"/>
                <w:szCs w:val="16"/>
              </w:rPr>
              <w:t>HIGH</w:t>
            </w:r>
          </w:p>
        </w:tc>
      </w:tr>
      <w:tr w:rsidR="00093AA7" w14:paraId="157C1BD2" w14:textId="77777777" w:rsidTr="00093AA7">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54824D2" w14:textId="77777777" w:rsidR="00093AA7" w:rsidRDefault="00093AA7">
            <w:pPr>
              <w:spacing w:before="80" w:after="80"/>
            </w:pPr>
            <w:r>
              <w:rPr>
                <w:sz w:val="16"/>
                <w:szCs w:val="16"/>
              </w:rPr>
              <w:t>12</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1BB96B27" w14:textId="77777777" w:rsidR="00093AA7" w:rsidRDefault="00093AA7">
            <w:pPr>
              <w:spacing w:before="80" w:after="80"/>
            </w:pPr>
            <w:r>
              <w:rPr>
                <w:sz w:val="16"/>
                <w:szCs w:val="16"/>
              </w:rPr>
              <w:t>Children's Commissioner</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335068FF" w14:textId="77777777" w:rsidR="00093AA7" w:rsidRDefault="00093AA7">
            <w:pPr>
              <w:spacing w:before="80" w:after="80"/>
            </w:pPr>
            <w:r>
              <w:rPr>
                <w:sz w:val="16"/>
                <w:szCs w:val="16"/>
              </w:rPr>
              <w:t>AACODS</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ED8D076" w14:textId="77777777" w:rsidR="00093AA7" w:rsidRDefault="00093AA7">
            <w:pPr>
              <w:spacing w:before="80" w:after="80"/>
            </w:pPr>
            <w:r>
              <w:rPr>
                <w:sz w:val="16"/>
                <w:szCs w:val="16"/>
              </w:rPr>
              <w:t>Grey literature (gov. data)</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EC1FFD4" w14:textId="77777777" w:rsidR="00093AA7" w:rsidRDefault="00093AA7">
            <w:pPr>
              <w:spacing w:before="80" w:after="80"/>
            </w:pPr>
            <w:r>
              <w:rPr>
                <w:sz w:val="16"/>
                <w:szCs w:val="16"/>
              </w:rPr>
              <w:t>2025</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380545E" w14:textId="77777777" w:rsidR="00093AA7" w:rsidRDefault="00093AA7">
            <w:pPr>
              <w:spacing w:before="80" w:after="80"/>
            </w:pPr>
            <w:r>
              <w:rPr>
                <w:sz w:val="16"/>
                <w:szCs w:val="16"/>
              </w:rPr>
              <w:t>England</w:t>
            </w:r>
          </w:p>
        </w:tc>
        <w:tc>
          <w:tcPr>
            <w:tcW w:w="1474"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D314049" w14:textId="77777777" w:rsidR="00093AA7" w:rsidRDefault="00093AA7">
            <w:pPr>
              <w:spacing w:before="80" w:after="80"/>
            </w:pPr>
            <w:r>
              <w:rPr>
                <w:sz w:val="16"/>
                <w:szCs w:val="16"/>
              </w:rPr>
              <w:t>HIGH</w:t>
            </w:r>
          </w:p>
        </w:tc>
      </w:tr>
    </w:tbl>
    <w:p w14:paraId="5543FEF6" w14:textId="77777777" w:rsidR="00093AA7" w:rsidRDefault="00093AA7" w:rsidP="00093AA7">
      <w:pPr>
        <w:spacing w:before="60" w:after="60"/>
        <w:rPr>
          <w:sz w:val="20"/>
          <w:szCs w:val="20"/>
        </w:rPr>
      </w:pPr>
    </w:p>
    <w:p w14:paraId="2C98FBA2" w14:textId="77777777" w:rsidR="00093AA7" w:rsidRDefault="00093AA7" w:rsidP="00093AA7">
      <w:pPr>
        <w:spacing w:before="80"/>
      </w:pPr>
      <w:r>
        <w:rPr>
          <w:i/>
          <w:iCs/>
          <w:sz w:val="16"/>
          <w:szCs w:val="16"/>
        </w:rPr>
        <w:t>Source: Author's own quality appraisal using CASP (2024), Wells et al. (2020) NOS, and Tyndall (2010) AACODS.</w:t>
      </w:r>
    </w:p>
    <w:p w14:paraId="03FA4EA5" w14:textId="794D4867" w:rsidR="00093AA7" w:rsidRDefault="00093AA7" w:rsidP="004C0ECA">
      <w:pPr>
        <w:pStyle w:val="Heading1"/>
      </w:pPr>
      <w:bookmarkStart w:id="90" w:name="_Toc241025703"/>
      <w:r>
        <w:t xml:space="preserve">Appendix </w:t>
      </w:r>
      <w:r w:rsidR="008317AA">
        <w:t>2</w:t>
      </w:r>
      <w:r>
        <w:t xml:space="preserve"> — Boolean Search Strings</w:t>
      </w:r>
      <w:bookmarkEnd w:id="90"/>
    </w:p>
    <w:p w14:paraId="34A7CCC9" w14:textId="3246CF3C" w:rsidR="00093AA7" w:rsidRDefault="00093AA7" w:rsidP="00892D94">
      <w:pPr>
        <w:pStyle w:val="Heading2"/>
      </w:pPr>
      <w:bookmarkStart w:id="91" w:name="_Toc241025704"/>
      <w:r>
        <w:t>Table A</w:t>
      </w:r>
      <w:r w:rsidR="008317AA">
        <w:t>2</w:t>
      </w:r>
      <w:r>
        <w:t>.1 — Full database search strings</w:t>
      </w:r>
      <w:bookmarkEnd w:id="91"/>
    </w:p>
    <w:tbl>
      <w:tblPr>
        <w:tblW w:w="96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3231"/>
        <w:gridCol w:w="3231"/>
        <w:gridCol w:w="3231"/>
      </w:tblGrid>
      <w:tr w:rsidR="00093AA7" w14:paraId="04540F2F" w14:textId="77777777" w:rsidTr="00093AA7">
        <w:trPr>
          <w:tblHeader/>
        </w:trPr>
        <w:tc>
          <w:tcPr>
            <w:tcW w:w="3231"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24680161" w14:textId="77777777" w:rsidR="00093AA7" w:rsidRDefault="00093AA7">
            <w:pPr>
              <w:spacing w:before="80" w:after="80"/>
              <w:jc w:val="center"/>
            </w:pPr>
            <w:r>
              <w:rPr>
                <w:b/>
                <w:bCs/>
                <w:sz w:val="16"/>
                <w:szCs w:val="16"/>
              </w:rPr>
              <w:t>Database</w:t>
            </w:r>
          </w:p>
        </w:tc>
        <w:tc>
          <w:tcPr>
            <w:tcW w:w="3231"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4509AF38" w14:textId="77777777" w:rsidR="00093AA7" w:rsidRDefault="00093AA7">
            <w:pPr>
              <w:spacing w:before="80" w:after="80"/>
              <w:jc w:val="center"/>
            </w:pPr>
            <w:r>
              <w:rPr>
                <w:b/>
                <w:bCs/>
                <w:sz w:val="16"/>
                <w:szCs w:val="16"/>
              </w:rPr>
              <w:t>Search String</w:t>
            </w:r>
          </w:p>
        </w:tc>
        <w:tc>
          <w:tcPr>
            <w:tcW w:w="3231"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1F93CE0A" w14:textId="77777777" w:rsidR="00093AA7" w:rsidRDefault="00093AA7">
            <w:pPr>
              <w:spacing w:before="80" w:after="80"/>
              <w:jc w:val="center"/>
            </w:pPr>
            <w:r>
              <w:rPr>
                <w:b/>
                <w:bCs/>
                <w:sz w:val="16"/>
                <w:szCs w:val="16"/>
              </w:rPr>
              <w:t>Records Retrieved</w:t>
            </w:r>
          </w:p>
        </w:tc>
      </w:tr>
      <w:tr w:rsidR="00093AA7" w14:paraId="62FE2772" w14:textId="77777777" w:rsidTr="00093AA7">
        <w:tc>
          <w:tcPr>
            <w:tcW w:w="3231"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7D71E5F" w14:textId="77777777" w:rsidR="00093AA7" w:rsidRDefault="00093AA7">
            <w:pPr>
              <w:spacing w:before="80" w:after="80"/>
            </w:pPr>
            <w:r>
              <w:rPr>
                <w:sz w:val="16"/>
                <w:szCs w:val="16"/>
              </w:rPr>
              <w:t>PubMed / MEDLINE</w:t>
            </w:r>
          </w:p>
        </w:tc>
        <w:tc>
          <w:tcPr>
            <w:tcW w:w="3231"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02B4E102" w14:textId="77777777" w:rsidR="00093AA7" w:rsidRDefault="00093AA7">
            <w:pPr>
              <w:spacing w:before="80" w:after="80"/>
            </w:pPr>
            <w:r>
              <w:rPr>
                <w:sz w:val="16"/>
                <w:szCs w:val="16"/>
              </w:rPr>
              <w:t xml:space="preserve">("CAMHS" OR "child and adolescent mental health services" OR "children's mental health services") AND ("waiting time*" OR "wait time*" OR "delayed access" OR "access barrier*") AND ("barrier*" OR </w:t>
            </w:r>
            <w:r>
              <w:rPr>
                <w:sz w:val="16"/>
                <w:szCs w:val="16"/>
              </w:rPr>
              <w:lastRenderedPageBreak/>
              <w:t>"challenge*" OR "obstacle*") AND ("England" OR "United Kingdom" OR "NHS")</w:t>
            </w:r>
          </w:p>
        </w:tc>
        <w:tc>
          <w:tcPr>
            <w:tcW w:w="3231"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028A992" w14:textId="77777777" w:rsidR="00093AA7" w:rsidRDefault="00093AA7">
            <w:pPr>
              <w:spacing w:before="80" w:after="80"/>
              <w:jc w:val="center"/>
            </w:pPr>
            <w:r>
              <w:rPr>
                <w:sz w:val="16"/>
                <w:szCs w:val="16"/>
              </w:rPr>
              <w:lastRenderedPageBreak/>
              <w:t>312</w:t>
            </w:r>
          </w:p>
        </w:tc>
      </w:tr>
      <w:tr w:rsidR="00093AA7" w14:paraId="4A85531C" w14:textId="77777777" w:rsidTr="00093AA7">
        <w:tc>
          <w:tcPr>
            <w:tcW w:w="3231"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4B3C366D" w14:textId="77777777" w:rsidR="00093AA7" w:rsidRDefault="00093AA7">
            <w:pPr>
              <w:spacing w:before="80" w:after="80"/>
            </w:pPr>
            <w:r>
              <w:rPr>
                <w:sz w:val="16"/>
                <w:szCs w:val="16"/>
              </w:rPr>
              <w:t>CINAHL</w:t>
            </w:r>
          </w:p>
        </w:tc>
        <w:tc>
          <w:tcPr>
            <w:tcW w:w="3231"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6000D0A8" w14:textId="77777777" w:rsidR="00093AA7" w:rsidRDefault="00093AA7">
            <w:pPr>
              <w:spacing w:before="80" w:after="80"/>
            </w:pPr>
            <w:r>
              <w:rPr>
                <w:sz w:val="16"/>
                <w:szCs w:val="16"/>
              </w:rPr>
              <w:t>("CAMHS" OR "child and adolescent mental health" OR "paediatric mental health services") AND ("waiting time*" OR "access barrier*" OR "service delay*" OR "referral rejection") AND ("England" OR "NHS" OR "United Kingdom")</w:t>
            </w:r>
          </w:p>
        </w:tc>
        <w:tc>
          <w:tcPr>
            <w:tcW w:w="3231"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1A51ADCD" w14:textId="77777777" w:rsidR="00093AA7" w:rsidRDefault="00093AA7">
            <w:pPr>
              <w:spacing w:before="80" w:after="80"/>
              <w:jc w:val="center"/>
            </w:pPr>
            <w:r>
              <w:rPr>
                <w:sz w:val="16"/>
                <w:szCs w:val="16"/>
              </w:rPr>
              <w:t>198</w:t>
            </w:r>
          </w:p>
        </w:tc>
      </w:tr>
      <w:tr w:rsidR="00093AA7" w14:paraId="5A841E91" w14:textId="77777777" w:rsidTr="00093AA7">
        <w:tc>
          <w:tcPr>
            <w:tcW w:w="3231"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7D23781" w14:textId="77777777" w:rsidR="00093AA7" w:rsidRDefault="00093AA7">
            <w:pPr>
              <w:spacing w:before="80" w:after="80"/>
            </w:pPr>
            <w:r>
              <w:rPr>
                <w:sz w:val="16"/>
                <w:szCs w:val="16"/>
              </w:rPr>
              <w:t>PsycINFO</w:t>
            </w:r>
          </w:p>
        </w:tc>
        <w:tc>
          <w:tcPr>
            <w:tcW w:w="3231"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56A84400" w14:textId="77777777" w:rsidR="00093AA7" w:rsidRDefault="00093AA7">
            <w:pPr>
              <w:spacing w:before="80" w:after="80"/>
            </w:pPr>
            <w:r>
              <w:rPr>
                <w:sz w:val="16"/>
                <w:szCs w:val="16"/>
              </w:rPr>
              <w:t>("child and adolescent mental health" OR "CAMHS" OR "youth mental health services") AND ("waiting time*" OR "treatment delay*" OR "access to services" OR "service barrier*") AND ("England" OR "United Kingdom" OR "national health service")</w:t>
            </w:r>
          </w:p>
        </w:tc>
        <w:tc>
          <w:tcPr>
            <w:tcW w:w="3231"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1045A2D2" w14:textId="77777777" w:rsidR="00093AA7" w:rsidRDefault="00093AA7">
            <w:pPr>
              <w:spacing w:before="80" w:after="80"/>
              <w:jc w:val="center"/>
            </w:pPr>
            <w:r>
              <w:rPr>
                <w:sz w:val="16"/>
                <w:szCs w:val="16"/>
              </w:rPr>
              <w:t>247</w:t>
            </w:r>
          </w:p>
        </w:tc>
      </w:tr>
      <w:tr w:rsidR="00093AA7" w14:paraId="30E556DA" w14:textId="77777777" w:rsidTr="00093AA7">
        <w:tc>
          <w:tcPr>
            <w:tcW w:w="3231"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19957712" w14:textId="77777777" w:rsidR="00093AA7" w:rsidRDefault="00093AA7">
            <w:pPr>
              <w:spacing w:before="80" w:after="80"/>
            </w:pPr>
            <w:r>
              <w:rPr>
                <w:sz w:val="16"/>
                <w:szCs w:val="16"/>
              </w:rPr>
              <w:t>Cochrane Library</w:t>
            </w:r>
          </w:p>
        </w:tc>
        <w:tc>
          <w:tcPr>
            <w:tcW w:w="3231"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1605B194" w14:textId="77777777" w:rsidR="00093AA7" w:rsidRDefault="00093AA7">
            <w:pPr>
              <w:spacing w:before="80" w:after="80"/>
            </w:pPr>
            <w:r>
              <w:rPr>
                <w:sz w:val="16"/>
                <w:szCs w:val="16"/>
              </w:rPr>
              <w:t>("CAMHS" OR "child and adolescent mental health services") AND ("waiting time*" OR "access barrier*") AND ("England" OR "NHS")</w:t>
            </w:r>
          </w:p>
        </w:tc>
        <w:tc>
          <w:tcPr>
            <w:tcW w:w="3231"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737A2B8B" w14:textId="77777777" w:rsidR="00093AA7" w:rsidRDefault="00093AA7">
            <w:pPr>
              <w:spacing w:before="80" w:after="80"/>
              <w:jc w:val="center"/>
            </w:pPr>
            <w:r>
              <w:rPr>
                <w:sz w:val="16"/>
                <w:szCs w:val="16"/>
              </w:rPr>
              <w:t>90</w:t>
            </w:r>
          </w:p>
        </w:tc>
      </w:tr>
    </w:tbl>
    <w:p w14:paraId="6941BDA3" w14:textId="77777777" w:rsidR="00093AA7" w:rsidRDefault="00093AA7" w:rsidP="00093AA7">
      <w:pPr>
        <w:spacing w:before="60" w:after="60"/>
        <w:rPr>
          <w:sz w:val="20"/>
          <w:szCs w:val="20"/>
        </w:rPr>
      </w:pPr>
    </w:p>
    <w:p w14:paraId="1A150B41" w14:textId="5FB214AC" w:rsidR="00093AA7" w:rsidRDefault="00093AA7" w:rsidP="00892D94">
      <w:pPr>
        <w:pStyle w:val="Heading2"/>
      </w:pPr>
      <w:bookmarkStart w:id="92" w:name="_Toc241025705"/>
      <w:r>
        <w:t>Table A</w:t>
      </w:r>
      <w:r w:rsidR="008317AA">
        <w:t>2</w:t>
      </w:r>
      <w:r>
        <w:t>.2 — Sub-theme supplementary search strings</w:t>
      </w:r>
      <w:bookmarkEnd w:id="92"/>
    </w:p>
    <w:tbl>
      <w:tblPr>
        <w:tblW w:w="9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3288"/>
        <w:gridCol w:w="3288"/>
        <w:gridCol w:w="3288"/>
      </w:tblGrid>
      <w:tr w:rsidR="00093AA7" w14:paraId="16D34F13" w14:textId="77777777" w:rsidTr="00093AA7">
        <w:trPr>
          <w:tblHeader/>
        </w:trPr>
        <w:tc>
          <w:tcPr>
            <w:tcW w:w="3288"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345D8BD0" w14:textId="77777777" w:rsidR="00093AA7" w:rsidRDefault="00093AA7">
            <w:pPr>
              <w:spacing w:before="80" w:after="80"/>
              <w:jc w:val="center"/>
            </w:pPr>
            <w:r>
              <w:rPr>
                <w:b/>
                <w:bCs/>
                <w:sz w:val="16"/>
                <w:szCs w:val="16"/>
              </w:rPr>
              <w:t>Sub-theme</w:t>
            </w:r>
          </w:p>
        </w:tc>
        <w:tc>
          <w:tcPr>
            <w:tcW w:w="3288"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03C9842E" w14:textId="77777777" w:rsidR="00093AA7" w:rsidRDefault="00093AA7">
            <w:pPr>
              <w:spacing w:before="80" w:after="80"/>
              <w:jc w:val="center"/>
            </w:pPr>
            <w:r>
              <w:rPr>
                <w:b/>
                <w:bCs/>
                <w:sz w:val="16"/>
                <w:szCs w:val="16"/>
              </w:rPr>
              <w:t>Search String</w:t>
            </w:r>
          </w:p>
        </w:tc>
        <w:tc>
          <w:tcPr>
            <w:tcW w:w="3288" w:type="dxa"/>
            <w:tcBorders>
              <w:top w:val="single" w:sz="4" w:space="0" w:color="auto"/>
              <w:left w:val="single" w:sz="4" w:space="0" w:color="auto"/>
              <w:bottom w:val="single" w:sz="4" w:space="0" w:color="auto"/>
              <w:right w:val="single" w:sz="4" w:space="0" w:color="auto"/>
            </w:tcBorders>
            <w:shd w:val="clear" w:color="auto" w:fill="1F4E79"/>
            <w:tcMar>
              <w:top w:w="60" w:type="dxa"/>
              <w:left w:w="80" w:type="dxa"/>
              <w:bottom w:w="60" w:type="dxa"/>
              <w:right w:w="80" w:type="dxa"/>
            </w:tcMar>
            <w:vAlign w:val="center"/>
            <w:hideMark/>
          </w:tcPr>
          <w:p w14:paraId="64E0957A" w14:textId="77777777" w:rsidR="00093AA7" w:rsidRDefault="00093AA7">
            <w:pPr>
              <w:spacing w:before="80" w:after="80"/>
              <w:jc w:val="center"/>
            </w:pPr>
            <w:r>
              <w:rPr>
                <w:b/>
                <w:bCs/>
                <w:sz w:val="16"/>
                <w:szCs w:val="16"/>
              </w:rPr>
              <w:t>Purpose</w:t>
            </w:r>
          </w:p>
        </w:tc>
      </w:tr>
      <w:tr w:rsidR="00093AA7" w14:paraId="325965D8" w14:textId="77777777" w:rsidTr="00093AA7">
        <w:tc>
          <w:tcPr>
            <w:tcW w:w="3288"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38D5901" w14:textId="77777777" w:rsidR="00093AA7" w:rsidRDefault="00093AA7">
            <w:pPr>
              <w:spacing w:before="80" w:after="80"/>
            </w:pPr>
            <w:r>
              <w:rPr>
                <w:sz w:val="16"/>
                <w:szCs w:val="16"/>
              </w:rPr>
              <w:t>Workforce and staffing</w:t>
            </w:r>
          </w:p>
        </w:tc>
        <w:tc>
          <w:tcPr>
            <w:tcW w:w="3288"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09C51AF" w14:textId="77777777" w:rsidR="00093AA7" w:rsidRDefault="00093AA7">
            <w:pPr>
              <w:spacing w:before="80" w:after="80"/>
            </w:pPr>
            <w:r>
              <w:rPr>
                <w:sz w:val="16"/>
                <w:szCs w:val="16"/>
              </w:rPr>
              <w:t>("CAMHS" OR "child and adolescent mental health services") AND ("workforce" OR "staffing" OR "vacancy" OR "burnout" OR "recruitment" OR "retention") AND ("waiting time*" OR "capacity" OR "access") AND ("England" OR "NHS")</w:t>
            </w:r>
          </w:p>
        </w:tc>
        <w:tc>
          <w:tcPr>
            <w:tcW w:w="3288"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27F663A4" w14:textId="77777777" w:rsidR="00093AA7" w:rsidRDefault="00093AA7">
            <w:pPr>
              <w:spacing w:before="80" w:after="80"/>
            </w:pPr>
            <w:r>
              <w:rPr>
                <w:sz w:val="16"/>
                <w:szCs w:val="16"/>
              </w:rPr>
              <w:t>To identify studies on workforce barriers contributing to waiting times</w:t>
            </w:r>
          </w:p>
        </w:tc>
      </w:tr>
      <w:tr w:rsidR="00093AA7" w14:paraId="7B865310" w14:textId="77777777" w:rsidTr="00093AA7">
        <w:tc>
          <w:tcPr>
            <w:tcW w:w="3288"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AA4CC16" w14:textId="77777777" w:rsidR="00093AA7" w:rsidRDefault="00093AA7">
            <w:pPr>
              <w:spacing w:before="80" w:after="80"/>
            </w:pPr>
            <w:r>
              <w:rPr>
                <w:sz w:val="16"/>
                <w:szCs w:val="16"/>
              </w:rPr>
              <w:t>Referral threshold and rejection</w:t>
            </w:r>
          </w:p>
        </w:tc>
        <w:tc>
          <w:tcPr>
            <w:tcW w:w="3288"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0F363FD0" w14:textId="77777777" w:rsidR="00093AA7" w:rsidRDefault="00093AA7">
            <w:pPr>
              <w:spacing w:before="80" w:after="80"/>
            </w:pPr>
            <w:r>
              <w:rPr>
                <w:sz w:val="16"/>
                <w:szCs w:val="16"/>
              </w:rPr>
              <w:t>("CAMHS" OR "child and adolescent mental health services") AND ("referral" OR "threshold" OR "rejection" OR "eligibility criteria" OR "single point of access" OR "SPA") AND ("waiting time*" OR "barrier*" OR "access") AND ("England" OR "NHS")</w:t>
            </w:r>
          </w:p>
        </w:tc>
        <w:tc>
          <w:tcPr>
            <w:tcW w:w="3288" w:type="dxa"/>
            <w:tcBorders>
              <w:top w:val="single" w:sz="4" w:space="0" w:color="auto"/>
              <w:left w:val="single" w:sz="4" w:space="0" w:color="auto"/>
              <w:bottom w:val="single" w:sz="4" w:space="0" w:color="auto"/>
              <w:right w:val="single" w:sz="4" w:space="0" w:color="auto"/>
            </w:tcBorders>
            <w:shd w:val="clear" w:color="auto" w:fill="D6E4F0"/>
            <w:tcMar>
              <w:top w:w="60" w:type="dxa"/>
              <w:left w:w="80" w:type="dxa"/>
              <w:bottom w:w="60" w:type="dxa"/>
              <w:right w:w="80" w:type="dxa"/>
            </w:tcMar>
            <w:vAlign w:val="center"/>
            <w:hideMark/>
          </w:tcPr>
          <w:p w14:paraId="2F3ABD8B" w14:textId="77777777" w:rsidR="00093AA7" w:rsidRDefault="00093AA7">
            <w:pPr>
              <w:spacing w:before="80" w:after="80"/>
            </w:pPr>
            <w:r>
              <w:rPr>
                <w:sz w:val="16"/>
                <w:szCs w:val="16"/>
              </w:rPr>
              <w:t>To identify studies on referral pathway barriers and rejection rates</w:t>
            </w:r>
          </w:p>
        </w:tc>
      </w:tr>
      <w:tr w:rsidR="00093AA7" w14:paraId="205E8BA4" w14:textId="77777777" w:rsidTr="00093AA7">
        <w:tc>
          <w:tcPr>
            <w:tcW w:w="3288"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6B2D7749" w14:textId="77777777" w:rsidR="00093AA7" w:rsidRDefault="00093AA7">
            <w:pPr>
              <w:spacing w:before="80" w:after="80"/>
            </w:pPr>
            <w:r>
              <w:rPr>
                <w:sz w:val="16"/>
                <w:szCs w:val="16"/>
              </w:rPr>
              <w:t>Policy and commissioning</w:t>
            </w:r>
          </w:p>
        </w:tc>
        <w:tc>
          <w:tcPr>
            <w:tcW w:w="3288"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4A4609B4" w14:textId="651F72E8" w:rsidR="00093AA7" w:rsidRDefault="00093AA7">
            <w:pPr>
              <w:spacing w:before="80" w:after="80"/>
            </w:pPr>
            <w:r>
              <w:rPr>
                <w:sz w:val="16"/>
                <w:szCs w:val="16"/>
              </w:rPr>
              <w:t xml:space="preserve">("CAMHS" OR "child and adolescent mental health services") AND ("commissioning" OR "NHS </w:t>
            </w:r>
            <w:r w:rsidR="00204059">
              <w:rPr>
                <w:sz w:val="16"/>
                <w:szCs w:val="16"/>
              </w:rPr>
              <w:t>Long-Term Plan</w:t>
            </w:r>
            <w:r>
              <w:rPr>
                <w:sz w:val="16"/>
                <w:szCs w:val="16"/>
              </w:rPr>
              <w:t>" OR "integrated care board" OR "ICB" OR "policy") AND ("waiting time*" OR "access" OR "</w:t>
            </w:r>
            <w:proofErr w:type="spellStart"/>
            <w:r>
              <w:rPr>
                <w:sz w:val="16"/>
                <w:szCs w:val="16"/>
              </w:rPr>
              <w:t>inequalit</w:t>
            </w:r>
            <w:proofErr w:type="spellEnd"/>
            <w:r>
              <w:rPr>
                <w:sz w:val="16"/>
                <w:szCs w:val="16"/>
              </w:rPr>
              <w:t>*") AND ("England")</w:t>
            </w:r>
          </w:p>
        </w:tc>
        <w:tc>
          <w:tcPr>
            <w:tcW w:w="3288" w:type="dxa"/>
            <w:tcBorders>
              <w:top w:val="single" w:sz="4" w:space="0" w:color="auto"/>
              <w:left w:val="single" w:sz="4" w:space="0" w:color="auto"/>
              <w:bottom w:val="single" w:sz="4" w:space="0" w:color="auto"/>
              <w:right w:val="single" w:sz="4" w:space="0" w:color="auto"/>
            </w:tcBorders>
            <w:shd w:val="clear" w:color="auto" w:fill="FFFFFF"/>
            <w:tcMar>
              <w:top w:w="60" w:type="dxa"/>
              <w:left w:w="80" w:type="dxa"/>
              <w:bottom w:w="60" w:type="dxa"/>
              <w:right w:w="80" w:type="dxa"/>
            </w:tcMar>
            <w:vAlign w:val="center"/>
            <w:hideMark/>
          </w:tcPr>
          <w:p w14:paraId="7BEF24AA" w14:textId="77777777" w:rsidR="00093AA7" w:rsidRDefault="00093AA7">
            <w:pPr>
              <w:spacing w:before="80" w:after="80"/>
            </w:pPr>
            <w:r>
              <w:rPr>
                <w:sz w:val="16"/>
                <w:szCs w:val="16"/>
              </w:rPr>
              <w:t>To identify policy-level evidence on commissioning barriers</w:t>
            </w:r>
          </w:p>
        </w:tc>
      </w:tr>
    </w:tbl>
    <w:p w14:paraId="65DAAEED" w14:textId="77777777" w:rsidR="00532ADF" w:rsidRPr="00532ADF" w:rsidRDefault="00532ADF" w:rsidP="00532ADF"/>
    <w:p w14:paraId="11309209" w14:textId="51281A7D" w:rsidR="00DF2F9C" w:rsidRPr="00E130D1" w:rsidRDefault="00DF2F9C" w:rsidP="00DF2F9C"/>
    <w:p w14:paraId="0F5F21C3" w14:textId="77777777" w:rsidR="00DF2F9C" w:rsidRPr="00E130D1" w:rsidRDefault="00DF2F9C" w:rsidP="00DF2F9C"/>
    <w:sectPr w:rsidR="00DF2F9C" w:rsidRPr="00E130D1">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74E1F61" w14:textId="77777777" w:rsidR="004F1FFB" w:rsidRDefault="004F1FFB" w:rsidP="00DB3C37">
      <w:pPr>
        <w:spacing w:after="0" w:line="240" w:lineRule="auto"/>
      </w:pPr>
      <w:r>
        <w:separator/>
      </w:r>
    </w:p>
  </w:endnote>
  <w:endnote w:type="continuationSeparator" w:id="0">
    <w:p w14:paraId="03A8487F" w14:textId="77777777" w:rsidR="004F1FFB" w:rsidRDefault="004F1FFB" w:rsidP="00DB3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06813040"/>
      <w:docPartObj>
        <w:docPartGallery w:val="Page Numbers (Bottom of Page)"/>
        <w:docPartUnique/>
      </w:docPartObj>
    </w:sdtPr>
    <w:sdtContent>
      <w:p w14:paraId="7C4556E8" w14:textId="29AEAB10" w:rsidR="00853BDC" w:rsidRDefault="00853BDC">
        <w:pPr>
          <w:pStyle w:val="Footer"/>
          <w:jc w:val="right"/>
        </w:pPr>
        <w:r>
          <w:fldChar w:fldCharType="begin"/>
        </w:r>
        <w:r>
          <w:instrText>PAGE   \* MERGEFORMAT</w:instrText>
        </w:r>
        <w:r>
          <w:fldChar w:fldCharType="separate"/>
        </w:r>
        <w:r>
          <w:t>2</w:t>
        </w:r>
        <w:r>
          <w:fldChar w:fldCharType="end"/>
        </w:r>
      </w:p>
    </w:sdtContent>
  </w:sdt>
  <w:p w14:paraId="3A881BF6" w14:textId="2CE54A7F" w:rsidR="00B06F41" w:rsidRPr="00853BDC" w:rsidRDefault="00853BDC">
    <w:pPr>
      <w:pStyle w:val="Footer"/>
      <w:rPr>
        <w:rFonts w:ascii="Calibri" w:hAnsi="Calibri" w:cs="Calibri"/>
      </w:rPr>
    </w:pPr>
    <w:r w:rsidRPr="00853BDC">
      <w:rPr>
        <w:rFonts w:ascii="Calibri" w:hAnsi="Calibri" w:cs="Calibri"/>
        <w:sz w:val="22"/>
        <w:szCs w:val="22"/>
      </w:rPr>
      <w:t>Ronak Yusuf Sheikh</w:t>
    </w:r>
    <w:r>
      <w:rPr>
        <w:rFonts w:ascii="Calibri" w:hAnsi="Calibri" w:cs="Calibri"/>
        <w:sz w:val="22"/>
        <w:szCs w:val="22"/>
      </w:rPr>
      <w:t xml:space="preserve">                 </w:t>
    </w:r>
    <w:r w:rsidR="00FA7EA8">
      <w:rPr>
        <w:rFonts w:ascii="Calibri" w:hAnsi="Calibri" w:cs="Calibri"/>
        <w:sz w:val="22"/>
        <w:szCs w:val="22"/>
      </w:rPr>
      <w:tab/>
    </w:r>
    <w:r w:rsidR="00FA7EA8" w:rsidRPr="00FA7EA8">
      <w:rPr>
        <w:rFonts w:ascii="Calibri" w:hAnsi="Calibri" w:cs="Calibri"/>
        <w:sz w:val="22"/>
        <w:szCs w:val="22"/>
      </w:rPr>
      <w:t>Dissertation</w:t>
    </w:r>
    <w:r>
      <w:rPr>
        <w:rFonts w:ascii="Calibri" w:hAnsi="Calibri" w:cs="Calibri"/>
        <w:sz w:val="22"/>
        <w:szCs w:val="22"/>
      </w:rPr>
      <w:t xml:space="preserve">     </w:t>
    </w:r>
    <w:r>
      <w:rPr>
        <w:rFonts w:ascii="Calibri" w:hAnsi="Calibri" w:cs="Calibri"/>
        <w:sz w:val="22"/>
        <w:szCs w:val="22"/>
      </w:rPr>
      <w:tab/>
    </w:r>
    <w:r>
      <w:rPr>
        <w:rFonts w:ascii="Calibri" w:hAnsi="Calibri" w:cs="Calibri"/>
        <w:sz w:val="22"/>
        <w:szCs w:val="22"/>
      </w:rPr>
      <w:tab/>
    </w:r>
    <w:r>
      <w:rPr>
        <w:rFonts w:ascii="Calibri" w:hAnsi="Calibri" w:cs="Calibri"/>
        <w:sz w:val="22"/>
        <w:szCs w:val="22"/>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914EC67" w14:textId="77777777" w:rsidR="004F1FFB" w:rsidRDefault="004F1FFB" w:rsidP="00DB3C37">
      <w:pPr>
        <w:spacing w:after="0" w:line="240" w:lineRule="auto"/>
      </w:pPr>
      <w:r>
        <w:separator/>
      </w:r>
    </w:p>
  </w:footnote>
  <w:footnote w:type="continuationSeparator" w:id="0">
    <w:p w14:paraId="6D9D7500" w14:textId="77777777" w:rsidR="004F1FFB" w:rsidRDefault="004F1FFB" w:rsidP="00DB3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2C7571"/>
    <w:multiLevelType w:val="multilevel"/>
    <w:tmpl w:val="8C16B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31885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5C"/>
    <w:rsid w:val="00035653"/>
    <w:rsid w:val="00072AD7"/>
    <w:rsid w:val="00072B13"/>
    <w:rsid w:val="000745E9"/>
    <w:rsid w:val="000805A6"/>
    <w:rsid w:val="00082581"/>
    <w:rsid w:val="00093AA7"/>
    <w:rsid w:val="00097FD7"/>
    <w:rsid w:val="000A63E2"/>
    <w:rsid w:val="000C02D2"/>
    <w:rsid w:val="000C3090"/>
    <w:rsid w:val="000C3702"/>
    <w:rsid w:val="000D124E"/>
    <w:rsid w:val="000F1243"/>
    <w:rsid w:val="00106ACE"/>
    <w:rsid w:val="00106DF5"/>
    <w:rsid w:val="00120379"/>
    <w:rsid w:val="001579C8"/>
    <w:rsid w:val="00161BD2"/>
    <w:rsid w:val="00166FBD"/>
    <w:rsid w:val="001960EA"/>
    <w:rsid w:val="001B4288"/>
    <w:rsid w:val="001B55C9"/>
    <w:rsid w:val="001B6EBF"/>
    <w:rsid w:val="001C5DBB"/>
    <w:rsid w:val="001C63B9"/>
    <w:rsid w:val="001E6DEF"/>
    <w:rsid w:val="00201EE1"/>
    <w:rsid w:val="00204059"/>
    <w:rsid w:val="00207739"/>
    <w:rsid w:val="0022051E"/>
    <w:rsid w:val="00234B15"/>
    <w:rsid w:val="002358C5"/>
    <w:rsid w:val="00240206"/>
    <w:rsid w:val="00240F36"/>
    <w:rsid w:val="00241C0E"/>
    <w:rsid w:val="0024589D"/>
    <w:rsid w:val="00247DB7"/>
    <w:rsid w:val="0026402A"/>
    <w:rsid w:val="002864EC"/>
    <w:rsid w:val="00293FFE"/>
    <w:rsid w:val="00294BD1"/>
    <w:rsid w:val="002A0F86"/>
    <w:rsid w:val="002A2137"/>
    <w:rsid w:val="002B337C"/>
    <w:rsid w:val="002B78AA"/>
    <w:rsid w:val="002C1C43"/>
    <w:rsid w:val="002D3963"/>
    <w:rsid w:val="002D4637"/>
    <w:rsid w:val="002E11FA"/>
    <w:rsid w:val="002E6A4D"/>
    <w:rsid w:val="002F1273"/>
    <w:rsid w:val="002F2A41"/>
    <w:rsid w:val="003152A0"/>
    <w:rsid w:val="003163E7"/>
    <w:rsid w:val="003207CB"/>
    <w:rsid w:val="0032685C"/>
    <w:rsid w:val="00330A4C"/>
    <w:rsid w:val="003417CC"/>
    <w:rsid w:val="00343C1E"/>
    <w:rsid w:val="00355D5E"/>
    <w:rsid w:val="0036165D"/>
    <w:rsid w:val="00382649"/>
    <w:rsid w:val="00387B18"/>
    <w:rsid w:val="00390077"/>
    <w:rsid w:val="0039009C"/>
    <w:rsid w:val="00390447"/>
    <w:rsid w:val="003C11B4"/>
    <w:rsid w:val="003D0920"/>
    <w:rsid w:val="003D24B6"/>
    <w:rsid w:val="003D665C"/>
    <w:rsid w:val="0040070F"/>
    <w:rsid w:val="00404C48"/>
    <w:rsid w:val="004108EE"/>
    <w:rsid w:val="00421108"/>
    <w:rsid w:val="00423C59"/>
    <w:rsid w:val="00444F5A"/>
    <w:rsid w:val="00456C81"/>
    <w:rsid w:val="00462A92"/>
    <w:rsid w:val="0046429C"/>
    <w:rsid w:val="00471B34"/>
    <w:rsid w:val="00472864"/>
    <w:rsid w:val="00481A96"/>
    <w:rsid w:val="00486B7C"/>
    <w:rsid w:val="00497529"/>
    <w:rsid w:val="00497E6A"/>
    <w:rsid w:val="004A1B51"/>
    <w:rsid w:val="004A2492"/>
    <w:rsid w:val="004B4452"/>
    <w:rsid w:val="004B6B32"/>
    <w:rsid w:val="004C0ECA"/>
    <w:rsid w:val="004C51AB"/>
    <w:rsid w:val="004D537B"/>
    <w:rsid w:val="004E7B7B"/>
    <w:rsid w:val="004F1FFB"/>
    <w:rsid w:val="004F6BBC"/>
    <w:rsid w:val="004F7DF9"/>
    <w:rsid w:val="00506E20"/>
    <w:rsid w:val="005124CB"/>
    <w:rsid w:val="00513443"/>
    <w:rsid w:val="00525642"/>
    <w:rsid w:val="00532085"/>
    <w:rsid w:val="00532ADF"/>
    <w:rsid w:val="005408CB"/>
    <w:rsid w:val="00546BB1"/>
    <w:rsid w:val="00547B2E"/>
    <w:rsid w:val="00553789"/>
    <w:rsid w:val="00557E41"/>
    <w:rsid w:val="005608DE"/>
    <w:rsid w:val="0056167B"/>
    <w:rsid w:val="00572E07"/>
    <w:rsid w:val="00587BDA"/>
    <w:rsid w:val="005A0665"/>
    <w:rsid w:val="005A7724"/>
    <w:rsid w:val="005B2F0F"/>
    <w:rsid w:val="005B3216"/>
    <w:rsid w:val="005D18C5"/>
    <w:rsid w:val="005E0A46"/>
    <w:rsid w:val="005E60A4"/>
    <w:rsid w:val="005E6679"/>
    <w:rsid w:val="00625103"/>
    <w:rsid w:val="00627BAB"/>
    <w:rsid w:val="00630606"/>
    <w:rsid w:val="00631201"/>
    <w:rsid w:val="0064448E"/>
    <w:rsid w:val="00644DCC"/>
    <w:rsid w:val="00651A23"/>
    <w:rsid w:val="006548DE"/>
    <w:rsid w:val="00655567"/>
    <w:rsid w:val="00672109"/>
    <w:rsid w:val="006879C3"/>
    <w:rsid w:val="00694FBA"/>
    <w:rsid w:val="006A2F8E"/>
    <w:rsid w:val="006B0A2C"/>
    <w:rsid w:val="006B742B"/>
    <w:rsid w:val="006C6B99"/>
    <w:rsid w:val="006F0382"/>
    <w:rsid w:val="007009EC"/>
    <w:rsid w:val="00703742"/>
    <w:rsid w:val="00706D31"/>
    <w:rsid w:val="00711547"/>
    <w:rsid w:val="00712462"/>
    <w:rsid w:val="00715A35"/>
    <w:rsid w:val="00716DA2"/>
    <w:rsid w:val="00716F42"/>
    <w:rsid w:val="007210BD"/>
    <w:rsid w:val="00723358"/>
    <w:rsid w:val="00733096"/>
    <w:rsid w:val="00774EC7"/>
    <w:rsid w:val="00780ADC"/>
    <w:rsid w:val="0078653D"/>
    <w:rsid w:val="007913C6"/>
    <w:rsid w:val="00794B4D"/>
    <w:rsid w:val="0079584B"/>
    <w:rsid w:val="007A4A4F"/>
    <w:rsid w:val="007C027D"/>
    <w:rsid w:val="007C08B3"/>
    <w:rsid w:val="007D4646"/>
    <w:rsid w:val="007E0421"/>
    <w:rsid w:val="007E1D1A"/>
    <w:rsid w:val="007F2928"/>
    <w:rsid w:val="00803B5C"/>
    <w:rsid w:val="008270F6"/>
    <w:rsid w:val="008317AA"/>
    <w:rsid w:val="008318BC"/>
    <w:rsid w:val="00844B2F"/>
    <w:rsid w:val="00851C2C"/>
    <w:rsid w:val="00853BDC"/>
    <w:rsid w:val="00857F83"/>
    <w:rsid w:val="00865495"/>
    <w:rsid w:val="008669CD"/>
    <w:rsid w:val="008724FA"/>
    <w:rsid w:val="008831AF"/>
    <w:rsid w:val="00883911"/>
    <w:rsid w:val="00891363"/>
    <w:rsid w:val="00892D94"/>
    <w:rsid w:val="008B09F4"/>
    <w:rsid w:val="008B7DA6"/>
    <w:rsid w:val="008C1A11"/>
    <w:rsid w:val="008F18D9"/>
    <w:rsid w:val="0093106F"/>
    <w:rsid w:val="009311DA"/>
    <w:rsid w:val="00942158"/>
    <w:rsid w:val="009502E9"/>
    <w:rsid w:val="00964424"/>
    <w:rsid w:val="009677F3"/>
    <w:rsid w:val="009729A2"/>
    <w:rsid w:val="00980702"/>
    <w:rsid w:val="0098261C"/>
    <w:rsid w:val="00992D80"/>
    <w:rsid w:val="009A5165"/>
    <w:rsid w:val="009B0A1C"/>
    <w:rsid w:val="009B3648"/>
    <w:rsid w:val="009D3DA0"/>
    <w:rsid w:val="009E1FFB"/>
    <w:rsid w:val="009F1446"/>
    <w:rsid w:val="00A045F5"/>
    <w:rsid w:val="00A25BBC"/>
    <w:rsid w:val="00A31B9B"/>
    <w:rsid w:val="00A41497"/>
    <w:rsid w:val="00A47EFA"/>
    <w:rsid w:val="00A47F51"/>
    <w:rsid w:val="00A608D0"/>
    <w:rsid w:val="00A911D5"/>
    <w:rsid w:val="00AB0D63"/>
    <w:rsid w:val="00AC0D2D"/>
    <w:rsid w:val="00AD28B0"/>
    <w:rsid w:val="00AE6ACF"/>
    <w:rsid w:val="00B0323C"/>
    <w:rsid w:val="00B06F41"/>
    <w:rsid w:val="00B07FD3"/>
    <w:rsid w:val="00B15393"/>
    <w:rsid w:val="00B20E58"/>
    <w:rsid w:val="00B2363A"/>
    <w:rsid w:val="00B338B9"/>
    <w:rsid w:val="00B4208E"/>
    <w:rsid w:val="00B51E36"/>
    <w:rsid w:val="00B5597B"/>
    <w:rsid w:val="00B64731"/>
    <w:rsid w:val="00B6735E"/>
    <w:rsid w:val="00B731D1"/>
    <w:rsid w:val="00B85BD8"/>
    <w:rsid w:val="00BA24EA"/>
    <w:rsid w:val="00BA57CC"/>
    <w:rsid w:val="00BB3ACC"/>
    <w:rsid w:val="00BB6309"/>
    <w:rsid w:val="00BB6F55"/>
    <w:rsid w:val="00BC16A3"/>
    <w:rsid w:val="00BC64DF"/>
    <w:rsid w:val="00BD3D90"/>
    <w:rsid w:val="00BE0FF8"/>
    <w:rsid w:val="00BF2E9E"/>
    <w:rsid w:val="00BF40DC"/>
    <w:rsid w:val="00BF4B06"/>
    <w:rsid w:val="00C018E2"/>
    <w:rsid w:val="00C14AA9"/>
    <w:rsid w:val="00C33AD6"/>
    <w:rsid w:val="00C348AF"/>
    <w:rsid w:val="00C375CE"/>
    <w:rsid w:val="00C40D05"/>
    <w:rsid w:val="00C437B8"/>
    <w:rsid w:val="00C51AE7"/>
    <w:rsid w:val="00C603DE"/>
    <w:rsid w:val="00C61031"/>
    <w:rsid w:val="00C7019C"/>
    <w:rsid w:val="00C703F3"/>
    <w:rsid w:val="00C70FC4"/>
    <w:rsid w:val="00C74A43"/>
    <w:rsid w:val="00C8206E"/>
    <w:rsid w:val="00C82FF5"/>
    <w:rsid w:val="00C8307E"/>
    <w:rsid w:val="00C83739"/>
    <w:rsid w:val="00C96D6A"/>
    <w:rsid w:val="00CA3B78"/>
    <w:rsid w:val="00CA4FBD"/>
    <w:rsid w:val="00CB00E8"/>
    <w:rsid w:val="00CC0EBC"/>
    <w:rsid w:val="00CC4F09"/>
    <w:rsid w:val="00CD1D89"/>
    <w:rsid w:val="00CE358B"/>
    <w:rsid w:val="00CE66DB"/>
    <w:rsid w:val="00CF7EBC"/>
    <w:rsid w:val="00D216D7"/>
    <w:rsid w:val="00D34870"/>
    <w:rsid w:val="00D36E5B"/>
    <w:rsid w:val="00D37557"/>
    <w:rsid w:val="00D424C6"/>
    <w:rsid w:val="00D472E3"/>
    <w:rsid w:val="00D55A00"/>
    <w:rsid w:val="00D74D95"/>
    <w:rsid w:val="00D8217E"/>
    <w:rsid w:val="00D92E10"/>
    <w:rsid w:val="00D975D3"/>
    <w:rsid w:val="00DB3C37"/>
    <w:rsid w:val="00DB438C"/>
    <w:rsid w:val="00DB4C6C"/>
    <w:rsid w:val="00DE0A65"/>
    <w:rsid w:val="00DF1025"/>
    <w:rsid w:val="00DF2F9C"/>
    <w:rsid w:val="00E16CCE"/>
    <w:rsid w:val="00E31E97"/>
    <w:rsid w:val="00E41B9A"/>
    <w:rsid w:val="00E51565"/>
    <w:rsid w:val="00E54EC4"/>
    <w:rsid w:val="00E63C51"/>
    <w:rsid w:val="00E7217A"/>
    <w:rsid w:val="00E86C15"/>
    <w:rsid w:val="00EA2F33"/>
    <w:rsid w:val="00EB3CF4"/>
    <w:rsid w:val="00EB5AC8"/>
    <w:rsid w:val="00EB6A78"/>
    <w:rsid w:val="00EF18B0"/>
    <w:rsid w:val="00EF1DF1"/>
    <w:rsid w:val="00EF7B4E"/>
    <w:rsid w:val="00F13751"/>
    <w:rsid w:val="00F1415D"/>
    <w:rsid w:val="00F246EF"/>
    <w:rsid w:val="00F25E00"/>
    <w:rsid w:val="00F26470"/>
    <w:rsid w:val="00F349DD"/>
    <w:rsid w:val="00F47450"/>
    <w:rsid w:val="00F50090"/>
    <w:rsid w:val="00F53599"/>
    <w:rsid w:val="00F76AB4"/>
    <w:rsid w:val="00F814B7"/>
    <w:rsid w:val="00F82ABB"/>
    <w:rsid w:val="00FA7EA8"/>
    <w:rsid w:val="00FB0677"/>
    <w:rsid w:val="00FB0F47"/>
    <w:rsid w:val="00FC2B85"/>
    <w:rsid w:val="00FC63CC"/>
    <w:rsid w:val="00FC6C74"/>
    <w:rsid w:val="00FE4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C316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ADF"/>
  </w:style>
  <w:style w:type="paragraph" w:styleId="Heading1">
    <w:name w:val="heading 1"/>
    <w:basedOn w:val="Normal"/>
    <w:next w:val="Normal"/>
    <w:link w:val="Heading1Char"/>
    <w:uiPriority w:val="9"/>
    <w:qFormat/>
    <w:rsid w:val="004C0ECA"/>
    <w:pPr>
      <w:keepNext/>
      <w:keepLines/>
      <w:spacing w:after="0" w:line="360" w:lineRule="auto"/>
      <w:jc w:val="both"/>
      <w:outlineLvl w:val="0"/>
    </w:pPr>
    <w:rPr>
      <w:rFonts w:ascii="Arial" w:eastAsiaTheme="majorEastAsia" w:hAnsi="Arial" w:cs="Arial"/>
      <w:b/>
      <w:bCs/>
      <w:color w:val="0F4761" w:themeColor="accent1" w:themeShade="BF"/>
      <w:sz w:val="32"/>
      <w:szCs w:val="32"/>
      <w:lang w:val="en-IN"/>
    </w:rPr>
  </w:style>
  <w:style w:type="paragraph" w:styleId="Heading2">
    <w:name w:val="heading 2"/>
    <w:basedOn w:val="Normal"/>
    <w:next w:val="Normal"/>
    <w:link w:val="Heading2Char"/>
    <w:uiPriority w:val="9"/>
    <w:unhideWhenUsed/>
    <w:qFormat/>
    <w:rsid w:val="00892D94"/>
    <w:pPr>
      <w:keepNext/>
      <w:keepLines/>
      <w:spacing w:after="0" w:line="360" w:lineRule="auto"/>
      <w:jc w:val="both"/>
      <w:outlineLvl w:val="1"/>
    </w:pPr>
    <w:rPr>
      <w:rFonts w:ascii="Arial" w:eastAsiaTheme="majorEastAsia" w:hAnsi="Arial" w:cs="Arial"/>
      <w:b/>
      <w:bCs/>
      <w:color w:val="0F4761" w:themeColor="accent1" w:themeShade="BF"/>
      <w:sz w:val="28"/>
      <w:szCs w:val="28"/>
      <w:lang w:val="en-IN"/>
    </w:rPr>
  </w:style>
  <w:style w:type="paragraph" w:styleId="Heading3">
    <w:name w:val="heading 3"/>
    <w:basedOn w:val="Normal"/>
    <w:next w:val="Normal"/>
    <w:link w:val="Heading3Char"/>
    <w:uiPriority w:val="9"/>
    <w:unhideWhenUsed/>
    <w:qFormat/>
    <w:rsid w:val="00BA57CC"/>
    <w:pPr>
      <w:keepNext/>
      <w:keepLines/>
      <w:spacing w:after="0" w:line="360" w:lineRule="auto"/>
      <w:jc w:val="both"/>
      <w:outlineLvl w:val="2"/>
    </w:pPr>
    <w:rPr>
      <w:rFonts w:ascii="Arial" w:eastAsiaTheme="majorEastAsia" w:hAnsi="Arial" w:cs="Arial"/>
      <w:b/>
      <w:bCs/>
      <w:color w:val="0F4761" w:themeColor="accent1" w:themeShade="BF"/>
      <w:lang w:val="en-IN"/>
    </w:rPr>
  </w:style>
  <w:style w:type="paragraph" w:styleId="Heading4">
    <w:name w:val="heading 4"/>
    <w:basedOn w:val="Normal"/>
    <w:next w:val="Normal"/>
    <w:link w:val="Heading4Char"/>
    <w:uiPriority w:val="9"/>
    <w:semiHidden/>
    <w:unhideWhenUsed/>
    <w:qFormat/>
    <w:rsid w:val="003268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68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68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68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68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68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ECA"/>
    <w:rPr>
      <w:rFonts w:ascii="Arial" w:eastAsiaTheme="majorEastAsia" w:hAnsi="Arial" w:cs="Arial"/>
      <w:b/>
      <w:bCs/>
      <w:color w:val="0F4761" w:themeColor="accent1" w:themeShade="BF"/>
      <w:sz w:val="32"/>
      <w:szCs w:val="32"/>
      <w:lang w:val="en-IN"/>
    </w:rPr>
  </w:style>
  <w:style w:type="character" w:customStyle="1" w:styleId="Heading2Char">
    <w:name w:val="Heading 2 Char"/>
    <w:basedOn w:val="DefaultParagraphFont"/>
    <w:link w:val="Heading2"/>
    <w:uiPriority w:val="9"/>
    <w:rsid w:val="00892D94"/>
    <w:rPr>
      <w:rFonts w:ascii="Arial" w:eastAsiaTheme="majorEastAsia" w:hAnsi="Arial" w:cs="Arial"/>
      <w:b/>
      <w:bCs/>
      <w:color w:val="0F4761" w:themeColor="accent1" w:themeShade="BF"/>
      <w:sz w:val="28"/>
      <w:szCs w:val="28"/>
      <w:lang w:val="en-IN"/>
    </w:rPr>
  </w:style>
  <w:style w:type="character" w:customStyle="1" w:styleId="Heading3Char">
    <w:name w:val="Heading 3 Char"/>
    <w:basedOn w:val="DefaultParagraphFont"/>
    <w:link w:val="Heading3"/>
    <w:uiPriority w:val="9"/>
    <w:rsid w:val="00BA57CC"/>
    <w:rPr>
      <w:rFonts w:ascii="Arial" w:eastAsiaTheme="majorEastAsia" w:hAnsi="Arial" w:cs="Arial"/>
      <w:b/>
      <w:bCs/>
      <w:color w:val="0F4761" w:themeColor="accent1" w:themeShade="BF"/>
      <w:lang w:val="en-IN"/>
    </w:rPr>
  </w:style>
  <w:style w:type="character" w:customStyle="1" w:styleId="Heading4Char">
    <w:name w:val="Heading 4 Char"/>
    <w:basedOn w:val="DefaultParagraphFont"/>
    <w:link w:val="Heading4"/>
    <w:uiPriority w:val="9"/>
    <w:semiHidden/>
    <w:rsid w:val="003268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8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8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8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8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85C"/>
    <w:rPr>
      <w:rFonts w:eastAsiaTheme="majorEastAsia" w:cstheme="majorBidi"/>
      <w:color w:val="272727" w:themeColor="text1" w:themeTint="D8"/>
    </w:rPr>
  </w:style>
  <w:style w:type="paragraph" w:styleId="Title">
    <w:name w:val="Title"/>
    <w:basedOn w:val="Normal"/>
    <w:next w:val="Normal"/>
    <w:link w:val="TitleChar"/>
    <w:uiPriority w:val="10"/>
    <w:qFormat/>
    <w:rsid w:val="003268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8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8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68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85C"/>
    <w:pPr>
      <w:spacing w:before="160"/>
      <w:jc w:val="center"/>
    </w:pPr>
    <w:rPr>
      <w:i/>
      <w:iCs/>
      <w:color w:val="404040" w:themeColor="text1" w:themeTint="BF"/>
    </w:rPr>
  </w:style>
  <w:style w:type="character" w:customStyle="1" w:styleId="QuoteChar">
    <w:name w:val="Quote Char"/>
    <w:basedOn w:val="DefaultParagraphFont"/>
    <w:link w:val="Quote"/>
    <w:uiPriority w:val="29"/>
    <w:rsid w:val="0032685C"/>
    <w:rPr>
      <w:i/>
      <w:iCs/>
      <w:color w:val="404040" w:themeColor="text1" w:themeTint="BF"/>
    </w:rPr>
  </w:style>
  <w:style w:type="paragraph" w:styleId="ListParagraph">
    <w:name w:val="List Paragraph"/>
    <w:basedOn w:val="Normal"/>
    <w:uiPriority w:val="34"/>
    <w:qFormat/>
    <w:rsid w:val="0032685C"/>
    <w:pPr>
      <w:ind w:left="720"/>
      <w:contextualSpacing/>
    </w:pPr>
  </w:style>
  <w:style w:type="character" w:styleId="IntenseEmphasis">
    <w:name w:val="Intense Emphasis"/>
    <w:basedOn w:val="DefaultParagraphFont"/>
    <w:uiPriority w:val="21"/>
    <w:qFormat/>
    <w:rsid w:val="0032685C"/>
    <w:rPr>
      <w:i/>
      <w:iCs/>
      <w:color w:val="0F4761" w:themeColor="accent1" w:themeShade="BF"/>
    </w:rPr>
  </w:style>
  <w:style w:type="paragraph" w:styleId="IntenseQuote">
    <w:name w:val="Intense Quote"/>
    <w:basedOn w:val="Normal"/>
    <w:next w:val="Normal"/>
    <w:link w:val="IntenseQuoteChar"/>
    <w:uiPriority w:val="30"/>
    <w:qFormat/>
    <w:rsid w:val="003268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685C"/>
    <w:rPr>
      <w:i/>
      <w:iCs/>
      <w:color w:val="0F4761" w:themeColor="accent1" w:themeShade="BF"/>
    </w:rPr>
  </w:style>
  <w:style w:type="character" w:styleId="IntenseReference">
    <w:name w:val="Intense Reference"/>
    <w:basedOn w:val="DefaultParagraphFont"/>
    <w:uiPriority w:val="32"/>
    <w:qFormat/>
    <w:rsid w:val="0032685C"/>
    <w:rPr>
      <w:b/>
      <w:bCs/>
      <w:smallCaps/>
      <w:color w:val="0F4761" w:themeColor="accent1" w:themeShade="BF"/>
      <w:spacing w:val="5"/>
    </w:rPr>
  </w:style>
  <w:style w:type="paragraph" w:styleId="Header">
    <w:name w:val="header"/>
    <w:basedOn w:val="Normal"/>
    <w:link w:val="HeaderChar"/>
    <w:uiPriority w:val="99"/>
    <w:unhideWhenUsed/>
    <w:rsid w:val="00DB3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C37"/>
  </w:style>
  <w:style w:type="paragraph" w:styleId="Footer">
    <w:name w:val="footer"/>
    <w:basedOn w:val="Normal"/>
    <w:link w:val="FooterChar"/>
    <w:uiPriority w:val="99"/>
    <w:unhideWhenUsed/>
    <w:rsid w:val="00DB3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C37"/>
  </w:style>
  <w:style w:type="character" w:customStyle="1" w:styleId="cursor-pointer">
    <w:name w:val="cursor-pointer"/>
    <w:basedOn w:val="DefaultParagraphFont"/>
    <w:rsid w:val="007913C6"/>
  </w:style>
  <w:style w:type="paragraph" w:customStyle="1" w:styleId="text-15px">
    <w:name w:val="text-[15px]"/>
    <w:basedOn w:val="Normal"/>
    <w:rsid w:val="007913C6"/>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 w:type="paragraph" w:styleId="NormalWeb">
    <w:name w:val="Normal (Web)"/>
    <w:basedOn w:val="Normal"/>
    <w:uiPriority w:val="99"/>
    <w:semiHidden/>
    <w:unhideWhenUsed/>
    <w:rsid w:val="004C51AB"/>
    <w:rPr>
      <w:rFonts w:ascii="Times New Roman" w:hAnsi="Times New Roman" w:cs="Times New Roman"/>
    </w:rPr>
  </w:style>
  <w:style w:type="character" w:styleId="Hyperlink">
    <w:name w:val="Hyperlink"/>
    <w:basedOn w:val="DefaultParagraphFont"/>
    <w:uiPriority w:val="99"/>
    <w:unhideWhenUsed/>
    <w:rsid w:val="00DF2F9C"/>
    <w:rPr>
      <w:color w:val="467886" w:themeColor="hyperlink"/>
      <w:u w:val="single"/>
    </w:rPr>
  </w:style>
  <w:style w:type="character" w:styleId="UnresolvedMention">
    <w:name w:val="Unresolved Mention"/>
    <w:basedOn w:val="DefaultParagraphFont"/>
    <w:uiPriority w:val="99"/>
    <w:semiHidden/>
    <w:unhideWhenUsed/>
    <w:rsid w:val="00532ADF"/>
    <w:rPr>
      <w:color w:val="605E5C"/>
      <w:shd w:val="clear" w:color="auto" w:fill="E1DFDD"/>
    </w:rPr>
  </w:style>
  <w:style w:type="paragraph" w:styleId="TOCHeading">
    <w:name w:val="TOC Heading"/>
    <w:basedOn w:val="Heading1"/>
    <w:next w:val="Normal"/>
    <w:uiPriority w:val="39"/>
    <w:unhideWhenUsed/>
    <w:qFormat/>
    <w:rsid w:val="00BA57CC"/>
    <w:pPr>
      <w:spacing w:before="240" w:line="259" w:lineRule="auto"/>
      <w:jc w:val="left"/>
      <w:outlineLvl w:val="9"/>
    </w:pPr>
    <w:rPr>
      <w:rFonts w:asciiTheme="majorHAnsi" w:hAnsiTheme="majorHAnsi" w:cstheme="majorBidi"/>
      <w:b w:val="0"/>
      <w:bCs w:val="0"/>
      <w:kern w:val="0"/>
      <w:lang w:val="en-US"/>
      <w14:ligatures w14:val="none"/>
    </w:rPr>
  </w:style>
  <w:style w:type="paragraph" w:styleId="TOC1">
    <w:name w:val="toc 1"/>
    <w:basedOn w:val="Normal"/>
    <w:next w:val="Normal"/>
    <w:autoRedefine/>
    <w:uiPriority w:val="39"/>
    <w:unhideWhenUsed/>
    <w:rsid w:val="00BA57CC"/>
    <w:pPr>
      <w:spacing w:after="100"/>
    </w:pPr>
  </w:style>
  <w:style w:type="paragraph" w:styleId="TOC2">
    <w:name w:val="toc 2"/>
    <w:basedOn w:val="Normal"/>
    <w:next w:val="Normal"/>
    <w:autoRedefine/>
    <w:uiPriority w:val="39"/>
    <w:unhideWhenUsed/>
    <w:rsid w:val="00BA57CC"/>
    <w:pPr>
      <w:spacing w:after="100"/>
      <w:ind w:left="240"/>
    </w:pPr>
  </w:style>
  <w:style w:type="paragraph" w:styleId="TOC3">
    <w:name w:val="toc 3"/>
    <w:basedOn w:val="Normal"/>
    <w:next w:val="Normal"/>
    <w:autoRedefine/>
    <w:uiPriority w:val="39"/>
    <w:unhideWhenUsed/>
    <w:rsid w:val="00BA57CC"/>
    <w:pPr>
      <w:spacing w:after="100"/>
      <w:ind w:left="480"/>
    </w:pPr>
  </w:style>
  <w:style w:type="paragraph" w:styleId="Caption">
    <w:name w:val="caption"/>
    <w:basedOn w:val="Normal"/>
    <w:next w:val="Normal"/>
    <w:uiPriority w:val="35"/>
    <w:unhideWhenUsed/>
    <w:qFormat/>
    <w:rsid w:val="002E11FA"/>
    <w:pPr>
      <w:spacing w:after="200" w:line="240" w:lineRule="auto"/>
      <w:jc w:val="both"/>
    </w:pPr>
    <w:rPr>
      <w:rFonts w:ascii="Arial" w:hAnsi="Arial" w:cs="Arial"/>
      <w:i/>
      <w:iCs/>
      <w:color w:val="0E2841" w:themeColor="text2"/>
      <w:sz w:val="18"/>
      <w:szCs w:val="18"/>
    </w:rPr>
  </w:style>
  <w:style w:type="paragraph" w:styleId="TableofFigures">
    <w:name w:val="table of figures"/>
    <w:basedOn w:val="Normal"/>
    <w:next w:val="Normal"/>
    <w:uiPriority w:val="99"/>
    <w:unhideWhenUsed/>
    <w:rsid w:val="001B55C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0584847">
      <w:bodyDiv w:val="1"/>
      <w:marLeft w:val="0"/>
      <w:marRight w:val="0"/>
      <w:marTop w:val="0"/>
      <w:marBottom w:val="0"/>
      <w:divBdr>
        <w:top w:val="none" w:sz="0" w:space="0" w:color="auto"/>
        <w:left w:val="none" w:sz="0" w:space="0" w:color="auto"/>
        <w:bottom w:val="none" w:sz="0" w:space="0" w:color="auto"/>
        <w:right w:val="none" w:sz="0" w:space="0" w:color="auto"/>
      </w:divBdr>
    </w:div>
    <w:div w:id="491796871">
      <w:bodyDiv w:val="1"/>
      <w:marLeft w:val="0"/>
      <w:marRight w:val="0"/>
      <w:marTop w:val="0"/>
      <w:marBottom w:val="0"/>
      <w:divBdr>
        <w:top w:val="none" w:sz="0" w:space="0" w:color="auto"/>
        <w:left w:val="none" w:sz="0" w:space="0" w:color="auto"/>
        <w:bottom w:val="none" w:sz="0" w:space="0" w:color="auto"/>
        <w:right w:val="none" w:sz="0" w:space="0" w:color="auto"/>
      </w:divBdr>
    </w:div>
    <w:div w:id="1151293641">
      <w:bodyDiv w:val="1"/>
      <w:marLeft w:val="0"/>
      <w:marRight w:val="0"/>
      <w:marTop w:val="0"/>
      <w:marBottom w:val="0"/>
      <w:divBdr>
        <w:top w:val="none" w:sz="0" w:space="0" w:color="auto"/>
        <w:left w:val="none" w:sz="0" w:space="0" w:color="auto"/>
        <w:bottom w:val="none" w:sz="0" w:space="0" w:color="auto"/>
        <w:right w:val="none" w:sz="0" w:space="0" w:color="auto"/>
      </w:divBdr>
    </w:div>
    <w:div w:id="1492677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92/bjo.2020.103" TargetMode="External"/><Relationship Id="rId21" Type="http://schemas.openxmlformats.org/officeDocument/2006/relationships/hyperlink" Target="https://casp-uk.net/casp-tools-checklists/" TargetMode="External"/><Relationship Id="rId42" Type="http://schemas.openxmlformats.org/officeDocument/2006/relationships/hyperlink" Target="https://www.local.gov.uk/publications/children-and-young-peoples-mental-health-independent-review-policy-success-and" TargetMode="External"/><Relationship Id="rId47" Type="http://schemas.openxmlformats.org/officeDocument/2006/relationships/hyperlink" Target="https://www.nhsconfed.org/publications/nhs-long-term-workforce-plan-what-you-need-know" TargetMode="External"/><Relationship Id="rId63" Type="http://schemas.openxmlformats.org/officeDocument/2006/relationships/hyperlink" Target="https://doi.org/10.1186/s12913-020-05463-4" TargetMode="External"/><Relationship Id="rId68" Type="http://schemas.openxmlformats.org/officeDocument/2006/relationships/hyperlink" Target="https://www.ippr.org/articles/education-education-mental-health" TargetMode="External"/><Relationship Id="rId2" Type="http://schemas.openxmlformats.org/officeDocument/2006/relationships/numbering" Target="numbering.xml"/><Relationship Id="rId16" Type="http://schemas.openxmlformats.org/officeDocument/2006/relationships/hyperlink" Target="https://www.bma.org.uk/advice-and-support/nhs-delivery-and-workforce/pressures/children-and-young-people-s-mental-health-services-in-england" TargetMode="External"/><Relationship Id="rId29" Type="http://schemas.openxmlformats.org/officeDocument/2006/relationships/hyperlink" Target="https://doi.org/10.3390/ijerph21101318" TargetMode="External"/><Relationship Id="rId11" Type="http://schemas.openxmlformats.org/officeDocument/2006/relationships/image" Target="media/image4.png"/><Relationship Id="rId24" Type="http://schemas.openxmlformats.org/officeDocument/2006/relationships/hyperlink" Target="https://www.gov.uk/government/publications/10-year-health-plan-for-england-fit-for-the-future" TargetMode="External"/><Relationship Id="rId32" Type="http://schemas.openxmlformats.org/officeDocument/2006/relationships/hyperlink" Target="https://doi.org/10.1186/s12913-021-07114-8" TargetMode="External"/><Relationship Id="rId37" Type="http://schemas.openxmlformats.org/officeDocument/2006/relationships/hyperlink" Target="https://doi.org/10.1177/1359104519871129" TargetMode="External"/><Relationship Id="rId40" Type="http://schemas.openxmlformats.org/officeDocument/2006/relationships/hyperlink" Target="https://doi.org/10.1186/s13033-023-00572-z" TargetMode="External"/><Relationship Id="rId45" Type="http://schemas.openxmlformats.org/officeDocument/2006/relationships/hyperlink" Target="https://www.mentalhealth.org.uk/explore-mental-health/statistics/children-young-people-statistics" TargetMode="External"/><Relationship Id="rId53" Type="http://schemas.openxmlformats.org/officeDocument/2006/relationships/hyperlink" Target="https://www.england.nhs.uk/wp-content/uploads/2016/02/Mental-Health-Taskforce-FYFV-final.pdf" TargetMode="External"/><Relationship Id="rId58" Type="http://schemas.openxmlformats.org/officeDocument/2006/relationships/hyperlink" Target="https://doi.org/10.3399/bjgp16X687061" TargetMode="External"/><Relationship Id="rId66" Type="http://schemas.openxmlformats.org/officeDocument/2006/relationships/hyperlink" Target="https://doi.org/10.1186/s12913-017-2080-z"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post.parliament.uk/children-and-young-peoples-health-and-social-care/" TargetMode="External"/><Relationship Id="rId19" Type="http://schemas.openxmlformats.org/officeDocument/2006/relationships/hyperlink" Target="https://www.childrenscommissioner.gov.uk/resource/childrens-mental-health-services-2023-24/" TargetMode="External"/><Relationship Id="rId14" Type="http://schemas.openxmlformats.org/officeDocument/2006/relationships/hyperlink" Target="https://doi.org/10.3310/GYDW4507" TargetMode="External"/><Relationship Id="rId22" Type="http://schemas.openxmlformats.org/officeDocument/2006/relationships/hyperlink" Target="https://doi.org/10.1186/s12939-021-01416-3" TargetMode="External"/><Relationship Id="rId27" Type="http://schemas.openxmlformats.org/officeDocument/2006/relationships/hyperlink" Target="https://doi.org/10.3310/XQWU4117" TargetMode="External"/><Relationship Id="rId30" Type="http://schemas.openxmlformats.org/officeDocument/2006/relationships/hyperlink" Target="https://doi.org/10.1186/s12889-022-13473-6" TargetMode="External"/><Relationship Id="rId35" Type="http://schemas.openxmlformats.org/officeDocument/2006/relationships/hyperlink" Target="https://publications.parliament.uk/pa/cm5802/cmselect/cmhealth/17/report.html" TargetMode="External"/><Relationship Id="rId43" Type="http://schemas.openxmlformats.org/officeDocument/2006/relationships/hyperlink" Target="https://doi.org/10.3390/healthcare12040430" TargetMode="External"/><Relationship Id="rId48" Type="http://schemas.openxmlformats.org/officeDocument/2006/relationships/hyperlink" Target="https://www.nice.org.uk/guidance/ng134" TargetMode="External"/><Relationship Id="rId56" Type="http://schemas.openxmlformats.org/officeDocument/2006/relationships/hyperlink" Target="https://www.england.nhs.uk/publication/nhs-long-term-workforce-plan/" TargetMode="External"/><Relationship Id="rId64" Type="http://schemas.openxmlformats.org/officeDocument/2006/relationships/hyperlink" Target="https://www.rcpsych.ac.uk/news-and-features/latest-news/detail/2024/11/28/children-s-mental-health-crisis-deepens--severe-shortage-of-psychiatrists-to-meet-growing-demand" TargetMode="External"/><Relationship Id="rId69" Type="http://schemas.openxmlformats.org/officeDocument/2006/relationships/hyperlink" Target="https://dspace.flinders.edu.au/xmlui/handle/2328/3326" TargetMode="External"/><Relationship Id="rId8" Type="http://schemas.openxmlformats.org/officeDocument/2006/relationships/image" Target="media/image1.png"/><Relationship Id="rId51" Type="http://schemas.openxmlformats.org/officeDocument/2006/relationships/hyperlink" Target="https://digital.nhs.uk/data-and-information/publications/statistical/mental-health-of-children-and-young-people-in-england/2023-wave-4-follow-up" TargetMode="External"/><Relationship Id="rId72" Type="http://schemas.openxmlformats.org/officeDocument/2006/relationships/hyperlink" Target="http://www.ohri.ca/programs/clinical_epidemiology/oxford.asp"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qc.org.uk/publications/themed-work/are-we-listening-review-children-young-peoples-mental-health-services" TargetMode="External"/><Relationship Id="rId25" Type="http://schemas.openxmlformats.org/officeDocument/2006/relationships/hyperlink" Target="https://assets.publishing.service.gov.uk/media/5a823518e5274a2e87dc1b56/Transforming_children_and_young_people_s_mental_health_provision.pdf" TargetMode="External"/><Relationship Id="rId33" Type="http://schemas.openxmlformats.org/officeDocument/2006/relationships/hyperlink" Target="https://doi.org/10.1177/13591045231201195" TargetMode="External"/><Relationship Id="rId38" Type="http://schemas.openxmlformats.org/officeDocument/2006/relationships/hyperlink" Target="https://www.kingsfund.org.uk/insight-and-analysis/long-reads/nhs-long-term-plan-explained" TargetMode="External"/><Relationship Id="rId46" Type="http://schemas.openxmlformats.org/officeDocument/2006/relationships/hyperlink" Target="https://www.nao.org.uk/reports/progress-in-improving-mental-health-services-in-england/" TargetMode="External"/><Relationship Id="rId59" Type="http://schemas.openxmlformats.org/officeDocument/2006/relationships/hyperlink" Target="https://www.ippr.org/articles/fixing-the-foundations" TargetMode="External"/><Relationship Id="rId67" Type="http://schemas.openxmlformats.org/officeDocument/2006/relationships/hyperlink" Target="https://doi.org/10.1007/s00787-025-02678-w" TargetMode="External"/><Relationship Id="rId20" Type="http://schemas.openxmlformats.org/officeDocument/2006/relationships/hyperlink" Target="https://epi.org.uk/wp-content/uploads/2020/01/Access-to-CAMHS-in-2019_EPI.pdf" TargetMode="External"/><Relationship Id="rId41" Type="http://schemas.openxmlformats.org/officeDocument/2006/relationships/hyperlink" Target="https://doi.org/10.1186/1475-9276-12-18" TargetMode="External"/><Relationship Id="rId54" Type="http://schemas.openxmlformats.org/officeDocument/2006/relationships/hyperlink" Target="https://www.longtermplan.nhs.uk/" TargetMode="External"/><Relationship Id="rId62" Type="http://schemas.openxmlformats.org/officeDocument/2006/relationships/hyperlink" Target="https://doi.org/10.23889/ijpds.v7i3.1866" TargetMode="External"/><Relationship Id="rId70" Type="http://schemas.openxmlformats.org/officeDocument/2006/relationships/hyperlink" Target="https://doi.org/10.1136/bmjment-2023-300844"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childyouth.2017.04.017" TargetMode="External"/><Relationship Id="rId23" Type="http://schemas.openxmlformats.org/officeDocument/2006/relationships/hyperlink" Target="https://assets.publishing.service.gov.uk/government/uploads/system/uploads/attachment_data/file/414024/Childrens_Mental_Health.pdf" TargetMode="External"/><Relationship Id="rId28" Type="http://schemas.openxmlformats.org/officeDocument/2006/relationships/hyperlink" Target="https://doi.org/10.1177/13591045251400393" TargetMode="External"/><Relationship Id="rId36" Type="http://schemas.openxmlformats.org/officeDocument/2006/relationships/hyperlink" Target="https://commonslibrary.parliament.uk/research-briefings/cbp-7196/" TargetMode="External"/><Relationship Id="rId49" Type="http://schemas.openxmlformats.org/officeDocument/2006/relationships/hyperlink" Target="https://doi.org/10.1016/j.ssmmh.2024.100343" TargetMode="External"/><Relationship Id="rId57" Type="http://schemas.openxmlformats.org/officeDocument/2006/relationships/hyperlink" Target="https://www.nuffieldtrust.org.uk/resource/how-will-waiting-times-in-community-health-services-affect-the-shift-towards-neighbourhood-health" TargetMode="External"/><Relationship Id="rId10" Type="http://schemas.openxmlformats.org/officeDocument/2006/relationships/image" Target="media/image3.png"/><Relationship Id="rId31" Type="http://schemas.openxmlformats.org/officeDocument/2006/relationships/hyperlink" Target="https://doi.org/10.1007/s00787-025-02952-x" TargetMode="External"/><Relationship Id="rId44" Type="http://schemas.openxmlformats.org/officeDocument/2006/relationships/hyperlink" Target="https://www.instituteofhealthequity.org/resources-reports/marmot-review-10-years-on" TargetMode="External"/><Relationship Id="rId52" Type="http://schemas.openxmlformats.org/officeDocument/2006/relationships/hyperlink" Target="https://digital.nhs.uk/data-and-information/publications/statistical/mental-health-of-children-and-young-people-in-england" TargetMode="External"/><Relationship Id="rId60" Type="http://schemas.openxmlformats.org/officeDocument/2006/relationships/hyperlink" Target="https://doi.org/10.1136/bmj.n71" TargetMode="External"/><Relationship Id="rId65" Type="http://schemas.openxmlformats.org/officeDocument/2006/relationships/hyperlink" Target="https://www.rcpsych.ac.uk/news-and-features/latest-news/detail/2026/03/13/one-consultant-psychiatrist-for-every-2-500-people-who-will-experience-a-mental-illness-each-year-in-england--latest-census-shows"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cypmhc.org.uk/resources/facts-and-figures/" TargetMode="External"/><Relationship Id="rId39" Type="http://schemas.openxmlformats.org/officeDocument/2006/relationships/hyperlink" Target="https://www.kingsfund.org.uk/insight-and-analysis/long-reads/mental-health-360-services-children-young-people" TargetMode="External"/><Relationship Id="rId34" Type="http://schemas.openxmlformats.org/officeDocument/2006/relationships/hyperlink" Target="https://training.cochrane.org/handbook" TargetMode="External"/><Relationship Id="rId50" Type="http://schemas.openxmlformats.org/officeDocument/2006/relationships/hyperlink" Target="https://digital.nhs.uk/data-and-information/publications/statistical/mental-health-of-children-and-young-people-in-england" TargetMode="External"/><Relationship Id="rId55" Type="http://schemas.openxmlformats.org/officeDocument/2006/relationships/hyperlink" Target="https://www.england.nhs.uk/wp-content/uploads/2022/07/nhs-mental-health-implementation-plan-2019-20-2023-24.pdf" TargetMode="External"/><Relationship Id="rId7" Type="http://schemas.openxmlformats.org/officeDocument/2006/relationships/endnotes" Target="endnotes.xml"/><Relationship Id="rId71" Type="http://schemas.openxmlformats.org/officeDocument/2006/relationships/hyperlink" Target="https://doi.org/10.1038/s41398-025-03623-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06E3C3-03F0-437C-87A3-49093B0865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73</Pages>
  <Words>21532</Words>
  <Characters>122733</Characters>
  <Application>Microsoft Office Word</Application>
  <DocSecurity>0</DocSecurity>
  <Lines>1022</Lines>
  <Paragraphs>287</Paragraphs>
  <ScaleCrop>false</ScaleCrop>
  <Company/>
  <LinksUpToDate>false</LinksUpToDate>
  <CharactersWithSpaces>143978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2026-09-23T21:13:00Z</dcterms:created>
  <dcterms:modified xsi:type="dcterms:W3CDTF">2026-09-23T21:29:00Z</dcterms:modified>
</cp:coreProperties>
</file>