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B9B78F" w14:textId="77777777" w:rsidR="00EB7708" w:rsidRPr="002E19DF" w:rsidRDefault="00EB7708" w:rsidP="00EB7708">
      <w:pPr>
        <w:jc w:val="center"/>
        <w:rPr>
          <w:rFonts w:ascii="Times New Roman" w:hAnsi="Times New Roman" w:cs="Times New Roman"/>
          <w:b/>
          <w:bCs/>
          <w:color w:val="000000"/>
          <w:kern w:val="0"/>
          <w:sz w:val="48"/>
          <w:szCs w:val="48"/>
        </w:rPr>
      </w:pPr>
      <w:r w:rsidRPr="002E19DF">
        <w:rPr>
          <w:rFonts w:ascii="Times New Roman" w:hAnsi="Times New Roman" w:cs="Times New Roman"/>
          <w:b/>
          <w:bCs/>
          <w:color w:val="000000"/>
          <w:kern w:val="0"/>
          <w:sz w:val="48"/>
          <w:szCs w:val="48"/>
        </w:rPr>
        <w:t>Strategic Management and Sustainability</w:t>
      </w:r>
    </w:p>
    <w:p w14:paraId="1CC3A20C" w14:textId="77777777" w:rsidR="00EB7708" w:rsidRDefault="00EB7708" w:rsidP="00EB7708">
      <w:pPr>
        <w:rPr>
          <w:rFonts w:ascii="Arial" w:hAnsi="Arial" w:cs="Arial"/>
          <w:b/>
          <w:bCs/>
          <w:color w:val="000000"/>
          <w:kern w:val="0"/>
          <w:sz w:val="22"/>
          <w:szCs w:val="22"/>
        </w:rPr>
      </w:pPr>
    </w:p>
    <w:p w14:paraId="182C6993" w14:textId="77777777" w:rsidR="00EB7708" w:rsidRDefault="00EB7708" w:rsidP="00EB7708"/>
    <w:p w14:paraId="7ADADD41" w14:textId="77777777" w:rsidR="00EB7708" w:rsidRDefault="00EB7708" w:rsidP="00EB7708"/>
    <w:p w14:paraId="3966F0F0" w14:textId="77777777" w:rsidR="00EB7708" w:rsidRDefault="00EB7708" w:rsidP="00EB7708"/>
    <w:p w14:paraId="3D35F770" w14:textId="77777777" w:rsidR="00EB7708" w:rsidRDefault="00EB7708" w:rsidP="00EB7708"/>
    <w:p w14:paraId="5A624BC4" w14:textId="77777777" w:rsidR="00EB7708" w:rsidRDefault="00EB7708" w:rsidP="00EB7708"/>
    <w:p w14:paraId="0801945E" w14:textId="77777777" w:rsidR="00EB7708" w:rsidRDefault="00EB7708" w:rsidP="00EB7708"/>
    <w:p w14:paraId="3FA59EC8" w14:textId="77777777" w:rsidR="00EB7708" w:rsidRDefault="00EB7708" w:rsidP="00EB7708"/>
    <w:p w14:paraId="4FC9472E" w14:textId="77777777" w:rsidR="00EB7708" w:rsidRDefault="00EB7708" w:rsidP="00EB7708"/>
    <w:p w14:paraId="77BC9875" w14:textId="77777777" w:rsidR="00EB7708" w:rsidRDefault="00EB7708" w:rsidP="00EB7708"/>
    <w:p w14:paraId="1931BE29" w14:textId="77777777" w:rsidR="00EB7708" w:rsidRDefault="00EB7708" w:rsidP="00EB7708"/>
    <w:p w14:paraId="2458F5E6" w14:textId="77777777" w:rsidR="00EB7708" w:rsidRDefault="00EB7708" w:rsidP="00EB7708"/>
    <w:p w14:paraId="03DE4B94" w14:textId="77777777" w:rsidR="00EB7708" w:rsidRDefault="00EB7708" w:rsidP="00EB7708"/>
    <w:p w14:paraId="02062A23" w14:textId="77777777" w:rsidR="00EB7708" w:rsidRDefault="00EB7708" w:rsidP="00EB7708"/>
    <w:p w14:paraId="418B2B20" w14:textId="77777777" w:rsidR="00EB7708" w:rsidRDefault="00EB7708" w:rsidP="00EB7708"/>
    <w:p w14:paraId="13023D20" w14:textId="77777777" w:rsidR="00EB7708" w:rsidRDefault="00EB7708" w:rsidP="00EB7708"/>
    <w:p w14:paraId="57EFBE94" w14:textId="77777777" w:rsidR="00EB7708" w:rsidRDefault="00EB7708" w:rsidP="00EB7708"/>
    <w:p w14:paraId="236F1852" w14:textId="77777777" w:rsidR="00EB7708" w:rsidRDefault="00EB7708" w:rsidP="00EB7708"/>
    <w:p w14:paraId="7804D27C" w14:textId="77777777" w:rsidR="00EB7708" w:rsidRPr="002E19DF" w:rsidRDefault="00EB7708" w:rsidP="00EB7708">
      <w:pPr>
        <w:rPr>
          <w:rFonts w:ascii="Times New Roman" w:hAnsi="Times New Roman" w:cs="Times New Roman"/>
        </w:rPr>
      </w:pPr>
    </w:p>
    <w:p w14:paraId="6C0BD0EF" w14:textId="77777777" w:rsidR="00EB7708" w:rsidRPr="002E19DF" w:rsidRDefault="00EB7708" w:rsidP="00EB7708">
      <w:pPr>
        <w:rPr>
          <w:rFonts w:ascii="Times New Roman" w:hAnsi="Times New Roman" w:cs="Times New Roman"/>
        </w:rPr>
      </w:pPr>
    </w:p>
    <w:p w14:paraId="1C5B64A0" w14:textId="103FCF4C" w:rsidR="00EB7708" w:rsidRPr="002E19DF" w:rsidRDefault="00EB7708" w:rsidP="00EB7708">
      <w:pPr>
        <w:rPr>
          <w:rFonts w:ascii="Times New Roman" w:hAnsi="Times New Roman" w:cs="Times New Roman"/>
        </w:rPr>
      </w:pPr>
      <w:r w:rsidRPr="002E19DF">
        <w:rPr>
          <w:rFonts w:ascii="Times New Roman" w:hAnsi="Times New Roman" w:cs="Times New Roman"/>
        </w:rPr>
        <w:t xml:space="preserve">Student name: </w:t>
      </w:r>
      <w:r w:rsidR="002D68FA" w:rsidRPr="002D68FA">
        <w:rPr>
          <w:rFonts w:ascii="Times New Roman" w:hAnsi="Times New Roman" w:cs="Times New Roman"/>
        </w:rPr>
        <w:t>Dumitru Ciprian Iancu</w:t>
      </w:r>
    </w:p>
    <w:p w14:paraId="79301514" w14:textId="77777777" w:rsidR="00EB7708" w:rsidRPr="002E19DF" w:rsidRDefault="00EB7708" w:rsidP="00EB7708">
      <w:pPr>
        <w:rPr>
          <w:rFonts w:ascii="Times New Roman" w:hAnsi="Times New Roman" w:cs="Times New Roman"/>
        </w:rPr>
      </w:pPr>
    </w:p>
    <w:p w14:paraId="44A5A0FE" w14:textId="0D28DD84" w:rsidR="00EB7708" w:rsidRPr="002E19DF" w:rsidRDefault="00EB7708" w:rsidP="00EB7708">
      <w:pPr>
        <w:rPr>
          <w:rFonts w:ascii="Times New Roman" w:hAnsi="Times New Roman" w:cs="Times New Roman"/>
        </w:rPr>
      </w:pPr>
      <w:r w:rsidRPr="002E19DF">
        <w:rPr>
          <w:rFonts w:ascii="Times New Roman" w:hAnsi="Times New Roman" w:cs="Times New Roman"/>
        </w:rPr>
        <w:t>Student number: 21337</w:t>
      </w:r>
      <w:r w:rsidR="002D68FA">
        <w:rPr>
          <w:rFonts w:ascii="Times New Roman" w:hAnsi="Times New Roman" w:cs="Times New Roman"/>
        </w:rPr>
        <w:t>38</w:t>
      </w:r>
    </w:p>
    <w:p w14:paraId="1977DD34" w14:textId="77777777" w:rsidR="006B336C" w:rsidRDefault="006B336C"/>
    <w:p w14:paraId="346D6F66" w14:textId="77777777" w:rsidR="00B2535C" w:rsidRDefault="00B2535C"/>
    <w:p w14:paraId="66868D0B" w14:textId="77777777" w:rsidR="00B2535C" w:rsidRDefault="00B2535C"/>
    <w:p w14:paraId="229232AE" w14:textId="77777777" w:rsidR="00B2535C" w:rsidRDefault="00B2535C"/>
    <w:p w14:paraId="1C31B7A7" w14:textId="77777777" w:rsidR="00B2535C" w:rsidRDefault="00B2535C"/>
    <w:p w14:paraId="75A58EA6" w14:textId="77777777" w:rsidR="00B2535C" w:rsidRDefault="00B2535C"/>
    <w:p w14:paraId="1F7427BE" w14:textId="77777777" w:rsidR="00B2535C" w:rsidRDefault="00B2535C"/>
    <w:p w14:paraId="214A1ECC" w14:textId="77777777" w:rsidR="00B2535C" w:rsidRDefault="00B2535C"/>
    <w:p w14:paraId="236B2B6D" w14:textId="77777777" w:rsidR="00B2535C" w:rsidRDefault="00B2535C"/>
    <w:p w14:paraId="4800A520" w14:textId="77777777" w:rsidR="00B2535C" w:rsidRDefault="00B2535C"/>
    <w:p w14:paraId="2B49F10F" w14:textId="77777777" w:rsidR="00B2535C" w:rsidRDefault="00B2535C"/>
    <w:p w14:paraId="10C3B0DE" w14:textId="77777777" w:rsidR="00B2535C" w:rsidRDefault="00B2535C"/>
    <w:p w14:paraId="41AB13F8" w14:textId="77777777" w:rsidR="00B2535C" w:rsidRDefault="00B2535C"/>
    <w:p w14:paraId="6FD0BF65" w14:textId="77777777" w:rsidR="00B2535C" w:rsidRDefault="00B2535C"/>
    <w:p w14:paraId="0685602C" w14:textId="77777777" w:rsidR="00B2535C" w:rsidRDefault="00B2535C"/>
    <w:p w14:paraId="0454059F" w14:textId="77777777" w:rsidR="00B2535C" w:rsidRDefault="00B2535C"/>
    <w:p w14:paraId="0C448B61" w14:textId="77777777" w:rsidR="00B2535C" w:rsidRDefault="00B2535C"/>
    <w:p w14:paraId="701790A4" w14:textId="77777777" w:rsidR="00B2535C" w:rsidRDefault="00B2535C"/>
    <w:p w14:paraId="62CF68D9" w14:textId="77777777" w:rsidR="00B2535C" w:rsidRDefault="00B2535C"/>
    <w:p w14:paraId="05F0E6BC" w14:textId="77777777" w:rsidR="00B2535C" w:rsidRDefault="00B2535C"/>
    <w:p w14:paraId="27667E3C" w14:textId="77777777" w:rsidR="00B2535C" w:rsidRDefault="00B2535C"/>
    <w:p w14:paraId="489D9481" w14:textId="77777777" w:rsidR="00B2535C" w:rsidRDefault="00B2535C"/>
    <w:p w14:paraId="02F191D5" w14:textId="77777777" w:rsidR="00B2535C" w:rsidRDefault="00B2535C"/>
    <w:p w14:paraId="724C6E2F" w14:textId="77777777" w:rsidR="00B2535C" w:rsidRDefault="00B2535C"/>
    <w:p w14:paraId="27DD7AAB" w14:textId="77777777" w:rsidR="00B2535C" w:rsidRDefault="00B2535C"/>
    <w:p w14:paraId="2D2B8EC0" w14:textId="68E9B742" w:rsidR="00114532" w:rsidRPr="00C6436E" w:rsidRDefault="00114532" w:rsidP="00B97E1B">
      <w:pPr>
        <w:pStyle w:val="Heading1"/>
        <w:rPr>
          <w:rFonts w:eastAsia="Times New Roman"/>
          <w:lang w:eastAsia="en-GB"/>
        </w:rPr>
      </w:pPr>
      <w:bookmarkStart w:id="0" w:name="_Toc214823215"/>
      <w:r w:rsidRPr="00C6436E">
        <w:rPr>
          <w:rFonts w:eastAsia="Times New Roman"/>
          <w:lang w:eastAsia="en-GB"/>
        </w:rPr>
        <w:t>1. Executive Summary</w:t>
      </w:r>
      <w:bookmarkEnd w:id="0"/>
      <w:r w:rsidRPr="00C6436E">
        <w:rPr>
          <w:rFonts w:eastAsia="Times New Roman"/>
          <w:lang w:eastAsia="en-GB"/>
        </w:rPr>
        <w:t xml:space="preserve"> </w:t>
      </w:r>
    </w:p>
    <w:p w14:paraId="54AA177C" w14:textId="77777777" w:rsidR="00C6436E"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In this report, the strategic position of Nissan Sunderland in the fast-paced UK automotive industry are assessed. The PESTLE and Porters Five Forces analysis reveals key external forces, such as the changing EV policy, risks in rules-of-origin, high supplier power in batteries and semiconductor, and increased competition among global EV leaders. Internal analysis internal value chain RBV and VRIO indicate that the plant enjoys high productivity levels, a proven EV and a robust operational efficiency whereas it is limited by the dependency on imported batteries and the old EV platform. The SWOT analysis indicates the opportunities associated with the increasing demand of EVs and the new capabilities of gigafactories in the UK.</w:t>
      </w:r>
    </w:p>
    <w:p w14:paraId="49E15B86" w14:textId="1C53D2A8" w:rsidR="00C6436E"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There were three strategic alternatives created: localised battery manufacturing, expedited next-generation EV manufacturing and a plant transformation that is more sustainable. The suggested course of action is to localise the battery supply via the UK gigafactory and approach since it provides the best long-term competitiveness, cutting off regulatory risks, levelling the cost and providing the Nissan Sunderland with a stable ground on EV growth in the future.</w:t>
      </w:r>
    </w:p>
    <w:p w14:paraId="7B1029F9" w14:textId="3F975DD2" w:rsidR="00114532" w:rsidRDefault="00114532" w:rsidP="00C6436E">
      <w:pPr>
        <w:spacing w:line="360" w:lineRule="auto"/>
        <w:jc w:val="both"/>
        <w:rPr>
          <w:rFonts w:ascii="Times New Roman" w:hAnsi="Times New Roman" w:cs="Times New Roman"/>
          <w:kern w:val="0"/>
          <w:lang w:eastAsia="en-GB"/>
        </w:rPr>
      </w:pPr>
    </w:p>
    <w:p w14:paraId="1144986B" w14:textId="77777777" w:rsidR="00B97E1B" w:rsidRDefault="00B97E1B" w:rsidP="00C6436E">
      <w:pPr>
        <w:spacing w:line="360" w:lineRule="auto"/>
        <w:jc w:val="both"/>
        <w:rPr>
          <w:rFonts w:ascii="Times New Roman" w:hAnsi="Times New Roman" w:cs="Times New Roman"/>
          <w:kern w:val="0"/>
          <w:lang w:eastAsia="en-GB"/>
        </w:rPr>
      </w:pPr>
    </w:p>
    <w:p w14:paraId="56C486A1" w14:textId="77777777" w:rsidR="00B97E1B" w:rsidRDefault="00B97E1B" w:rsidP="00C6436E">
      <w:pPr>
        <w:spacing w:line="360" w:lineRule="auto"/>
        <w:jc w:val="both"/>
        <w:rPr>
          <w:rFonts w:ascii="Times New Roman" w:hAnsi="Times New Roman" w:cs="Times New Roman"/>
          <w:kern w:val="0"/>
          <w:lang w:eastAsia="en-GB"/>
        </w:rPr>
      </w:pPr>
    </w:p>
    <w:p w14:paraId="258C13F1" w14:textId="77777777" w:rsidR="00B97E1B" w:rsidRDefault="00B97E1B" w:rsidP="00C6436E">
      <w:pPr>
        <w:spacing w:line="360" w:lineRule="auto"/>
        <w:jc w:val="both"/>
        <w:rPr>
          <w:rFonts w:ascii="Times New Roman" w:hAnsi="Times New Roman" w:cs="Times New Roman"/>
          <w:kern w:val="0"/>
          <w:lang w:eastAsia="en-GB"/>
        </w:rPr>
      </w:pPr>
    </w:p>
    <w:p w14:paraId="4D6A0F5C" w14:textId="77777777" w:rsidR="00B97E1B" w:rsidRDefault="00B97E1B" w:rsidP="00C6436E">
      <w:pPr>
        <w:spacing w:line="360" w:lineRule="auto"/>
        <w:jc w:val="both"/>
        <w:rPr>
          <w:rFonts w:ascii="Times New Roman" w:hAnsi="Times New Roman" w:cs="Times New Roman"/>
          <w:kern w:val="0"/>
          <w:lang w:eastAsia="en-GB"/>
        </w:rPr>
      </w:pPr>
    </w:p>
    <w:p w14:paraId="3000E67C" w14:textId="77777777" w:rsidR="00B97E1B" w:rsidRDefault="00B97E1B" w:rsidP="00C6436E">
      <w:pPr>
        <w:spacing w:line="360" w:lineRule="auto"/>
        <w:jc w:val="both"/>
        <w:rPr>
          <w:rFonts w:ascii="Times New Roman" w:hAnsi="Times New Roman" w:cs="Times New Roman"/>
          <w:kern w:val="0"/>
          <w:lang w:eastAsia="en-GB"/>
        </w:rPr>
      </w:pPr>
    </w:p>
    <w:p w14:paraId="781B157F" w14:textId="77777777" w:rsidR="00A8079F" w:rsidRDefault="00A8079F" w:rsidP="00C6436E">
      <w:pPr>
        <w:spacing w:line="360" w:lineRule="auto"/>
        <w:jc w:val="both"/>
        <w:rPr>
          <w:rFonts w:ascii="Times New Roman" w:hAnsi="Times New Roman" w:cs="Times New Roman"/>
          <w:kern w:val="0"/>
          <w:lang w:eastAsia="en-GB"/>
        </w:rPr>
      </w:pPr>
    </w:p>
    <w:p w14:paraId="2C864DCE" w14:textId="77777777" w:rsidR="00A8079F" w:rsidRDefault="00A8079F" w:rsidP="00C6436E">
      <w:pPr>
        <w:spacing w:line="360" w:lineRule="auto"/>
        <w:jc w:val="both"/>
        <w:rPr>
          <w:rFonts w:ascii="Times New Roman" w:hAnsi="Times New Roman" w:cs="Times New Roman"/>
          <w:kern w:val="0"/>
          <w:lang w:eastAsia="en-GB"/>
        </w:rPr>
      </w:pPr>
    </w:p>
    <w:p w14:paraId="02DB571B" w14:textId="77777777" w:rsidR="00A8079F" w:rsidRDefault="00A8079F" w:rsidP="00C6436E">
      <w:pPr>
        <w:spacing w:line="360" w:lineRule="auto"/>
        <w:jc w:val="both"/>
        <w:rPr>
          <w:rFonts w:ascii="Times New Roman" w:hAnsi="Times New Roman" w:cs="Times New Roman"/>
          <w:kern w:val="0"/>
          <w:lang w:eastAsia="en-GB"/>
        </w:rPr>
      </w:pPr>
    </w:p>
    <w:p w14:paraId="5953AEC2" w14:textId="77777777" w:rsidR="00A8079F" w:rsidRDefault="00A8079F" w:rsidP="00C6436E">
      <w:pPr>
        <w:spacing w:line="360" w:lineRule="auto"/>
        <w:jc w:val="both"/>
        <w:rPr>
          <w:rFonts w:ascii="Times New Roman" w:hAnsi="Times New Roman" w:cs="Times New Roman"/>
          <w:kern w:val="0"/>
          <w:lang w:eastAsia="en-GB"/>
        </w:rPr>
      </w:pPr>
    </w:p>
    <w:p w14:paraId="72C99DF3" w14:textId="77777777" w:rsidR="00A8079F" w:rsidRDefault="00A8079F" w:rsidP="00C6436E">
      <w:pPr>
        <w:spacing w:line="360" w:lineRule="auto"/>
        <w:jc w:val="both"/>
        <w:rPr>
          <w:rFonts w:ascii="Times New Roman" w:hAnsi="Times New Roman" w:cs="Times New Roman"/>
          <w:kern w:val="0"/>
          <w:lang w:eastAsia="en-GB"/>
        </w:rPr>
      </w:pPr>
    </w:p>
    <w:p w14:paraId="6F00FC0C" w14:textId="77777777" w:rsidR="00A8079F" w:rsidRDefault="00A8079F" w:rsidP="00C6436E">
      <w:pPr>
        <w:spacing w:line="360" w:lineRule="auto"/>
        <w:jc w:val="both"/>
        <w:rPr>
          <w:rFonts w:ascii="Times New Roman" w:hAnsi="Times New Roman" w:cs="Times New Roman"/>
          <w:kern w:val="0"/>
          <w:lang w:eastAsia="en-GB"/>
        </w:rPr>
      </w:pPr>
    </w:p>
    <w:p w14:paraId="131D3166" w14:textId="77777777" w:rsidR="00B97E1B" w:rsidRDefault="00B97E1B" w:rsidP="00C6436E">
      <w:pPr>
        <w:spacing w:line="360" w:lineRule="auto"/>
        <w:jc w:val="both"/>
        <w:rPr>
          <w:rFonts w:ascii="Times New Roman" w:hAnsi="Times New Roman" w:cs="Times New Roman"/>
          <w:kern w:val="0"/>
          <w:lang w:eastAsia="en-GB"/>
        </w:rPr>
      </w:pPr>
    </w:p>
    <w:p w14:paraId="3D9D8C1C" w14:textId="77777777" w:rsidR="00B97E1B" w:rsidRDefault="00B97E1B" w:rsidP="00C6436E">
      <w:pPr>
        <w:spacing w:line="360" w:lineRule="auto"/>
        <w:jc w:val="both"/>
        <w:rPr>
          <w:rFonts w:ascii="Times New Roman" w:hAnsi="Times New Roman" w:cs="Times New Roman"/>
          <w:kern w:val="0"/>
          <w:lang w:eastAsia="en-GB"/>
        </w:rPr>
      </w:pPr>
    </w:p>
    <w:sdt>
      <w:sdtPr>
        <w:rPr>
          <w:rFonts w:asciiTheme="minorHAnsi" w:eastAsiaTheme="minorHAnsi" w:hAnsiTheme="minorHAnsi" w:cstheme="minorBidi"/>
          <w:b w:val="0"/>
          <w:bCs w:val="0"/>
          <w:color w:val="auto"/>
          <w:kern w:val="2"/>
          <w:sz w:val="24"/>
          <w:szCs w:val="24"/>
          <w:lang w:val="en-GB"/>
          <w14:ligatures w14:val="standardContextual"/>
        </w:rPr>
        <w:id w:val="247160205"/>
        <w:docPartObj>
          <w:docPartGallery w:val="Table of Contents"/>
          <w:docPartUnique/>
        </w:docPartObj>
      </w:sdtPr>
      <w:sdtEndPr>
        <w:rPr>
          <w:noProof/>
        </w:rPr>
      </w:sdtEndPr>
      <w:sdtContent>
        <w:p w14:paraId="79E00B9C" w14:textId="52439FFE" w:rsidR="00A8079F" w:rsidRDefault="00A8079F">
          <w:pPr>
            <w:pStyle w:val="TOCHeading"/>
          </w:pPr>
          <w:r>
            <w:t>Table of Contents</w:t>
          </w:r>
        </w:p>
        <w:p w14:paraId="7EEA0E1F" w14:textId="1FA8A3FE" w:rsidR="00A8079F" w:rsidRDefault="00A8079F">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14823215" w:history="1">
            <w:r w:rsidRPr="00BF4062">
              <w:rPr>
                <w:rStyle w:val="Hyperlink"/>
                <w:rFonts w:eastAsia="Times New Roman"/>
                <w:noProof/>
                <w:lang w:eastAsia="en-GB"/>
              </w:rPr>
              <w:t>1. Executive Summary</w:t>
            </w:r>
            <w:r>
              <w:rPr>
                <w:noProof/>
                <w:webHidden/>
              </w:rPr>
              <w:tab/>
            </w:r>
            <w:r>
              <w:rPr>
                <w:noProof/>
                <w:webHidden/>
              </w:rPr>
              <w:fldChar w:fldCharType="begin"/>
            </w:r>
            <w:r>
              <w:rPr>
                <w:noProof/>
                <w:webHidden/>
              </w:rPr>
              <w:instrText xml:space="preserve"> PAGEREF _Toc214823215 \h </w:instrText>
            </w:r>
            <w:r>
              <w:rPr>
                <w:noProof/>
                <w:webHidden/>
              </w:rPr>
            </w:r>
            <w:r>
              <w:rPr>
                <w:noProof/>
                <w:webHidden/>
              </w:rPr>
              <w:fldChar w:fldCharType="separate"/>
            </w:r>
            <w:r>
              <w:rPr>
                <w:noProof/>
                <w:webHidden/>
              </w:rPr>
              <w:t>2</w:t>
            </w:r>
            <w:r>
              <w:rPr>
                <w:noProof/>
                <w:webHidden/>
              </w:rPr>
              <w:fldChar w:fldCharType="end"/>
            </w:r>
          </w:hyperlink>
        </w:p>
        <w:p w14:paraId="742CB7A4" w14:textId="00BB2D5D" w:rsidR="00A8079F" w:rsidRDefault="00A8079F">
          <w:pPr>
            <w:pStyle w:val="TOC1"/>
            <w:tabs>
              <w:tab w:val="right" w:leader="dot" w:pos="9016"/>
            </w:tabs>
            <w:rPr>
              <w:noProof/>
            </w:rPr>
          </w:pPr>
          <w:hyperlink w:anchor="_Toc214823216" w:history="1">
            <w:r w:rsidRPr="00BF4062">
              <w:rPr>
                <w:rStyle w:val="Hyperlink"/>
                <w:rFonts w:eastAsia="Times New Roman"/>
                <w:noProof/>
                <w:lang w:eastAsia="en-GB"/>
              </w:rPr>
              <w:t>2. Introduction</w:t>
            </w:r>
            <w:r>
              <w:rPr>
                <w:noProof/>
                <w:webHidden/>
              </w:rPr>
              <w:tab/>
            </w:r>
            <w:r>
              <w:rPr>
                <w:noProof/>
                <w:webHidden/>
              </w:rPr>
              <w:fldChar w:fldCharType="begin"/>
            </w:r>
            <w:r>
              <w:rPr>
                <w:noProof/>
                <w:webHidden/>
              </w:rPr>
              <w:instrText xml:space="preserve"> PAGEREF _Toc214823216 \h </w:instrText>
            </w:r>
            <w:r>
              <w:rPr>
                <w:noProof/>
                <w:webHidden/>
              </w:rPr>
            </w:r>
            <w:r>
              <w:rPr>
                <w:noProof/>
                <w:webHidden/>
              </w:rPr>
              <w:fldChar w:fldCharType="separate"/>
            </w:r>
            <w:r>
              <w:rPr>
                <w:noProof/>
                <w:webHidden/>
              </w:rPr>
              <w:t>2</w:t>
            </w:r>
            <w:r>
              <w:rPr>
                <w:noProof/>
                <w:webHidden/>
              </w:rPr>
              <w:fldChar w:fldCharType="end"/>
            </w:r>
          </w:hyperlink>
        </w:p>
        <w:p w14:paraId="728DFC7F" w14:textId="3C4B1D5A" w:rsidR="00A8079F" w:rsidRDefault="00A8079F">
          <w:pPr>
            <w:pStyle w:val="TOC2"/>
            <w:tabs>
              <w:tab w:val="right" w:leader="dot" w:pos="9016"/>
            </w:tabs>
            <w:rPr>
              <w:noProof/>
            </w:rPr>
          </w:pPr>
          <w:hyperlink w:anchor="_Toc214823217" w:history="1">
            <w:r w:rsidRPr="00BF4062">
              <w:rPr>
                <w:rStyle w:val="Hyperlink"/>
                <w:rFonts w:eastAsia="Times New Roman"/>
                <w:noProof/>
                <w:lang w:eastAsia="en-GB"/>
              </w:rPr>
              <w:t>2.1 Importance of Strategic Management</w:t>
            </w:r>
            <w:r>
              <w:rPr>
                <w:noProof/>
                <w:webHidden/>
              </w:rPr>
              <w:tab/>
            </w:r>
            <w:r>
              <w:rPr>
                <w:noProof/>
                <w:webHidden/>
              </w:rPr>
              <w:fldChar w:fldCharType="begin"/>
            </w:r>
            <w:r>
              <w:rPr>
                <w:noProof/>
                <w:webHidden/>
              </w:rPr>
              <w:instrText xml:space="preserve"> PAGEREF _Toc214823217 \h </w:instrText>
            </w:r>
            <w:r>
              <w:rPr>
                <w:noProof/>
                <w:webHidden/>
              </w:rPr>
            </w:r>
            <w:r>
              <w:rPr>
                <w:noProof/>
                <w:webHidden/>
              </w:rPr>
              <w:fldChar w:fldCharType="separate"/>
            </w:r>
            <w:r>
              <w:rPr>
                <w:noProof/>
                <w:webHidden/>
              </w:rPr>
              <w:t>2</w:t>
            </w:r>
            <w:r>
              <w:rPr>
                <w:noProof/>
                <w:webHidden/>
              </w:rPr>
              <w:fldChar w:fldCharType="end"/>
            </w:r>
          </w:hyperlink>
        </w:p>
        <w:p w14:paraId="4C1C7FF5" w14:textId="4AEC0B90" w:rsidR="00A8079F" w:rsidRDefault="00A8079F">
          <w:pPr>
            <w:pStyle w:val="TOC2"/>
            <w:tabs>
              <w:tab w:val="right" w:leader="dot" w:pos="9016"/>
            </w:tabs>
            <w:rPr>
              <w:noProof/>
            </w:rPr>
          </w:pPr>
          <w:hyperlink w:anchor="_Toc214823218" w:history="1">
            <w:r w:rsidRPr="00BF4062">
              <w:rPr>
                <w:rStyle w:val="Hyperlink"/>
                <w:noProof/>
                <w:lang w:eastAsia="en-GB"/>
              </w:rPr>
              <w:t>2.2 Nissan Sunderland Overview</w:t>
            </w:r>
            <w:r>
              <w:rPr>
                <w:noProof/>
                <w:webHidden/>
              </w:rPr>
              <w:tab/>
            </w:r>
            <w:r>
              <w:rPr>
                <w:noProof/>
                <w:webHidden/>
              </w:rPr>
              <w:fldChar w:fldCharType="begin"/>
            </w:r>
            <w:r>
              <w:rPr>
                <w:noProof/>
                <w:webHidden/>
              </w:rPr>
              <w:instrText xml:space="preserve"> PAGEREF _Toc214823218 \h </w:instrText>
            </w:r>
            <w:r>
              <w:rPr>
                <w:noProof/>
                <w:webHidden/>
              </w:rPr>
            </w:r>
            <w:r>
              <w:rPr>
                <w:noProof/>
                <w:webHidden/>
              </w:rPr>
              <w:fldChar w:fldCharType="separate"/>
            </w:r>
            <w:r>
              <w:rPr>
                <w:noProof/>
                <w:webHidden/>
              </w:rPr>
              <w:t>3</w:t>
            </w:r>
            <w:r>
              <w:rPr>
                <w:noProof/>
                <w:webHidden/>
              </w:rPr>
              <w:fldChar w:fldCharType="end"/>
            </w:r>
          </w:hyperlink>
        </w:p>
        <w:p w14:paraId="7C65C287" w14:textId="608175A6" w:rsidR="00A8079F" w:rsidRDefault="00A8079F">
          <w:pPr>
            <w:pStyle w:val="TOC2"/>
            <w:tabs>
              <w:tab w:val="right" w:leader="dot" w:pos="9016"/>
            </w:tabs>
            <w:rPr>
              <w:noProof/>
            </w:rPr>
          </w:pPr>
          <w:hyperlink w:anchor="_Toc214823219" w:history="1">
            <w:r w:rsidRPr="00BF4062">
              <w:rPr>
                <w:rStyle w:val="Hyperlink"/>
                <w:noProof/>
                <w:lang w:eastAsia="en-GB"/>
              </w:rPr>
              <w:t>2.3 Vision, Mission and Strategic Objectives</w:t>
            </w:r>
            <w:r>
              <w:rPr>
                <w:noProof/>
                <w:webHidden/>
              </w:rPr>
              <w:tab/>
            </w:r>
            <w:r>
              <w:rPr>
                <w:noProof/>
                <w:webHidden/>
              </w:rPr>
              <w:fldChar w:fldCharType="begin"/>
            </w:r>
            <w:r>
              <w:rPr>
                <w:noProof/>
                <w:webHidden/>
              </w:rPr>
              <w:instrText xml:space="preserve"> PAGEREF _Toc214823219 \h </w:instrText>
            </w:r>
            <w:r>
              <w:rPr>
                <w:noProof/>
                <w:webHidden/>
              </w:rPr>
            </w:r>
            <w:r>
              <w:rPr>
                <w:noProof/>
                <w:webHidden/>
              </w:rPr>
              <w:fldChar w:fldCharType="separate"/>
            </w:r>
            <w:r>
              <w:rPr>
                <w:noProof/>
                <w:webHidden/>
              </w:rPr>
              <w:t>3</w:t>
            </w:r>
            <w:r>
              <w:rPr>
                <w:noProof/>
                <w:webHidden/>
              </w:rPr>
              <w:fldChar w:fldCharType="end"/>
            </w:r>
          </w:hyperlink>
        </w:p>
        <w:p w14:paraId="66E49DCA" w14:textId="3596CA0C" w:rsidR="00A8079F" w:rsidRDefault="00A8079F">
          <w:pPr>
            <w:pStyle w:val="TOC1"/>
            <w:tabs>
              <w:tab w:val="right" w:leader="dot" w:pos="9016"/>
            </w:tabs>
            <w:rPr>
              <w:noProof/>
            </w:rPr>
          </w:pPr>
          <w:hyperlink w:anchor="_Toc214823220" w:history="1">
            <w:r w:rsidRPr="00BF4062">
              <w:rPr>
                <w:rStyle w:val="Hyperlink"/>
                <w:rFonts w:eastAsia="Times New Roman"/>
                <w:noProof/>
                <w:lang w:eastAsia="en-GB"/>
              </w:rPr>
              <w:t>3. Strategy Analysis</w:t>
            </w:r>
            <w:r>
              <w:rPr>
                <w:noProof/>
                <w:webHidden/>
              </w:rPr>
              <w:tab/>
            </w:r>
            <w:r>
              <w:rPr>
                <w:noProof/>
                <w:webHidden/>
              </w:rPr>
              <w:fldChar w:fldCharType="begin"/>
            </w:r>
            <w:r>
              <w:rPr>
                <w:noProof/>
                <w:webHidden/>
              </w:rPr>
              <w:instrText xml:space="preserve"> PAGEREF _Toc214823220 \h </w:instrText>
            </w:r>
            <w:r>
              <w:rPr>
                <w:noProof/>
                <w:webHidden/>
              </w:rPr>
            </w:r>
            <w:r>
              <w:rPr>
                <w:noProof/>
                <w:webHidden/>
              </w:rPr>
              <w:fldChar w:fldCharType="separate"/>
            </w:r>
            <w:r>
              <w:rPr>
                <w:noProof/>
                <w:webHidden/>
              </w:rPr>
              <w:t>3</w:t>
            </w:r>
            <w:r>
              <w:rPr>
                <w:noProof/>
                <w:webHidden/>
              </w:rPr>
              <w:fldChar w:fldCharType="end"/>
            </w:r>
          </w:hyperlink>
        </w:p>
        <w:p w14:paraId="6B864C2F" w14:textId="345E4E91" w:rsidR="00A8079F" w:rsidRDefault="00A8079F">
          <w:pPr>
            <w:pStyle w:val="TOC2"/>
            <w:tabs>
              <w:tab w:val="right" w:leader="dot" w:pos="9016"/>
            </w:tabs>
            <w:rPr>
              <w:noProof/>
            </w:rPr>
          </w:pPr>
          <w:hyperlink w:anchor="_Toc214823221" w:history="1">
            <w:r w:rsidRPr="00BF4062">
              <w:rPr>
                <w:rStyle w:val="Hyperlink"/>
                <w:rFonts w:eastAsia="Times New Roman"/>
                <w:noProof/>
                <w:lang w:eastAsia="en-GB"/>
              </w:rPr>
              <w:t>3.1 External Environment Audit</w:t>
            </w:r>
            <w:r>
              <w:rPr>
                <w:noProof/>
                <w:webHidden/>
              </w:rPr>
              <w:tab/>
            </w:r>
            <w:r>
              <w:rPr>
                <w:noProof/>
                <w:webHidden/>
              </w:rPr>
              <w:fldChar w:fldCharType="begin"/>
            </w:r>
            <w:r>
              <w:rPr>
                <w:noProof/>
                <w:webHidden/>
              </w:rPr>
              <w:instrText xml:space="preserve"> PAGEREF _Toc214823221 \h </w:instrText>
            </w:r>
            <w:r>
              <w:rPr>
                <w:noProof/>
                <w:webHidden/>
              </w:rPr>
            </w:r>
            <w:r>
              <w:rPr>
                <w:noProof/>
                <w:webHidden/>
              </w:rPr>
              <w:fldChar w:fldCharType="separate"/>
            </w:r>
            <w:r>
              <w:rPr>
                <w:noProof/>
                <w:webHidden/>
              </w:rPr>
              <w:t>3</w:t>
            </w:r>
            <w:r>
              <w:rPr>
                <w:noProof/>
                <w:webHidden/>
              </w:rPr>
              <w:fldChar w:fldCharType="end"/>
            </w:r>
          </w:hyperlink>
        </w:p>
        <w:p w14:paraId="1A25A64E" w14:textId="093B10C4" w:rsidR="00A8079F" w:rsidRDefault="00A8079F">
          <w:pPr>
            <w:pStyle w:val="TOC3"/>
            <w:tabs>
              <w:tab w:val="right" w:leader="dot" w:pos="9016"/>
            </w:tabs>
            <w:rPr>
              <w:noProof/>
            </w:rPr>
          </w:pPr>
          <w:hyperlink w:anchor="_Toc214823222" w:history="1">
            <w:r w:rsidRPr="00BF4062">
              <w:rPr>
                <w:rStyle w:val="Hyperlink"/>
                <w:noProof/>
              </w:rPr>
              <w:t>3.1.1 PESTLE Analysis</w:t>
            </w:r>
            <w:r>
              <w:rPr>
                <w:noProof/>
                <w:webHidden/>
              </w:rPr>
              <w:tab/>
            </w:r>
            <w:r>
              <w:rPr>
                <w:noProof/>
                <w:webHidden/>
              </w:rPr>
              <w:fldChar w:fldCharType="begin"/>
            </w:r>
            <w:r>
              <w:rPr>
                <w:noProof/>
                <w:webHidden/>
              </w:rPr>
              <w:instrText xml:space="preserve"> PAGEREF _Toc214823222 \h </w:instrText>
            </w:r>
            <w:r>
              <w:rPr>
                <w:noProof/>
                <w:webHidden/>
              </w:rPr>
            </w:r>
            <w:r>
              <w:rPr>
                <w:noProof/>
                <w:webHidden/>
              </w:rPr>
              <w:fldChar w:fldCharType="separate"/>
            </w:r>
            <w:r>
              <w:rPr>
                <w:noProof/>
                <w:webHidden/>
              </w:rPr>
              <w:t>3</w:t>
            </w:r>
            <w:r>
              <w:rPr>
                <w:noProof/>
                <w:webHidden/>
              </w:rPr>
              <w:fldChar w:fldCharType="end"/>
            </w:r>
          </w:hyperlink>
        </w:p>
        <w:p w14:paraId="3169C24C" w14:textId="02174137" w:rsidR="00A8079F" w:rsidRDefault="00A8079F">
          <w:pPr>
            <w:pStyle w:val="TOC3"/>
            <w:tabs>
              <w:tab w:val="right" w:leader="dot" w:pos="9016"/>
            </w:tabs>
            <w:rPr>
              <w:noProof/>
            </w:rPr>
          </w:pPr>
          <w:hyperlink w:anchor="_Toc214823223" w:history="1">
            <w:r w:rsidRPr="00BF4062">
              <w:rPr>
                <w:rStyle w:val="Hyperlink"/>
                <w:rFonts w:eastAsia="Times New Roman"/>
                <w:noProof/>
                <w:lang w:eastAsia="en-GB"/>
              </w:rPr>
              <w:t>3.1.2 Porter’s Five Forces</w:t>
            </w:r>
            <w:r>
              <w:rPr>
                <w:noProof/>
                <w:webHidden/>
              </w:rPr>
              <w:tab/>
            </w:r>
            <w:r>
              <w:rPr>
                <w:noProof/>
                <w:webHidden/>
              </w:rPr>
              <w:fldChar w:fldCharType="begin"/>
            </w:r>
            <w:r>
              <w:rPr>
                <w:noProof/>
                <w:webHidden/>
              </w:rPr>
              <w:instrText xml:space="preserve"> PAGEREF _Toc214823223 \h </w:instrText>
            </w:r>
            <w:r>
              <w:rPr>
                <w:noProof/>
                <w:webHidden/>
              </w:rPr>
            </w:r>
            <w:r>
              <w:rPr>
                <w:noProof/>
                <w:webHidden/>
              </w:rPr>
              <w:fldChar w:fldCharType="separate"/>
            </w:r>
            <w:r>
              <w:rPr>
                <w:noProof/>
                <w:webHidden/>
              </w:rPr>
              <w:t>4</w:t>
            </w:r>
            <w:r>
              <w:rPr>
                <w:noProof/>
                <w:webHidden/>
              </w:rPr>
              <w:fldChar w:fldCharType="end"/>
            </w:r>
          </w:hyperlink>
        </w:p>
        <w:p w14:paraId="414FADC8" w14:textId="5B4BF55A" w:rsidR="00A8079F" w:rsidRDefault="00A8079F">
          <w:pPr>
            <w:pStyle w:val="TOC2"/>
            <w:tabs>
              <w:tab w:val="right" w:leader="dot" w:pos="9016"/>
            </w:tabs>
            <w:rPr>
              <w:noProof/>
            </w:rPr>
          </w:pPr>
          <w:hyperlink w:anchor="_Toc214823224" w:history="1">
            <w:r w:rsidRPr="00BF4062">
              <w:rPr>
                <w:rStyle w:val="Hyperlink"/>
                <w:rFonts w:eastAsia="Times New Roman"/>
                <w:noProof/>
                <w:lang w:eastAsia="en-GB"/>
              </w:rPr>
              <w:t>3.2 Internal Environment Audit</w:t>
            </w:r>
            <w:r>
              <w:rPr>
                <w:noProof/>
                <w:webHidden/>
              </w:rPr>
              <w:tab/>
            </w:r>
            <w:r>
              <w:rPr>
                <w:noProof/>
                <w:webHidden/>
              </w:rPr>
              <w:fldChar w:fldCharType="begin"/>
            </w:r>
            <w:r>
              <w:rPr>
                <w:noProof/>
                <w:webHidden/>
              </w:rPr>
              <w:instrText xml:space="preserve"> PAGEREF _Toc214823224 \h </w:instrText>
            </w:r>
            <w:r>
              <w:rPr>
                <w:noProof/>
                <w:webHidden/>
              </w:rPr>
            </w:r>
            <w:r>
              <w:rPr>
                <w:noProof/>
                <w:webHidden/>
              </w:rPr>
              <w:fldChar w:fldCharType="separate"/>
            </w:r>
            <w:r>
              <w:rPr>
                <w:noProof/>
                <w:webHidden/>
              </w:rPr>
              <w:t>5</w:t>
            </w:r>
            <w:r>
              <w:rPr>
                <w:noProof/>
                <w:webHidden/>
              </w:rPr>
              <w:fldChar w:fldCharType="end"/>
            </w:r>
          </w:hyperlink>
        </w:p>
        <w:p w14:paraId="28CAB922" w14:textId="69515C12" w:rsidR="00A8079F" w:rsidRDefault="00A8079F">
          <w:pPr>
            <w:pStyle w:val="TOC3"/>
            <w:tabs>
              <w:tab w:val="right" w:leader="dot" w:pos="9016"/>
            </w:tabs>
            <w:rPr>
              <w:noProof/>
            </w:rPr>
          </w:pPr>
          <w:hyperlink w:anchor="_Toc214823225" w:history="1">
            <w:r w:rsidRPr="00BF4062">
              <w:rPr>
                <w:rStyle w:val="Hyperlink"/>
                <w:rFonts w:eastAsia="Times New Roman"/>
                <w:noProof/>
                <w:lang w:eastAsia="en-GB"/>
              </w:rPr>
              <w:t>3.2.1 Value Chain Analysis</w:t>
            </w:r>
            <w:r>
              <w:rPr>
                <w:noProof/>
                <w:webHidden/>
              </w:rPr>
              <w:tab/>
            </w:r>
            <w:r>
              <w:rPr>
                <w:noProof/>
                <w:webHidden/>
              </w:rPr>
              <w:fldChar w:fldCharType="begin"/>
            </w:r>
            <w:r>
              <w:rPr>
                <w:noProof/>
                <w:webHidden/>
              </w:rPr>
              <w:instrText xml:space="preserve"> PAGEREF _Toc214823225 \h </w:instrText>
            </w:r>
            <w:r>
              <w:rPr>
                <w:noProof/>
                <w:webHidden/>
              </w:rPr>
            </w:r>
            <w:r>
              <w:rPr>
                <w:noProof/>
                <w:webHidden/>
              </w:rPr>
              <w:fldChar w:fldCharType="separate"/>
            </w:r>
            <w:r>
              <w:rPr>
                <w:noProof/>
                <w:webHidden/>
              </w:rPr>
              <w:t>5</w:t>
            </w:r>
            <w:r>
              <w:rPr>
                <w:noProof/>
                <w:webHidden/>
              </w:rPr>
              <w:fldChar w:fldCharType="end"/>
            </w:r>
          </w:hyperlink>
        </w:p>
        <w:p w14:paraId="042D2146" w14:textId="26367D51" w:rsidR="00A8079F" w:rsidRDefault="00A8079F">
          <w:pPr>
            <w:pStyle w:val="TOC3"/>
            <w:tabs>
              <w:tab w:val="right" w:leader="dot" w:pos="9016"/>
            </w:tabs>
            <w:rPr>
              <w:noProof/>
            </w:rPr>
          </w:pPr>
          <w:hyperlink w:anchor="_Toc214823226" w:history="1">
            <w:r w:rsidRPr="00BF4062">
              <w:rPr>
                <w:rStyle w:val="Hyperlink"/>
                <w:noProof/>
                <w:lang w:eastAsia="en-GB"/>
              </w:rPr>
              <w:t>3.2.2 Resource Based View (RBV)</w:t>
            </w:r>
            <w:r>
              <w:rPr>
                <w:noProof/>
                <w:webHidden/>
              </w:rPr>
              <w:tab/>
            </w:r>
            <w:r>
              <w:rPr>
                <w:noProof/>
                <w:webHidden/>
              </w:rPr>
              <w:fldChar w:fldCharType="begin"/>
            </w:r>
            <w:r>
              <w:rPr>
                <w:noProof/>
                <w:webHidden/>
              </w:rPr>
              <w:instrText xml:space="preserve"> PAGEREF _Toc214823226 \h </w:instrText>
            </w:r>
            <w:r>
              <w:rPr>
                <w:noProof/>
                <w:webHidden/>
              </w:rPr>
            </w:r>
            <w:r>
              <w:rPr>
                <w:noProof/>
                <w:webHidden/>
              </w:rPr>
              <w:fldChar w:fldCharType="separate"/>
            </w:r>
            <w:r>
              <w:rPr>
                <w:noProof/>
                <w:webHidden/>
              </w:rPr>
              <w:t>6</w:t>
            </w:r>
            <w:r>
              <w:rPr>
                <w:noProof/>
                <w:webHidden/>
              </w:rPr>
              <w:fldChar w:fldCharType="end"/>
            </w:r>
          </w:hyperlink>
        </w:p>
        <w:p w14:paraId="52623EB0" w14:textId="21550F3B" w:rsidR="00A8079F" w:rsidRDefault="00A8079F">
          <w:pPr>
            <w:pStyle w:val="TOC2"/>
            <w:tabs>
              <w:tab w:val="right" w:leader="dot" w:pos="9016"/>
            </w:tabs>
            <w:rPr>
              <w:noProof/>
            </w:rPr>
          </w:pPr>
          <w:hyperlink w:anchor="_Toc214823227" w:history="1">
            <w:r w:rsidRPr="00BF4062">
              <w:rPr>
                <w:rStyle w:val="Hyperlink"/>
                <w:noProof/>
                <w:lang w:eastAsia="en-GB"/>
              </w:rPr>
              <w:t>3.2.3 VRIO Analysis</w:t>
            </w:r>
            <w:r>
              <w:rPr>
                <w:noProof/>
                <w:webHidden/>
              </w:rPr>
              <w:tab/>
            </w:r>
            <w:r>
              <w:rPr>
                <w:noProof/>
                <w:webHidden/>
              </w:rPr>
              <w:fldChar w:fldCharType="begin"/>
            </w:r>
            <w:r>
              <w:rPr>
                <w:noProof/>
                <w:webHidden/>
              </w:rPr>
              <w:instrText xml:space="preserve"> PAGEREF _Toc214823227 \h </w:instrText>
            </w:r>
            <w:r>
              <w:rPr>
                <w:noProof/>
                <w:webHidden/>
              </w:rPr>
            </w:r>
            <w:r>
              <w:rPr>
                <w:noProof/>
                <w:webHidden/>
              </w:rPr>
              <w:fldChar w:fldCharType="separate"/>
            </w:r>
            <w:r>
              <w:rPr>
                <w:noProof/>
                <w:webHidden/>
              </w:rPr>
              <w:t>6</w:t>
            </w:r>
            <w:r>
              <w:rPr>
                <w:noProof/>
                <w:webHidden/>
              </w:rPr>
              <w:fldChar w:fldCharType="end"/>
            </w:r>
          </w:hyperlink>
        </w:p>
        <w:p w14:paraId="1E0BD1FD" w14:textId="4E7A1862" w:rsidR="00A8079F" w:rsidRDefault="00A8079F">
          <w:pPr>
            <w:pStyle w:val="TOC2"/>
            <w:tabs>
              <w:tab w:val="right" w:leader="dot" w:pos="9016"/>
            </w:tabs>
            <w:rPr>
              <w:noProof/>
            </w:rPr>
          </w:pPr>
          <w:hyperlink w:anchor="_Toc214823228" w:history="1">
            <w:r w:rsidRPr="00BF4062">
              <w:rPr>
                <w:rStyle w:val="Hyperlink"/>
                <w:noProof/>
                <w:lang w:eastAsia="en-GB"/>
              </w:rPr>
              <w:t>3.3 SWOT Analysis</w:t>
            </w:r>
            <w:r>
              <w:rPr>
                <w:noProof/>
                <w:webHidden/>
              </w:rPr>
              <w:tab/>
            </w:r>
            <w:r>
              <w:rPr>
                <w:noProof/>
                <w:webHidden/>
              </w:rPr>
              <w:fldChar w:fldCharType="begin"/>
            </w:r>
            <w:r>
              <w:rPr>
                <w:noProof/>
                <w:webHidden/>
              </w:rPr>
              <w:instrText xml:space="preserve"> PAGEREF _Toc214823228 \h </w:instrText>
            </w:r>
            <w:r>
              <w:rPr>
                <w:noProof/>
                <w:webHidden/>
              </w:rPr>
            </w:r>
            <w:r>
              <w:rPr>
                <w:noProof/>
                <w:webHidden/>
              </w:rPr>
              <w:fldChar w:fldCharType="separate"/>
            </w:r>
            <w:r>
              <w:rPr>
                <w:noProof/>
                <w:webHidden/>
              </w:rPr>
              <w:t>7</w:t>
            </w:r>
            <w:r>
              <w:rPr>
                <w:noProof/>
                <w:webHidden/>
              </w:rPr>
              <w:fldChar w:fldCharType="end"/>
            </w:r>
          </w:hyperlink>
        </w:p>
        <w:p w14:paraId="4683878A" w14:textId="35738D6E" w:rsidR="00A8079F" w:rsidRDefault="00A8079F">
          <w:pPr>
            <w:pStyle w:val="TOC1"/>
            <w:tabs>
              <w:tab w:val="right" w:leader="dot" w:pos="9016"/>
            </w:tabs>
            <w:rPr>
              <w:noProof/>
            </w:rPr>
          </w:pPr>
          <w:hyperlink w:anchor="_Toc214823229" w:history="1">
            <w:r w:rsidRPr="00BF4062">
              <w:rPr>
                <w:rStyle w:val="Hyperlink"/>
                <w:rFonts w:eastAsia="Times New Roman"/>
                <w:noProof/>
                <w:lang w:eastAsia="en-GB"/>
              </w:rPr>
              <w:t>4. Strategy Formulation</w:t>
            </w:r>
            <w:r>
              <w:rPr>
                <w:noProof/>
                <w:webHidden/>
              </w:rPr>
              <w:tab/>
            </w:r>
            <w:r>
              <w:rPr>
                <w:noProof/>
                <w:webHidden/>
              </w:rPr>
              <w:fldChar w:fldCharType="begin"/>
            </w:r>
            <w:r>
              <w:rPr>
                <w:noProof/>
                <w:webHidden/>
              </w:rPr>
              <w:instrText xml:space="preserve"> PAGEREF _Toc214823229 \h </w:instrText>
            </w:r>
            <w:r>
              <w:rPr>
                <w:noProof/>
                <w:webHidden/>
              </w:rPr>
            </w:r>
            <w:r>
              <w:rPr>
                <w:noProof/>
                <w:webHidden/>
              </w:rPr>
              <w:fldChar w:fldCharType="separate"/>
            </w:r>
            <w:r>
              <w:rPr>
                <w:noProof/>
                <w:webHidden/>
              </w:rPr>
              <w:t>8</w:t>
            </w:r>
            <w:r>
              <w:rPr>
                <w:noProof/>
                <w:webHidden/>
              </w:rPr>
              <w:fldChar w:fldCharType="end"/>
            </w:r>
          </w:hyperlink>
        </w:p>
        <w:p w14:paraId="3EF38E8D" w14:textId="461F445B" w:rsidR="00A8079F" w:rsidRDefault="00A8079F">
          <w:pPr>
            <w:pStyle w:val="TOC2"/>
            <w:tabs>
              <w:tab w:val="right" w:leader="dot" w:pos="9016"/>
            </w:tabs>
            <w:rPr>
              <w:noProof/>
            </w:rPr>
          </w:pPr>
          <w:hyperlink w:anchor="_Toc214823230" w:history="1">
            <w:r w:rsidRPr="00BF4062">
              <w:rPr>
                <w:rStyle w:val="Hyperlink"/>
                <w:noProof/>
              </w:rPr>
              <w:t>4.1 Strategic Option 1: Localised Battery Production</w:t>
            </w:r>
            <w:r>
              <w:rPr>
                <w:noProof/>
                <w:webHidden/>
              </w:rPr>
              <w:tab/>
            </w:r>
            <w:r>
              <w:rPr>
                <w:noProof/>
                <w:webHidden/>
              </w:rPr>
              <w:fldChar w:fldCharType="begin"/>
            </w:r>
            <w:r>
              <w:rPr>
                <w:noProof/>
                <w:webHidden/>
              </w:rPr>
              <w:instrText xml:space="preserve"> PAGEREF _Toc214823230 \h </w:instrText>
            </w:r>
            <w:r>
              <w:rPr>
                <w:noProof/>
                <w:webHidden/>
              </w:rPr>
            </w:r>
            <w:r>
              <w:rPr>
                <w:noProof/>
                <w:webHidden/>
              </w:rPr>
              <w:fldChar w:fldCharType="separate"/>
            </w:r>
            <w:r>
              <w:rPr>
                <w:noProof/>
                <w:webHidden/>
              </w:rPr>
              <w:t>8</w:t>
            </w:r>
            <w:r>
              <w:rPr>
                <w:noProof/>
                <w:webHidden/>
              </w:rPr>
              <w:fldChar w:fldCharType="end"/>
            </w:r>
          </w:hyperlink>
        </w:p>
        <w:p w14:paraId="20B093C3" w14:textId="425874D4" w:rsidR="00A8079F" w:rsidRDefault="00A8079F">
          <w:pPr>
            <w:pStyle w:val="TOC2"/>
            <w:tabs>
              <w:tab w:val="right" w:leader="dot" w:pos="9016"/>
            </w:tabs>
            <w:rPr>
              <w:noProof/>
            </w:rPr>
          </w:pPr>
          <w:hyperlink w:anchor="_Toc214823231" w:history="1">
            <w:r w:rsidRPr="00BF4062">
              <w:rPr>
                <w:rStyle w:val="Hyperlink"/>
                <w:noProof/>
              </w:rPr>
              <w:t>4.2 Strategic Option 2: Accelerate Next-Generation EV Development</w:t>
            </w:r>
            <w:r>
              <w:rPr>
                <w:noProof/>
                <w:webHidden/>
              </w:rPr>
              <w:tab/>
            </w:r>
            <w:r>
              <w:rPr>
                <w:noProof/>
                <w:webHidden/>
              </w:rPr>
              <w:fldChar w:fldCharType="begin"/>
            </w:r>
            <w:r>
              <w:rPr>
                <w:noProof/>
                <w:webHidden/>
              </w:rPr>
              <w:instrText xml:space="preserve"> PAGEREF _Toc214823231 \h </w:instrText>
            </w:r>
            <w:r>
              <w:rPr>
                <w:noProof/>
                <w:webHidden/>
              </w:rPr>
            </w:r>
            <w:r>
              <w:rPr>
                <w:noProof/>
                <w:webHidden/>
              </w:rPr>
              <w:fldChar w:fldCharType="separate"/>
            </w:r>
            <w:r>
              <w:rPr>
                <w:noProof/>
                <w:webHidden/>
              </w:rPr>
              <w:t>8</w:t>
            </w:r>
            <w:r>
              <w:rPr>
                <w:noProof/>
                <w:webHidden/>
              </w:rPr>
              <w:fldChar w:fldCharType="end"/>
            </w:r>
          </w:hyperlink>
        </w:p>
        <w:p w14:paraId="31215FD4" w14:textId="0CDC86FD" w:rsidR="00A8079F" w:rsidRDefault="00A8079F">
          <w:pPr>
            <w:pStyle w:val="TOC2"/>
            <w:tabs>
              <w:tab w:val="right" w:leader="dot" w:pos="9016"/>
            </w:tabs>
            <w:rPr>
              <w:noProof/>
            </w:rPr>
          </w:pPr>
          <w:hyperlink w:anchor="_Toc214823232" w:history="1">
            <w:r w:rsidRPr="00BF4062">
              <w:rPr>
                <w:rStyle w:val="Hyperlink"/>
                <w:noProof/>
              </w:rPr>
              <w:t>4.3 Strategic Option 3: Sustainability-Focused Plant Transformation</w:t>
            </w:r>
            <w:r>
              <w:rPr>
                <w:noProof/>
                <w:webHidden/>
              </w:rPr>
              <w:tab/>
            </w:r>
            <w:r>
              <w:rPr>
                <w:noProof/>
                <w:webHidden/>
              </w:rPr>
              <w:fldChar w:fldCharType="begin"/>
            </w:r>
            <w:r>
              <w:rPr>
                <w:noProof/>
                <w:webHidden/>
              </w:rPr>
              <w:instrText xml:space="preserve"> PAGEREF _Toc214823232 \h </w:instrText>
            </w:r>
            <w:r>
              <w:rPr>
                <w:noProof/>
                <w:webHidden/>
              </w:rPr>
            </w:r>
            <w:r>
              <w:rPr>
                <w:noProof/>
                <w:webHidden/>
              </w:rPr>
              <w:fldChar w:fldCharType="separate"/>
            </w:r>
            <w:r>
              <w:rPr>
                <w:noProof/>
                <w:webHidden/>
              </w:rPr>
              <w:t>9</w:t>
            </w:r>
            <w:r>
              <w:rPr>
                <w:noProof/>
                <w:webHidden/>
              </w:rPr>
              <w:fldChar w:fldCharType="end"/>
            </w:r>
          </w:hyperlink>
        </w:p>
        <w:p w14:paraId="68662680" w14:textId="64D104C0" w:rsidR="00A8079F" w:rsidRDefault="00A8079F">
          <w:pPr>
            <w:pStyle w:val="TOC1"/>
            <w:tabs>
              <w:tab w:val="right" w:leader="dot" w:pos="9016"/>
            </w:tabs>
            <w:rPr>
              <w:noProof/>
            </w:rPr>
          </w:pPr>
          <w:hyperlink w:anchor="_Toc214823233" w:history="1">
            <w:r w:rsidRPr="00BF4062">
              <w:rPr>
                <w:rStyle w:val="Hyperlink"/>
                <w:rFonts w:eastAsia="Times New Roman"/>
                <w:noProof/>
                <w:lang w:eastAsia="en-GB"/>
              </w:rPr>
              <w:t>5. Conclusion and Recommendations</w:t>
            </w:r>
            <w:r>
              <w:rPr>
                <w:noProof/>
                <w:webHidden/>
              </w:rPr>
              <w:tab/>
            </w:r>
            <w:r>
              <w:rPr>
                <w:noProof/>
                <w:webHidden/>
              </w:rPr>
              <w:fldChar w:fldCharType="begin"/>
            </w:r>
            <w:r>
              <w:rPr>
                <w:noProof/>
                <w:webHidden/>
              </w:rPr>
              <w:instrText xml:space="preserve"> PAGEREF _Toc214823233 \h </w:instrText>
            </w:r>
            <w:r>
              <w:rPr>
                <w:noProof/>
                <w:webHidden/>
              </w:rPr>
            </w:r>
            <w:r>
              <w:rPr>
                <w:noProof/>
                <w:webHidden/>
              </w:rPr>
              <w:fldChar w:fldCharType="separate"/>
            </w:r>
            <w:r>
              <w:rPr>
                <w:noProof/>
                <w:webHidden/>
              </w:rPr>
              <w:t>9</w:t>
            </w:r>
            <w:r>
              <w:rPr>
                <w:noProof/>
                <w:webHidden/>
              </w:rPr>
              <w:fldChar w:fldCharType="end"/>
            </w:r>
          </w:hyperlink>
        </w:p>
        <w:p w14:paraId="31DFD837" w14:textId="1FC638AA" w:rsidR="00A8079F" w:rsidRDefault="00A8079F">
          <w:pPr>
            <w:pStyle w:val="TOC2"/>
            <w:tabs>
              <w:tab w:val="right" w:leader="dot" w:pos="9016"/>
            </w:tabs>
            <w:rPr>
              <w:noProof/>
            </w:rPr>
          </w:pPr>
          <w:hyperlink w:anchor="_Toc214823234" w:history="1">
            <w:r w:rsidRPr="00BF4062">
              <w:rPr>
                <w:rStyle w:val="Hyperlink"/>
                <w:rFonts w:eastAsia="Times New Roman"/>
                <w:noProof/>
                <w:lang w:eastAsia="en-GB"/>
              </w:rPr>
              <w:t>5.1 Summary of Findings</w:t>
            </w:r>
            <w:r>
              <w:rPr>
                <w:noProof/>
                <w:webHidden/>
              </w:rPr>
              <w:tab/>
            </w:r>
            <w:r>
              <w:rPr>
                <w:noProof/>
                <w:webHidden/>
              </w:rPr>
              <w:fldChar w:fldCharType="begin"/>
            </w:r>
            <w:r>
              <w:rPr>
                <w:noProof/>
                <w:webHidden/>
              </w:rPr>
              <w:instrText xml:space="preserve"> PAGEREF _Toc214823234 \h </w:instrText>
            </w:r>
            <w:r>
              <w:rPr>
                <w:noProof/>
                <w:webHidden/>
              </w:rPr>
            </w:r>
            <w:r>
              <w:rPr>
                <w:noProof/>
                <w:webHidden/>
              </w:rPr>
              <w:fldChar w:fldCharType="separate"/>
            </w:r>
            <w:r>
              <w:rPr>
                <w:noProof/>
                <w:webHidden/>
              </w:rPr>
              <w:t>9</w:t>
            </w:r>
            <w:r>
              <w:rPr>
                <w:noProof/>
                <w:webHidden/>
              </w:rPr>
              <w:fldChar w:fldCharType="end"/>
            </w:r>
          </w:hyperlink>
        </w:p>
        <w:p w14:paraId="7376760B" w14:textId="3698E994" w:rsidR="00A8079F" w:rsidRDefault="00A8079F">
          <w:pPr>
            <w:pStyle w:val="TOC2"/>
            <w:tabs>
              <w:tab w:val="right" w:leader="dot" w:pos="9016"/>
            </w:tabs>
            <w:rPr>
              <w:noProof/>
            </w:rPr>
          </w:pPr>
          <w:hyperlink w:anchor="_Toc214823235" w:history="1">
            <w:r w:rsidRPr="00BF4062">
              <w:rPr>
                <w:rStyle w:val="Hyperlink"/>
                <w:rFonts w:eastAsia="Times New Roman"/>
                <w:noProof/>
                <w:lang w:eastAsia="en-GB"/>
              </w:rPr>
              <w:t>5.2 Final Recommendation</w:t>
            </w:r>
            <w:r>
              <w:rPr>
                <w:noProof/>
                <w:webHidden/>
              </w:rPr>
              <w:tab/>
            </w:r>
            <w:r>
              <w:rPr>
                <w:noProof/>
                <w:webHidden/>
              </w:rPr>
              <w:fldChar w:fldCharType="begin"/>
            </w:r>
            <w:r>
              <w:rPr>
                <w:noProof/>
                <w:webHidden/>
              </w:rPr>
              <w:instrText xml:space="preserve"> PAGEREF _Toc214823235 \h </w:instrText>
            </w:r>
            <w:r>
              <w:rPr>
                <w:noProof/>
                <w:webHidden/>
              </w:rPr>
            </w:r>
            <w:r>
              <w:rPr>
                <w:noProof/>
                <w:webHidden/>
              </w:rPr>
              <w:fldChar w:fldCharType="separate"/>
            </w:r>
            <w:r>
              <w:rPr>
                <w:noProof/>
                <w:webHidden/>
              </w:rPr>
              <w:t>9</w:t>
            </w:r>
            <w:r>
              <w:rPr>
                <w:noProof/>
                <w:webHidden/>
              </w:rPr>
              <w:fldChar w:fldCharType="end"/>
            </w:r>
          </w:hyperlink>
        </w:p>
        <w:p w14:paraId="229B6973" w14:textId="42D629A9" w:rsidR="00A8079F" w:rsidRDefault="00A8079F">
          <w:pPr>
            <w:pStyle w:val="TOC1"/>
            <w:tabs>
              <w:tab w:val="right" w:leader="dot" w:pos="9016"/>
            </w:tabs>
            <w:rPr>
              <w:noProof/>
            </w:rPr>
          </w:pPr>
          <w:hyperlink w:anchor="_Toc214823236" w:history="1">
            <w:r w:rsidRPr="00BF4062">
              <w:rPr>
                <w:rStyle w:val="Hyperlink"/>
                <w:rFonts w:eastAsia="Times New Roman"/>
                <w:noProof/>
                <w:lang w:eastAsia="en-GB"/>
              </w:rPr>
              <w:t>6. References</w:t>
            </w:r>
            <w:r>
              <w:rPr>
                <w:noProof/>
                <w:webHidden/>
              </w:rPr>
              <w:tab/>
            </w:r>
            <w:r>
              <w:rPr>
                <w:noProof/>
                <w:webHidden/>
              </w:rPr>
              <w:fldChar w:fldCharType="begin"/>
            </w:r>
            <w:r>
              <w:rPr>
                <w:noProof/>
                <w:webHidden/>
              </w:rPr>
              <w:instrText xml:space="preserve"> PAGEREF _Toc214823236 \h </w:instrText>
            </w:r>
            <w:r>
              <w:rPr>
                <w:noProof/>
                <w:webHidden/>
              </w:rPr>
            </w:r>
            <w:r>
              <w:rPr>
                <w:noProof/>
                <w:webHidden/>
              </w:rPr>
              <w:fldChar w:fldCharType="separate"/>
            </w:r>
            <w:r>
              <w:rPr>
                <w:noProof/>
                <w:webHidden/>
              </w:rPr>
              <w:t>10</w:t>
            </w:r>
            <w:r>
              <w:rPr>
                <w:noProof/>
                <w:webHidden/>
              </w:rPr>
              <w:fldChar w:fldCharType="end"/>
            </w:r>
          </w:hyperlink>
        </w:p>
        <w:p w14:paraId="232A668B" w14:textId="2D0920FF" w:rsidR="00A8079F" w:rsidRDefault="00A8079F">
          <w:r>
            <w:rPr>
              <w:b/>
              <w:bCs/>
              <w:noProof/>
            </w:rPr>
            <w:fldChar w:fldCharType="end"/>
          </w:r>
        </w:p>
      </w:sdtContent>
    </w:sdt>
    <w:p w14:paraId="1A01F033" w14:textId="77777777" w:rsidR="00B97E1B" w:rsidRDefault="00B97E1B" w:rsidP="00C6436E">
      <w:pPr>
        <w:spacing w:line="360" w:lineRule="auto"/>
        <w:jc w:val="both"/>
        <w:rPr>
          <w:rFonts w:ascii="Times New Roman" w:hAnsi="Times New Roman" w:cs="Times New Roman"/>
          <w:kern w:val="0"/>
          <w:lang w:eastAsia="en-GB"/>
        </w:rPr>
      </w:pPr>
    </w:p>
    <w:p w14:paraId="62A34419" w14:textId="77777777" w:rsidR="00B97E1B" w:rsidRDefault="00B97E1B" w:rsidP="00C6436E">
      <w:pPr>
        <w:spacing w:line="360" w:lineRule="auto"/>
        <w:jc w:val="both"/>
        <w:rPr>
          <w:rFonts w:ascii="Times New Roman" w:hAnsi="Times New Roman" w:cs="Times New Roman"/>
          <w:kern w:val="0"/>
          <w:lang w:eastAsia="en-GB"/>
        </w:rPr>
      </w:pPr>
    </w:p>
    <w:p w14:paraId="05FB90E4" w14:textId="77777777" w:rsidR="00A8079F" w:rsidRDefault="00A8079F" w:rsidP="00C6436E">
      <w:pPr>
        <w:spacing w:line="360" w:lineRule="auto"/>
        <w:jc w:val="both"/>
        <w:rPr>
          <w:rFonts w:ascii="Times New Roman" w:hAnsi="Times New Roman" w:cs="Times New Roman"/>
          <w:kern w:val="0"/>
          <w:lang w:eastAsia="en-GB"/>
        </w:rPr>
      </w:pPr>
    </w:p>
    <w:p w14:paraId="2DCE6FD4" w14:textId="77777777" w:rsidR="00A8079F" w:rsidRDefault="00A8079F" w:rsidP="00C6436E">
      <w:pPr>
        <w:spacing w:line="360" w:lineRule="auto"/>
        <w:jc w:val="both"/>
        <w:rPr>
          <w:rFonts w:ascii="Times New Roman" w:hAnsi="Times New Roman" w:cs="Times New Roman"/>
          <w:kern w:val="0"/>
          <w:lang w:eastAsia="en-GB"/>
        </w:rPr>
      </w:pPr>
    </w:p>
    <w:p w14:paraId="6FB3AA73" w14:textId="77777777" w:rsidR="00A8079F" w:rsidRDefault="00A8079F" w:rsidP="00C6436E">
      <w:pPr>
        <w:spacing w:line="360" w:lineRule="auto"/>
        <w:jc w:val="both"/>
        <w:rPr>
          <w:rFonts w:ascii="Times New Roman" w:hAnsi="Times New Roman" w:cs="Times New Roman"/>
          <w:kern w:val="0"/>
          <w:lang w:eastAsia="en-GB"/>
        </w:rPr>
      </w:pPr>
    </w:p>
    <w:p w14:paraId="6BF18D7D" w14:textId="77777777" w:rsidR="00A8079F" w:rsidRDefault="00A8079F" w:rsidP="00C6436E">
      <w:pPr>
        <w:spacing w:line="360" w:lineRule="auto"/>
        <w:jc w:val="both"/>
        <w:rPr>
          <w:rFonts w:ascii="Times New Roman" w:hAnsi="Times New Roman" w:cs="Times New Roman"/>
          <w:kern w:val="0"/>
          <w:lang w:eastAsia="en-GB"/>
        </w:rPr>
      </w:pPr>
    </w:p>
    <w:p w14:paraId="2BE36B4D" w14:textId="77777777" w:rsidR="00A8079F" w:rsidRDefault="00A8079F" w:rsidP="00C6436E">
      <w:pPr>
        <w:spacing w:line="360" w:lineRule="auto"/>
        <w:jc w:val="both"/>
        <w:rPr>
          <w:rFonts w:ascii="Times New Roman" w:hAnsi="Times New Roman" w:cs="Times New Roman"/>
          <w:kern w:val="0"/>
          <w:lang w:eastAsia="en-GB"/>
        </w:rPr>
      </w:pPr>
    </w:p>
    <w:p w14:paraId="0584AF1A" w14:textId="77777777" w:rsidR="00A8079F" w:rsidRDefault="00A8079F" w:rsidP="00C6436E">
      <w:pPr>
        <w:spacing w:line="360" w:lineRule="auto"/>
        <w:jc w:val="both"/>
        <w:rPr>
          <w:rFonts w:ascii="Times New Roman" w:hAnsi="Times New Roman" w:cs="Times New Roman"/>
          <w:kern w:val="0"/>
          <w:lang w:eastAsia="en-GB"/>
        </w:rPr>
      </w:pPr>
    </w:p>
    <w:p w14:paraId="54A8834A" w14:textId="77777777" w:rsidR="00A8079F" w:rsidRDefault="00A8079F" w:rsidP="00C6436E">
      <w:pPr>
        <w:spacing w:line="360" w:lineRule="auto"/>
        <w:jc w:val="both"/>
        <w:rPr>
          <w:rFonts w:ascii="Times New Roman" w:hAnsi="Times New Roman" w:cs="Times New Roman"/>
          <w:kern w:val="0"/>
          <w:lang w:eastAsia="en-GB"/>
        </w:rPr>
      </w:pPr>
    </w:p>
    <w:p w14:paraId="0D228AF1" w14:textId="77777777" w:rsidR="00A8079F" w:rsidRDefault="00A8079F" w:rsidP="00C6436E">
      <w:pPr>
        <w:spacing w:line="360" w:lineRule="auto"/>
        <w:jc w:val="both"/>
        <w:rPr>
          <w:rFonts w:ascii="Times New Roman" w:hAnsi="Times New Roman" w:cs="Times New Roman"/>
          <w:kern w:val="0"/>
          <w:lang w:eastAsia="en-GB"/>
        </w:rPr>
      </w:pPr>
    </w:p>
    <w:p w14:paraId="20C1B17E" w14:textId="77777777" w:rsidR="00A8079F" w:rsidRDefault="00A8079F" w:rsidP="00C6436E">
      <w:pPr>
        <w:spacing w:line="360" w:lineRule="auto"/>
        <w:jc w:val="both"/>
        <w:rPr>
          <w:rFonts w:ascii="Times New Roman" w:hAnsi="Times New Roman" w:cs="Times New Roman"/>
          <w:kern w:val="0"/>
          <w:lang w:eastAsia="en-GB"/>
        </w:rPr>
      </w:pPr>
    </w:p>
    <w:p w14:paraId="5542EE44" w14:textId="77777777" w:rsidR="00A8079F" w:rsidRPr="00C6436E" w:rsidRDefault="00A8079F" w:rsidP="00C6436E">
      <w:pPr>
        <w:spacing w:line="360" w:lineRule="auto"/>
        <w:jc w:val="both"/>
        <w:rPr>
          <w:rFonts w:ascii="Times New Roman" w:hAnsi="Times New Roman" w:cs="Times New Roman"/>
          <w:kern w:val="0"/>
          <w:lang w:eastAsia="en-GB"/>
        </w:rPr>
      </w:pPr>
    </w:p>
    <w:p w14:paraId="35020E77" w14:textId="7DA97BF9" w:rsidR="00114532" w:rsidRPr="00C6436E" w:rsidRDefault="00114532" w:rsidP="00B97E1B">
      <w:pPr>
        <w:pStyle w:val="Heading1"/>
        <w:rPr>
          <w:rFonts w:eastAsia="Times New Roman"/>
          <w:lang w:eastAsia="en-GB"/>
        </w:rPr>
      </w:pPr>
      <w:bookmarkStart w:id="1" w:name="_Toc214823216"/>
      <w:r w:rsidRPr="00C6436E">
        <w:rPr>
          <w:rFonts w:eastAsia="Times New Roman"/>
          <w:lang w:eastAsia="en-GB"/>
        </w:rPr>
        <w:t>2. Introduction</w:t>
      </w:r>
      <w:bookmarkEnd w:id="1"/>
      <w:r w:rsidRPr="00C6436E">
        <w:rPr>
          <w:rFonts w:eastAsia="Times New Roman"/>
          <w:lang w:eastAsia="en-GB"/>
        </w:rPr>
        <w:t xml:space="preserve"> </w:t>
      </w:r>
    </w:p>
    <w:p w14:paraId="2AF1B017" w14:textId="77777777" w:rsidR="00114532" w:rsidRPr="00C6436E" w:rsidRDefault="00114532" w:rsidP="00B97E1B">
      <w:pPr>
        <w:pStyle w:val="Heading2"/>
        <w:rPr>
          <w:rFonts w:eastAsia="Times New Roman"/>
          <w:lang w:eastAsia="en-GB"/>
        </w:rPr>
      </w:pPr>
      <w:bookmarkStart w:id="2" w:name="_Toc214823217"/>
      <w:r w:rsidRPr="00C6436E">
        <w:rPr>
          <w:rFonts w:eastAsia="Times New Roman"/>
          <w:lang w:eastAsia="en-GB"/>
        </w:rPr>
        <w:t>2.1 Importance of Strategic Management</w:t>
      </w:r>
      <w:bookmarkEnd w:id="2"/>
    </w:p>
    <w:p w14:paraId="3D046A6C" w14:textId="77777777" w:rsidR="00114532" w:rsidRPr="00C6436E" w:rsidRDefault="00114532" w:rsidP="00C6436E">
      <w:pPr>
        <w:spacing w:line="360" w:lineRule="auto"/>
        <w:jc w:val="both"/>
        <w:rPr>
          <w:rFonts w:ascii="Times New Roman" w:hAnsi="Times New Roman" w:cs="Times New Roman"/>
          <w:lang w:eastAsia="en-GB"/>
        </w:rPr>
      </w:pPr>
      <w:r w:rsidRPr="00C6436E">
        <w:rPr>
          <w:rFonts w:ascii="Times New Roman" w:hAnsi="Times New Roman" w:cs="Times New Roman"/>
          <w:lang w:eastAsia="en-GB"/>
        </w:rPr>
        <w:t>Strategic management is necessary in a business that is being disrupted by technology and regulation changing at a very fast rate and the automotive industry is a vivid example. In addition, firms should be able to adapt to the electrification process, changing consumer expectations, and increasing sustainability requirements without reducing efficiency in the operations of companies. A well-crafted strategy is used to enable organisations to balance assets and long-term environmental and commercial challenges, address uncertainties and stay competitive in the changing nature of business models (PwC, 2023). Sustainability is no longer a choice, especially to manufacturers. The increasing price of carbon and net-zero goals and life cycle reporting means that companies need to integrate sustainability into product and supply chains and design products. This requirement is added by the shift to electric cars, when companies will have to gain a stable supply of batteries, acquire new competencies and spend significant sums of money.</w:t>
      </w:r>
    </w:p>
    <w:p w14:paraId="6D738933" w14:textId="77777777" w:rsidR="00114532" w:rsidRPr="00C6436E" w:rsidRDefault="00114532" w:rsidP="00B97E1B">
      <w:pPr>
        <w:pStyle w:val="Heading2"/>
        <w:rPr>
          <w:lang w:eastAsia="en-GB"/>
        </w:rPr>
      </w:pPr>
      <w:bookmarkStart w:id="3" w:name="_Toc214823218"/>
      <w:r w:rsidRPr="00C6436E">
        <w:rPr>
          <w:lang w:eastAsia="en-GB"/>
        </w:rPr>
        <w:t>2.2 Nissan Sunderland Overview</w:t>
      </w:r>
      <w:bookmarkEnd w:id="3"/>
    </w:p>
    <w:p w14:paraId="04634CD0" w14:textId="77777777" w:rsidR="00114532" w:rsidRPr="00C6436E" w:rsidRDefault="00114532" w:rsidP="00C6436E">
      <w:pPr>
        <w:spacing w:line="360" w:lineRule="auto"/>
        <w:jc w:val="both"/>
        <w:rPr>
          <w:rFonts w:ascii="Times New Roman" w:hAnsi="Times New Roman" w:cs="Times New Roman"/>
          <w:lang w:eastAsia="en-GB"/>
        </w:rPr>
      </w:pPr>
      <w:r w:rsidRPr="00C6436E">
        <w:rPr>
          <w:rFonts w:ascii="Times New Roman" w:hAnsi="Times New Roman" w:cs="Times New Roman"/>
          <w:lang w:eastAsia="en-GB"/>
        </w:rPr>
        <w:t>The largest car factory in the United Kingdom is Sunderland by Nissan which specializes in Qashqai, Juke and all-electric Leaf models. It is a very important part of the Nissan business in Europe because it produces a considerable portion of the regional production and exports (SMMT, 2023). The plant is subjected to a very dynamic environment due to the advancements in battery technology, the presence of high global competition in the EV market and changes in the UK and EU regulations. Nissan has stated big investments in EV in the UK but the plant has experienced a cost strain and supply chain weaknesses.</w:t>
      </w:r>
    </w:p>
    <w:p w14:paraId="70866E99" w14:textId="6A05E7E8" w:rsidR="00114532" w:rsidRPr="00C6436E" w:rsidRDefault="00114532" w:rsidP="00B97E1B">
      <w:pPr>
        <w:pStyle w:val="Heading2"/>
        <w:rPr>
          <w:lang w:eastAsia="en-GB"/>
        </w:rPr>
      </w:pPr>
      <w:bookmarkStart w:id="4" w:name="_Toc214823219"/>
      <w:r w:rsidRPr="00C6436E">
        <w:rPr>
          <w:lang w:eastAsia="en-GB"/>
        </w:rPr>
        <w:t>2.3 Vision, Mission and Strategic Objectives</w:t>
      </w:r>
      <w:bookmarkEnd w:id="4"/>
    </w:p>
    <w:p w14:paraId="25C87DE2" w14:textId="704DD5C5" w:rsidR="00114532" w:rsidRPr="00C6436E" w:rsidRDefault="00114532" w:rsidP="00C6436E">
      <w:pPr>
        <w:spacing w:line="360" w:lineRule="auto"/>
        <w:jc w:val="both"/>
        <w:rPr>
          <w:rFonts w:ascii="Times New Roman" w:hAnsi="Times New Roman" w:cs="Times New Roman"/>
          <w:lang w:eastAsia="en-GB"/>
        </w:rPr>
      </w:pPr>
      <w:r w:rsidRPr="00C6436E">
        <w:rPr>
          <w:rFonts w:ascii="Times New Roman" w:hAnsi="Times New Roman" w:cs="Times New Roman"/>
          <w:lang w:eastAsia="en-GB"/>
        </w:rPr>
        <w:t>The global mission of Nissan is focused on innovation, sustainability and value delivery by electrified mobility (Nissan, 2023). In the case of the plant level, the plant aims to enhance the productivity, EV production, decrease environmental footprint and stable supply chains. These aims are a direct reaction to the strategic challenges faced by the automotive industry, and in particular the necessity to increase EV capacity and balance operational risks.</w:t>
      </w:r>
    </w:p>
    <w:p w14:paraId="59F6082E" w14:textId="77777777" w:rsidR="00C6436E" w:rsidRPr="00C6436E" w:rsidRDefault="00C6436E" w:rsidP="00B97E1B">
      <w:pPr>
        <w:pStyle w:val="Heading1"/>
        <w:rPr>
          <w:rFonts w:eastAsia="Times New Roman"/>
          <w:lang w:eastAsia="en-GB"/>
        </w:rPr>
      </w:pPr>
      <w:bookmarkStart w:id="5" w:name="_Toc214823220"/>
      <w:r w:rsidRPr="00C6436E">
        <w:rPr>
          <w:rFonts w:eastAsia="Times New Roman"/>
          <w:lang w:eastAsia="en-GB"/>
        </w:rPr>
        <w:t>3. Strategy Analysis</w:t>
      </w:r>
      <w:bookmarkEnd w:id="5"/>
    </w:p>
    <w:p w14:paraId="6F6C2099" w14:textId="77777777" w:rsidR="00B97E1B" w:rsidRDefault="00C6436E" w:rsidP="00B97E1B">
      <w:pPr>
        <w:pStyle w:val="Heading2"/>
        <w:rPr>
          <w:rFonts w:eastAsia="Times New Roman"/>
          <w:lang w:eastAsia="en-GB"/>
        </w:rPr>
      </w:pPr>
      <w:bookmarkStart w:id="6" w:name="_Toc214823221"/>
      <w:r w:rsidRPr="00C6436E">
        <w:rPr>
          <w:rFonts w:eastAsia="Times New Roman"/>
          <w:lang w:eastAsia="en-GB"/>
        </w:rPr>
        <w:t>3.1 External Environment Audit</w:t>
      </w:r>
      <w:bookmarkEnd w:id="6"/>
      <w:r w:rsidRPr="00C6436E">
        <w:rPr>
          <w:rFonts w:eastAsia="Times New Roman"/>
          <w:lang w:eastAsia="en-GB"/>
        </w:rPr>
        <w:t xml:space="preserve"> </w:t>
      </w:r>
    </w:p>
    <w:p w14:paraId="4EA4B709" w14:textId="3AAF10EC" w:rsidR="00C6436E" w:rsidRPr="00B97E1B" w:rsidRDefault="00B97E1B" w:rsidP="00B97E1B">
      <w:pPr>
        <w:pStyle w:val="Heading3"/>
      </w:pPr>
      <w:bookmarkStart w:id="7" w:name="_Toc214823222"/>
      <w:r w:rsidRPr="00B97E1B">
        <w:t>3.1.1 PESTLE Analysis</w:t>
      </w:r>
      <w:bookmarkEnd w:id="7"/>
      <w:r w:rsidRPr="00B97E1B">
        <w:rPr>
          <w:rStyle w:val="apple-converted-space"/>
        </w:rPr>
        <w:t> </w:t>
      </w:r>
      <w:r w:rsidR="00C6436E" w:rsidRPr="00B97E1B">
        <w:t xml:space="preserve"> </w:t>
      </w:r>
    </w:p>
    <w:p w14:paraId="66287310" w14:textId="77777777" w:rsidR="00C6436E"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The political environment can be characterized by changing political commitments to EV adoption. A recently postponed campaign of banning new petrol and diesel vehicles in the UK to 2035 has thrown uncertainty on manufacturers considering investing in EVs in the long-term (BBC, 2023). This uncertainty impacts the Nissan Sunderland with regard to model cycle planning and battery sourcing. There are also threats of post-Brexit rules of origin. EVs exported into the EU will be subject to tariffs on batteries that do not incorporate enough local contents since 2024 (Financial Times, 2023). This puts instant strain on Nissan to localise battery manufacturing or make closer alliances with UK gigafactories. At the local level, the industrial relations are stable, yet the governmental inspection of the working conditions and skills financing affects the choice of recruitment and training plans.</w:t>
      </w:r>
    </w:p>
    <w:p w14:paraId="38D30D9F" w14:textId="77777777" w:rsidR="00C6436E"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There is a lot of economic pressure. The consumer demand on new cars in Europe has been undermined by the high inflation rates and increased interest rates (OECD, 2023). At the same time, the global supply chain volatility (particularly the lack of semiconductor and battery components) has made production more expensive and delayed (KPMG, 2023). Variations in exchange rates will impact on imported parts, increasing pressure on costs in the Sunderland facility, which is highly dependent on imports.</w:t>
      </w:r>
    </w:p>
    <w:p w14:paraId="13BE5A51" w14:textId="77777777" w:rsidR="00C6436E"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There are opportunities in social trends. The acceptance of EVs by the population also increases, especially among younger customers and urban families (Nielsen, 2023). The need to have greener mobility is enhancing the portfolio of Nissan Evs, but the expectation of customers is increasing on the performance and range. Meanwhile, the software, battery engineering and automation positions among other skilled labour are increasingly competitive across the UK manufacturing.</w:t>
      </w:r>
    </w:p>
    <w:p w14:paraId="089B88D5" w14:textId="77777777" w:rsidR="00C6436E"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The pace of technological change is high. The development of battery chemistry, the growth of gigafactories, and high-speed charge networks have a direct impact on the product strategy of Nissan (McKinsey, 2023). Competitive plants are becoming increasingly dire with automation and smart manufacturing systems. In the case of Sunderland, the company must keep its productivity high by continuously investing in robotics and digital systems.</w:t>
      </w:r>
    </w:p>
    <w:p w14:paraId="51DCF7B8" w14:textId="77777777" w:rsidR="00C6436E"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Some of the legal pressures are changing emissions standards and stricter safety regulations in the UK and EU markets. The difference between UK and EU regulatory regimes provides an additional complication particularly to a plant that exports to Europe massively. The cost of compliance is still high.</w:t>
      </w:r>
    </w:p>
    <w:p w14:paraId="2B440FE9" w14:textId="48C5B2DB" w:rsidR="00C6436E" w:rsidRPr="00C6436E" w:rsidRDefault="00C6436E" w:rsidP="00B97E1B">
      <w:pPr>
        <w:pStyle w:val="Heading3"/>
        <w:rPr>
          <w:rFonts w:eastAsia="Times New Roman"/>
          <w:lang w:eastAsia="en-GB"/>
        </w:rPr>
      </w:pPr>
      <w:bookmarkStart w:id="8" w:name="_Toc214823223"/>
      <w:r w:rsidRPr="00C6436E">
        <w:rPr>
          <w:rFonts w:eastAsia="Times New Roman"/>
          <w:lang w:eastAsia="en-GB"/>
        </w:rPr>
        <w:t>3.1.2 Porter’s Five Forces</w:t>
      </w:r>
      <w:bookmarkEnd w:id="8"/>
      <w:r w:rsidRPr="00C6436E">
        <w:rPr>
          <w:rFonts w:eastAsia="Times New Roman"/>
          <w:lang w:eastAsia="en-GB"/>
        </w:rPr>
        <w:t xml:space="preserve"> </w:t>
      </w:r>
    </w:p>
    <w:p w14:paraId="6D232CEB" w14:textId="77777777" w:rsidR="00C6436E"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The automotive industry has high entry barriers that are caused by capital intensity, safety and certification regulations. But EV-only newcomers including BYD, Polestar and Tesla have disrupted the situation by growing fast and competing with technology. They pose a strategic threat to Nissan to step up EV innovation.</w:t>
      </w:r>
    </w:p>
    <w:p w14:paraId="797F13F3" w14:textId="77777777" w:rsidR="00C6436E"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Supplier power is strong. It is especially within the industry of the suppliers of batteries because of the limited capacity of the world and high switching costs (IEA, 2023). Since 2021 semiconductor shortages have demonstrated how the dependent manufacturers are on the small number of chip suppliers. In the case of Nissan Sunderland, these limitations have the potential of derailing the production and escalating expenses. The dependency on panel suppliers could be minimised by localising the manufacturing of batteries.</w:t>
      </w:r>
    </w:p>
    <w:p w14:paraId="1B2D56BA" w14:textId="77777777" w:rsidR="00C6436E"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Buyer power is increasing. The UK and EU audience are offered more options in EV and hybrid. Fleet purchasers (constituting a significant part of EV demand) attach importance to sustainability performance and overall cost of ownership (PwC, 2023). It puts pressure on Nissan to develop EV technologies and provide stable supplies.</w:t>
      </w:r>
    </w:p>
    <w:p w14:paraId="3564E461" w14:textId="77777777" w:rsidR="00C6436E"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The threat of substitutes is increasing as the public transport, micro-mobility and car-sharing services are expanding. The increasing supply of second-hand EVs also steals the market of new models, which may decrease the sales volumes of Nissan Sunderland (SMMT, 2023).</w:t>
      </w:r>
    </w:p>
    <w:p w14:paraId="7A9A29A9" w14:textId="77777777" w:rsidR="00C6436E"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Industry rivalry is intense. The rivals like Toyota, Hyundai, Kia, Volkswagen and Tesla are spending a lot in electrification and digital technologies. Competition on prices and a high rate of innovation put more pressure on Nissan to make the battery range better, more integrated in terms of software, and more efficient in production. Competition is particularly stiff in the family EV and compact crossover category where Nissan competes directly.</w:t>
      </w:r>
    </w:p>
    <w:p w14:paraId="29DFFB86" w14:textId="073D4317" w:rsidR="00114532"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Such forces pose certain strategic needs to Nissan Sunderland: to localise its key supply chains, to enhance technological capacities and enhance its competitive position in the fast-growing EV market.</w:t>
      </w:r>
    </w:p>
    <w:p w14:paraId="4B30EEE7" w14:textId="0AF2F08C" w:rsidR="00C6436E" w:rsidRPr="00C6436E" w:rsidRDefault="00C6436E" w:rsidP="00B97E1B">
      <w:pPr>
        <w:pStyle w:val="Heading2"/>
        <w:rPr>
          <w:rFonts w:eastAsia="Times New Roman"/>
          <w:lang w:eastAsia="en-GB"/>
        </w:rPr>
      </w:pPr>
      <w:bookmarkStart w:id="9" w:name="_Toc214823224"/>
      <w:r w:rsidRPr="00C6436E">
        <w:rPr>
          <w:rFonts w:eastAsia="Times New Roman"/>
          <w:lang w:eastAsia="en-GB"/>
        </w:rPr>
        <w:t>3.2 Internal Environment Audit</w:t>
      </w:r>
      <w:bookmarkEnd w:id="9"/>
      <w:r w:rsidRPr="00C6436E">
        <w:rPr>
          <w:rFonts w:eastAsia="Times New Roman"/>
          <w:lang w:eastAsia="en-GB"/>
        </w:rPr>
        <w:t xml:space="preserve"> </w:t>
      </w:r>
    </w:p>
    <w:p w14:paraId="2F49EBF6" w14:textId="06F89EDB" w:rsidR="00C6436E" w:rsidRPr="00C6436E" w:rsidRDefault="00C6436E" w:rsidP="00B97E1B">
      <w:pPr>
        <w:pStyle w:val="Heading3"/>
        <w:rPr>
          <w:rFonts w:eastAsia="Times New Roman"/>
          <w:lang w:eastAsia="en-GB"/>
        </w:rPr>
      </w:pPr>
      <w:bookmarkStart w:id="10" w:name="_Toc214823225"/>
      <w:r w:rsidRPr="00C6436E">
        <w:rPr>
          <w:rFonts w:eastAsia="Times New Roman"/>
          <w:lang w:eastAsia="en-GB"/>
        </w:rPr>
        <w:t>3.2.1 Value Chain Analysis</w:t>
      </w:r>
      <w:bookmarkEnd w:id="10"/>
      <w:r w:rsidRPr="00C6436E">
        <w:rPr>
          <w:rFonts w:eastAsia="Times New Roman"/>
          <w:lang w:eastAsia="en-GB"/>
        </w:rPr>
        <w:t xml:space="preserve"> </w:t>
      </w:r>
    </w:p>
    <w:p w14:paraId="40BEC40C" w14:textId="77777777" w:rsidR="00C6436E" w:rsidRPr="00C6436E" w:rsidRDefault="00C6436E" w:rsidP="00C6436E">
      <w:pPr>
        <w:spacing w:line="360" w:lineRule="auto"/>
        <w:jc w:val="both"/>
        <w:rPr>
          <w:rFonts w:ascii="Times New Roman" w:hAnsi="Times New Roman" w:cs="Times New Roman"/>
          <w:lang w:eastAsia="en-GB"/>
        </w:rPr>
      </w:pPr>
      <w:r w:rsidRPr="00C6436E">
        <w:rPr>
          <w:rFonts w:ascii="Times New Roman" w:hAnsi="Times New Roman" w:cs="Times New Roman"/>
          <w:lang w:eastAsia="en-GB"/>
        </w:rPr>
        <w:t>The value chain in Nissan Sunderland is developed on the foundation of high volume high efficiency assembly processes, which have continued to be the main source of competitive advantage in the plant. The plant has always been one of the most prolific automotive plants in Europe, with a well-developed lean production system, and a constant workflow design enhancement (SMMT, 2023). This operational capability brings high value in that it has shortened the cycle times as well as maintained output, and thus the cost of the plant is competitive in the volatile market. Logistics also have a very significant role to play. The plant also enjoys the proximity to the Port of Tyne where it is easy to import the components and export completed vehicles efficiently. This minimizes lead times and decreases logistics expenses, which is especially critical because the post-Brexit custom procedures bring additional administrative taxation to manufacturers (Financial Times, 2023).</w:t>
      </w:r>
    </w:p>
    <w:p w14:paraId="7173D7B9" w14:textId="77777777" w:rsidR="00C6436E" w:rsidRPr="00C6436E" w:rsidRDefault="00C6436E" w:rsidP="00C6436E">
      <w:pPr>
        <w:spacing w:line="360" w:lineRule="auto"/>
        <w:jc w:val="both"/>
        <w:rPr>
          <w:rFonts w:ascii="Times New Roman" w:hAnsi="Times New Roman" w:cs="Times New Roman"/>
          <w:lang w:eastAsia="en-GB"/>
        </w:rPr>
      </w:pPr>
      <w:r w:rsidRPr="00C6436E">
        <w:rPr>
          <w:rFonts w:ascii="Times New Roman" w:hAnsi="Times New Roman" w:cs="Times New Roman"/>
          <w:lang w:eastAsia="en-GB"/>
        </w:rPr>
        <w:t>Another significant value-creating component is the workforce capability. Sunderland has a record of apprenticeship and skills training that assists in retaining technical skills both in assembly, robotics and EV systems. These programmes facilitate stability in production, even though the entire industry presents the same challenge of accessing sophisticated digital and battery engineering expertise to the plant.</w:t>
      </w:r>
    </w:p>
    <w:p w14:paraId="0427CC79" w14:textId="7790503D" w:rsidR="00C6436E" w:rsidRPr="00C6436E" w:rsidRDefault="00C6436E" w:rsidP="00C6436E">
      <w:pPr>
        <w:spacing w:line="360" w:lineRule="auto"/>
        <w:jc w:val="both"/>
        <w:rPr>
          <w:rFonts w:ascii="Times New Roman" w:hAnsi="Times New Roman" w:cs="Times New Roman"/>
          <w:lang w:eastAsia="en-GB"/>
        </w:rPr>
      </w:pPr>
      <w:r w:rsidRPr="00C6436E">
        <w:rPr>
          <w:rFonts w:ascii="Times New Roman" w:hAnsi="Times New Roman" w:cs="Times New Roman"/>
          <w:lang w:eastAsia="en-GB"/>
        </w:rPr>
        <w:t xml:space="preserve">Increased strategic value is added through sustainability improvements. Nissan has been working on energy savings efforts and waste-cutting programs that contribute to dealing with the increased environmental compliance expenses and meeting the demand of the customers to produce low-carbon products (Nissan, 2023). Altogether, the most value is generated by the facility due to the stable high-volume production system, well-integrated logistics and skilled </w:t>
      </w:r>
      <w:r w:rsidR="00B97E1B" w:rsidRPr="00C6436E">
        <w:rPr>
          <w:rFonts w:ascii="Times New Roman" w:hAnsi="Times New Roman" w:cs="Times New Roman"/>
          <w:lang w:eastAsia="en-GB"/>
        </w:rPr>
        <w:t>labour</w:t>
      </w:r>
      <w:r w:rsidRPr="00C6436E">
        <w:rPr>
          <w:rFonts w:ascii="Times New Roman" w:hAnsi="Times New Roman" w:cs="Times New Roman"/>
          <w:lang w:eastAsia="en-GB"/>
        </w:rPr>
        <w:t xml:space="preserve"> force.</w:t>
      </w:r>
    </w:p>
    <w:p w14:paraId="05DBDF9B" w14:textId="780322E7" w:rsidR="00C6436E" w:rsidRPr="00C6436E" w:rsidRDefault="00C6436E" w:rsidP="00B97E1B">
      <w:pPr>
        <w:pStyle w:val="Heading3"/>
        <w:rPr>
          <w:lang w:eastAsia="en-GB"/>
        </w:rPr>
      </w:pPr>
      <w:bookmarkStart w:id="11" w:name="_Toc214823226"/>
      <w:r w:rsidRPr="00C6436E">
        <w:rPr>
          <w:lang w:eastAsia="en-GB"/>
        </w:rPr>
        <w:t>3.2.2 Resource Based View (RBV)</w:t>
      </w:r>
      <w:bookmarkEnd w:id="11"/>
      <w:r w:rsidRPr="00C6436E">
        <w:rPr>
          <w:lang w:eastAsia="en-GB"/>
        </w:rPr>
        <w:t xml:space="preserve"> </w:t>
      </w:r>
    </w:p>
    <w:p w14:paraId="5F1DDFC6" w14:textId="77777777" w:rsidR="00C6436E" w:rsidRPr="00C6436E" w:rsidRDefault="00C6436E" w:rsidP="00C6436E">
      <w:pPr>
        <w:spacing w:line="360" w:lineRule="auto"/>
        <w:jc w:val="both"/>
        <w:rPr>
          <w:rFonts w:ascii="Times New Roman" w:hAnsi="Times New Roman" w:cs="Times New Roman"/>
          <w:lang w:eastAsia="en-GB"/>
        </w:rPr>
      </w:pPr>
      <w:r w:rsidRPr="00C6436E">
        <w:rPr>
          <w:rFonts w:ascii="Times New Roman" w:hAnsi="Times New Roman" w:cs="Times New Roman"/>
          <w:lang w:eastAsia="en-GB"/>
        </w:rPr>
        <w:t>Nissan Sunderland enjoys a number of resources, which are strategic in nature. The presence of skilled labour force is one of its resources. The training provided over long periods has resulted in the development of a workforce that possesses high technical skills in the advanced manufacturing, robotics and EV production -skills that cannot be acquired easily by a newcomer (PwC, 2023). The relationships with the suppliers are also a valuable resource. The Nissan has developed overtime relations with suppliers and logistic firms operating in the region, which facilitates reliability and cost-effectiveness throughout the supply chain. The relationships have helped in building resilience in times of disruption but reliance on imported battery components is still a limitation.</w:t>
      </w:r>
    </w:p>
    <w:p w14:paraId="4D783D7D" w14:textId="181E9E0D" w:rsidR="00114532" w:rsidRPr="00C6436E" w:rsidRDefault="00C6436E" w:rsidP="00C6436E">
      <w:pPr>
        <w:spacing w:line="360" w:lineRule="auto"/>
        <w:jc w:val="both"/>
        <w:rPr>
          <w:rFonts w:ascii="Times New Roman" w:hAnsi="Times New Roman" w:cs="Times New Roman"/>
          <w:lang w:eastAsia="en-GB"/>
        </w:rPr>
      </w:pPr>
      <w:r w:rsidRPr="00C6436E">
        <w:rPr>
          <w:rFonts w:ascii="Times New Roman" w:hAnsi="Times New Roman" w:cs="Times New Roman"/>
          <w:lang w:eastAsia="en-GB"/>
        </w:rPr>
        <w:t>Another resource is the experience in EV production. With an advantageous background of future growth, Sunderland is one of the first UK plants to produce electric cars at volume, which has operational knowledge and infrastructure that is specifically designed to be used in assembling electric vehicles (KPMG, 2023). Lastly, the high level of operational efficiency, designed over decades and achieved due to the lean management, boosts productivity and cost performance. All these resources form part of the capacity of the plant to compete in an industry that is in the process of high rate electrification.</w:t>
      </w:r>
    </w:p>
    <w:p w14:paraId="4DAC4743" w14:textId="77777777" w:rsidR="00C6436E" w:rsidRPr="00C6436E" w:rsidRDefault="00C6436E" w:rsidP="00B97E1B">
      <w:pPr>
        <w:pStyle w:val="Heading2"/>
        <w:rPr>
          <w:lang w:eastAsia="en-GB"/>
        </w:rPr>
      </w:pPr>
      <w:bookmarkStart w:id="12" w:name="_Toc214823227"/>
      <w:r w:rsidRPr="00C6436E">
        <w:rPr>
          <w:lang w:eastAsia="en-GB"/>
        </w:rPr>
        <w:t>3.2.3 VRIO Analysis</w:t>
      </w:r>
      <w:bookmarkEnd w:id="12"/>
    </w:p>
    <w:p w14:paraId="6536B71F" w14:textId="77777777" w:rsidR="00C6436E" w:rsidRPr="00C6436E" w:rsidRDefault="00C6436E" w:rsidP="00C6436E">
      <w:pPr>
        <w:spacing w:line="360" w:lineRule="auto"/>
        <w:jc w:val="both"/>
        <w:rPr>
          <w:rFonts w:ascii="Times New Roman" w:hAnsi="Times New Roman" w:cs="Times New Roman"/>
          <w:lang w:eastAsia="en-GB"/>
        </w:rPr>
      </w:pPr>
    </w:p>
    <w:p w14:paraId="7F1BFBAC" w14:textId="77777777" w:rsidR="00C6436E" w:rsidRPr="00C6436E" w:rsidRDefault="00C6436E" w:rsidP="00C6436E">
      <w:pPr>
        <w:spacing w:line="360" w:lineRule="auto"/>
        <w:jc w:val="both"/>
        <w:rPr>
          <w:rFonts w:ascii="Times New Roman" w:hAnsi="Times New Roman" w:cs="Times New Roman"/>
          <w:lang w:eastAsia="en-GB"/>
        </w:rPr>
      </w:pPr>
      <w:r w:rsidRPr="00C6436E">
        <w:rPr>
          <w:rFonts w:ascii="Times New Roman" w:hAnsi="Times New Roman" w:cs="Times New Roman"/>
          <w:lang w:eastAsia="en-GB"/>
        </w:rPr>
        <w:t>One of the strongest capabilities of Nissan Sunderland is manufacturing productivity. It has always been one of the most prolific automotive plants in the UK because of the long-term investment in the automation and lean operations (SMMT, 2023). It is an asset, and it is not uncommon, but since it is part of routines and organisational culture, it is also expensive to copy, which provides Nissan with a long-term competitive edge. Efficiency is also supported by lean processes, though the lean production has become the norm in most global manufacturers, such as Toyota, Hyundai and Volkswagen, so this feature is no longer innovative in value (McKinsey, 2023). It is thus a short term benefit only.</w:t>
      </w:r>
    </w:p>
    <w:p w14:paraId="7204A5B4" w14:textId="76633DCD" w:rsidR="00C6436E" w:rsidRPr="00C6436E" w:rsidRDefault="00C6436E" w:rsidP="00C6436E">
      <w:pPr>
        <w:spacing w:line="360" w:lineRule="auto"/>
        <w:jc w:val="both"/>
        <w:rPr>
          <w:rFonts w:ascii="Times New Roman" w:hAnsi="Times New Roman" w:cs="Times New Roman"/>
          <w:lang w:eastAsia="en-GB"/>
        </w:rPr>
      </w:pPr>
      <w:r w:rsidRPr="00C6436E">
        <w:rPr>
          <w:rFonts w:ascii="Times New Roman" w:hAnsi="Times New Roman" w:cs="Times New Roman"/>
          <w:lang w:eastAsia="en-GB"/>
        </w:rPr>
        <w:t xml:space="preserve">Strategic value is provided by EV production capability. The initial commitment to the Leaf by Nissan provided Sunderland with an advantage, but rivals have quickly developed their EV systems, decreasing the scarcity of such an option (IEA, 2023). Integration of supply chains is also associated with the value of a consistent partnership, yet reliance on imported batteries constrains strategic power (Financial Times, 2023). </w:t>
      </w:r>
    </w:p>
    <w:p w14:paraId="2AFA12A6" w14:textId="0707350D" w:rsidR="00C6436E" w:rsidRPr="00C6436E" w:rsidRDefault="00C6436E" w:rsidP="00B97E1B">
      <w:pPr>
        <w:pStyle w:val="Heading2"/>
        <w:rPr>
          <w:lang w:eastAsia="en-GB"/>
        </w:rPr>
      </w:pPr>
      <w:bookmarkStart w:id="13" w:name="_Toc214823228"/>
      <w:r w:rsidRPr="00C6436E">
        <w:rPr>
          <w:lang w:eastAsia="en-GB"/>
        </w:rPr>
        <w:t>3.3 SWOT Analysis</w:t>
      </w:r>
      <w:bookmarkEnd w:id="13"/>
      <w:r w:rsidRPr="00C6436E">
        <w:rPr>
          <w:lang w:eastAsia="en-GB"/>
        </w:rPr>
        <w:t xml:space="preserve"> </w:t>
      </w:r>
    </w:p>
    <w:p w14:paraId="56AA3FF2" w14:textId="77777777" w:rsidR="00C6436E" w:rsidRPr="00C6436E" w:rsidRDefault="00C6436E" w:rsidP="00C6436E">
      <w:pPr>
        <w:spacing w:line="360" w:lineRule="auto"/>
        <w:jc w:val="both"/>
        <w:rPr>
          <w:rFonts w:ascii="Times New Roman" w:hAnsi="Times New Roman" w:cs="Times New Roman"/>
          <w:lang w:eastAsia="en-GB"/>
        </w:rPr>
      </w:pPr>
      <w:r w:rsidRPr="00C6436E">
        <w:rPr>
          <w:rFonts w:ascii="Times New Roman" w:hAnsi="Times New Roman" w:cs="Times New Roman"/>
          <w:lang w:eastAsia="en-GB"/>
        </w:rPr>
        <w:t>The strengths of Nissan Sunderland revolve around the size, output and expertise. The UK is the biggest and most productive plant, which helps to be very cost-effective with developed lean systems (SMMT, 2023). It has a history of EV production and a talented workforce that increases the stability of its operations. But the use of imported battery components makes the plant vulnerable to supplier power and the rules of origin related to Brexit which were mentioned above (Financial Times, 2023). The EV platforms of Nissan are also in comparison with those of its competitors who have invested heavily in the next-generation battery and software technologies (IEA, 2023).</w:t>
      </w:r>
    </w:p>
    <w:p w14:paraId="3BCF7699" w14:textId="5C64185B" w:rsidR="00114532" w:rsidRPr="00C6436E" w:rsidRDefault="00C6436E" w:rsidP="00C6436E">
      <w:pPr>
        <w:spacing w:line="360" w:lineRule="auto"/>
        <w:jc w:val="both"/>
        <w:rPr>
          <w:rFonts w:ascii="Times New Roman" w:hAnsi="Times New Roman" w:cs="Times New Roman"/>
          <w:lang w:eastAsia="en-GB"/>
        </w:rPr>
      </w:pPr>
      <w:r w:rsidRPr="00C6436E">
        <w:rPr>
          <w:rFonts w:ascii="Times New Roman" w:hAnsi="Times New Roman" w:cs="Times New Roman"/>
          <w:lang w:eastAsia="en-GB"/>
        </w:rPr>
        <w:t>The growth of the UK gigafactory ability is an opportunity since it might centralise battery supply and eliminate the floods of import unpredictability. The business case of further electrification is reinforced by the emerging UK/EU EV demand that has been enabled by the sustainability policies. But threats are still quite strong. Technological standards continue to be increased by such competitors as Tesla, BYD and Hyundai, but regulatory uncertainty and current supply chain disruption pose operational and financial threats.</w:t>
      </w:r>
    </w:p>
    <w:p w14:paraId="19AD6485" w14:textId="1AB0F6C4" w:rsidR="00C6436E" w:rsidRPr="00C6436E" w:rsidRDefault="00C6436E" w:rsidP="00B97E1B">
      <w:pPr>
        <w:pStyle w:val="Heading1"/>
        <w:rPr>
          <w:rFonts w:eastAsia="Times New Roman"/>
          <w:lang w:eastAsia="en-GB"/>
        </w:rPr>
      </w:pPr>
      <w:bookmarkStart w:id="14" w:name="_Toc214823229"/>
      <w:r w:rsidRPr="00C6436E">
        <w:rPr>
          <w:rFonts w:eastAsia="Times New Roman"/>
          <w:lang w:eastAsia="en-GB"/>
        </w:rPr>
        <w:t>4. Strategy Formulation</w:t>
      </w:r>
      <w:bookmarkEnd w:id="14"/>
      <w:r w:rsidRPr="00C6436E">
        <w:rPr>
          <w:rFonts w:eastAsia="Times New Roman"/>
          <w:lang w:eastAsia="en-GB"/>
        </w:rPr>
        <w:t xml:space="preserve"> </w:t>
      </w:r>
    </w:p>
    <w:p w14:paraId="38F214A7" w14:textId="77777777" w:rsidR="00C6436E" w:rsidRPr="00C6436E" w:rsidRDefault="00C6436E" w:rsidP="00B97E1B">
      <w:pPr>
        <w:pStyle w:val="Heading2"/>
      </w:pPr>
      <w:bookmarkStart w:id="15" w:name="_Toc214823230"/>
      <w:r w:rsidRPr="00C6436E">
        <w:t>4.1 Strategic Option 1: Localised Battery Production</w:t>
      </w:r>
      <w:bookmarkEnd w:id="15"/>
    </w:p>
    <w:p w14:paraId="15310670" w14:textId="0350419F" w:rsidR="00C6436E"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To enhance competitive ability of Nissan Sunderland, localisation of battery supply by expanding its partnership with UK gigafactories would also go a long way. The existing reliance on purchased battery cells puts the plant at risk of high supplier strength, unstable component expenses and the threat of EU tariffs under post-Brexit policies of origin (Financial Times, 2023). The partnership with new UK gigafactories would help to minimize these threats as well as advance the national industrial policy focused on EV supply chains domestically (Gov.uk, 2023).</w:t>
      </w:r>
    </w:p>
    <w:p w14:paraId="14D0C30B" w14:textId="77777777" w:rsidR="00C6436E"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In terms of Suitability, the strategy itself responds to the threats outlined in both the PESTLE and SWOT analysis in terms of enhancing the resilience and reducing exposure to regulations. Regarding Acceptability, it corresponds to the corporate sustainability policies of the Nissan company and has a high chance of getting the approval of the government stakeholders who want to support the enjoyment of manufacturing in the UK. Feasibility would be determined by aspects of speed of gigafactory construction and the willingness of Nissan to share the risk, yet the initial development of the industry indicates an increase in viability (KPMG, 2023). This option enhances the competitiveness of costs in the long term and promotes the scale-up of production of EVs.</w:t>
      </w:r>
    </w:p>
    <w:p w14:paraId="3D07CAAE" w14:textId="77777777" w:rsidR="00C6436E" w:rsidRPr="00C6436E" w:rsidRDefault="00C6436E" w:rsidP="00B97E1B">
      <w:pPr>
        <w:pStyle w:val="Heading2"/>
        <w:rPr>
          <w:rStyle w:val="apple-converted-space"/>
          <w:rFonts w:ascii="Times New Roman" w:hAnsi="Times New Roman" w:cs="Times New Roman"/>
          <w:color w:val="000000"/>
          <w:sz w:val="24"/>
          <w:szCs w:val="24"/>
        </w:rPr>
      </w:pPr>
      <w:bookmarkStart w:id="16" w:name="_Toc214823231"/>
      <w:r w:rsidRPr="00C6436E">
        <w:t>4.2 Strategic Option 2: Accelerate Next-Generation EV Development</w:t>
      </w:r>
      <w:bookmarkEnd w:id="16"/>
      <w:r w:rsidRPr="00C6436E">
        <w:rPr>
          <w:rStyle w:val="apple-converted-space"/>
          <w:rFonts w:ascii="Times New Roman" w:hAnsi="Times New Roman" w:cs="Times New Roman"/>
          <w:color w:val="000000"/>
          <w:sz w:val="24"/>
          <w:szCs w:val="24"/>
        </w:rPr>
        <w:t> </w:t>
      </w:r>
    </w:p>
    <w:p w14:paraId="05F27D8E" w14:textId="7B06556A" w:rsidR="00C6436E"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Nissan should speed up the process of developing its next-generation EVs in the UK and EU markets, as a way of reacting to the growing level of competition. Certain competitors like Tesla, BYD and Hyundai are developing at a rapid pace in terms of battery chemistry, efficiency and software-focused innovations (IEA, 2023). The Nissan EV platform needs to be updated to increase range, performance and digital integration and this will increase the customer appeal and make Sunderland remain relevant in a rapidly changing market.</w:t>
      </w:r>
    </w:p>
    <w:p w14:paraId="42C761BD" w14:textId="77777777" w:rsidR="00C6436E"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This choice is very appropriate since it will solve the weakness found in the SWOT of older EV platforms. It is also in line with the increased consumer interest in high-end EVs supported by good sustainability profile. This option has good acceptability because increased product competitiveness would increase its market share potential and align with the long-term strategy of electrification of Nissan products. Regarding the feasibility, the strategy would require significant investments in R&amp;D and collaboration with global teams of Nissan engineers, though the experience of EV capabilities at Sunderland helps to establish a strong platform to undertake the strategy.</w:t>
      </w:r>
    </w:p>
    <w:p w14:paraId="33C08001" w14:textId="77777777" w:rsidR="00C6436E" w:rsidRPr="00C6436E" w:rsidRDefault="00C6436E" w:rsidP="00B97E1B">
      <w:pPr>
        <w:pStyle w:val="Heading2"/>
        <w:rPr>
          <w:rStyle w:val="apple-converted-space"/>
          <w:rFonts w:ascii="Times New Roman" w:hAnsi="Times New Roman" w:cs="Times New Roman"/>
          <w:color w:val="000000"/>
          <w:sz w:val="24"/>
          <w:szCs w:val="24"/>
        </w:rPr>
      </w:pPr>
      <w:bookmarkStart w:id="17" w:name="_Toc214823232"/>
      <w:r w:rsidRPr="00C6436E">
        <w:t>4.3 Strategic Option 3: Sustainability-Focused Plant Transformation</w:t>
      </w:r>
      <w:bookmarkEnd w:id="17"/>
      <w:r w:rsidRPr="00C6436E">
        <w:rPr>
          <w:rStyle w:val="apple-converted-space"/>
          <w:rFonts w:ascii="Times New Roman" w:hAnsi="Times New Roman" w:cs="Times New Roman"/>
          <w:color w:val="000000"/>
          <w:sz w:val="24"/>
          <w:szCs w:val="24"/>
        </w:rPr>
        <w:t> </w:t>
      </w:r>
    </w:p>
    <w:p w14:paraId="5E9AC9E0" w14:textId="72D6C13F" w:rsidR="00114532"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The conversion of Sunderland into a low-carbon manufacturing facility by using renewable energy, circular production process and minimisation of waste would reinforce the level of environmental compliance and brand image. Regulators and consumers in the UK are becoming more demanding in relation to clear, low-carbon emission manufacturing (BBC, 2023). The alternative is appropriate since it contributes to the global sustainability goals of Nissan and reduces the risks to the environment. It is agreeable to the stakeholders with the increase in ESG demands, and possible because of the available on-site energy efficiency programs (Nissan, 2023). Although not as radical as the first two alternatives, it will improve the long-term operational resilience and bolster a plausible sustainability narrative.</w:t>
      </w:r>
    </w:p>
    <w:p w14:paraId="78545115" w14:textId="2448C02A" w:rsidR="00C6436E" w:rsidRPr="00C6436E" w:rsidRDefault="00C6436E" w:rsidP="00B97E1B">
      <w:pPr>
        <w:pStyle w:val="Heading1"/>
        <w:rPr>
          <w:rFonts w:eastAsia="Times New Roman"/>
          <w:lang w:eastAsia="en-GB"/>
        </w:rPr>
      </w:pPr>
      <w:bookmarkStart w:id="18" w:name="_Toc214823233"/>
      <w:r w:rsidRPr="00C6436E">
        <w:rPr>
          <w:rFonts w:eastAsia="Times New Roman"/>
          <w:lang w:eastAsia="en-GB"/>
        </w:rPr>
        <w:t>5. Conclusion and Recommendations</w:t>
      </w:r>
      <w:bookmarkEnd w:id="18"/>
      <w:r w:rsidRPr="00C6436E">
        <w:rPr>
          <w:rFonts w:eastAsia="Times New Roman"/>
          <w:lang w:eastAsia="en-GB"/>
        </w:rPr>
        <w:t xml:space="preserve"> </w:t>
      </w:r>
    </w:p>
    <w:p w14:paraId="55B78B6A" w14:textId="364E7C36" w:rsidR="00C6436E" w:rsidRPr="00C6436E" w:rsidRDefault="00C6436E" w:rsidP="00B97E1B">
      <w:pPr>
        <w:pStyle w:val="Heading2"/>
        <w:rPr>
          <w:rFonts w:eastAsia="Times New Roman"/>
          <w:lang w:eastAsia="en-GB"/>
        </w:rPr>
      </w:pPr>
      <w:bookmarkStart w:id="19" w:name="_Toc214823234"/>
      <w:r w:rsidRPr="00C6436E">
        <w:rPr>
          <w:rFonts w:eastAsia="Times New Roman"/>
          <w:lang w:eastAsia="en-GB"/>
        </w:rPr>
        <w:t>5.1 Summary of Findings</w:t>
      </w:r>
      <w:bookmarkEnd w:id="19"/>
      <w:r w:rsidRPr="00C6436E">
        <w:rPr>
          <w:rFonts w:eastAsia="Times New Roman"/>
          <w:lang w:eastAsia="en-GB"/>
        </w:rPr>
        <w:t xml:space="preserve"> </w:t>
      </w:r>
    </w:p>
    <w:p w14:paraId="7D6C33DA" w14:textId="77777777" w:rsidR="00C6436E"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The analysis demonstrates that Nissan Sunderland is involved in a volatile external environment conditioned by the changes in EV policies, supply chain disruptions and the growing competition on the global level. PESTLE and Five Forces shed light on regulatory ambiguity, intense power with suppliers, and intense competition due to the pace of development of EV manufacturers. In-house, the plant enjoys a high level of productivity, good lean processes and experience in EVs, but is hampered by the reliance on imported batteries and old EV platforms. With the combined results, it is essential to mention that the long-term competitiveness involves ensuring the crucial inputs, modernizing technology and enhancing sustainability to satisfy the regulatory requirements and customer demands of high-end, low-carbon mobility.</w:t>
      </w:r>
    </w:p>
    <w:p w14:paraId="3B0E23F0" w14:textId="240AA171" w:rsidR="00C6436E" w:rsidRPr="00C6436E" w:rsidRDefault="00C6436E" w:rsidP="00B97E1B">
      <w:pPr>
        <w:pStyle w:val="Heading2"/>
        <w:rPr>
          <w:rFonts w:eastAsia="Times New Roman"/>
          <w:lang w:eastAsia="en-GB"/>
        </w:rPr>
      </w:pPr>
      <w:bookmarkStart w:id="20" w:name="_Toc214823235"/>
      <w:r w:rsidRPr="00C6436E">
        <w:rPr>
          <w:rFonts w:eastAsia="Times New Roman"/>
          <w:lang w:eastAsia="en-GB"/>
        </w:rPr>
        <w:t>5.2 Final Recommendation</w:t>
      </w:r>
      <w:bookmarkEnd w:id="20"/>
      <w:r w:rsidRPr="00C6436E">
        <w:rPr>
          <w:rFonts w:eastAsia="Times New Roman"/>
          <w:lang w:eastAsia="en-GB"/>
        </w:rPr>
        <w:t xml:space="preserve"> </w:t>
      </w:r>
    </w:p>
    <w:p w14:paraId="1B1F5D3D" w14:textId="28857DD7" w:rsidR="00114532" w:rsidRPr="00C6436E" w:rsidRDefault="00C6436E" w:rsidP="00C6436E">
      <w:pPr>
        <w:spacing w:line="360" w:lineRule="auto"/>
        <w:jc w:val="both"/>
        <w:rPr>
          <w:rFonts w:ascii="Times New Roman" w:hAnsi="Times New Roman" w:cs="Times New Roman"/>
          <w:kern w:val="0"/>
          <w:lang w:eastAsia="en-GB"/>
        </w:rPr>
      </w:pPr>
      <w:r w:rsidRPr="00C6436E">
        <w:rPr>
          <w:rFonts w:ascii="Times New Roman" w:hAnsi="Times New Roman" w:cs="Times New Roman"/>
          <w:kern w:val="0"/>
          <w:lang w:eastAsia="en-GB"/>
        </w:rPr>
        <w:t>Localised battery production is the most strategic solution since it reduces the most urgent threats faced by Nissan Sunderland, that is, supplier power, rules-of-origin risks and cost risk. In the short run, Nissan needs to consolidate alliances with developers of gigafactories in the UK and even battery localisation to future models. In the long run, co-investment in domestic cell production would stabilise the supply and shrink tariffs and increase competitiveness in the entire Nissan EV range. The approach helps achieve the sustainability aims of reducing embedded emissions and forms a base of future EV development and makes Sunderland an efficient and stable hub in the European business of Nissan.</w:t>
      </w:r>
    </w:p>
    <w:p w14:paraId="1D48AAC1" w14:textId="1C83E7AB" w:rsidR="00114532" w:rsidRDefault="00114532" w:rsidP="00B97E1B">
      <w:pPr>
        <w:pStyle w:val="Heading1"/>
        <w:rPr>
          <w:rFonts w:eastAsia="Times New Roman"/>
          <w:lang w:eastAsia="en-GB"/>
        </w:rPr>
      </w:pPr>
      <w:bookmarkStart w:id="21" w:name="_Toc214823236"/>
      <w:r w:rsidRPr="00C6436E">
        <w:rPr>
          <w:rFonts w:eastAsia="Times New Roman"/>
          <w:lang w:eastAsia="en-GB"/>
        </w:rPr>
        <w:t>6. Reference</w:t>
      </w:r>
      <w:r w:rsidR="00C6436E" w:rsidRPr="00C6436E">
        <w:rPr>
          <w:rFonts w:eastAsia="Times New Roman"/>
          <w:lang w:eastAsia="en-GB"/>
        </w:rPr>
        <w:t>s</w:t>
      </w:r>
      <w:bookmarkEnd w:id="21"/>
    </w:p>
    <w:p w14:paraId="7D0C1D2B" w14:textId="7C1DD243" w:rsidR="00B97E1B" w:rsidRPr="00B97E1B" w:rsidRDefault="00B97E1B" w:rsidP="00B97E1B">
      <w:pPr>
        <w:spacing w:line="360" w:lineRule="auto"/>
        <w:rPr>
          <w:rFonts w:ascii="Times New Roman" w:hAnsi="Times New Roman" w:cs="Times New Roman"/>
          <w:lang w:eastAsia="en-GB"/>
        </w:rPr>
      </w:pPr>
      <w:r w:rsidRPr="00B97E1B">
        <w:rPr>
          <w:rFonts w:ascii="Times New Roman" w:hAnsi="Times New Roman" w:cs="Times New Roman"/>
          <w:color w:val="000000"/>
        </w:rPr>
        <w:t>Barney, J. and Harrison, J. (2020)</w:t>
      </w:r>
      <w:r w:rsidRPr="00B97E1B">
        <w:rPr>
          <w:rStyle w:val="apple-converted-space"/>
          <w:rFonts w:ascii="Times New Roman" w:hAnsi="Times New Roman" w:cs="Times New Roman"/>
          <w:color w:val="000000"/>
        </w:rPr>
        <w:t> </w:t>
      </w:r>
      <w:r w:rsidRPr="00B97E1B">
        <w:rPr>
          <w:rStyle w:val="Emphasis"/>
          <w:rFonts w:ascii="Times New Roman" w:hAnsi="Times New Roman" w:cs="Times New Roman"/>
          <w:color w:val="000000"/>
        </w:rPr>
        <w:t>Strategic Management and Competitive Advantage</w:t>
      </w:r>
      <w:r w:rsidRPr="00B97E1B">
        <w:rPr>
          <w:rFonts w:ascii="Times New Roman" w:hAnsi="Times New Roman" w:cs="Times New Roman"/>
          <w:color w:val="000000"/>
        </w:rPr>
        <w:t>. 7th edn. Harlow: Pearson.</w:t>
      </w:r>
    </w:p>
    <w:p w14:paraId="7AF22470" w14:textId="110FC067" w:rsidR="00B97E1B" w:rsidRPr="00B97E1B" w:rsidRDefault="00B97E1B" w:rsidP="00B97E1B">
      <w:pPr>
        <w:pStyle w:val="NormalWeb"/>
        <w:spacing w:line="360" w:lineRule="auto"/>
        <w:rPr>
          <w:color w:val="000000" w:themeColor="text1"/>
        </w:rPr>
      </w:pPr>
      <w:r w:rsidRPr="00B97E1B">
        <w:rPr>
          <w:color w:val="000000" w:themeColor="text1"/>
        </w:rPr>
        <w:t>BBC News (2023)</w:t>
      </w:r>
      <w:r w:rsidRPr="00B97E1B">
        <w:rPr>
          <w:rStyle w:val="apple-converted-space"/>
          <w:rFonts w:eastAsiaTheme="majorEastAsia"/>
          <w:color w:val="000000" w:themeColor="text1"/>
        </w:rPr>
        <w:t> </w:t>
      </w:r>
      <w:r w:rsidRPr="00B97E1B">
        <w:rPr>
          <w:rStyle w:val="Emphasis"/>
          <w:rFonts w:eastAsiaTheme="majorEastAsia"/>
          <w:color w:val="000000" w:themeColor="text1"/>
        </w:rPr>
        <w:t>UK delays ban on new petrol and diesel cars to 2035</w:t>
      </w:r>
      <w:r w:rsidRPr="00B97E1B">
        <w:rPr>
          <w:color w:val="000000" w:themeColor="text1"/>
        </w:rPr>
        <w:t>. Available at:</w:t>
      </w:r>
      <w:r w:rsidRPr="00B97E1B">
        <w:rPr>
          <w:rStyle w:val="apple-converted-space"/>
          <w:rFonts w:eastAsiaTheme="majorEastAsia"/>
          <w:color w:val="000000" w:themeColor="text1"/>
        </w:rPr>
        <w:t> </w:t>
      </w:r>
      <w:r w:rsidRPr="00B97E1B">
        <w:rPr>
          <w:color w:val="000000" w:themeColor="text1"/>
        </w:rPr>
        <w:t>https://www.bbc.co.uk/news(Accessed: 20 NOV 2025).</w:t>
      </w:r>
    </w:p>
    <w:p w14:paraId="6C8BF0A9" w14:textId="1E8F2F34" w:rsidR="00B97E1B" w:rsidRPr="00B97E1B" w:rsidRDefault="00B97E1B" w:rsidP="00B97E1B">
      <w:pPr>
        <w:pStyle w:val="NormalWeb"/>
        <w:spacing w:line="360" w:lineRule="auto"/>
        <w:rPr>
          <w:color w:val="000000" w:themeColor="text1"/>
        </w:rPr>
      </w:pPr>
      <w:r w:rsidRPr="00B97E1B">
        <w:rPr>
          <w:color w:val="000000"/>
        </w:rPr>
        <w:t>Bürer, M. and Wüstenhagen, R. (2022) ‘Sustainable manufacturing and competitiveness in European automotive plants’,</w:t>
      </w:r>
      <w:r w:rsidRPr="00B97E1B">
        <w:rPr>
          <w:rStyle w:val="apple-converted-space"/>
          <w:rFonts w:eastAsiaTheme="majorEastAsia"/>
          <w:color w:val="000000"/>
        </w:rPr>
        <w:t> </w:t>
      </w:r>
      <w:r w:rsidRPr="00B97E1B">
        <w:rPr>
          <w:rStyle w:val="Emphasis"/>
          <w:rFonts w:eastAsiaTheme="majorEastAsia"/>
          <w:color w:val="000000"/>
        </w:rPr>
        <w:t>Business Strategy and the Environment</w:t>
      </w:r>
      <w:r w:rsidRPr="00B97E1B">
        <w:rPr>
          <w:color w:val="000000"/>
        </w:rPr>
        <w:t>, 31(5), pp. 2100–2115.</w:t>
      </w:r>
    </w:p>
    <w:p w14:paraId="366CCD88" w14:textId="69A22511" w:rsidR="00B97E1B" w:rsidRPr="00B97E1B" w:rsidRDefault="00B97E1B" w:rsidP="00B97E1B">
      <w:pPr>
        <w:pStyle w:val="NormalWeb"/>
        <w:spacing w:line="360" w:lineRule="auto"/>
        <w:rPr>
          <w:color w:val="000000" w:themeColor="text1"/>
        </w:rPr>
      </w:pPr>
      <w:r w:rsidRPr="00B97E1B">
        <w:rPr>
          <w:color w:val="000000" w:themeColor="text1"/>
        </w:rPr>
        <w:t>Financial Times (2023)</w:t>
      </w:r>
      <w:r w:rsidRPr="00B97E1B">
        <w:rPr>
          <w:rStyle w:val="apple-converted-space"/>
          <w:rFonts w:eastAsiaTheme="majorEastAsia"/>
          <w:color w:val="000000" w:themeColor="text1"/>
        </w:rPr>
        <w:t> </w:t>
      </w:r>
      <w:r w:rsidRPr="00B97E1B">
        <w:rPr>
          <w:rStyle w:val="Emphasis"/>
          <w:rFonts w:eastAsiaTheme="majorEastAsia"/>
          <w:color w:val="000000" w:themeColor="text1"/>
        </w:rPr>
        <w:t>EU–UK rules of origin threaten electric vehicle exports</w:t>
      </w:r>
      <w:r w:rsidRPr="00B97E1B">
        <w:rPr>
          <w:color w:val="000000" w:themeColor="text1"/>
        </w:rPr>
        <w:t>. Available at:</w:t>
      </w:r>
      <w:r w:rsidRPr="00B97E1B">
        <w:rPr>
          <w:rStyle w:val="apple-converted-space"/>
          <w:rFonts w:eastAsiaTheme="majorEastAsia"/>
          <w:color w:val="000000" w:themeColor="text1"/>
        </w:rPr>
        <w:t> </w:t>
      </w:r>
      <w:r w:rsidRPr="00B97E1B">
        <w:rPr>
          <w:color w:val="000000" w:themeColor="text1"/>
        </w:rPr>
        <w:t>https://www.ft.com(Accessed: 22 NOV 2025).</w:t>
      </w:r>
    </w:p>
    <w:p w14:paraId="0715A32A" w14:textId="7AB13761" w:rsidR="00B97E1B" w:rsidRPr="00B97E1B" w:rsidRDefault="00B97E1B" w:rsidP="00B97E1B">
      <w:pPr>
        <w:pStyle w:val="NormalWeb"/>
        <w:spacing w:line="360" w:lineRule="auto"/>
        <w:rPr>
          <w:color w:val="000000" w:themeColor="text1"/>
        </w:rPr>
      </w:pPr>
      <w:r w:rsidRPr="00B97E1B">
        <w:rPr>
          <w:color w:val="000000" w:themeColor="text1"/>
        </w:rPr>
        <w:t>Gov.uk (2023)</w:t>
      </w:r>
      <w:r w:rsidRPr="00B97E1B">
        <w:rPr>
          <w:rStyle w:val="apple-converted-space"/>
          <w:rFonts w:eastAsiaTheme="majorEastAsia"/>
          <w:color w:val="000000" w:themeColor="text1"/>
        </w:rPr>
        <w:t> </w:t>
      </w:r>
      <w:r w:rsidRPr="00B97E1B">
        <w:rPr>
          <w:rStyle w:val="Emphasis"/>
          <w:rFonts w:eastAsiaTheme="majorEastAsia"/>
          <w:color w:val="000000" w:themeColor="text1"/>
        </w:rPr>
        <w:t>Government outlines plan to boost UK battery supply chain</w:t>
      </w:r>
      <w:r w:rsidRPr="00B97E1B">
        <w:rPr>
          <w:color w:val="000000" w:themeColor="text1"/>
        </w:rPr>
        <w:t>. Available at:</w:t>
      </w:r>
      <w:r w:rsidRPr="00B97E1B">
        <w:rPr>
          <w:rStyle w:val="apple-converted-space"/>
          <w:rFonts w:eastAsiaTheme="majorEastAsia"/>
          <w:color w:val="000000" w:themeColor="text1"/>
        </w:rPr>
        <w:t> </w:t>
      </w:r>
      <w:hyperlink r:id="rId7" w:tgtFrame="_new" w:history="1">
        <w:r w:rsidRPr="00B97E1B">
          <w:rPr>
            <w:rStyle w:val="Hyperlink"/>
            <w:rFonts w:eastAsiaTheme="majorEastAsia"/>
            <w:color w:val="000000" w:themeColor="text1"/>
          </w:rPr>
          <w:t>https://www.gov.uk</w:t>
        </w:r>
      </w:hyperlink>
      <w:r w:rsidRPr="00B97E1B">
        <w:rPr>
          <w:color w:val="000000" w:themeColor="text1"/>
        </w:rPr>
        <w:t>(Accessed: 25 NOV 2025).</w:t>
      </w:r>
    </w:p>
    <w:p w14:paraId="78B6684F" w14:textId="3C7FE2CE" w:rsidR="00B97E1B" w:rsidRPr="00B97E1B" w:rsidRDefault="00B97E1B" w:rsidP="00B97E1B">
      <w:pPr>
        <w:pStyle w:val="NormalWeb"/>
        <w:spacing w:line="360" w:lineRule="auto"/>
        <w:rPr>
          <w:b/>
          <w:bCs/>
          <w:color w:val="000000" w:themeColor="text1"/>
        </w:rPr>
      </w:pPr>
      <w:r w:rsidRPr="00B97E1B">
        <w:rPr>
          <w:rStyle w:val="Strong"/>
          <w:rFonts w:eastAsiaTheme="majorEastAsia"/>
          <w:b w:val="0"/>
          <w:bCs w:val="0"/>
          <w:color w:val="000000"/>
        </w:rPr>
        <w:t>Grant, R. (2021)</w:t>
      </w:r>
      <w:r w:rsidRPr="00B97E1B">
        <w:rPr>
          <w:rStyle w:val="apple-converted-space"/>
          <w:rFonts w:eastAsiaTheme="majorEastAsia"/>
          <w:b/>
          <w:bCs/>
          <w:color w:val="000000"/>
        </w:rPr>
        <w:t> </w:t>
      </w:r>
      <w:r w:rsidRPr="00B97E1B">
        <w:rPr>
          <w:rStyle w:val="Emphasis"/>
          <w:rFonts w:eastAsiaTheme="majorEastAsia"/>
          <w:color w:val="000000"/>
        </w:rPr>
        <w:t>Contemporary Strategy Analysis</w:t>
      </w:r>
      <w:r w:rsidRPr="00B97E1B">
        <w:rPr>
          <w:rStyle w:val="Strong"/>
          <w:rFonts w:eastAsiaTheme="majorEastAsia"/>
          <w:color w:val="000000"/>
        </w:rPr>
        <w:t>.</w:t>
      </w:r>
      <w:r w:rsidRPr="00B97E1B">
        <w:rPr>
          <w:rStyle w:val="Strong"/>
          <w:rFonts w:eastAsiaTheme="majorEastAsia"/>
          <w:b w:val="0"/>
          <w:bCs w:val="0"/>
          <w:color w:val="000000"/>
        </w:rPr>
        <w:t xml:space="preserve"> 11th edn. Hoboken: Wiley.</w:t>
      </w:r>
      <w:r w:rsidRPr="00B97E1B">
        <w:rPr>
          <w:b/>
          <w:bCs/>
          <w:color w:val="000000"/>
        </w:rPr>
        <w:br/>
      </w:r>
      <w:r w:rsidRPr="00B97E1B">
        <w:rPr>
          <w:rStyle w:val="Strong"/>
          <w:rFonts w:eastAsiaTheme="majorEastAsia"/>
          <w:b w:val="0"/>
          <w:bCs w:val="0"/>
          <w:color w:val="000000"/>
        </w:rPr>
        <w:t>Johnson, G., Whittington, R., Regnér, P., Scholes, K. and Angwin, D. (2023)</w:t>
      </w:r>
      <w:r w:rsidRPr="00B97E1B">
        <w:rPr>
          <w:rStyle w:val="apple-converted-space"/>
          <w:rFonts w:eastAsiaTheme="majorEastAsia"/>
          <w:b/>
          <w:bCs/>
          <w:color w:val="000000"/>
        </w:rPr>
        <w:t> </w:t>
      </w:r>
      <w:r w:rsidRPr="00B97E1B">
        <w:rPr>
          <w:rStyle w:val="Emphasis"/>
          <w:rFonts w:eastAsiaTheme="majorEastAsia"/>
          <w:color w:val="000000"/>
        </w:rPr>
        <w:t>Exploring Strategy</w:t>
      </w:r>
      <w:r w:rsidRPr="00B97E1B">
        <w:rPr>
          <w:rStyle w:val="Strong"/>
          <w:rFonts w:eastAsiaTheme="majorEastAsia"/>
          <w:color w:val="000000"/>
        </w:rPr>
        <w:t xml:space="preserve">. </w:t>
      </w:r>
      <w:r w:rsidRPr="00B97E1B">
        <w:rPr>
          <w:rStyle w:val="Strong"/>
          <w:rFonts w:eastAsiaTheme="majorEastAsia"/>
          <w:b w:val="0"/>
          <w:bCs w:val="0"/>
          <w:color w:val="000000"/>
        </w:rPr>
        <w:t>13th edn. Harlow: Pearson.</w:t>
      </w:r>
    </w:p>
    <w:p w14:paraId="6421440B" w14:textId="220A5742" w:rsidR="00B97E1B" w:rsidRPr="00B97E1B" w:rsidRDefault="00B97E1B" w:rsidP="00B97E1B">
      <w:pPr>
        <w:pStyle w:val="NormalWeb"/>
        <w:spacing w:line="360" w:lineRule="auto"/>
        <w:rPr>
          <w:color w:val="000000" w:themeColor="text1"/>
        </w:rPr>
      </w:pPr>
      <w:r w:rsidRPr="00B97E1B">
        <w:rPr>
          <w:color w:val="000000" w:themeColor="text1"/>
        </w:rPr>
        <w:t>IEA (2023)</w:t>
      </w:r>
      <w:r w:rsidRPr="00B97E1B">
        <w:rPr>
          <w:rStyle w:val="apple-converted-space"/>
          <w:rFonts w:eastAsiaTheme="majorEastAsia"/>
          <w:color w:val="000000" w:themeColor="text1"/>
        </w:rPr>
        <w:t> </w:t>
      </w:r>
      <w:r w:rsidRPr="00B97E1B">
        <w:rPr>
          <w:rStyle w:val="Emphasis"/>
          <w:rFonts w:eastAsiaTheme="majorEastAsia"/>
          <w:color w:val="000000" w:themeColor="text1"/>
        </w:rPr>
        <w:t>Global EV Outlook 2023</w:t>
      </w:r>
      <w:r w:rsidRPr="00B97E1B">
        <w:rPr>
          <w:color w:val="000000" w:themeColor="text1"/>
        </w:rPr>
        <w:t>. International Energy Agency. Available at:</w:t>
      </w:r>
      <w:r w:rsidRPr="00B97E1B">
        <w:rPr>
          <w:rStyle w:val="apple-converted-space"/>
          <w:rFonts w:eastAsiaTheme="majorEastAsia"/>
          <w:color w:val="000000" w:themeColor="text1"/>
        </w:rPr>
        <w:t> </w:t>
      </w:r>
      <w:hyperlink r:id="rId8" w:tgtFrame="_new" w:history="1">
        <w:r w:rsidRPr="00B97E1B">
          <w:rPr>
            <w:rStyle w:val="Hyperlink"/>
            <w:rFonts w:eastAsiaTheme="majorEastAsia"/>
            <w:color w:val="000000" w:themeColor="text1"/>
          </w:rPr>
          <w:t>https://www.iea.org</w:t>
        </w:r>
      </w:hyperlink>
      <w:r w:rsidRPr="00B97E1B">
        <w:rPr>
          <w:rStyle w:val="apple-converted-space"/>
          <w:rFonts w:eastAsiaTheme="majorEastAsia"/>
          <w:color w:val="000000" w:themeColor="text1"/>
        </w:rPr>
        <w:t> </w:t>
      </w:r>
      <w:r w:rsidRPr="00B97E1B">
        <w:rPr>
          <w:color w:val="000000" w:themeColor="text1"/>
        </w:rPr>
        <w:t>(Accessed: 18 NOV 2025).</w:t>
      </w:r>
    </w:p>
    <w:p w14:paraId="6B3C4644" w14:textId="6A03DA13" w:rsidR="00B97E1B" w:rsidRPr="00B97E1B" w:rsidRDefault="00B97E1B" w:rsidP="00B97E1B">
      <w:pPr>
        <w:pStyle w:val="NormalWeb"/>
        <w:spacing w:line="360" w:lineRule="auto"/>
        <w:rPr>
          <w:color w:val="000000" w:themeColor="text1"/>
        </w:rPr>
      </w:pPr>
      <w:r w:rsidRPr="00B97E1B">
        <w:rPr>
          <w:color w:val="000000" w:themeColor="text1"/>
        </w:rPr>
        <w:t>KPMG (2023)</w:t>
      </w:r>
      <w:r w:rsidRPr="00B97E1B">
        <w:rPr>
          <w:rStyle w:val="apple-converted-space"/>
          <w:rFonts w:eastAsiaTheme="majorEastAsia"/>
          <w:color w:val="000000" w:themeColor="text1"/>
        </w:rPr>
        <w:t> </w:t>
      </w:r>
      <w:r w:rsidRPr="00B97E1B">
        <w:rPr>
          <w:rStyle w:val="Emphasis"/>
          <w:rFonts w:eastAsiaTheme="majorEastAsia"/>
          <w:color w:val="000000" w:themeColor="text1"/>
        </w:rPr>
        <w:t>Automotive executive survey 2023: Electrification and supply chain resilience</w:t>
      </w:r>
      <w:r w:rsidRPr="00B97E1B">
        <w:rPr>
          <w:color w:val="000000" w:themeColor="text1"/>
        </w:rPr>
        <w:t>. Available at:</w:t>
      </w:r>
      <w:r w:rsidRPr="00B97E1B">
        <w:rPr>
          <w:rStyle w:val="apple-converted-space"/>
          <w:rFonts w:eastAsiaTheme="majorEastAsia"/>
          <w:color w:val="000000" w:themeColor="text1"/>
        </w:rPr>
        <w:t> </w:t>
      </w:r>
      <w:r w:rsidRPr="00B97E1B">
        <w:rPr>
          <w:color w:val="000000" w:themeColor="text1"/>
        </w:rPr>
        <w:t>https://www.kpmg.com</w:t>
      </w:r>
      <w:r w:rsidRPr="00B97E1B">
        <w:rPr>
          <w:rStyle w:val="apple-converted-space"/>
          <w:rFonts w:eastAsiaTheme="majorEastAsia"/>
          <w:color w:val="000000" w:themeColor="text1"/>
        </w:rPr>
        <w:t> </w:t>
      </w:r>
      <w:r w:rsidRPr="00B97E1B">
        <w:rPr>
          <w:color w:val="000000" w:themeColor="text1"/>
        </w:rPr>
        <w:t>(Accessed: 18 NOV 2025)</w:t>
      </w:r>
    </w:p>
    <w:p w14:paraId="02608A9B" w14:textId="71E6670A" w:rsidR="00B97E1B" w:rsidRPr="00B97E1B" w:rsidRDefault="00B97E1B" w:rsidP="00B97E1B">
      <w:pPr>
        <w:pStyle w:val="NormalWeb"/>
        <w:spacing w:line="360" w:lineRule="auto"/>
        <w:rPr>
          <w:color w:val="000000" w:themeColor="text1"/>
        </w:rPr>
      </w:pPr>
      <w:r w:rsidRPr="00B97E1B">
        <w:rPr>
          <w:color w:val="000000" w:themeColor="text1"/>
        </w:rPr>
        <w:t>McKinsey &amp; Company (2023)</w:t>
      </w:r>
      <w:r w:rsidRPr="00B97E1B">
        <w:rPr>
          <w:rStyle w:val="apple-converted-space"/>
          <w:rFonts w:eastAsiaTheme="majorEastAsia"/>
          <w:color w:val="000000" w:themeColor="text1"/>
        </w:rPr>
        <w:t> </w:t>
      </w:r>
      <w:r w:rsidRPr="00B97E1B">
        <w:rPr>
          <w:rStyle w:val="Emphasis"/>
          <w:rFonts w:eastAsiaTheme="majorEastAsia"/>
          <w:color w:val="000000" w:themeColor="text1"/>
        </w:rPr>
        <w:t>The future of electric vehicles: Battery innovation and supply chain challenges</w:t>
      </w:r>
      <w:r w:rsidRPr="00B97E1B">
        <w:rPr>
          <w:color w:val="000000" w:themeColor="text1"/>
        </w:rPr>
        <w:t>. Available at:</w:t>
      </w:r>
      <w:r w:rsidRPr="00B97E1B">
        <w:rPr>
          <w:rStyle w:val="apple-converted-space"/>
          <w:rFonts w:eastAsiaTheme="majorEastAsia"/>
          <w:color w:val="000000" w:themeColor="text1"/>
        </w:rPr>
        <w:t> </w:t>
      </w:r>
      <w:hyperlink r:id="rId9" w:tgtFrame="_new" w:history="1">
        <w:r w:rsidRPr="00B97E1B">
          <w:rPr>
            <w:rStyle w:val="Hyperlink"/>
            <w:rFonts w:eastAsiaTheme="majorEastAsia"/>
            <w:color w:val="000000" w:themeColor="text1"/>
          </w:rPr>
          <w:t>https://www.mckinsey.com</w:t>
        </w:r>
      </w:hyperlink>
      <w:r w:rsidRPr="00B97E1B">
        <w:rPr>
          <w:rStyle w:val="apple-converted-space"/>
          <w:rFonts w:eastAsiaTheme="majorEastAsia"/>
          <w:color w:val="000000" w:themeColor="text1"/>
        </w:rPr>
        <w:t> </w:t>
      </w:r>
      <w:r w:rsidRPr="00B97E1B">
        <w:rPr>
          <w:color w:val="000000" w:themeColor="text1"/>
        </w:rPr>
        <w:t>(Accessed: 19 NOV 2025).</w:t>
      </w:r>
    </w:p>
    <w:p w14:paraId="4CB1FF00" w14:textId="7618B4AA" w:rsidR="00B97E1B" w:rsidRPr="00B97E1B" w:rsidRDefault="00B97E1B" w:rsidP="00B97E1B">
      <w:pPr>
        <w:pStyle w:val="NormalWeb"/>
        <w:spacing w:line="360" w:lineRule="auto"/>
        <w:rPr>
          <w:color w:val="000000" w:themeColor="text1"/>
        </w:rPr>
      </w:pPr>
      <w:r w:rsidRPr="00B97E1B">
        <w:rPr>
          <w:color w:val="000000" w:themeColor="text1"/>
        </w:rPr>
        <w:t>Nielsen (2023)</w:t>
      </w:r>
      <w:r w:rsidRPr="00B97E1B">
        <w:rPr>
          <w:rStyle w:val="apple-converted-space"/>
          <w:rFonts w:eastAsiaTheme="majorEastAsia"/>
          <w:color w:val="000000" w:themeColor="text1"/>
        </w:rPr>
        <w:t> </w:t>
      </w:r>
      <w:r w:rsidRPr="00B97E1B">
        <w:rPr>
          <w:rStyle w:val="Emphasis"/>
          <w:rFonts w:eastAsiaTheme="majorEastAsia"/>
          <w:color w:val="000000" w:themeColor="text1"/>
        </w:rPr>
        <w:t>Consumer attitudes to electric vehicles: 2023 report</w:t>
      </w:r>
      <w:r w:rsidRPr="00B97E1B">
        <w:rPr>
          <w:color w:val="000000" w:themeColor="text1"/>
        </w:rPr>
        <w:t>. Available at:</w:t>
      </w:r>
      <w:r w:rsidRPr="00B97E1B">
        <w:rPr>
          <w:rStyle w:val="apple-converted-space"/>
          <w:rFonts w:eastAsiaTheme="majorEastAsia"/>
          <w:color w:val="000000" w:themeColor="text1"/>
        </w:rPr>
        <w:t> </w:t>
      </w:r>
      <w:hyperlink r:id="rId10" w:tgtFrame="_new" w:history="1">
        <w:r w:rsidRPr="00B97E1B">
          <w:rPr>
            <w:rStyle w:val="Hyperlink"/>
            <w:rFonts w:eastAsiaTheme="majorEastAsia"/>
            <w:color w:val="000000" w:themeColor="text1"/>
          </w:rPr>
          <w:t>https://www.nielsen.com</w:t>
        </w:r>
      </w:hyperlink>
      <w:r w:rsidRPr="00B97E1B">
        <w:rPr>
          <w:rStyle w:val="apple-converted-space"/>
          <w:rFonts w:eastAsiaTheme="majorEastAsia"/>
          <w:color w:val="000000" w:themeColor="text1"/>
        </w:rPr>
        <w:t> </w:t>
      </w:r>
      <w:r w:rsidRPr="00B97E1B">
        <w:rPr>
          <w:color w:val="000000" w:themeColor="text1"/>
        </w:rPr>
        <w:t>(Accessed: 22 NOV 2025).</w:t>
      </w:r>
    </w:p>
    <w:p w14:paraId="639080A9" w14:textId="77777777" w:rsidR="00B97E1B" w:rsidRPr="00B97E1B" w:rsidRDefault="00B97E1B" w:rsidP="00B97E1B">
      <w:pPr>
        <w:pStyle w:val="NormalWeb"/>
        <w:spacing w:line="360" w:lineRule="auto"/>
        <w:rPr>
          <w:color w:val="000000" w:themeColor="text1"/>
        </w:rPr>
      </w:pPr>
      <w:r w:rsidRPr="00B97E1B">
        <w:rPr>
          <w:color w:val="000000" w:themeColor="text1"/>
        </w:rPr>
        <w:t>Nissan (2023)</w:t>
      </w:r>
      <w:r w:rsidRPr="00B97E1B">
        <w:rPr>
          <w:rStyle w:val="apple-converted-space"/>
          <w:rFonts w:eastAsiaTheme="majorEastAsia"/>
          <w:color w:val="000000" w:themeColor="text1"/>
        </w:rPr>
        <w:t> </w:t>
      </w:r>
      <w:r w:rsidRPr="00B97E1B">
        <w:rPr>
          <w:rStyle w:val="Emphasis"/>
          <w:rFonts w:eastAsiaTheme="majorEastAsia"/>
          <w:color w:val="000000" w:themeColor="text1"/>
        </w:rPr>
        <w:t>Nissan Sustainability Report 2023</w:t>
      </w:r>
      <w:r w:rsidRPr="00B97E1B">
        <w:rPr>
          <w:color w:val="000000" w:themeColor="text1"/>
        </w:rPr>
        <w:t>. Available at:</w:t>
      </w:r>
      <w:r w:rsidRPr="00B97E1B">
        <w:rPr>
          <w:rStyle w:val="apple-converted-space"/>
          <w:rFonts w:eastAsiaTheme="majorEastAsia"/>
          <w:color w:val="000000" w:themeColor="text1"/>
        </w:rPr>
        <w:t> </w:t>
      </w:r>
      <w:hyperlink r:id="rId11" w:tgtFrame="_new" w:history="1">
        <w:r w:rsidRPr="00B97E1B">
          <w:rPr>
            <w:rStyle w:val="Hyperlink"/>
            <w:rFonts w:eastAsiaTheme="majorEastAsia"/>
            <w:color w:val="000000" w:themeColor="text1"/>
          </w:rPr>
          <w:t>https://www.nissan-global.com</w:t>
        </w:r>
      </w:hyperlink>
      <w:r w:rsidRPr="00B97E1B">
        <w:rPr>
          <w:rStyle w:val="apple-converted-space"/>
          <w:rFonts w:eastAsiaTheme="majorEastAsia"/>
          <w:color w:val="000000" w:themeColor="text1"/>
        </w:rPr>
        <w:t> </w:t>
      </w:r>
      <w:r w:rsidRPr="00B97E1B">
        <w:rPr>
          <w:color w:val="000000" w:themeColor="text1"/>
        </w:rPr>
        <w:t>(Accessed: 18 February 2024).</w:t>
      </w:r>
    </w:p>
    <w:p w14:paraId="39A4C62F" w14:textId="091141DF" w:rsidR="00B97E1B" w:rsidRPr="00B97E1B" w:rsidRDefault="00B97E1B" w:rsidP="00B97E1B">
      <w:pPr>
        <w:pStyle w:val="NormalWeb"/>
        <w:spacing w:line="360" w:lineRule="auto"/>
        <w:rPr>
          <w:color w:val="000000" w:themeColor="text1"/>
        </w:rPr>
      </w:pPr>
      <w:r w:rsidRPr="00B97E1B">
        <w:rPr>
          <w:color w:val="000000" w:themeColor="text1"/>
        </w:rPr>
        <w:t>OECD (2023)</w:t>
      </w:r>
      <w:r w:rsidRPr="00B97E1B">
        <w:rPr>
          <w:rStyle w:val="apple-converted-space"/>
          <w:rFonts w:eastAsiaTheme="majorEastAsia"/>
          <w:color w:val="000000" w:themeColor="text1"/>
        </w:rPr>
        <w:t> </w:t>
      </w:r>
      <w:r w:rsidRPr="00B97E1B">
        <w:rPr>
          <w:rStyle w:val="Emphasis"/>
          <w:rFonts w:eastAsiaTheme="majorEastAsia"/>
          <w:color w:val="000000" w:themeColor="text1"/>
        </w:rPr>
        <w:t>Economic Outlook 2023: Inflation, interest rates and global demand</w:t>
      </w:r>
      <w:r w:rsidRPr="00B97E1B">
        <w:rPr>
          <w:color w:val="000000" w:themeColor="text1"/>
        </w:rPr>
        <w:t>. Organisation for Economic Co-operation and Development. Available at:</w:t>
      </w:r>
      <w:r w:rsidRPr="00B97E1B">
        <w:rPr>
          <w:rStyle w:val="apple-converted-space"/>
          <w:rFonts w:eastAsiaTheme="majorEastAsia"/>
          <w:color w:val="000000" w:themeColor="text1"/>
        </w:rPr>
        <w:t> </w:t>
      </w:r>
      <w:hyperlink r:id="rId12" w:tgtFrame="_new" w:history="1">
        <w:r w:rsidRPr="00B97E1B">
          <w:rPr>
            <w:rStyle w:val="Hyperlink"/>
            <w:rFonts w:eastAsiaTheme="majorEastAsia"/>
            <w:color w:val="000000" w:themeColor="text1"/>
          </w:rPr>
          <w:t>https://www.oecd.org</w:t>
        </w:r>
      </w:hyperlink>
      <w:r w:rsidRPr="00B97E1B">
        <w:rPr>
          <w:rStyle w:val="apple-converted-space"/>
          <w:rFonts w:eastAsiaTheme="majorEastAsia"/>
          <w:color w:val="000000" w:themeColor="text1"/>
        </w:rPr>
        <w:t> </w:t>
      </w:r>
      <w:r w:rsidRPr="00B97E1B">
        <w:rPr>
          <w:color w:val="000000" w:themeColor="text1"/>
        </w:rPr>
        <w:t>(Accessed: 20 NOV 2025).</w:t>
      </w:r>
    </w:p>
    <w:p w14:paraId="0153DD68" w14:textId="1B3B119E" w:rsidR="00B97E1B" w:rsidRPr="00B97E1B" w:rsidRDefault="00B97E1B" w:rsidP="00B97E1B">
      <w:pPr>
        <w:pStyle w:val="NormalWeb"/>
        <w:spacing w:line="360" w:lineRule="auto"/>
        <w:rPr>
          <w:color w:val="000000" w:themeColor="text1"/>
        </w:rPr>
      </w:pPr>
      <w:r w:rsidRPr="00B97E1B">
        <w:rPr>
          <w:color w:val="000000" w:themeColor="text1"/>
        </w:rPr>
        <w:t>PwC (2023)</w:t>
      </w:r>
      <w:r w:rsidRPr="00B97E1B">
        <w:rPr>
          <w:rStyle w:val="apple-converted-space"/>
          <w:rFonts w:eastAsiaTheme="majorEastAsia"/>
          <w:color w:val="000000" w:themeColor="text1"/>
        </w:rPr>
        <w:t> </w:t>
      </w:r>
      <w:r w:rsidRPr="00B97E1B">
        <w:rPr>
          <w:rStyle w:val="Emphasis"/>
          <w:rFonts w:eastAsiaTheme="majorEastAsia"/>
          <w:color w:val="000000" w:themeColor="text1"/>
        </w:rPr>
        <w:t>Electric vehicles and the future of automotive manufacturing in Europe</w:t>
      </w:r>
      <w:r w:rsidRPr="00B97E1B">
        <w:rPr>
          <w:color w:val="000000" w:themeColor="text1"/>
        </w:rPr>
        <w:t>. PricewaterhouseCoopers. Available at:</w:t>
      </w:r>
      <w:r w:rsidRPr="00B97E1B">
        <w:rPr>
          <w:rStyle w:val="apple-converted-space"/>
          <w:rFonts w:eastAsiaTheme="majorEastAsia"/>
          <w:color w:val="000000" w:themeColor="text1"/>
        </w:rPr>
        <w:t> </w:t>
      </w:r>
      <w:hyperlink r:id="rId13" w:tgtFrame="_new" w:history="1">
        <w:r w:rsidRPr="00B97E1B">
          <w:rPr>
            <w:rStyle w:val="Hyperlink"/>
            <w:rFonts w:eastAsiaTheme="majorEastAsia"/>
            <w:color w:val="000000" w:themeColor="text1"/>
          </w:rPr>
          <w:t>https://www.pwc.com</w:t>
        </w:r>
      </w:hyperlink>
      <w:r w:rsidRPr="00B97E1B">
        <w:rPr>
          <w:rStyle w:val="apple-converted-space"/>
          <w:rFonts w:eastAsiaTheme="majorEastAsia"/>
          <w:color w:val="000000" w:themeColor="text1"/>
        </w:rPr>
        <w:t> </w:t>
      </w:r>
      <w:r w:rsidRPr="00B97E1B">
        <w:rPr>
          <w:color w:val="000000" w:themeColor="text1"/>
        </w:rPr>
        <w:t>(Accessed: 21 NOV 2025).</w:t>
      </w:r>
    </w:p>
    <w:p w14:paraId="09619A94" w14:textId="1F1CB943" w:rsidR="00B97E1B" w:rsidRPr="00B97E1B" w:rsidRDefault="00B97E1B" w:rsidP="00B97E1B">
      <w:pPr>
        <w:pStyle w:val="NormalWeb"/>
        <w:spacing w:line="360" w:lineRule="auto"/>
        <w:rPr>
          <w:color w:val="000000" w:themeColor="text1"/>
        </w:rPr>
      </w:pPr>
      <w:r w:rsidRPr="00B97E1B">
        <w:rPr>
          <w:color w:val="000000" w:themeColor="text1"/>
        </w:rPr>
        <w:t>SMMT (2023)</w:t>
      </w:r>
      <w:r w:rsidRPr="00B97E1B">
        <w:rPr>
          <w:rStyle w:val="apple-converted-space"/>
          <w:rFonts w:eastAsiaTheme="majorEastAsia"/>
          <w:color w:val="000000" w:themeColor="text1"/>
        </w:rPr>
        <w:t> </w:t>
      </w:r>
      <w:r w:rsidRPr="00B97E1B">
        <w:rPr>
          <w:rStyle w:val="Emphasis"/>
          <w:rFonts w:eastAsiaTheme="majorEastAsia"/>
          <w:color w:val="000000" w:themeColor="text1"/>
        </w:rPr>
        <w:t>UK Automotive Manufacturing Data 2023</w:t>
      </w:r>
      <w:r w:rsidRPr="00B97E1B">
        <w:rPr>
          <w:color w:val="000000" w:themeColor="text1"/>
        </w:rPr>
        <w:t>. Society of Motor Manufacturers and Traders. Available at:</w:t>
      </w:r>
      <w:r w:rsidRPr="00B97E1B">
        <w:rPr>
          <w:rStyle w:val="apple-converted-space"/>
          <w:rFonts w:eastAsiaTheme="majorEastAsia"/>
          <w:color w:val="000000" w:themeColor="text1"/>
        </w:rPr>
        <w:t> </w:t>
      </w:r>
      <w:hyperlink r:id="rId14" w:tgtFrame="_new" w:history="1">
        <w:r w:rsidRPr="00B97E1B">
          <w:rPr>
            <w:rStyle w:val="Hyperlink"/>
            <w:rFonts w:eastAsiaTheme="majorEastAsia"/>
            <w:color w:val="000000" w:themeColor="text1"/>
          </w:rPr>
          <w:t>https://www.smmt.co.uk</w:t>
        </w:r>
      </w:hyperlink>
      <w:r w:rsidRPr="00B97E1B">
        <w:rPr>
          <w:rStyle w:val="apple-converted-space"/>
          <w:rFonts w:eastAsiaTheme="majorEastAsia"/>
          <w:color w:val="000000" w:themeColor="text1"/>
        </w:rPr>
        <w:t> </w:t>
      </w:r>
      <w:r w:rsidRPr="00B97E1B">
        <w:rPr>
          <w:color w:val="000000" w:themeColor="text1"/>
        </w:rPr>
        <w:t>(Accessed: 18 NOV 2025).</w:t>
      </w:r>
    </w:p>
    <w:p w14:paraId="2FC16CE6" w14:textId="77777777" w:rsidR="00B97E1B" w:rsidRPr="00B97E1B" w:rsidRDefault="00B97E1B" w:rsidP="00B97E1B">
      <w:pPr>
        <w:spacing w:line="360" w:lineRule="auto"/>
        <w:rPr>
          <w:rFonts w:ascii="Times New Roman" w:hAnsi="Times New Roman" w:cs="Times New Roman"/>
          <w:lang w:eastAsia="en-GB"/>
        </w:rPr>
      </w:pPr>
    </w:p>
    <w:p w14:paraId="01890B88" w14:textId="77777777" w:rsidR="00B2535C" w:rsidRPr="00B97E1B" w:rsidRDefault="00B2535C" w:rsidP="00B97E1B">
      <w:pPr>
        <w:spacing w:line="360" w:lineRule="auto"/>
        <w:jc w:val="both"/>
        <w:rPr>
          <w:rFonts w:ascii="Times New Roman" w:hAnsi="Times New Roman" w:cs="Times New Roman"/>
        </w:rPr>
      </w:pPr>
    </w:p>
    <w:sectPr w:rsidR="00B2535C" w:rsidRPr="00B97E1B">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EED834" w14:textId="77777777" w:rsidR="009307B5" w:rsidRDefault="009307B5" w:rsidP="002D68FA">
      <w:r>
        <w:separator/>
      </w:r>
    </w:p>
  </w:endnote>
  <w:endnote w:type="continuationSeparator" w:id="0">
    <w:p w14:paraId="1C507FFD" w14:textId="77777777" w:rsidR="009307B5" w:rsidRDefault="009307B5" w:rsidP="002D68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51211190"/>
      <w:docPartObj>
        <w:docPartGallery w:val="Page Numbers (Bottom of Page)"/>
        <w:docPartUnique/>
      </w:docPartObj>
    </w:sdtPr>
    <w:sdtEndPr>
      <w:rPr>
        <w:rStyle w:val="PageNumber"/>
      </w:rPr>
    </w:sdtEndPr>
    <w:sdtContent>
      <w:p w14:paraId="241B499D" w14:textId="512AA8BD" w:rsidR="002D68FA" w:rsidRDefault="002D68FA" w:rsidP="004456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F9E6E3" w14:textId="77777777" w:rsidR="002D68FA" w:rsidRDefault="002D68FA" w:rsidP="002D68F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36333200"/>
      <w:docPartObj>
        <w:docPartGallery w:val="Page Numbers (Bottom of Page)"/>
        <w:docPartUnique/>
      </w:docPartObj>
    </w:sdtPr>
    <w:sdtEndPr>
      <w:rPr>
        <w:rStyle w:val="PageNumber"/>
      </w:rPr>
    </w:sdtEndPr>
    <w:sdtContent>
      <w:p w14:paraId="2A426269" w14:textId="318071D2" w:rsidR="002D68FA" w:rsidRDefault="002D68FA" w:rsidP="004456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7E7459" w14:textId="77777777" w:rsidR="002D68FA" w:rsidRDefault="002D68FA" w:rsidP="002D68F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8503F7" w14:textId="77777777" w:rsidR="009307B5" w:rsidRDefault="009307B5" w:rsidP="002D68FA">
      <w:r>
        <w:separator/>
      </w:r>
    </w:p>
  </w:footnote>
  <w:footnote w:type="continuationSeparator" w:id="0">
    <w:p w14:paraId="0F912A3A" w14:textId="77777777" w:rsidR="009307B5" w:rsidRDefault="009307B5" w:rsidP="002D68F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708"/>
    <w:rsid w:val="00114532"/>
    <w:rsid w:val="001B056B"/>
    <w:rsid w:val="002D68FA"/>
    <w:rsid w:val="00515FD9"/>
    <w:rsid w:val="0056746B"/>
    <w:rsid w:val="00692B26"/>
    <w:rsid w:val="006B336C"/>
    <w:rsid w:val="009307B5"/>
    <w:rsid w:val="00A8079F"/>
    <w:rsid w:val="00B2535C"/>
    <w:rsid w:val="00B97E1B"/>
    <w:rsid w:val="00C6436E"/>
    <w:rsid w:val="00D05014"/>
    <w:rsid w:val="00EB7708"/>
    <w:rsid w:val="00F17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A885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7708"/>
  </w:style>
  <w:style w:type="paragraph" w:styleId="Heading1">
    <w:name w:val="heading 1"/>
    <w:basedOn w:val="Normal"/>
    <w:next w:val="Normal"/>
    <w:link w:val="Heading1Char"/>
    <w:uiPriority w:val="9"/>
    <w:qFormat/>
    <w:rsid w:val="00EB77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77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77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77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77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770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770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770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770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77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77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B77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77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77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77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77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77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7708"/>
    <w:rPr>
      <w:rFonts w:eastAsiaTheme="majorEastAsia" w:cstheme="majorBidi"/>
      <w:color w:val="272727" w:themeColor="text1" w:themeTint="D8"/>
    </w:rPr>
  </w:style>
  <w:style w:type="paragraph" w:styleId="Title">
    <w:name w:val="Title"/>
    <w:basedOn w:val="Normal"/>
    <w:next w:val="Normal"/>
    <w:link w:val="TitleChar"/>
    <w:uiPriority w:val="10"/>
    <w:qFormat/>
    <w:rsid w:val="00EB770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77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770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77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770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7708"/>
    <w:rPr>
      <w:i/>
      <w:iCs/>
      <w:color w:val="404040" w:themeColor="text1" w:themeTint="BF"/>
    </w:rPr>
  </w:style>
  <w:style w:type="paragraph" w:styleId="ListParagraph">
    <w:name w:val="List Paragraph"/>
    <w:basedOn w:val="Normal"/>
    <w:uiPriority w:val="34"/>
    <w:qFormat/>
    <w:rsid w:val="00EB7708"/>
    <w:pPr>
      <w:ind w:left="720"/>
      <w:contextualSpacing/>
    </w:pPr>
  </w:style>
  <w:style w:type="character" w:styleId="IntenseEmphasis">
    <w:name w:val="Intense Emphasis"/>
    <w:basedOn w:val="DefaultParagraphFont"/>
    <w:uiPriority w:val="21"/>
    <w:qFormat/>
    <w:rsid w:val="00EB7708"/>
    <w:rPr>
      <w:i/>
      <w:iCs/>
      <w:color w:val="0F4761" w:themeColor="accent1" w:themeShade="BF"/>
    </w:rPr>
  </w:style>
  <w:style w:type="paragraph" w:styleId="IntenseQuote">
    <w:name w:val="Intense Quote"/>
    <w:basedOn w:val="Normal"/>
    <w:next w:val="Normal"/>
    <w:link w:val="IntenseQuoteChar"/>
    <w:uiPriority w:val="30"/>
    <w:qFormat/>
    <w:rsid w:val="00EB77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7708"/>
    <w:rPr>
      <w:i/>
      <w:iCs/>
      <w:color w:val="0F4761" w:themeColor="accent1" w:themeShade="BF"/>
    </w:rPr>
  </w:style>
  <w:style w:type="character" w:styleId="IntenseReference">
    <w:name w:val="Intense Reference"/>
    <w:basedOn w:val="DefaultParagraphFont"/>
    <w:uiPriority w:val="32"/>
    <w:qFormat/>
    <w:rsid w:val="00EB7708"/>
    <w:rPr>
      <w:b/>
      <w:bCs/>
      <w:smallCaps/>
      <w:color w:val="0F4761" w:themeColor="accent1" w:themeShade="BF"/>
      <w:spacing w:val="5"/>
    </w:rPr>
  </w:style>
  <w:style w:type="paragraph" w:styleId="Footer">
    <w:name w:val="footer"/>
    <w:basedOn w:val="Normal"/>
    <w:link w:val="FooterChar"/>
    <w:uiPriority w:val="99"/>
    <w:unhideWhenUsed/>
    <w:rsid w:val="002D68FA"/>
    <w:pPr>
      <w:tabs>
        <w:tab w:val="center" w:pos="4513"/>
        <w:tab w:val="right" w:pos="9026"/>
      </w:tabs>
    </w:pPr>
  </w:style>
  <w:style w:type="character" w:customStyle="1" w:styleId="FooterChar">
    <w:name w:val="Footer Char"/>
    <w:basedOn w:val="DefaultParagraphFont"/>
    <w:link w:val="Footer"/>
    <w:uiPriority w:val="99"/>
    <w:rsid w:val="002D68FA"/>
  </w:style>
  <w:style w:type="character" w:styleId="PageNumber">
    <w:name w:val="page number"/>
    <w:basedOn w:val="DefaultParagraphFont"/>
    <w:uiPriority w:val="99"/>
    <w:semiHidden/>
    <w:unhideWhenUsed/>
    <w:rsid w:val="002D68FA"/>
  </w:style>
  <w:style w:type="character" w:styleId="Strong">
    <w:name w:val="Strong"/>
    <w:basedOn w:val="DefaultParagraphFont"/>
    <w:uiPriority w:val="22"/>
    <w:qFormat/>
    <w:rsid w:val="00114532"/>
    <w:rPr>
      <w:b/>
      <w:bCs/>
    </w:rPr>
  </w:style>
  <w:style w:type="paragraph" w:styleId="NormalWeb">
    <w:name w:val="Normal (Web)"/>
    <w:basedOn w:val="Normal"/>
    <w:uiPriority w:val="99"/>
    <w:semiHidden/>
    <w:unhideWhenUsed/>
    <w:rsid w:val="0011453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14532"/>
  </w:style>
  <w:style w:type="character" w:styleId="Emphasis">
    <w:name w:val="Emphasis"/>
    <w:basedOn w:val="DefaultParagraphFont"/>
    <w:uiPriority w:val="20"/>
    <w:qFormat/>
    <w:rsid w:val="00B97E1B"/>
    <w:rPr>
      <w:i/>
      <w:iCs/>
    </w:rPr>
  </w:style>
  <w:style w:type="character" w:styleId="Hyperlink">
    <w:name w:val="Hyperlink"/>
    <w:basedOn w:val="DefaultParagraphFont"/>
    <w:uiPriority w:val="99"/>
    <w:unhideWhenUsed/>
    <w:rsid w:val="00B97E1B"/>
    <w:rPr>
      <w:color w:val="0000FF"/>
      <w:u w:val="single"/>
    </w:rPr>
  </w:style>
  <w:style w:type="paragraph" w:styleId="TOCHeading">
    <w:name w:val="TOC Heading"/>
    <w:basedOn w:val="Heading1"/>
    <w:next w:val="Normal"/>
    <w:uiPriority w:val="39"/>
    <w:unhideWhenUsed/>
    <w:qFormat/>
    <w:rsid w:val="00A8079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8079F"/>
    <w:pPr>
      <w:spacing w:before="120"/>
    </w:pPr>
    <w:rPr>
      <w:b/>
      <w:bCs/>
      <w:i/>
      <w:iCs/>
    </w:rPr>
  </w:style>
  <w:style w:type="paragraph" w:styleId="TOC2">
    <w:name w:val="toc 2"/>
    <w:basedOn w:val="Normal"/>
    <w:next w:val="Normal"/>
    <w:autoRedefine/>
    <w:uiPriority w:val="39"/>
    <w:unhideWhenUsed/>
    <w:rsid w:val="00A8079F"/>
    <w:pPr>
      <w:spacing w:before="120"/>
      <w:ind w:left="240"/>
    </w:pPr>
    <w:rPr>
      <w:b/>
      <w:bCs/>
      <w:sz w:val="22"/>
      <w:szCs w:val="22"/>
    </w:rPr>
  </w:style>
  <w:style w:type="paragraph" w:styleId="TOC3">
    <w:name w:val="toc 3"/>
    <w:basedOn w:val="Normal"/>
    <w:next w:val="Normal"/>
    <w:autoRedefine/>
    <w:uiPriority w:val="39"/>
    <w:unhideWhenUsed/>
    <w:rsid w:val="00A8079F"/>
    <w:pPr>
      <w:ind w:left="480"/>
    </w:pPr>
    <w:rPr>
      <w:sz w:val="20"/>
      <w:szCs w:val="20"/>
    </w:rPr>
  </w:style>
  <w:style w:type="paragraph" w:styleId="TOC4">
    <w:name w:val="toc 4"/>
    <w:basedOn w:val="Normal"/>
    <w:next w:val="Normal"/>
    <w:autoRedefine/>
    <w:uiPriority w:val="39"/>
    <w:semiHidden/>
    <w:unhideWhenUsed/>
    <w:rsid w:val="00A8079F"/>
    <w:pPr>
      <w:ind w:left="720"/>
    </w:pPr>
    <w:rPr>
      <w:sz w:val="20"/>
      <w:szCs w:val="20"/>
    </w:rPr>
  </w:style>
  <w:style w:type="paragraph" w:styleId="TOC5">
    <w:name w:val="toc 5"/>
    <w:basedOn w:val="Normal"/>
    <w:next w:val="Normal"/>
    <w:autoRedefine/>
    <w:uiPriority w:val="39"/>
    <w:semiHidden/>
    <w:unhideWhenUsed/>
    <w:rsid w:val="00A8079F"/>
    <w:pPr>
      <w:ind w:left="960"/>
    </w:pPr>
    <w:rPr>
      <w:sz w:val="20"/>
      <w:szCs w:val="20"/>
    </w:rPr>
  </w:style>
  <w:style w:type="paragraph" w:styleId="TOC6">
    <w:name w:val="toc 6"/>
    <w:basedOn w:val="Normal"/>
    <w:next w:val="Normal"/>
    <w:autoRedefine/>
    <w:uiPriority w:val="39"/>
    <w:semiHidden/>
    <w:unhideWhenUsed/>
    <w:rsid w:val="00A8079F"/>
    <w:pPr>
      <w:ind w:left="1200"/>
    </w:pPr>
    <w:rPr>
      <w:sz w:val="20"/>
      <w:szCs w:val="20"/>
    </w:rPr>
  </w:style>
  <w:style w:type="paragraph" w:styleId="TOC7">
    <w:name w:val="toc 7"/>
    <w:basedOn w:val="Normal"/>
    <w:next w:val="Normal"/>
    <w:autoRedefine/>
    <w:uiPriority w:val="39"/>
    <w:semiHidden/>
    <w:unhideWhenUsed/>
    <w:rsid w:val="00A8079F"/>
    <w:pPr>
      <w:ind w:left="1440"/>
    </w:pPr>
    <w:rPr>
      <w:sz w:val="20"/>
      <w:szCs w:val="20"/>
    </w:rPr>
  </w:style>
  <w:style w:type="paragraph" w:styleId="TOC8">
    <w:name w:val="toc 8"/>
    <w:basedOn w:val="Normal"/>
    <w:next w:val="Normal"/>
    <w:autoRedefine/>
    <w:uiPriority w:val="39"/>
    <w:semiHidden/>
    <w:unhideWhenUsed/>
    <w:rsid w:val="00A8079F"/>
    <w:pPr>
      <w:ind w:left="1680"/>
    </w:pPr>
    <w:rPr>
      <w:sz w:val="20"/>
      <w:szCs w:val="20"/>
    </w:rPr>
  </w:style>
  <w:style w:type="paragraph" w:styleId="TOC9">
    <w:name w:val="toc 9"/>
    <w:basedOn w:val="Normal"/>
    <w:next w:val="Normal"/>
    <w:autoRedefine/>
    <w:uiPriority w:val="39"/>
    <w:semiHidden/>
    <w:unhideWhenUsed/>
    <w:rsid w:val="00A8079F"/>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ea.org/" TargetMode="External" /><Relationship Id="rId13" Type="http://schemas.openxmlformats.org/officeDocument/2006/relationships/hyperlink" Target="https://www.pwc.com/"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gov.uk/" TargetMode="External" /><Relationship Id="rId12" Type="http://schemas.openxmlformats.org/officeDocument/2006/relationships/hyperlink" Target="https://www.oecd.org/"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nissan-global.com/" TargetMode="External"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hyperlink" Target="https://www.nielsen.com/" TargetMode="External" /><Relationship Id="rId4" Type="http://schemas.openxmlformats.org/officeDocument/2006/relationships/webSettings" Target="webSettings.xml" /><Relationship Id="rId9" Type="http://schemas.openxmlformats.org/officeDocument/2006/relationships/hyperlink" Target="https://www.mckinsey.com/" TargetMode="External" /><Relationship Id="rId14" Type="http://schemas.openxmlformats.org/officeDocument/2006/relationships/hyperlink" Target="https://www.smmt.co.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DF8AA4-5F0F-FE4C-9BDF-1BE55DE5671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3592</Words>
  <Characters>20476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2025-11-28T21:56:00Z</dcterms:created>
  <dcterms:modified xsi:type="dcterms:W3CDTF">2025-11-28T21:56:00Z</dcterms:modified>
</cp:coreProperties>
</file>