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506A0" w:rsidP="00D506A0" w:rsidRDefault="00D506A0" w14:paraId="040374E8" w14:textId="77777777">
      <w:pPr>
        <w:jc w:val="center"/>
        <w:rPr>
          <w:b/>
          <w:bCs/>
          <w:sz w:val="24"/>
          <w:szCs w:val="24"/>
        </w:rPr>
      </w:pPr>
    </w:p>
    <w:p w:rsidR="00D506A0" w:rsidP="00D506A0" w:rsidRDefault="00D506A0" w14:paraId="6BBA30C1" w14:textId="37B709E5">
      <w:pPr>
        <w:jc w:val="center"/>
        <w:rPr>
          <w:b/>
          <w:bCs/>
          <w:sz w:val="24"/>
          <w:szCs w:val="24"/>
        </w:rPr>
      </w:pPr>
      <w:r w:rsidRPr="00D506A0">
        <w:rPr>
          <w:b/>
          <w:bCs/>
          <w:sz w:val="24"/>
          <w:szCs w:val="24"/>
        </w:rPr>
        <w:t>I can confirm that I have no</w:t>
      </w:r>
      <w:r>
        <w:rPr>
          <w:b/>
          <w:bCs/>
          <w:sz w:val="24"/>
          <w:szCs w:val="24"/>
        </w:rPr>
        <w:t>t</w:t>
      </w:r>
      <w:r w:rsidRPr="00D506A0">
        <w:rPr>
          <w:b/>
          <w:bCs/>
          <w:sz w:val="24"/>
          <w:szCs w:val="24"/>
        </w:rPr>
        <w:t xml:space="preserve"> used any AI tools in the research and creation of this assignment. I can confirm that I have not presented any AI generated materials as my own work. I can confirm that I have copies of my drafts, notes and other resources I used, which I may be asked to provide in evidence.</w:t>
      </w:r>
    </w:p>
    <w:p w:rsidR="00D506A0" w:rsidP="00D506A0" w:rsidRDefault="00D506A0" w14:paraId="3C40BD62" w14:textId="77777777">
      <w:pPr>
        <w:jc w:val="center"/>
        <w:rPr>
          <w:b/>
          <w:bCs/>
          <w:sz w:val="24"/>
          <w:szCs w:val="24"/>
        </w:rPr>
      </w:pPr>
    </w:p>
    <w:p w:rsidR="00D506A0" w:rsidP="00D506A0" w:rsidRDefault="00D506A0" w14:paraId="27CC2AFC" w14:textId="77777777">
      <w:pPr>
        <w:jc w:val="center"/>
        <w:rPr>
          <w:b/>
          <w:bCs/>
          <w:sz w:val="24"/>
          <w:szCs w:val="24"/>
        </w:rPr>
      </w:pPr>
    </w:p>
    <w:p w:rsidR="00D506A0" w:rsidP="00D506A0" w:rsidRDefault="00D506A0" w14:paraId="4B86DF67" w14:textId="77777777">
      <w:pPr>
        <w:jc w:val="center"/>
        <w:rPr>
          <w:b/>
          <w:bCs/>
          <w:sz w:val="24"/>
          <w:szCs w:val="24"/>
        </w:rPr>
      </w:pPr>
    </w:p>
    <w:p w:rsidR="00D506A0" w:rsidP="00D506A0" w:rsidRDefault="00D506A0" w14:paraId="66AD1DCE" w14:textId="77777777">
      <w:pPr>
        <w:jc w:val="center"/>
        <w:rPr>
          <w:b/>
          <w:bCs/>
          <w:sz w:val="24"/>
          <w:szCs w:val="24"/>
        </w:rPr>
      </w:pPr>
    </w:p>
    <w:p w:rsidRPr="00D506A0" w:rsidR="00D506A0" w:rsidP="00D506A0" w:rsidRDefault="00D506A0" w14:paraId="072BD5D5" w14:textId="77777777">
      <w:pPr>
        <w:jc w:val="center"/>
        <w:rPr>
          <w:b/>
          <w:bCs/>
          <w:sz w:val="24"/>
          <w:szCs w:val="24"/>
        </w:rPr>
      </w:pPr>
    </w:p>
    <w:p w:rsidR="00D506A0" w:rsidP="00D506A0" w:rsidRDefault="00D506A0" w14:paraId="08F92F6C" w14:textId="77777777">
      <w:pPr>
        <w:jc w:val="center"/>
        <w:rPr>
          <w:b/>
          <w:bCs/>
          <w:sz w:val="24"/>
          <w:szCs w:val="24"/>
          <w:u w:val="single"/>
        </w:rPr>
      </w:pPr>
    </w:p>
    <w:p w:rsidR="00D506A0" w:rsidP="00D506A0" w:rsidRDefault="00D506A0" w14:paraId="44164E0C" w14:textId="77777777">
      <w:pPr>
        <w:jc w:val="center"/>
        <w:rPr>
          <w:b/>
          <w:bCs/>
          <w:sz w:val="24"/>
          <w:szCs w:val="24"/>
          <w:u w:val="single"/>
        </w:rPr>
      </w:pPr>
    </w:p>
    <w:p w:rsidR="00D506A0" w:rsidP="00D506A0" w:rsidRDefault="00D506A0" w14:paraId="3D0CAC37" w14:textId="77777777">
      <w:pPr>
        <w:jc w:val="center"/>
        <w:rPr>
          <w:b/>
          <w:bCs/>
          <w:sz w:val="24"/>
          <w:szCs w:val="24"/>
          <w:u w:val="single"/>
        </w:rPr>
      </w:pPr>
    </w:p>
    <w:p w:rsidR="00D506A0" w:rsidP="00D506A0" w:rsidRDefault="00D506A0" w14:paraId="2F9C4311" w14:textId="77777777">
      <w:pPr>
        <w:jc w:val="center"/>
        <w:rPr>
          <w:b/>
          <w:bCs/>
          <w:sz w:val="24"/>
          <w:szCs w:val="24"/>
          <w:u w:val="single"/>
        </w:rPr>
      </w:pPr>
    </w:p>
    <w:p w:rsidR="00D506A0" w:rsidP="00D506A0" w:rsidRDefault="00D506A0" w14:paraId="75195250" w14:textId="77777777">
      <w:pPr>
        <w:jc w:val="center"/>
        <w:rPr>
          <w:b/>
          <w:bCs/>
          <w:sz w:val="24"/>
          <w:szCs w:val="24"/>
          <w:u w:val="single"/>
        </w:rPr>
      </w:pPr>
    </w:p>
    <w:p w:rsidR="00D506A0" w:rsidP="00D506A0" w:rsidRDefault="00D506A0" w14:paraId="762D6F97" w14:textId="77777777">
      <w:pPr>
        <w:jc w:val="center"/>
        <w:rPr>
          <w:b/>
          <w:bCs/>
          <w:sz w:val="24"/>
          <w:szCs w:val="24"/>
          <w:u w:val="single"/>
        </w:rPr>
      </w:pPr>
    </w:p>
    <w:p w:rsidR="00D506A0" w:rsidP="00D506A0" w:rsidRDefault="00D506A0" w14:paraId="63D0F470" w14:textId="77777777">
      <w:pPr>
        <w:jc w:val="center"/>
        <w:rPr>
          <w:b/>
          <w:bCs/>
          <w:sz w:val="24"/>
          <w:szCs w:val="24"/>
          <w:u w:val="single"/>
        </w:rPr>
      </w:pPr>
    </w:p>
    <w:p w:rsidR="00D506A0" w:rsidP="00D506A0" w:rsidRDefault="00D506A0" w14:paraId="0B860AD0" w14:textId="77777777">
      <w:pPr>
        <w:jc w:val="center"/>
        <w:rPr>
          <w:b/>
          <w:bCs/>
          <w:sz w:val="24"/>
          <w:szCs w:val="24"/>
          <w:u w:val="single"/>
        </w:rPr>
      </w:pPr>
    </w:p>
    <w:p w:rsidR="00D506A0" w:rsidP="00D506A0" w:rsidRDefault="00D506A0" w14:paraId="736D9D2D" w14:textId="77777777">
      <w:pPr>
        <w:jc w:val="center"/>
        <w:rPr>
          <w:b/>
          <w:bCs/>
          <w:sz w:val="24"/>
          <w:szCs w:val="24"/>
          <w:u w:val="single"/>
        </w:rPr>
      </w:pPr>
    </w:p>
    <w:p w:rsidR="00D506A0" w:rsidP="00D506A0" w:rsidRDefault="00D506A0" w14:paraId="0CB289A1" w14:textId="77777777">
      <w:pPr>
        <w:jc w:val="center"/>
        <w:rPr>
          <w:b/>
          <w:bCs/>
          <w:sz w:val="24"/>
          <w:szCs w:val="24"/>
          <w:u w:val="single"/>
        </w:rPr>
      </w:pPr>
    </w:p>
    <w:p w:rsidR="00D506A0" w:rsidP="00D506A0" w:rsidRDefault="00D506A0" w14:paraId="706488CD" w14:textId="77777777">
      <w:pPr>
        <w:jc w:val="center"/>
        <w:rPr>
          <w:b/>
          <w:bCs/>
          <w:sz w:val="24"/>
          <w:szCs w:val="24"/>
          <w:u w:val="single"/>
        </w:rPr>
      </w:pPr>
    </w:p>
    <w:p w:rsidR="00D506A0" w:rsidP="00D506A0" w:rsidRDefault="00D506A0" w14:paraId="6450D9CE" w14:textId="77777777">
      <w:pPr>
        <w:jc w:val="center"/>
        <w:rPr>
          <w:b/>
          <w:bCs/>
          <w:sz w:val="24"/>
          <w:szCs w:val="24"/>
          <w:u w:val="single"/>
        </w:rPr>
      </w:pPr>
    </w:p>
    <w:p w:rsidR="00D506A0" w:rsidP="00D506A0" w:rsidRDefault="00D506A0" w14:paraId="55CAEC32" w14:textId="77777777">
      <w:pPr>
        <w:jc w:val="center"/>
        <w:rPr>
          <w:b/>
          <w:bCs/>
          <w:sz w:val="24"/>
          <w:szCs w:val="24"/>
          <w:u w:val="single"/>
        </w:rPr>
      </w:pPr>
    </w:p>
    <w:p w:rsidR="00D506A0" w:rsidP="00D506A0" w:rsidRDefault="00D506A0" w14:paraId="37131BE8" w14:textId="77777777">
      <w:pPr>
        <w:jc w:val="center"/>
        <w:rPr>
          <w:b/>
          <w:bCs/>
          <w:sz w:val="24"/>
          <w:szCs w:val="24"/>
          <w:u w:val="single"/>
        </w:rPr>
      </w:pPr>
    </w:p>
    <w:p w:rsidR="00D506A0" w:rsidP="00D506A0" w:rsidRDefault="00D506A0" w14:paraId="0A11B7D3" w14:textId="77777777">
      <w:pPr>
        <w:jc w:val="center"/>
        <w:rPr>
          <w:b/>
          <w:bCs/>
          <w:sz w:val="24"/>
          <w:szCs w:val="24"/>
          <w:u w:val="single"/>
        </w:rPr>
      </w:pPr>
    </w:p>
    <w:p w:rsidR="00D506A0" w:rsidP="00D506A0" w:rsidRDefault="00D506A0" w14:paraId="167A58B6" w14:textId="77777777">
      <w:pPr>
        <w:jc w:val="center"/>
        <w:rPr>
          <w:b/>
          <w:bCs/>
          <w:sz w:val="24"/>
          <w:szCs w:val="24"/>
          <w:u w:val="single"/>
        </w:rPr>
      </w:pPr>
    </w:p>
    <w:p w:rsidR="00D506A0" w:rsidP="00D506A0" w:rsidRDefault="00D506A0" w14:paraId="095E1D9E" w14:textId="77777777">
      <w:pPr>
        <w:jc w:val="center"/>
        <w:rPr>
          <w:b/>
          <w:bCs/>
          <w:sz w:val="24"/>
          <w:szCs w:val="24"/>
          <w:u w:val="single"/>
        </w:rPr>
      </w:pPr>
    </w:p>
    <w:p w:rsidR="00D506A0" w:rsidP="00D506A0" w:rsidRDefault="00D506A0" w14:paraId="579F8049" w14:textId="77777777">
      <w:pPr>
        <w:jc w:val="center"/>
        <w:rPr>
          <w:b/>
          <w:bCs/>
          <w:sz w:val="24"/>
          <w:szCs w:val="24"/>
          <w:u w:val="single"/>
        </w:rPr>
      </w:pPr>
    </w:p>
    <w:p w:rsidR="00D506A0" w:rsidP="00D506A0" w:rsidRDefault="00D506A0" w14:paraId="0B9B58E3" w14:textId="77777777">
      <w:pPr>
        <w:jc w:val="center"/>
        <w:rPr>
          <w:b/>
          <w:bCs/>
          <w:sz w:val="24"/>
          <w:szCs w:val="24"/>
          <w:u w:val="single"/>
        </w:rPr>
      </w:pPr>
    </w:p>
    <w:p w:rsidR="00D506A0" w:rsidP="00D506A0" w:rsidRDefault="00D506A0" w14:paraId="50D34C93" w14:textId="77777777" w14:noSpellErr="1">
      <w:pPr>
        <w:jc w:val="center"/>
        <w:rPr>
          <w:b w:val="1"/>
          <w:bCs w:val="1"/>
          <w:sz w:val="24"/>
          <w:szCs w:val="24"/>
          <w:u w:val="single"/>
        </w:rPr>
      </w:pPr>
    </w:p>
    <w:p w:rsidR="26B8B4A8" w:rsidP="26B8B4A8" w:rsidRDefault="26B8B4A8" w14:paraId="142A1163" w14:textId="1E8E43AA">
      <w:pPr>
        <w:jc w:val="center"/>
        <w:rPr>
          <w:b w:val="1"/>
          <w:bCs w:val="1"/>
          <w:sz w:val="24"/>
          <w:szCs w:val="24"/>
          <w:u w:val="single"/>
        </w:rPr>
      </w:pPr>
    </w:p>
    <w:p w:rsidRPr="00D506A0" w:rsidR="008C136F" w:rsidP="5338E615" w:rsidRDefault="00D506A0" w14:paraId="37F3A191" w14:textId="5A9CEA3F">
      <w:pPr>
        <w:spacing w:line="360" w:lineRule="auto"/>
        <w:ind w:left="0"/>
        <w:jc w:val="center"/>
        <w:rPr>
          <w:b w:val="1"/>
          <w:bCs w:val="1"/>
          <w:sz w:val="24"/>
          <w:szCs w:val="24"/>
        </w:rPr>
      </w:pPr>
      <w:r w:rsidRPr="76310088" w:rsidR="52AD5B82">
        <w:rPr>
          <w:b w:val="1"/>
          <w:bCs w:val="1"/>
          <w:sz w:val="24"/>
          <w:szCs w:val="24"/>
          <w:u w:val="single"/>
        </w:rPr>
        <w:t>Case study and reflective account: Choose one of the case studies highlighted in the task description and critically engage with the two questions that follow the case.</w:t>
      </w:r>
    </w:p>
    <w:p w:rsidR="5A20166F" w:rsidP="76310088" w:rsidRDefault="5A20166F" w14:paraId="2DBE0EF5" w14:textId="044A9D11">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ACE’s (Adverse Childhood Experiences) often refers to a list of ten classifications of abuse, household dysfunction and neglect which are all experienced before the age of 18 (Bellis; Hughes; Lowey et al., 2014). UK national ACE studies reveal that around 50% of the UK population experiences one adverse childhood experience with 1 in 10 people experiencing four (ACEs, Wales 2017). In consideration to ACEs individuals who experience trauma may find it harder to trust others, find difficulty in </w:t>
      </w:r>
      <w:r w:rsidRPr="76310088" w:rsidR="5A20166F">
        <w:rPr>
          <w:rFonts w:ascii="Arial" w:hAnsi="Arial" w:eastAsia="Arial" w:cs="Arial"/>
          <w:b w:val="0"/>
          <w:bCs w:val="0"/>
          <w:noProof w:val="0"/>
          <w:sz w:val="24"/>
          <w:szCs w:val="24"/>
          <w:lang w:val="en-GB"/>
        </w:rPr>
        <w:t>maintaining</w:t>
      </w:r>
      <w:r w:rsidRPr="76310088" w:rsidR="5A20166F">
        <w:rPr>
          <w:rFonts w:ascii="Arial" w:hAnsi="Arial" w:eastAsia="Arial" w:cs="Arial"/>
          <w:b w:val="0"/>
          <w:bCs w:val="0"/>
          <w:noProof w:val="0"/>
          <w:sz w:val="24"/>
          <w:szCs w:val="24"/>
          <w:lang w:val="en-GB"/>
        </w:rPr>
        <w:t xml:space="preserve"> attention, show challenging behaviour or feel anxious, </w:t>
      </w:r>
      <w:r w:rsidRPr="76310088" w:rsidR="5A20166F">
        <w:rPr>
          <w:rFonts w:ascii="Arial" w:hAnsi="Arial" w:eastAsia="Arial" w:cs="Arial"/>
          <w:b w:val="0"/>
          <w:bCs w:val="0"/>
          <w:noProof w:val="0"/>
          <w:sz w:val="24"/>
          <w:szCs w:val="24"/>
          <w:lang w:val="en-GB"/>
        </w:rPr>
        <w:t>fearful</w:t>
      </w:r>
      <w:r w:rsidRPr="76310088" w:rsidR="5A20166F">
        <w:rPr>
          <w:rFonts w:ascii="Arial" w:hAnsi="Arial" w:eastAsia="Arial" w:cs="Arial"/>
          <w:b w:val="0"/>
          <w:bCs w:val="0"/>
          <w:noProof w:val="0"/>
          <w:sz w:val="24"/>
          <w:szCs w:val="24"/>
          <w:lang w:val="en-GB"/>
        </w:rPr>
        <w:t xml:space="preserve"> or withdrawn (Care Learning, 2025). There is also a vast amount of empirical research which links ACEs to many adverse health outcomes surrounding neurobiological, developmental, cognitive, behavioural, psychological, and social aspects amongst children and adolescents which can continue into adulthood (Lanier et al., 2018; Liming &amp; Grube, 2018). This case study revolves around the progression of attachment and emotional disruptions that occur in children or adolescents when trauma is </w:t>
      </w:r>
      <w:r w:rsidRPr="76310088" w:rsidR="5A20166F">
        <w:rPr>
          <w:rFonts w:ascii="Arial" w:hAnsi="Arial" w:eastAsia="Arial" w:cs="Arial"/>
          <w:b w:val="0"/>
          <w:bCs w:val="0"/>
          <w:noProof w:val="0"/>
          <w:sz w:val="24"/>
          <w:szCs w:val="24"/>
          <w:lang w:val="en-GB"/>
        </w:rPr>
        <w:t>apparent</w:t>
      </w:r>
      <w:r w:rsidRPr="76310088" w:rsidR="5A20166F">
        <w:rPr>
          <w:rFonts w:ascii="Arial" w:hAnsi="Arial" w:eastAsia="Arial" w:cs="Arial"/>
          <w:b w:val="0"/>
          <w:bCs w:val="0"/>
          <w:noProof w:val="0"/>
          <w:sz w:val="24"/>
          <w:szCs w:val="24"/>
          <w:lang w:val="en-GB"/>
        </w:rPr>
        <w:t xml:space="preserve">. An eleven-year-old boy has suffered due to the implications of ACEs from </w:t>
      </w:r>
      <w:r w:rsidRPr="76310088" w:rsidR="5A20166F">
        <w:rPr>
          <w:rFonts w:ascii="Arial" w:hAnsi="Arial" w:eastAsia="Arial" w:cs="Arial"/>
          <w:b w:val="0"/>
          <w:bCs w:val="0"/>
          <w:noProof w:val="0"/>
          <w:sz w:val="24"/>
          <w:szCs w:val="24"/>
          <w:lang w:val="en-GB"/>
        </w:rPr>
        <w:t>a very young</w:t>
      </w:r>
      <w:r w:rsidRPr="76310088" w:rsidR="5A20166F">
        <w:rPr>
          <w:rFonts w:ascii="Arial" w:hAnsi="Arial" w:eastAsia="Arial" w:cs="Arial"/>
          <w:b w:val="0"/>
          <w:bCs w:val="0"/>
          <w:noProof w:val="0"/>
          <w:sz w:val="24"/>
          <w:szCs w:val="24"/>
          <w:lang w:val="en-GB"/>
        </w:rPr>
        <w:t xml:space="preserve"> age, during this time he has moved homes multiple times, as a result he has become emotionally dysregulated and </w:t>
      </w:r>
      <w:r w:rsidRPr="76310088" w:rsidR="5A20166F">
        <w:rPr>
          <w:rFonts w:ascii="Arial" w:hAnsi="Arial" w:eastAsia="Arial" w:cs="Arial"/>
          <w:b w:val="0"/>
          <w:bCs w:val="0"/>
          <w:noProof w:val="0"/>
          <w:sz w:val="24"/>
          <w:szCs w:val="24"/>
          <w:lang w:val="en-GB"/>
        </w:rPr>
        <w:t>attained</w:t>
      </w:r>
      <w:r w:rsidRPr="76310088" w:rsidR="5A20166F">
        <w:rPr>
          <w:rFonts w:ascii="Arial" w:hAnsi="Arial" w:eastAsia="Arial" w:cs="Arial"/>
          <w:b w:val="0"/>
          <w:bCs w:val="0"/>
          <w:noProof w:val="0"/>
          <w:sz w:val="24"/>
          <w:szCs w:val="24"/>
          <w:lang w:val="en-GB"/>
        </w:rPr>
        <w:t xml:space="preserve"> progressive attachment to his current foster carer. To support adolescents who have experienced ACEs psychosocial interventions are effective in preventing internalising and externalising issues, helping to improve social and occupational functioning after 18 months (Macneil et al., 2012). Furthermore, within this case study CBT (Cognitive Behavioural Therapy), and Dyadic Developmental Psychotherapy (DDP) as interventions and the impact of ensuring self-care for adults working with the adolescent will also be discussed</w:t>
      </w:r>
      <w:r w:rsidRPr="76310088" w:rsidR="5A20166F">
        <w:rPr>
          <w:rFonts w:ascii="Arial" w:hAnsi="Arial" w:eastAsia="Arial" w:cs="Arial"/>
          <w:b w:val="0"/>
          <w:bCs w:val="0"/>
          <w:noProof w:val="0"/>
          <w:sz w:val="24"/>
          <w:szCs w:val="24"/>
          <w:lang w:val="en-GB"/>
        </w:rPr>
        <w:t xml:space="preserve">.  </w:t>
      </w:r>
    </w:p>
    <w:p w:rsidR="5A20166F" w:rsidP="76310088" w:rsidRDefault="5A20166F" w14:paraId="14B33878" w14:textId="5C655E8E">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Adverse childhood experiences compose a massive stress inducer with long-lasting adverse effects on the brain, physical and mental health. ACEs can intensely shape how our brains develop and the impact of childhood trauma on brain development is greater than formerly understood with lasting effects that occur in adulthood, leading to long-term structural changes in the brain and possible psychosocial impairments which are linked to several mental health challenges</w:t>
      </w:r>
      <w:r w:rsidRPr="76310088" w:rsidR="5A20166F">
        <w:rPr>
          <w:rFonts w:ascii="Arial" w:hAnsi="Arial" w:eastAsia="Arial" w:cs="Arial"/>
          <w:b w:val="0"/>
          <w:bCs w:val="0"/>
          <w:noProof w:val="0"/>
          <w:sz w:val="24"/>
          <w:szCs w:val="24"/>
          <w:lang w:val="en-GB"/>
        </w:rPr>
        <w:t xml:space="preserve">.  </w:t>
      </w:r>
    </w:p>
    <w:p w:rsidR="5A20166F" w:rsidP="76310088" w:rsidRDefault="5A20166F" w14:paraId="4A56CCB6" w14:textId="3436C584">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Empirical research in neuroscience has shown the impact of childhood trauma and the lasting effects on both the structure and functioning of the brain. The prefrontal cortex </w:t>
      </w:r>
      <w:r w:rsidRPr="76310088" w:rsidR="5A20166F">
        <w:rPr>
          <w:rFonts w:ascii="Arial" w:hAnsi="Arial" w:eastAsia="Arial" w:cs="Arial"/>
          <w:b w:val="0"/>
          <w:bCs w:val="0"/>
          <w:noProof w:val="0"/>
          <w:sz w:val="24"/>
          <w:szCs w:val="24"/>
          <w:lang w:val="en-GB"/>
        </w:rPr>
        <w:t>is located in</w:t>
      </w:r>
      <w:r w:rsidRPr="76310088" w:rsidR="5A20166F">
        <w:rPr>
          <w:rFonts w:ascii="Arial" w:hAnsi="Arial" w:eastAsia="Arial" w:cs="Arial"/>
          <w:b w:val="0"/>
          <w:bCs w:val="0"/>
          <w:noProof w:val="0"/>
          <w:sz w:val="24"/>
          <w:szCs w:val="24"/>
          <w:lang w:val="en-GB"/>
        </w:rPr>
        <w:t xml:space="preserve"> the brains’ frontal lobe, regulating thoughts, </w:t>
      </w:r>
      <w:r w:rsidRPr="76310088" w:rsidR="5A20166F">
        <w:rPr>
          <w:rFonts w:ascii="Arial" w:hAnsi="Arial" w:eastAsia="Arial" w:cs="Arial"/>
          <w:b w:val="0"/>
          <w:bCs w:val="0"/>
          <w:noProof w:val="0"/>
          <w:sz w:val="24"/>
          <w:szCs w:val="24"/>
          <w:lang w:val="en-GB"/>
        </w:rPr>
        <w:t>emotions</w:t>
      </w:r>
      <w:r w:rsidRPr="76310088" w:rsidR="5A20166F">
        <w:rPr>
          <w:rFonts w:ascii="Arial" w:hAnsi="Arial" w:eastAsia="Arial" w:cs="Arial"/>
          <w:b w:val="0"/>
          <w:bCs w:val="0"/>
          <w:noProof w:val="0"/>
          <w:sz w:val="24"/>
          <w:szCs w:val="24"/>
          <w:lang w:val="en-GB"/>
        </w:rPr>
        <w:t xml:space="preserve"> and behaviour. It is vital for carrying out a particular set of skills called executive functions, involving working memory, cognitive flexibility, inhibitory control, complex problem-solving and planning. This region of the brain is the last to fully mature continuing its development into early adulthood. Exposure to trauma is linked with delayed maturation, therefore when the prefrontal cortex is underdeveloped it has issues to successfully communicate with and regulate the hyperactive amygdala, weakening the ability to manage intense emotions and control impulsive behaviours. </w:t>
      </w:r>
    </w:p>
    <w:p w:rsidR="5A20166F" w:rsidP="76310088" w:rsidRDefault="5A20166F" w14:paraId="3DB94386" w14:textId="2E233921">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The limbic system is a group of structures within the brain that regulate emotions, behaviour, </w:t>
      </w:r>
      <w:r w:rsidRPr="76310088" w:rsidR="5A20166F">
        <w:rPr>
          <w:rFonts w:ascii="Arial" w:hAnsi="Arial" w:eastAsia="Arial" w:cs="Arial"/>
          <w:b w:val="0"/>
          <w:bCs w:val="0"/>
          <w:noProof w:val="0"/>
          <w:sz w:val="24"/>
          <w:szCs w:val="24"/>
          <w:lang w:val="en-GB"/>
        </w:rPr>
        <w:t>motivation</w:t>
      </w:r>
      <w:r w:rsidRPr="76310088" w:rsidR="5A20166F">
        <w:rPr>
          <w:rFonts w:ascii="Arial" w:hAnsi="Arial" w:eastAsia="Arial" w:cs="Arial"/>
          <w:b w:val="0"/>
          <w:bCs w:val="0"/>
          <w:noProof w:val="0"/>
          <w:sz w:val="24"/>
          <w:szCs w:val="24"/>
          <w:lang w:val="en-GB"/>
        </w:rPr>
        <w:t xml:space="preserve"> and memory. There are four main structures of the limbic system. The hypothalamus, this produces hormones, helps you sleep and manages mood, </w:t>
      </w:r>
      <w:r w:rsidRPr="76310088" w:rsidR="5A20166F">
        <w:rPr>
          <w:rFonts w:ascii="Arial" w:hAnsi="Arial" w:eastAsia="Arial" w:cs="Arial"/>
          <w:b w:val="0"/>
          <w:bCs w:val="0"/>
          <w:noProof w:val="0"/>
          <w:sz w:val="24"/>
          <w:szCs w:val="24"/>
          <w:lang w:val="en-GB"/>
        </w:rPr>
        <w:t>hunger</w:t>
      </w:r>
      <w:r w:rsidRPr="76310088" w:rsidR="5A20166F">
        <w:rPr>
          <w:rFonts w:ascii="Arial" w:hAnsi="Arial" w:eastAsia="Arial" w:cs="Arial"/>
          <w:b w:val="0"/>
          <w:bCs w:val="0"/>
          <w:noProof w:val="0"/>
          <w:sz w:val="24"/>
          <w:szCs w:val="24"/>
          <w:lang w:val="en-GB"/>
        </w:rPr>
        <w:t xml:space="preserve"> and thirst, alongside blood pressure, body </w:t>
      </w:r>
      <w:r w:rsidRPr="76310088" w:rsidR="5A20166F">
        <w:rPr>
          <w:rFonts w:ascii="Arial" w:hAnsi="Arial" w:eastAsia="Arial" w:cs="Arial"/>
          <w:b w:val="0"/>
          <w:bCs w:val="0"/>
          <w:noProof w:val="0"/>
          <w:sz w:val="24"/>
          <w:szCs w:val="24"/>
          <w:lang w:val="en-GB"/>
        </w:rPr>
        <w:t>temperature</w:t>
      </w:r>
      <w:r w:rsidRPr="76310088" w:rsidR="5A20166F">
        <w:rPr>
          <w:rFonts w:ascii="Arial" w:hAnsi="Arial" w:eastAsia="Arial" w:cs="Arial"/>
          <w:b w:val="0"/>
          <w:bCs w:val="0"/>
          <w:noProof w:val="0"/>
          <w:sz w:val="24"/>
          <w:szCs w:val="24"/>
          <w:lang w:val="en-GB"/>
        </w:rPr>
        <w:t xml:space="preserve"> and heart rate. The thalamus which processes sensory information and helps with memory, planning and emotions. The hippocampus which </w:t>
      </w:r>
      <w:r w:rsidRPr="76310088" w:rsidR="5A20166F">
        <w:rPr>
          <w:rFonts w:ascii="Arial" w:hAnsi="Arial" w:eastAsia="Arial" w:cs="Arial"/>
          <w:b w:val="0"/>
          <w:bCs w:val="0"/>
          <w:noProof w:val="0"/>
          <w:sz w:val="24"/>
          <w:szCs w:val="24"/>
          <w:lang w:val="en-GB"/>
        </w:rPr>
        <w:t>is responsible for</w:t>
      </w:r>
      <w:r w:rsidRPr="76310088" w:rsidR="5A20166F">
        <w:rPr>
          <w:rFonts w:ascii="Arial" w:hAnsi="Arial" w:eastAsia="Arial" w:cs="Arial"/>
          <w:b w:val="0"/>
          <w:bCs w:val="0"/>
          <w:noProof w:val="0"/>
          <w:sz w:val="24"/>
          <w:szCs w:val="24"/>
          <w:lang w:val="en-GB"/>
        </w:rPr>
        <w:t xml:space="preserve"> your ability to form new memories, special </w:t>
      </w:r>
      <w:r w:rsidRPr="76310088" w:rsidR="5A20166F">
        <w:rPr>
          <w:rFonts w:ascii="Arial" w:hAnsi="Arial" w:eastAsia="Arial" w:cs="Arial"/>
          <w:b w:val="0"/>
          <w:bCs w:val="0"/>
          <w:noProof w:val="0"/>
          <w:sz w:val="24"/>
          <w:szCs w:val="24"/>
          <w:lang w:val="en-GB"/>
        </w:rPr>
        <w:t>awareness</w:t>
      </w:r>
      <w:r w:rsidRPr="76310088" w:rsidR="5A20166F">
        <w:rPr>
          <w:rFonts w:ascii="Arial" w:hAnsi="Arial" w:eastAsia="Arial" w:cs="Arial"/>
          <w:b w:val="0"/>
          <w:bCs w:val="0"/>
          <w:noProof w:val="0"/>
          <w:sz w:val="24"/>
          <w:szCs w:val="24"/>
          <w:lang w:val="en-GB"/>
        </w:rPr>
        <w:t xml:space="preserve"> and learning. Chronic exposure to high levels of stress is related to a reduction in hippocampal volume, therefore this reduction may contribute to difficulties in distinguishing past memories from present experiences, leading to intrusive thoughts and issues with declarative memory, and the amygdala which plays a role in how you experience emotions and feelings, memories and social interpretations (Cleveland Clinic, 2024). </w:t>
      </w:r>
    </w:p>
    <w:p w:rsidR="5A20166F" w:rsidP="76310088" w:rsidRDefault="5A20166F" w14:paraId="310ECCCC" w14:textId="2789C874">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One key finding is the overactivation of the amygdala, which forms part of the brains limbic system, functioning as a neural hub for fear, emotional processing and socioemotional development (DE Bellis &amp; Zisk, 2014; Hackman, Farah, &amp; Meaney, 2010) and is involved in the regulation of the body’s fight, flight or freeze response. When ongoing trauma is present this region becomes hypersensitive to threat which can become problematic (</w:t>
      </w:r>
      <w:r w:rsidRPr="76310088" w:rsidR="5A20166F">
        <w:rPr>
          <w:rFonts w:ascii="Arial" w:hAnsi="Arial" w:eastAsia="Arial" w:cs="Arial"/>
          <w:b w:val="0"/>
          <w:bCs w:val="0"/>
          <w:noProof w:val="0"/>
          <w:sz w:val="24"/>
          <w:szCs w:val="24"/>
          <w:lang w:val="en-GB"/>
        </w:rPr>
        <w:t>Aloneftis</w:t>
      </w:r>
      <w:r w:rsidRPr="76310088" w:rsidR="5A20166F">
        <w:rPr>
          <w:rFonts w:ascii="Arial" w:hAnsi="Arial" w:eastAsia="Arial" w:cs="Arial"/>
          <w:b w:val="0"/>
          <w:bCs w:val="0"/>
          <w:noProof w:val="0"/>
          <w:sz w:val="24"/>
          <w:szCs w:val="24"/>
          <w:lang w:val="en-GB"/>
        </w:rPr>
        <w:t>, R, 2025). Additionally, the amygdala is also inclusive of the processing of social and moral emotions, such as empathy and guilt, these functions are essential for survival and help individuals to respond to emotional situations in a suitable approach. In children exposed to trauma, brain imaging often reveals an enlargement of the amygdala. Meaning that the brains alarm system is sensitive and quick to activate, even in response to minor stimuli</w:t>
      </w:r>
      <w:r w:rsidRPr="76310088" w:rsidR="5A20166F">
        <w:rPr>
          <w:rFonts w:ascii="Arial" w:hAnsi="Arial" w:eastAsia="Arial" w:cs="Arial"/>
          <w:b w:val="0"/>
          <w:bCs w:val="0"/>
          <w:noProof w:val="0"/>
          <w:sz w:val="24"/>
          <w:szCs w:val="24"/>
          <w:lang w:val="en-GB"/>
        </w:rPr>
        <w:t xml:space="preserve">.  </w:t>
      </w:r>
    </w:p>
    <w:p w:rsidR="5A20166F" w:rsidP="76310088" w:rsidRDefault="5A20166F" w14:paraId="0CA47BC7" w14:textId="27CCFF75">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The limbic system plays a crucial role in processing emotions and memories, therefore during stressful or emotional times, the system is activated to process these feelings. Research has shown that preschool children are vulnerable to the long-term effects of ACEs because of their behavioural immaturity, constrained coping </w:t>
      </w:r>
      <w:r w:rsidRPr="76310088" w:rsidR="5A20166F">
        <w:rPr>
          <w:rFonts w:ascii="Arial" w:hAnsi="Arial" w:eastAsia="Arial" w:cs="Arial"/>
          <w:b w:val="0"/>
          <w:bCs w:val="0"/>
          <w:noProof w:val="0"/>
          <w:sz w:val="24"/>
          <w:szCs w:val="24"/>
          <w:lang w:val="en-GB"/>
        </w:rPr>
        <w:t>skills</w:t>
      </w:r>
      <w:r w:rsidRPr="76310088" w:rsidR="5A20166F">
        <w:rPr>
          <w:rFonts w:ascii="Arial" w:hAnsi="Arial" w:eastAsia="Arial" w:cs="Arial"/>
          <w:b w:val="0"/>
          <w:bCs w:val="0"/>
          <w:noProof w:val="0"/>
          <w:sz w:val="24"/>
          <w:szCs w:val="24"/>
          <w:lang w:val="en-GB"/>
        </w:rPr>
        <w:t xml:space="preserve"> and brain flexibility with immature sensory, </w:t>
      </w:r>
      <w:r w:rsidRPr="76310088" w:rsidR="5A20166F">
        <w:rPr>
          <w:rFonts w:ascii="Arial" w:hAnsi="Arial" w:eastAsia="Arial" w:cs="Arial"/>
          <w:b w:val="0"/>
          <w:bCs w:val="0"/>
          <w:noProof w:val="0"/>
          <w:sz w:val="24"/>
          <w:szCs w:val="24"/>
          <w:lang w:val="en-GB"/>
        </w:rPr>
        <w:t>motor</w:t>
      </w:r>
      <w:r w:rsidRPr="76310088" w:rsidR="5A20166F">
        <w:rPr>
          <w:rFonts w:ascii="Arial" w:hAnsi="Arial" w:eastAsia="Arial" w:cs="Arial"/>
          <w:b w:val="0"/>
          <w:bCs w:val="0"/>
          <w:noProof w:val="0"/>
          <w:sz w:val="24"/>
          <w:szCs w:val="24"/>
          <w:lang w:val="en-GB"/>
        </w:rPr>
        <w:t xml:space="preserve"> and neuroendocrine systems (</w:t>
      </w:r>
      <w:r w:rsidRPr="76310088" w:rsidR="5A20166F">
        <w:rPr>
          <w:rFonts w:ascii="Arial" w:hAnsi="Arial" w:eastAsia="Arial" w:cs="Arial"/>
          <w:b w:val="0"/>
          <w:bCs w:val="0"/>
          <w:noProof w:val="0"/>
          <w:sz w:val="24"/>
          <w:szCs w:val="24"/>
          <w:lang w:val="en-GB"/>
        </w:rPr>
        <w:t>Charmadari</w:t>
      </w:r>
      <w:r w:rsidRPr="76310088" w:rsidR="5A20166F">
        <w:rPr>
          <w:rFonts w:ascii="Arial" w:hAnsi="Arial" w:eastAsia="Arial" w:cs="Arial"/>
          <w:b w:val="0"/>
          <w:bCs w:val="0"/>
          <w:noProof w:val="0"/>
          <w:sz w:val="24"/>
          <w:szCs w:val="24"/>
          <w:lang w:val="en-GB"/>
        </w:rPr>
        <w:t xml:space="preserve"> et al., (2003); Garner et al., (2012); Johnson et al., (2013)</w:t>
      </w:r>
      <w:r w:rsidRPr="76310088" w:rsidR="5A20166F">
        <w:rPr>
          <w:rFonts w:ascii="Arial" w:hAnsi="Arial" w:eastAsia="Arial" w:cs="Arial"/>
          <w:b w:val="0"/>
          <w:bCs w:val="0"/>
          <w:noProof w:val="0"/>
          <w:sz w:val="24"/>
          <w:szCs w:val="24"/>
          <w:lang w:val="en-GB"/>
        </w:rPr>
        <w:t xml:space="preserve">.  </w:t>
      </w:r>
    </w:p>
    <w:p w:rsidR="5A20166F" w:rsidP="76310088" w:rsidRDefault="5A20166F" w14:paraId="3722A6B3" w14:textId="54CD14DD">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Whilst chronic trauma can create considerable alterations, the brain is not enduringly fixed in this state of survival. Neuroplasticity, the brain’s ability to reorganise itself by forming new neural connections, early trauma can be reduced, and the brain can be rewired through new, </w:t>
      </w:r>
      <w:r w:rsidRPr="76310088" w:rsidR="5A20166F">
        <w:rPr>
          <w:rFonts w:ascii="Arial" w:hAnsi="Arial" w:eastAsia="Arial" w:cs="Arial"/>
          <w:b w:val="0"/>
          <w:bCs w:val="0"/>
          <w:noProof w:val="0"/>
          <w:sz w:val="24"/>
          <w:szCs w:val="24"/>
          <w:lang w:val="en-GB"/>
        </w:rPr>
        <w:t>safe</w:t>
      </w:r>
      <w:r w:rsidRPr="76310088" w:rsidR="5A20166F">
        <w:rPr>
          <w:rFonts w:ascii="Arial" w:hAnsi="Arial" w:eastAsia="Arial" w:cs="Arial"/>
          <w:b w:val="0"/>
          <w:bCs w:val="0"/>
          <w:noProof w:val="0"/>
          <w:sz w:val="24"/>
          <w:szCs w:val="24"/>
          <w:lang w:val="en-GB"/>
        </w:rPr>
        <w:t xml:space="preserve"> and consistent experiences. Secure attachments, positive </w:t>
      </w:r>
      <w:r w:rsidRPr="76310088" w:rsidR="5A20166F">
        <w:rPr>
          <w:rFonts w:ascii="Arial" w:hAnsi="Arial" w:eastAsia="Arial" w:cs="Arial"/>
          <w:b w:val="0"/>
          <w:bCs w:val="0"/>
          <w:noProof w:val="0"/>
          <w:sz w:val="24"/>
          <w:szCs w:val="24"/>
          <w:lang w:val="en-GB"/>
        </w:rPr>
        <w:t>relationships</w:t>
      </w:r>
      <w:r w:rsidRPr="76310088" w:rsidR="5A20166F">
        <w:rPr>
          <w:rFonts w:ascii="Arial" w:hAnsi="Arial" w:eastAsia="Arial" w:cs="Arial"/>
          <w:b w:val="0"/>
          <w:bCs w:val="0"/>
          <w:noProof w:val="0"/>
          <w:sz w:val="24"/>
          <w:szCs w:val="24"/>
          <w:lang w:val="en-GB"/>
        </w:rPr>
        <w:t xml:space="preserve"> and consistency provide the necessary environmental input to foster healing, helping to re-regulate and signalling the brain that the environment is safe and the persistent threat is no longer present. This consistency in safety encourages the growth and developed function of the prefrontal cortex, strengthening the ability to regulate the amygdala. (Science Insights., 2025)</w:t>
      </w:r>
      <w:r w:rsidRPr="76310088" w:rsidR="5A20166F">
        <w:rPr>
          <w:rFonts w:ascii="Arial" w:hAnsi="Arial" w:eastAsia="Arial" w:cs="Arial"/>
          <w:b w:val="0"/>
          <w:bCs w:val="0"/>
          <w:noProof w:val="0"/>
          <w:sz w:val="24"/>
          <w:szCs w:val="24"/>
          <w:lang w:val="en-GB"/>
        </w:rPr>
        <w:t xml:space="preserve">.  </w:t>
      </w:r>
      <w:r w:rsidRPr="76310088" w:rsidR="5A20166F">
        <w:rPr>
          <w:rFonts w:ascii="Arial" w:hAnsi="Arial" w:eastAsia="Arial" w:cs="Arial"/>
          <w:b w:val="0"/>
          <w:bCs w:val="0"/>
          <w:noProof w:val="0"/>
          <w:sz w:val="24"/>
          <w:szCs w:val="24"/>
          <w:lang w:val="en-GB"/>
        </w:rPr>
        <w:t xml:space="preserve"> </w:t>
      </w:r>
    </w:p>
    <w:p w:rsidR="5A20166F" w:rsidP="76310088" w:rsidRDefault="5A20166F" w14:paraId="57088FA2" w14:textId="4052C763">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The relationship between later adult health outcomes and risk behaviours and ACEs has been well established (Larkin et al., 2012). Earlier research by </w:t>
      </w:r>
      <w:r w:rsidRPr="76310088" w:rsidR="5A20166F">
        <w:rPr>
          <w:rFonts w:ascii="Arial" w:hAnsi="Arial" w:eastAsia="Arial" w:cs="Arial"/>
          <w:b w:val="0"/>
          <w:bCs w:val="0"/>
          <w:noProof w:val="0"/>
          <w:sz w:val="24"/>
          <w:szCs w:val="24"/>
          <w:lang w:val="en-GB"/>
        </w:rPr>
        <w:t>Felitti</w:t>
      </w:r>
      <w:r w:rsidRPr="76310088" w:rsidR="5A20166F">
        <w:rPr>
          <w:rFonts w:ascii="Arial" w:hAnsi="Arial" w:eastAsia="Arial" w:cs="Arial"/>
          <w:b w:val="0"/>
          <w:bCs w:val="0"/>
          <w:noProof w:val="0"/>
          <w:sz w:val="24"/>
          <w:szCs w:val="24"/>
          <w:lang w:val="en-GB"/>
        </w:rPr>
        <w:t xml:space="preserve"> and colleagues (1998) explored the following types of ACEs: incarceration, mental illness, physical </w:t>
      </w:r>
      <w:r w:rsidRPr="76310088" w:rsidR="5A20166F">
        <w:rPr>
          <w:rFonts w:ascii="Arial" w:hAnsi="Arial" w:eastAsia="Arial" w:cs="Arial"/>
          <w:b w:val="0"/>
          <w:bCs w:val="0"/>
          <w:noProof w:val="0"/>
          <w:sz w:val="24"/>
          <w:szCs w:val="24"/>
          <w:lang w:val="en-GB"/>
        </w:rPr>
        <w:t>abuse</w:t>
      </w:r>
      <w:r w:rsidRPr="76310088" w:rsidR="5A20166F">
        <w:rPr>
          <w:rFonts w:ascii="Arial" w:hAnsi="Arial" w:eastAsia="Arial" w:cs="Arial"/>
          <w:b w:val="0"/>
          <w:bCs w:val="0"/>
          <w:noProof w:val="0"/>
          <w:sz w:val="24"/>
          <w:szCs w:val="24"/>
          <w:lang w:val="en-GB"/>
        </w:rPr>
        <w:t xml:space="preserve"> and neglect; emotional abuse and neglect; sexual abuse; </w:t>
      </w:r>
      <w:r w:rsidRPr="76310088" w:rsidR="5A20166F">
        <w:rPr>
          <w:rFonts w:ascii="Arial" w:hAnsi="Arial" w:eastAsia="Arial" w:cs="Arial"/>
          <w:b w:val="0"/>
          <w:bCs w:val="0"/>
          <w:noProof w:val="0"/>
          <w:sz w:val="24"/>
          <w:szCs w:val="24"/>
          <w:lang w:val="en-GB"/>
        </w:rPr>
        <w:t>witnessing</w:t>
      </w:r>
      <w:r w:rsidRPr="76310088" w:rsidR="5A20166F">
        <w:rPr>
          <w:rFonts w:ascii="Arial" w:hAnsi="Arial" w:eastAsia="Arial" w:cs="Arial"/>
          <w:b w:val="0"/>
          <w:bCs w:val="0"/>
          <w:noProof w:val="0"/>
          <w:sz w:val="24"/>
          <w:szCs w:val="24"/>
          <w:lang w:val="en-GB"/>
        </w:rPr>
        <w:t xml:space="preserve"> domestic violence; and living with a family member who experienced chemical dependence</w:t>
      </w:r>
      <w:r w:rsidRPr="76310088" w:rsidR="5A20166F">
        <w:rPr>
          <w:rFonts w:ascii="Arial" w:hAnsi="Arial" w:eastAsia="Arial" w:cs="Arial"/>
          <w:b w:val="0"/>
          <w:bCs w:val="0"/>
          <w:noProof w:val="0"/>
          <w:sz w:val="24"/>
          <w:szCs w:val="24"/>
          <w:lang w:val="en-GB"/>
        </w:rPr>
        <w:t xml:space="preserve">.  </w:t>
      </w:r>
      <w:r w:rsidRPr="76310088" w:rsidR="5A20166F">
        <w:rPr>
          <w:rFonts w:ascii="Arial" w:hAnsi="Arial" w:eastAsia="Arial" w:cs="Arial"/>
          <w:b w:val="0"/>
          <w:bCs w:val="0"/>
          <w:noProof w:val="0"/>
          <w:sz w:val="24"/>
          <w:szCs w:val="24"/>
          <w:lang w:val="en-GB"/>
        </w:rPr>
        <w:t xml:space="preserve">There is a strong relationship between reports of ACEs and poor adult physical and mental health outcomes. Recent studies have clarified this relationship, regularly finding links between ACEs, poor physical and mental health </w:t>
      </w:r>
      <w:r w:rsidRPr="76310088" w:rsidR="5A20166F">
        <w:rPr>
          <w:rFonts w:ascii="Arial" w:hAnsi="Arial" w:eastAsia="Arial" w:cs="Arial"/>
          <w:b w:val="0"/>
          <w:bCs w:val="0"/>
          <w:noProof w:val="0"/>
          <w:sz w:val="24"/>
          <w:szCs w:val="24"/>
          <w:lang w:val="en-GB"/>
        </w:rPr>
        <w:t>outcomes</w:t>
      </w:r>
      <w:r w:rsidRPr="76310088" w:rsidR="5A20166F">
        <w:rPr>
          <w:rFonts w:ascii="Arial" w:hAnsi="Arial" w:eastAsia="Arial" w:cs="Arial"/>
          <w:b w:val="0"/>
          <w:bCs w:val="0"/>
          <w:noProof w:val="0"/>
          <w:sz w:val="24"/>
          <w:szCs w:val="24"/>
          <w:lang w:val="en-GB"/>
        </w:rPr>
        <w:t xml:space="preserve"> and risk behaviours. Health outcomes linked to ACEs include stroke, diabetes, chronic disease (Gilbert et al., 2015), heart disease (Dong et al, 2004) and cancer (Brown et al., 2010). Additionally, mental health outcomes related to ACEs include suicidality (Dube et al., 2001;</w:t>
      </w:r>
      <w:r w:rsidRPr="76310088" w:rsidR="5A20166F">
        <w:rPr>
          <w:rFonts w:ascii="Arial" w:hAnsi="Arial" w:eastAsia="Arial" w:cs="Arial"/>
          <w:b w:val="0"/>
          <w:bCs w:val="0"/>
          <w:noProof w:val="0"/>
          <w:sz w:val="24"/>
          <w:szCs w:val="24"/>
          <w:lang w:val="en-GB"/>
        </w:rPr>
        <w:t> </w:t>
      </w:r>
      <w:r w:rsidRPr="76310088" w:rsidR="5A20166F">
        <w:rPr>
          <w:rFonts w:ascii="Arial" w:hAnsi="Arial" w:eastAsia="Arial" w:cs="Arial"/>
          <w:b w:val="0"/>
          <w:bCs w:val="0"/>
          <w:noProof w:val="0"/>
          <w:sz w:val="24"/>
          <w:szCs w:val="24"/>
          <w:lang w:val="en-GB"/>
        </w:rPr>
        <w:t>Merrick et al., 2017), anxiety and post-traumatic stress disorders (Cougle et al., 2010) and depression (Anda et al., 2002; Chapman et al, 2004; Edwards et al., 2003) as well as substance misuse</w:t>
      </w:r>
      <w:r w:rsidRPr="76310088" w:rsidR="5A20166F">
        <w:rPr>
          <w:rFonts w:ascii="Arial" w:hAnsi="Arial" w:eastAsia="Arial" w:cs="Arial"/>
          <w:b w:val="0"/>
          <w:bCs w:val="0"/>
          <w:noProof w:val="0"/>
          <w:sz w:val="24"/>
          <w:szCs w:val="24"/>
          <w:lang w:val="en-GB"/>
        </w:rPr>
        <w:t xml:space="preserve">.  </w:t>
      </w:r>
    </w:p>
    <w:p w:rsidR="5A20166F" w:rsidP="76310088" w:rsidRDefault="5A20166F" w14:paraId="53306159" w14:textId="7F64EC3F">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Building on strengthening current and potential research with adolescents, some studies have investigated risk behaviours related to adolescent ACEs, though most studies have focused on the relationship between ACEs and a few behaviours (E.g. violence perpetration and substance misuse). Hamburger and colleagues (2008) found that adolescents 11-16 years who had </w:t>
      </w:r>
      <w:r w:rsidRPr="76310088" w:rsidR="5A20166F">
        <w:rPr>
          <w:rFonts w:ascii="Arial" w:hAnsi="Arial" w:eastAsia="Arial" w:cs="Arial"/>
          <w:b w:val="0"/>
          <w:bCs w:val="0"/>
          <w:noProof w:val="0"/>
          <w:sz w:val="24"/>
          <w:szCs w:val="24"/>
          <w:lang w:val="en-GB"/>
        </w:rPr>
        <w:t>witnessed</w:t>
      </w:r>
      <w:r w:rsidRPr="76310088" w:rsidR="5A20166F">
        <w:rPr>
          <w:rFonts w:ascii="Arial" w:hAnsi="Arial" w:eastAsia="Arial" w:cs="Arial"/>
          <w:b w:val="0"/>
          <w:bCs w:val="0"/>
          <w:noProof w:val="0"/>
          <w:sz w:val="24"/>
          <w:szCs w:val="24"/>
          <w:lang w:val="en-GB"/>
        </w:rPr>
        <w:t xml:space="preserve"> domestic violence and/or experienced sexual or physical abuse were linked with an increased risk of alcohol misuse during adolescence. Likewise, Duke and colleagues (2010) found that abuse and household dysfunction were notably associated with interpersonal violence, such as bullying, physical violence and self-directed violence. These findings support the importance of early intervention approach </w:t>
      </w:r>
      <w:r w:rsidRPr="76310088" w:rsidR="5A20166F">
        <w:rPr>
          <w:rFonts w:ascii="Arial" w:hAnsi="Arial" w:eastAsia="Arial" w:cs="Arial"/>
          <w:b w:val="0"/>
          <w:bCs w:val="0"/>
          <w:noProof w:val="0"/>
          <w:sz w:val="24"/>
          <w:szCs w:val="24"/>
          <w:lang w:val="en-GB"/>
        </w:rPr>
        <w:t>in order to</w:t>
      </w:r>
      <w:r w:rsidRPr="76310088" w:rsidR="5A20166F">
        <w:rPr>
          <w:rFonts w:ascii="Arial" w:hAnsi="Arial" w:eastAsia="Arial" w:cs="Arial"/>
          <w:b w:val="0"/>
          <w:bCs w:val="0"/>
          <w:noProof w:val="0"/>
          <w:sz w:val="24"/>
          <w:szCs w:val="24"/>
          <w:lang w:val="en-GB"/>
        </w:rPr>
        <w:t xml:space="preserve"> avert early signs or symptoms of the impact of trauma from intensifying</w:t>
      </w:r>
      <w:r w:rsidRPr="76310088" w:rsidR="5A20166F">
        <w:rPr>
          <w:rFonts w:ascii="Arial" w:hAnsi="Arial" w:eastAsia="Arial" w:cs="Arial"/>
          <w:b w:val="0"/>
          <w:bCs w:val="0"/>
          <w:noProof w:val="0"/>
          <w:sz w:val="24"/>
          <w:szCs w:val="24"/>
          <w:lang w:val="en-GB"/>
        </w:rPr>
        <w:t xml:space="preserve">.  </w:t>
      </w:r>
    </w:p>
    <w:p w:rsidR="5A20166F" w:rsidP="76310088" w:rsidRDefault="5A20166F" w14:paraId="0B6C59E7" w14:textId="18B777BC">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In relation to the case study for Jack the trauma related issues began when he was very young, he was removed from his home by the age of two, due to a chaotic violent home life which involved exposure to physical abuse and neglect witnessing violence towards his mother by his father. By the time he was three he was back at home before finally being removed permanently by the age of 5. From the age of 5 he had lived in various family homes and foster care placements. He can be emotionally dysregulated and has become progressively attached to his foster carer, also suffering with social aspects within school settings with his peers and finds it difficult to regulate his emotions, in turn becoming physically aggressive when he is unable to complete a task or in some social settings. Interventions are crucial to support with his development and minimising the affects that ACEs can contribute to in adulthood</w:t>
      </w:r>
      <w:r w:rsidRPr="76310088" w:rsidR="5A20166F">
        <w:rPr>
          <w:rFonts w:ascii="Arial" w:hAnsi="Arial" w:eastAsia="Arial" w:cs="Arial"/>
          <w:b w:val="0"/>
          <w:bCs w:val="0"/>
          <w:noProof w:val="0"/>
          <w:sz w:val="24"/>
          <w:szCs w:val="24"/>
          <w:lang w:val="en-GB"/>
        </w:rPr>
        <w:t xml:space="preserve">.  </w:t>
      </w:r>
    </w:p>
    <w:p w:rsidR="5A20166F" w:rsidP="76310088" w:rsidRDefault="5A20166F" w14:paraId="358D0769" w14:textId="57392444">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Trauma-informed care (TIC) can play </w:t>
      </w:r>
      <w:r w:rsidRPr="76310088" w:rsidR="5A20166F">
        <w:rPr>
          <w:rFonts w:ascii="Arial" w:hAnsi="Arial" w:eastAsia="Arial" w:cs="Arial"/>
          <w:b w:val="0"/>
          <w:bCs w:val="0"/>
          <w:noProof w:val="0"/>
          <w:sz w:val="24"/>
          <w:szCs w:val="24"/>
          <w:lang w:val="en-GB"/>
        </w:rPr>
        <w:t>a central role</w:t>
      </w:r>
      <w:r w:rsidRPr="76310088" w:rsidR="5A20166F">
        <w:rPr>
          <w:rFonts w:ascii="Arial" w:hAnsi="Arial" w:eastAsia="Arial" w:cs="Arial"/>
          <w:b w:val="0"/>
          <w:bCs w:val="0"/>
          <w:noProof w:val="0"/>
          <w:sz w:val="24"/>
          <w:szCs w:val="24"/>
          <w:lang w:val="en-GB"/>
        </w:rPr>
        <w:t xml:space="preserve"> in minimising negative consequences however it is unknown how TIC should be implemented. Trauma-informed care is a strength-based framework that accepts that individuals are more likely than not to have a history of trauma and acknowledges the role that trauma can play in the lives of service users, care </w:t>
      </w:r>
      <w:r w:rsidRPr="76310088" w:rsidR="5A20166F">
        <w:rPr>
          <w:rFonts w:ascii="Arial" w:hAnsi="Arial" w:eastAsia="Arial" w:cs="Arial"/>
          <w:b w:val="0"/>
          <w:bCs w:val="0"/>
          <w:noProof w:val="0"/>
          <w:sz w:val="24"/>
          <w:szCs w:val="24"/>
          <w:lang w:val="en-GB"/>
        </w:rPr>
        <w:t>providers</w:t>
      </w:r>
      <w:r w:rsidRPr="76310088" w:rsidR="5A20166F">
        <w:rPr>
          <w:rFonts w:ascii="Arial" w:hAnsi="Arial" w:eastAsia="Arial" w:cs="Arial"/>
          <w:b w:val="0"/>
          <w:bCs w:val="0"/>
          <w:noProof w:val="0"/>
          <w:sz w:val="24"/>
          <w:szCs w:val="24"/>
          <w:lang w:val="en-GB"/>
        </w:rPr>
        <w:t xml:space="preserve"> and the public (Harris and Fallot., 2001). The idea was to consider how establishments should provide services in a manner which is welcoming and </w:t>
      </w:r>
      <w:r w:rsidRPr="76310088" w:rsidR="5A20166F">
        <w:rPr>
          <w:rFonts w:ascii="Arial" w:hAnsi="Arial" w:eastAsia="Arial" w:cs="Arial"/>
          <w:b w:val="0"/>
          <w:bCs w:val="0"/>
          <w:noProof w:val="0"/>
          <w:sz w:val="24"/>
          <w:szCs w:val="24"/>
          <w:lang w:val="en-GB"/>
        </w:rPr>
        <w:t>appropriate for</w:t>
      </w:r>
      <w:r w:rsidRPr="76310088" w:rsidR="5A20166F">
        <w:rPr>
          <w:rFonts w:ascii="Arial" w:hAnsi="Arial" w:eastAsia="Arial" w:cs="Arial"/>
          <w:b w:val="0"/>
          <w:bCs w:val="0"/>
          <w:noProof w:val="0"/>
          <w:sz w:val="24"/>
          <w:szCs w:val="24"/>
          <w:lang w:val="en-GB"/>
        </w:rPr>
        <w:t xml:space="preserve"> the needs of trauma survivors. TIC is holistic and offers a sense of control to the service user, by integrating the six guiding principles: safety; peer support; trustworthiness and transparency; cultural, historical and gender issues; collaboration and mutuality; empowerment, voice and choice, it is ensured that the services are trustworthy and person-</w:t>
      </w:r>
      <w:r w:rsidRPr="76310088" w:rsidR="5A20166F">
        <w:rPr>
          <w:rFonts w:ascii="Arial" w:hAnsi="Arial" w:eastAsia="Arial" w:cs="Arial"/>
          <w:b w:val="0"/>
          <w:bCs w:val="0"/>
          <w:noProof w:val="0"/>
          <w:sz w:val="24"/>
          <w:szCs w:val="24"/>
          <w:lang w:val="en-GB"/>
        </w:rPr>
        <w:t>centered</w:t>
      </w:r>
      <w:r w:rsidRPr="76310088" w:rsidR="5A20166F">
        <w:rPr>
          <w:rFonts w:ascii="Arial" w:hAnsi="Arial" w:eastAsia="Arial" w:cs="Arial"/>
          <w:b w:val="0"/>
          <w:bCs w:val="0"/>
          <w:noProof w:val="0"/>
          <w:sz w:val="24"/>
          <w:szCs w:val="24"/>
          <w:lang w:val="en-GB"/>
        </w:rPr>
        <w:t xml:space="preserve">, targeting the individuals’ needs (SAMHSA’s., 2024). TIC is not only important for personal wellbeing and adjustment it also plays a vital role in reducing violence and coercion. Several reviews highlight the potential of improvement with mental health and wellbeing outcomes when TIC is used (Bunting et al., 2019). With this in mind, it is important to remember that service users are not and should not be required to share their experiences of trauma, the focus is to empower individuals and allow them autonomy over when and how they disclose their experiences to staff (Tarzia et al., 2020). </w:t>
      </w:r>
    </w:p>
    <w:p w:rsidR="5A20166F" w:rsidP="76310088" w:rsidRDefault="5A20166F" w14:paraId="1EC6F03E" w14:textId="730BC646">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Where interventions are crucial in supporting individuals with trauma, it is crucial to recognise that healthcare services can also unintentionally traumatise individuals. This idea is true in groups that have been hurt previously as well as present medical practices that </w:t>
      </w:r>
      <w:r w:rsidRPr="76310088" w:rsidR="5A20166F">
        <w:rPr>
          <w:rFonts w:ascii="Arial" w:hAnsi="Arial" w:eastAsia="Arial" w:cs="Arial"/>
          <w:b w:val="0"/>
          <w:bCs w:val="0"/>
          <w:noProof w:val="0"/>
          <w:sz w:val="24"/>
          <w:szCs w:val="24"/>
          <w:lang w:val="en-GB"/>
        </w:rPr>
        <w:t>maintain</w:t>
      </w:r>
      <w:r w:rsidRPr="76310088" w:rsidR="5A20166F">
        <w:rPr>
          <w:rFonts w:ascii="Arial" w:hAnsi="Arial" w:eastAsia="Arial" w:cs="Arial"/>
          <w:b w:val="0"/>
          <w:bCs w:val="0"/>
          <w:noProof w:val="0"/>
          <w:sz w:val="24"/>
          <w:szCs w:val="24"/>
          <w:lang w:val="en-GB"/>
        </w:rPr>
        <w:t xml:space="preserve"> collective traumas. As discussed by Kelly-Irving and </w:t>
      </w:r>
      <w:r w:rsidRPr="76310088" w:rsidR="5A20166F">
        <w:rPr>
          <w:rFonts w:ascii="Arial" w:hAnsi="Arial" w:eastAsia="Arial" w:cs="Arial"/>
          <w:b w:val="0"/>
          <w:bCs w:val="0"/>
          <w:noProof w:val="0"/>
          <w:sz w:val="24"/>
          <w:szCs w:val="24"/>
          <w:lang w:val="en-GB"/>
        </w:rPr>
        <w:t>Delpierre</w:t>
      </w:r>
      <w:r w:rsidRPr="76310088" w:rsidR="5A20166F">
        <w:rPr>
          <w:rFonts w:ascii="Arial" w:hAnsi="Arial" w:eastAsia="Arial" w:cs="Arial"/>
          <w:b w:val="0"/>
          <w:bCs w:val="0"/>
          <w:noProof w:val="0"/>
          <w:sz w:val="24"/>
          <w:szCs w:val="24"/>
          <w:lang w:val="en-GB"/>
        </w:rPr>
        <w:t>, when ACEs/ trauma is made into an individual problem, there is a risk of placing the burden of responsibility to resolve their trauma themselves, rather than on the cause or source of the trauma. Collective trauma is therefore a collective responsibility</w:t>
      </w:r>
      <w:r w:rsidRPr="76310088" w:rsidR="5A20166F">
        <w:rPr>
          <w:rFonts w:ascii="Arial" w:hAnsi="Arial" w:eastAsia="Arial" w:cs="Arial"/>
          <w:b w:val="0"/>
          <w:bCs w:val="0"/>
          <w:noProof w:val="0"/>
          <w:sz w:val="24"/>
          <w:szCs w:val="24"/>
          <w:lang w:val="en-GB"/>
        </w:rPr>
        <w:t xml:space="preserve">.  </w:t>
      </w:r>
    </w:p>
    <w:p w:rsidR="5A20166F" w:rsidP="76310088" w:rsidRDefault="5A20166F" w14:paraId="32B5B4F9" w14:textId="2DFD029F">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Trauma informed therapies support neuroplasticity to create healthy neural pathways. A potential treatment that could support Jack is CBT (Cognitive Behavioural Therapy), a psychologic therapy emphasising the important roles of thoughts and behaviours in </w:t>
      </w:r>
      <w:r w:rsidRPr="76310088" w:rsidR="5A20166F">
        <w:rPr>
          <w:rFonts w:ascii="Arial" w:hAnsi="Arial" w:eastAsia="Arial" w:cs="Arial"/>
          <w:b w:val="0"/>
          <w:bCs w:val="0"/>
          <w:noProof w:val="0"/>
          <w:sz w:val="24"/>
          <w:szCs w:val="24"/>
          <w:lang w:val="en-GB"/>
        </w:rPr>
        <w:t>determining</w:t>
      </w:r>
      <w:r w:rsidRPr="76310088" w:rsidR="5A20166F">
        <w:rPr>
          <w:rFonts w:ascii="Arial" w:hAnsi="Arial" w:eastAsia="Arial" w:cs="Arial"/>
          <w:b w:val="0"/>
          <w:bCs w:val="0"/>
          <w:noProof w:val="0"/>
          <w:sz w:val="24"/>
          <w:szCs w:val="24"/>
          <w:lang w:val="en-GB"/>
        </w:rPr>
        <w:t xml:space="preserve"> how and what an individual feels. The underlying principles consist of cognitions; sensations behaviour and emotions are all interconnected, therefore what an individual feels also influences their thoughts and behaviours, if any of these components change then the others must also change. A key feature of CBT includes teaching individuals to </w:t>
      </w:r>
      <w:r w:rsidRPr="76310088" w:rsidR="5A20166F">
        <w:rPr>
          <w:rFonts w:ascii="Arial" w:hAnsi="Arial" w:eastAsia="Arial" w:cs="Arial"/>
          <w:b w:val="0"/>
          <w:bCs w:val="0"/>
          <w:noProof w:val="0"/>
          <w:sz w:val="24"/>
          <w:szCs w:val="24"/>
          <w:lang w:val="en-GB"/>
        </w:rPr>
        <w:t>identify</w:t>
      </w:r>
      <w:r w:rsidRPr="76310088" w:rsidR="5A20166F">
        <w:rPr>
          <w:rFonts w:ascii="Arial" w:hAnsi="Arial" w:eastAsia="Arial" w:cs="Arial"/>
          <w:b w:val="0"/>
          <w:bCs w:val="0"/>
          <w:noProof w:val="0"/>
          <w:sz w:val="24"/>
          <w:szCs w:val="24"/>
          <w:lang w:val="en-GB"/>
        </w:rPr>
        <w:t xml:space="preserve"> that thoughts may not be </w:t>
      </w:r>
      <w:r w:rsidRPr="76310088" w:rsidR="5A20166F">
        <w:rPr>
          <w:rFonts w:ascii="Arial" w:hAnsi="Arial" w:eastAsia="Arial" w:cs="Arial"/>
          <w:b w:val="0"/>
          <w:bCs w:val="0"/>
          <w:noProof w:val="0"/>
          <w:sz w:val="24"/>
          <w:szCs w:val="24"/>
          <w:lang w:val="en-GB"/>
        </w:rPr>
        <w:t>accurate</w:t>
      </w:r>
      <w:r w:rsidRPr="76310088" w:rsidR="5A20166F">
        <w:rPr>
          <w:rFonts w:ascii="Arial" w:hAnsi="Arial" w:eastAsia="Arial" w:cs="Arial"/>
          <w:b w:val="0"/>
          <w:bCs w:val="0"/>
          <w:noProof w:val="0"/>
          <w:sz w:val="24"/>
          <w:szCs w:val="24"/>
          <w:lang w:val="en-GB"/>
        </w:rPr>
        <w:t xml:space="preserve">, despite being believed and </w:t>
      </w:r>
      <w:r w:rsidRPr="76310088" w:rsidR="5A20166F">
        <w:rPr>
          <w:rFonts w:ascii="Arial" w:hAnsi="Arial" w:eastAsia="Arial" w:cs="Arial"/>
          <w:b w:val="0"/>
          <w:bCs w:val="0"/>
          <w:noProof w:val="0"/>
          <w:sz w:val="24"/>
          <w:szCs w:val="24"/>
          <w:lang w:val="en-GB"/>
        </w:rPr>
        <w:t>perhaps entertained</w:t>
      </w:r>
      <w:r w:rsidRPr="76310088" w:rsidR="5A20166F">
        <w:rPr>
          <w:rFonts w:ascii="Arial" w:hAnsi="Arial" w:eastAsia="Arial" w:cs="Arial"/>
          <w:b w:val="0"/>
          <w:bCs w:val="0"/>
          <w:noProof w:val="0"/>
          <w:sz w:val="24"/>
          <w:szCs w:val="24"/>
          <w:lang w:val="en-GB"/>
        </w:rPr>
        <w:t xml:space="preserve">. Within this intervention skills are taught to allow individuals to critique recurring negative thoughts and assess whether these thoughts are correct. It has been suggested that CBT helps individuals reframe from negative thought patterns, activating and strengthening new connections in the prefrontal cortex, therefore they are able to learn how to recruit prefrontal regulatory mechanisms to control emotional reactivity in the limbic system (DeRubeis et al.,2008). It is beneficial to Jack’s development that the right support is provided to enable him to enhance his emotional development, decreasing the opportunity to arise whereby he could lose his temper and become emotionally dysregulated. A recent study (Idowu et al., 2025) discussed that CBT has </w:t>
      </w:r>
      <w:r w:rsidRPr="76310088" w:rsidR="5A20166F">
        <w:rPr>
          <w:rFonts w:ascii="Arial" w:hAnsi="Arial" w:eastAsia="Arial" w:cs="Arial"/>
          <w:b w:val="0"/>
          <w:bCs w:val="0"/>
          <w:noProof w:val="0"/>
          <w:sz w:val="24"/>
          <w:szCs w:val="24"/>
          <w:lang w:val="en-GB"/>
        </w:rPr>
        <w:t>emerged</w:t>
      </w:r>
      <w:r w:rsidRPr="76310088" w:rsidR="5A20166F">
        <w:rPr>
          <w:rFonts w:ascii="Arial" w:hAnsi="Arial" w:eastAsia="Arial" w:cs="Arial"/>
          <w:b w:val="0"/>
          <w:bCs w:val="0"/>
          <w:noProof w:val="0"/>
          <w:sz w:val="24"/>
          <w:szCs w:val="24"/>
          <w:lang w:val="en-GB"/>
        </w:rPr>
        <w:t xml:space="preserve"> as a widely recognised and evidence-based intervention, effectively addressing trauma-related symptoms (Abbott, 2019; S, M. et al., 2022). Thereby, this intervention offers an opportunity for individuals to learn practical tools and coping mechanisms to manage their emotions, in this instance a beneficial tool for Jack as he will gradually learn how to develop healthier behavioural responses, potentially reducing his outbursts of anger towards his peers or when he has difficulty completing tasks. Additionally, an empirical study suggested that female individuals responded better to CBT interventions alongside younger adolescents specifically those aged 14-16 (Iqbal et al., 2024). However, it is crucial to consider that this intervention may need adapting to ensure a reduction in the severity of symptoms (Xie et al., 2024), as the efficiency depends on the cultural and contextual needs of an individual (Amadi et al., 2024). Furthermore, the evidence </w:t>
      </w:r>
      <w:r w:rsidRPr="76310088" w:rsidR="5A20166F">
        <w:rPr>
          <w:rFonts w:ascii="Arial" w:hAnsi="Arial" w:eastAsia="Arial" w:cs="Arial"/>
          <w:b w:val="0"/>
          <w:bCs w:val="0"/>
          <w:noProof w:val="0"/>
          <w:sz w:val="24"/>
          <w:szCs w:val="24"/>
          <w:lang w:val="en-GB"/>
        </w:rPr>
        <w:t>indicates</w:t>
      </w:r>
      <w:r w:rsidRPr="76310088" w:rsidR="5A20166F">
        <w:rPr>
          <w:rFonts w:ascii="Arial" w:hAnsi="Arial" w:eastAsia="Arial" w:cs="Arial"/>
          <w:b w:val="0"/>
          <w:bCs w:val="0"/>
          <w:noProof w:val="0"/>
          <w:sz w:val="24"/>
          <w:szCs w:val="24"/>
          <w:lang w:val="en-GB"/>
        </w:rPr>
        <w:t xml:space="preserve"> that altered interventions, that consider the severity of symptoms and developmental stages are more effective than generalised treatments. Considering the evidence provided, this intervention will offer an opportunity for validation and healing, supporting Jack in feeling understood and supported, alongside giving him control in what he chooses to discuss, thus fostering a renewed sense of control, promoting self-compassion</w:t>
      </w:r>
      <w:r w:rsidRPr="76310088" w:rsidR="5A20166F">
        <w:rPr>
          <w:rFonts w:ascii="Arial" w:hAnsi="Arial" w:eastAsia="Arial" w:cs="Arial"/>
          <w:b w:val="0"/>
          <w:bCs w:val="0"/>
          <w:noProof w:val="0"/>
          <w:sz w:val="24"/>
          <w:szCs w:val="24"/>
          <w:lang w:val="en-GB"/>
        </w:rPr>
        <w:t xml:space="preserve">.  </w:t>
      </w:r>
    </w:p>
    <w:p w:rsidR="5A20166F" w:rsidP="76310088" w:rsidRDefault="5A20166F" w14:paraId="0E3A826F" w14:textId="0BFC5AB1">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Another intervention to consider that would be beneficial in supporting Jack is DDP (Dyadic Developmental Psychotherapy), a family-based psychotherapeutic intervention intended to support young people with psychological difficulties due to developmental trauma, addressing some common mechanisms related to both attachment insecurity and developmental trauma (Huges, 2007). DDP is currently provided by therapy organisations or private therapists, or NHS Child and Adolescent Mental Health Services (CAMHS). This method was constructed to allow children to feel at ease and address the imbalance power, using techniques such as play, storytelling and non-verbal communication to enable individuals to make sense of attachment relationships. Whereby the children who have access to this support are in the care system, who have found residency through adoption and special guardianship (Burch et al., 2022), these individuals also have a history of abuse or neglect</w:t>
      </w:r>
      <w:r w:rsidRPr="76310088" w:rsidR="5A20166F">
        <w:rPr>
          <w:rFonts w:ascii="Arial" w:hAnsi="Arial" w:eastAsia="Arial" w:cs="Arial"/>
          <w:b w:val="0"/>
          <w:bCs w:val="0"/>
          <w:noProof w:val="0"/>
          <w:sz w:val="24"/>
          <w:szCs w:val="24"/>
          <w:lang w:val="en-GB"/>
        </w:rPr>
        <w:t xml:space="preserve">.  </w:t>
      </w:r>
    </w:p>
    <w:p w:rsidR="5A20166F" w:rsidP="76310088" w:rsidRDefault="5A20166F" w14:paraId="43FDEBD0" w14:textId="0FD994F2">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DDP attempts to increase interpersonal safety through applying principles of empathy and curiosity, </w:t>
      </w:r>
      <w:r w:rsidRPr="76310088" w:rsidR="5A20166F">
        <w:rPr>
          <w:rFonts w:ascii="Arial" w:hAnsi="Arial" w:eastAsia="Arial" w:cs="Arial"/>
          <w:b w:val="0"/>
          <w:bCs w:val="0"/>
          <w:noProof w:val="0"/>
          <w:sz w:val="24"/>
          <w:szCs w:val="24"/>
          <w:lang w:val="en-GB"/>
        </w:rPr>
        <w:t>playfulness</w:t>
      </w:r>
      <w:r w:rsidRPr="76310088" w:rsidR="5A20166F">
        <w:rPr>
          <w:rFonts w:ascii="Arial" w:hAnsi="Arial" w:eastAsia="Arial" w:cs="Arial"/>
          <w:b w:val="0"/>
          <w:bCs w:val="0"/>
          <w:noProof w:val="0"/>
          <w:sz w:val="24"/>
          <w:szCs w:val="24"/>
          <w:lang w:val="en-GB"/>
        </w:rPr>
        <w:t xml:space="preserve"> and acceptance, with the aim of integrating emotional regulation, autobiographical narratives and cognitive development, these components are best described in ‘Healing Relational Trauma Workbook: Dyadic Developmental Psychotherapy in Practice’ (Hughes &amp; Golding, 2024). The foundation of this intervention lies in John Bowlby’s attachment theory (1969), emphasising the importance of secure attachment for the psychological and emotional well-being of a child. Inclusive practice is </w:t>
      </w:r>
      <w:r w:rsidRPr="76310088" w:rsidR="5A20166F">
        <w:rPr>
          <w:rFonts w:ascii="Arial" w:hAnsi="Arial" w:eastAsia="Arial" w:cs="Arial"/>
          <w:b w:val="0"/>
          <w:bCs w:val="0"/>
          <w:noProof w:val="0"/>
          <w:sz w:val="24"/>
          <w:szCs w:val="24"/>
          <w:lang w:val="en-GB"/>
        </w:rPr>
        <w:t>evident</w:t>
      </w:r>
      <w:r w:rsidRPr="76310088" w:rsidR="5A20166F">
        <w:rPr>
          <w:rFonts w:ascii="Arial" w:hAnsi="Arial" w:eastAsia="Arial" w:cs="Arial"/>
          <w:b w:val="0"/>
          <w:bCs w:val="0"/>
          <w:noProof w:val="0"/>
          <w:sz w:val="24"/>
          <w:szCs w:val="24"/>
          <w:lang w:val="en-GB"/>
        </w:rPr>
        <w:t xml:space="preserve"> within this intervention as caregivers are also working alongside therapists to incorporate ideas from the DDP plan into their parenting approach, allowing promotion of increased connection with their child</w:t>
      </w:r>
      <w:r w:rsidRPr="76310088" w:rsidR="5A20166F">
        <w:rPr>
          <w:rFonts w:ascii="Arial" w:hAnsi="Arial" w:eastAsia="Arial" w:cs="Arial"/>
          <w:b w:val="0"/>
          <w:bCs w:val="0"/>
          <w:noProof w:val="0"/>
          <w:sz w:val="24"/>
          <w:szCs w:val="24"/>
          <w:lang w:val="en-GB"/>
        </w:rPr>
        <w:t xml:space="preserve">.  </w:t>
      </w:r>
    </w:p>
    <w:p w:rsidR="5A20166F" w:rsidP="76310088" w:rsidRDefault="5A20166F" w14:paraId="6FD839C3" w14:textId="318DE68F">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In essence this intervention is beneficial to Jack as it aids caregivers in fulfilling their children’s practical and psychological needs, enabling a full response to their children therefore encouraging secure attachment, which is essential for emotional and social development, as they are able to co-regulate the child’s emotions together (Hughes, 2017) to facilitate a new understanding of why the child has used defensive, controlling behaviours in order to keep themselves safe (Hughes,2011; Hughes, Golding &amp; Hudson, 2015). Due to Jacks’ history of the abuse, he saw and neglect he was subjected too, the key principles and concepts of DDP will provide a vast amount of support in his developmental trauma, as it known that developmental trauma can cause issues for individuals later on in life, including behavioural issues, relational issues which Jack is already subject too and impaired development.  </w:t>
      </w:r>
    </w:p>
    <w:p w:rsidR="5A20166F" w:rsidP="76310088" w:rsidRDefault="5A20166F" w14:paraId="4AF747B9" w14:textId="6AEFE5BC">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It is </w:t>
      </w:r>
      <w:r w:rsidRPr="76310088" w:rsidR="5A20166F">
        <w:rPr>
          <w:rFonts w:ascii="Arial" w:hAnsi="Arial" w:eastAsia="Arial" w:cs="Arial"/>
          <w:b w:val="0"/>
          <w:bCs w:val="0"/>
          <w:noProof w:val="0"/>
          <w:sz w:val="24"/>
          <w:szCs w:val="24"/>
          <w:lang w:val="en-GB"/>
        </w:rPr>
        <w:t>apparent</w:t>
      </w:r>
      <w:r w:rsidRPr="76310088" w:rsidR="5A20166F">
        <w:rPr>
          <w:rFonts w:ascii="Arial" w:hAnsi="Arial" w:eastAsia="Arial" w:cs="Arial"/>
          <w:b w:val="0"/>
          <w:bCs w:val="0"/>
          <w:noProof w:val="0"/>
          <w:sz w:val="24"/>
          <w:szCs w:val="24"/>
          <w:lang w:val="en-GB"/>
        </w:rPr>
        <w:t xml:space="preserve"> that once Jack was placed with his current caregiver, he struggled to develop a secure attachment due to the exposure to trauma at </w:t>
      </w:r>
      <w:r w:rsidRPr="76310088" w:rsidR="5A20166F">
        <w:rPr>
          <w:rFonts w:ascii="Arial" w:hAnsi="Arial" w:eastAsia="Arial" w:cs="Arial"/>
          <w:b w:val="0"/>
          <w:bCs w:val="0"/>
          <w:noProof w:val="0"/>
          <w:sz w:val="24"/>
          <w:szCs w:val="24"/>
          <w:lang w:val="en-GB"/>
        </w:rPr>
        <w:t>a young age</w:t>
      </w:r>
      <w:r w:rsidRPr="76310088" w:rsidR="5A20166F">
        <w:rPr>
          <w:rFonts w:ascii="Arial" w:hAnsi="Arial" w:eastAsia="Arial" w:cs="Arial"/>
          <w:b w:val="0"/>
          <w:bCs w:val="0"/>
          <w:noProof w:val="0"/>
          <w:sz w:val="24"/>
          <w:szCs w:val="24"/>
          <w:lang w:val="en-GB"/>
        </w:rPr>
        <w:t xml:space="preserve">, causing him to combine fear and safety. This often </w:t>
      </w:r>
      <w:r w:rsidRPr="76310088" w:rsidR="5A20166F">
        <w:rPr>
          <w:rFonts w:ascii="Arial" w:hAnsi="Arial" w:eastAsia="Arial" w:cs="Arial"/>
          <w:b w:val="0"/>
          <w:bCs w:val="0"/>
          <w:noProof w:val="0"/>
          <w:sz w:val="24"/>
          <w:szCs w:val="24"/>
          <w:lang w:val="en-GB"/>
        </w:rPr>
        <w:t>impacts</w:t>
      </w:r>
      <w:r w:rsidRPr="76310088" w:rsidR="5A20166F">
        <w:rPr>
          <w:rFonts w:ascii="Arial" w:hAnsi="Arial" w:eastAsia="Arial" w:cs="Arial"/>
          <w:b w:val="0"/>
          <w:bCs w:val="0"/>
          <w:noProof w:val="0"/>
          <w:sz w:val="24"/>
          <w:szCs w:val="24"/>
          <w:lang w:val="en-GB"/>
        </w:rPr>
        <w:t xml:space="preserve"> how he would make sense of the world around him and is sense of self, resulting in an incoherent narrative about who he is and how he should navigate in this world</w:t>
      </w:r>
      <w:r w:rsidRPr="76310088" w:rsidR="5A20166F">
        <w:rPr>
          <w:rFonts w:ascii="Arial" w:hAnsi="Arial" w:eastAsia="Arial" w:cs="Arial"/>
          <w:b w:val="0"/>
          <w:bCs w:val="0"/>
          <w:noProof w:val="0"/>
          <w:sz w:val="24"/>
          <w:szCs w:val="24"/>
          <w:lang w:val="en-GB"/>
        </w:rPr>
        <w:t xml:space="preserve">.  </w:t>
      </w:r>
      <w:r w:rsidRPr="76310088" w:rsidR="5A20166F">
        <w:rPr>
          <w:rFonts w:ascii="Arial" w:hAnsi="Arial" w:eastAsia="Arial" w:cs="Arial"/>
          <w:b w:val="0"/>
          <w:bCs w:val="0"/>
          <w:noProof w:val="0"/>
          <w:sz w:val="24"/>
          <w:szCs w:val="24"/>
          <w:lang w:val="en-GB"/>
        </w:rPr>
        <w:t xml:space="preserve"> </w:t>
      </w:r>
    </w:p>
    <w:p w:rsidR="5A20166F" w:rsidP="76310088" w:rsidRDefault="5A20166F" w14:paraId="3F7341C4" w14:textId="27060C26">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Where this intervention will be beneficial to Jack given his circumstances and history, there are limitations. This therapy primarily focuses on </w:t>
      </w:r>
      <w:r w:rsidRPr="76310088" w:rsidR="5A20166F">
        <w:rPr>
          <w:rFonts w:ascii="Arial" w:hAnsi="Arial" w:eastAsia="Arial" w:cs="Arial"/>
          <w:b w:val="0"/>
          <w:bCs w:val="0"/>
          <w:noProof w:val="0"/>
          <w:sz w:val="24"/>
          <w:szCs w:val="24"/>
          <w:lang w:val="en-GB"/>
        </w:rPr>
        <w:t>particular groups</w:t>
      </w:r>
      <w:r w:rsidRPr="76310088" w:rsidR="5A20166F">
        <w:rPr>
          <w:rFonts w:ascii="Arial" w:hAnsi="Arial" w:eastAsia="Arial" w:cs="Arial"/>
          <w:b w:val="0"/>
          <w:bCs w:val="0"/>
          <w:noProof w:val="0"/>
          <w:sz w:val="24"/>
          <w:szCs w:val="24"/>
          <w:lang w:val="en-GB"/>
        </w:rPr>
        <w:t xml:space="preserve"> like adoptive and foster families; therefore, a restriction is </w:t>
      </w:r>
      <w:r w:rsidRPr="76310088" w:rsidR="5A20166F">
        <w:rPr>
          <w:rFonts w:ascii="Arial" w:hAnsi="Arial" w:eastAsia="Arial" w:cs="Arial"/>
          <w:b w:val="0"/>
          <w:bCs w:val="0"/>
          <w:noProof w:val="0"/>
          <w:sz w:val="24"/>
          <w:szCs w:val="24"/>
          <w:lang w:val="en-GB"/>
        </w:rPr>
        <w:t>apparent</w:t>
      </w:r>
      <w:r w:rsidRPr="76310088" w:rsidR="5A20166F">
        <w:rPr>
          <w:rFonts w:ascii="Arial" w:hAnsi="Arial" w:eastAsia="Arial" w:cs="Arial"/>
          <w:b w:val="0"/>
          <w:bCs w:val="0"/>
          <w:noProof w:val="0"/>
          <w:sz w:val="24"/>
          <w:szCs w:val="24"/>
          <w:lang w:val="en-GB"/>
        </w:rPr>
        <w:t xml:space="preserve"> as it may not be suitable or effective for individuals outside of these populations. There are many individuals who were subjected to abuse or neglect, or who have experienced early childhood trauma that are still in the care of their abusive or neglectful parents. Where some of these parents have been able to find a therapist to support their children and address the root of their behaviour, they could well be ill equipped and unable to repair the damaged caused. Despite this limitation, to address some of the needs of families within these circumstances, this intervention has been adapted by Dr. Becker-Weidman. DDP has shown significant differences in helping adolescents and families overcome emotional trauma and build healthier relationships, thus being beneficial to Jack as he has become progressively attached to his caregiver and often struggles to build good relationships with his peers. According to Dr. Becker-Weidman, safety is </w:t>
      </w:r>
      <w:r w:rsidRPr="76310088" w:rsidR="5A20166F">
        <w:rPr>
          <w:rFonts w:ascii="Arial" w:hAnsi="Arial" w:eastAsia="Arial" w:cs="Arial"/>
          <w:b w:val="0"/>
          <w:bCs w:val="0"/>
          <w:noProof w:val="0"/>
          <w:sz w:val="24"/>
          <w:szCs w:val="24"/>
          <w:lang w:val="en-GB"/>
        </w:rPr>
        <w:t>established</w:t>
      </w:r>
      <w:r w:rsidRPr="76310088" w:rsidR="5A20166F">
        <w:rPr>
          <w:rFonts w:ascii="Arial" w:hAnsi="Arial" w:eastAsia="Arial" w:cs="Arial"/>
          <w:b w:val="0"/>
          <w:bCs w:val="0"/>
          <w:noProof w:val="0"/>
          <w:sz w:val="24"/>
          <w:szCs w:val="24"/>
          <w:lang w:val="en-GB"/>
        </w:rPr>
        <w:t xml:space="preserve"> with DDP by ensuring that emotions, </w:t>
      </w:r>
      <w:r w:rsidRPr="76310088" w:rsidR="5A20166F">
        <w:rPr>
          <w:rFonts w:ascii="Arial" w:hAnsi="Arial" w:eastAsia="Arial" w:cs="Arial"/>
          <w:b w:val="0"/>
          <w:bCs w:val="0"/>
          <w:noProof w:val="0"/>
          <w:sz w:val="24"/>
          <w:szCs w:val="24"/>
          <w:lang w:val="en-GB"/>
        </w:rPr>
        <w:t>experiences</w:t>
      </w:r>
      <w:r w:rsidRPr="76310088" w:rsidR="5A20166F">
        <w:rPr>
          <w:rFonts w:ascii="Arial" w:hAnsi="Arial" w:eastAsia="Arial" w:cs="Arial"/>
          <w:b w:val="0"/>
          <w:bCs w:val="0"/>
          <w:noProof w:val="0"/>
          <w:sz w:val="24"/>
          <w:szCs w:val="24"/>
          <w:lang w:val="en-GB"/>
        </w:rPr>
        <w:t xml:space="preserve"> and memories are explored without judgement, but instead by offering empathy and understanding, enabling children to build a strong and positive set of protective defences for future mental health issues that may arise</w:t>
      </w:r>
      <w:r w:rsidRPr="76310088" w:rsidR="5A20166F">
        <w:rPr>
          <w:rFonts w:ascii="Arial" w:hAnsi="Arial" w:eastAsia="Arial" w:cs="Arial"/>
          <w:b w:val="0"/>
          <w:bCs w:val="0"/>
          <w:noProof w:val="0"/>
          <w:sz w:val="24"/>
          <w:szCs w:val="24"/>
          <w:lang w:val="en-GB"/>
        </w:rPr>
        <w:t xml:space="preserve">.  </w:t>
      </w:r>
    </w:p>
    <w:p w:rsidR="5A20166F" w:rsidP="76310088" w:rsidRDefault="5A20166F" w14:paraId="74C3666D" w14:textId="1EB05718">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Alongside the support that the individuals receive it is also important to consider the needs of the professional and the implications that can occur when providing professional support to others. Professionals can often suffer drastically when providing care to others due to the severity of the disclosure, causing stress and distressing information being discussed. Self-care is often perceived and used in ways in which professionals show compassion and attention to themselves, although offering support to others whilst </w:t>
      </w:r>
      <w:r w:rsidRPr="76310088" w:rsidR="5A20166F">
        <w:rPr>
          <w:rFonts w:ascii="Arial" w:hAnsi="Arial" w:eastAsia="Arial" w:cs="Arial"/>
          <w:b w:val="0"/>
          <w:bCs w:val="0"/>
          <w:noProof w:val="0"/>
          <w:sz w:val="24"/>
          <w:szCs w:val="24"/>
          <w:lang w:val="en-GB"/>
        </w:rPr>
        <w:t>maintaining</w:t>
      </w:r>
      <w:r w:rsidRPr="76310088" w:rsidR="5A20166F">
        <w:rPr>
          <w:rFonts w:ascii="Arial" w:hAnsi="Arial" w:eastAsia="Arial" w:cs="Arial"/>
          <w:b w:val="0"/>
          <w:bCs w:val="0"/>
          <w:noProof w:val="0"/>
          <w:sz w:val="24"/>
          <w:szCs w:val="24"/>
          <w:lang w:val="en-GB"/>
        </w:rPr>
        <w:t xml:space="preserve"> their own well-being is proven to be a difficult equilibrium to </w:t>
      </w:r>
      <w:r w:rsidRPr="76310088" w:rsidR="5A20166F">
        <w:rPr>
          <w:rFonts w:ascii="Arial" w:hAnsi="Arial" w:eastAsia="Arial" w:cs="Arial"/>
          <w:b w:val="0"/>
          <w:bCs w:val="0"/>
          <w:noProof w:val="0"/>
          <w:sz w:val="24"/>
          <w:szCs w:val="24"/>
          <w:lang w:val="en-GB"/>
        </w:rPr>
        <w:t>maintain</w:t>
      </w:r>
      <w:r w:rsidRPr="76310088" w:rsidR="5A20166F">
        <w:rPr>
          <w:rFonts w:ascii="Arial" w:hAnsi="Arial" w:eastAsia="Arial" w:cs="Arial"/>
          <w:b w:val="0"/>
          <w:bCs w:val="0"/>
          <w:noProof w:val="0"/>
          <w:sz w:val="24"/>
          <w:szCs w:val="24"/>
          <w:lang w:val="en-GB"/>
        </w:rPr>
        <w:t xml:space="preserve">. Research outlines the importance of having accountability and being proactive in engagement with self-care methods (Bradley et al., 2013), as emotional exhaustion, compassion fatigue and burnout may become </w:t>
      </w:r>
      <w:r w:rsidRPr="76310088" w:rsidR="5A20166F">
        <w:rPr>
          <w:rFonts w:ascii="Arial" w:hAnsi="Arial" w:eastAsia="Arial" w:cs="Arial"/>
          <w:b w:val="0"/>
          <w:bCs w:val="0"/>
          <w:noProof w:val="0"/>
          <w:sz w:val="24"/>
          <w:szCs w:val="24"/>
          <w:lang w:val="en-GB"/>
        </w:rPr>
        <w:t>apparent</w:t>
      </w:r>
      <w:r w:rsidRPr="76310088" w:rsidR="5A20166F">
        <w:rPr>
          <w:rFonts w:ascii="Arial" w:hAnsi="Arial" w:eastAsia="Arial" w:cs="Arial"/>
          <w:b w:val="0"/>
          <w:bCs w:val="0"/>
          <w:noProof w:val="0"/>
          <w:sz w:val="24"/>
          <w:szCs w:val="24"/>
          <w:lang w:val="en-GB"/>
        </w:rPr>
        <w:t xml:space="preserve"> within their role</w:t>
      </w:r>
      <w:r w:rsidRPr="76310088" w:rsidR="5A20166F">
        <w:rPr>
          <w:rFonts w:ascii="Arial" w:hAnsi="Arial" w:eastAsia="Arial" w:cs="Arial"/>
          <w:b w:val="0"/>
          <w:bCs w:val="0"/>
          <w:noProof w:val="0"/>
          <w:sz w:val="24"/>
          <w:szCs w:val="24"/>
          <w:lang w:val="en-GB"/>
        </w:rPr>
        <w:t xml:space="preserve">.  </w:t>
      </w:r>
    </w:p>
    <w:p w:rsidR="5A20166F" w:rsidP="76310088" w:rsidRDefault="5A20166F" w14:paraId="5498B513" w14:textId="61809A55">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During therapy interventions countertransference may occur, this is a therapists emotional and cognitive reaction to a patient. Countertransference plays a vital role in providing specialist support to individuals with trauma, rather than trying to avoid countertransference therapists will often try to embrace it, by noticing and managing the situation, allowing it to become an opportunity to learn from and using the power to help or possibly harm, ensuring that the end result is trying to decide what to do about it. If countertransference is ignored there is a risk of the professional acting out their own unconscious patterns with the individual, for example; meeting anger with defensiveness or detachment. A regulation tool such as mindfulness meditation has been shown to reduce countertransference reactions amongst professionals (Hayes, J. A., et al., 2018)</w:t>
      </w:r>
      <w:r w:rsidRPr="76310088" w:rsidR="5A20166F">
        <w:rPr>
          <w:rFonts w:ascii="Arial" w:hAnsi="Arial" w:eastAsia="Arial" w:cs="Arial"/>
          <w:b w:val="0"/>
          <w:bCs w:val="0"/>
          <w:noProof w:val="0"/>
          <w:sz w:val="24"/>
          <w:szCs w:val="24"/>
          <w:lang w:val="en-GB"/>
        </w:rPr>
        <w:t xml:space="preserve">.  </w:t>
      </w:r>
      <w:r w:rsidRPr="76310088" w:rsidR="5A20166F">
        <w:rPr>
          <w:rFonts w:ascii="Arial" w:hAnsi="Arial" w:eastAsia="Arial" w:cs="Arial"/>
          <w:b w:val="0"/>
          <w:bCs w:val="0"/>
          <w:noProof w:val="0"/>
          <w:sz w:val="24"/>
          <w:szCs w:val="24"/>
          <w:lang w:val="en-GB"/>
        </w:rPr>
        <w:t xml:space="preserve"> </w:t>
      </w:r>
    </w:p>
    <w:p w:rsidR="5A20166F" w:rsidP="76310088" w:rsidRDefault="5A20166F" w14:paraId="27E1C764" w14:textId="15B9F2EB">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Mindful practices, which focus on existing moment awareness, reduce hyperactivity in the amygdala, improving emotional regulation. There are significant benefits to mindfulness interventions such as enhanced self-efficacy, reduced stress and increased empathy and compassion (Bohecker &amp; Doughty Horn, 2016; Bulmer et al., 2022; Cooper et al., 2020; Felton et al., 2015). There is empirical evidence that suggests that mindfulness helps to develop effective emotional regulation in the brain (Corcoran, Farb, Anderson, &amp; Segal, 2010; Farb et al., 2010; Siegal, 2007b)</w:t>
      </w:r>
      <w:r w:rsidRPr="76310088" w:rsidR="5A20166F">
        <w:rPr>
          <w:rFonts w:ascii="Arial" w:hAnsi="Arial" w:eastAsia="Arial" w:cs="Arial"/>
          <w:b w:val="0"/>
          <w:bCs w:val="0"/>
          <w:noProof w:val="0"/>
          <w:sz w:val="24"/>
          <w:szCs w:val="24"/>
          <w:lang w:val="en-GB"/>
        </w:rPr>
        <w:t xml:space="preserve">.  </w:t>
      </w:r>
      <w:r w:rsidRPr="76310088" w:rsidR="5A20166F">
        <w:rPr>
          <w:rFonts w:ascii="Arial" w:hAnsi="Arial" w:eastAsia="Arial" w:cs="Arial"/>
          <w:b w:val="0"/>
          <w:bCs w:val="0"/>
          <w:noProof w:val="0"/>
          <w:sz w:val="24"/>
          <w:szCs w:val="24"/>
          <w:lang w:val="en-GB"/>
        </w:rPr>
        <w:t>Likewise, research established that mindfulness enables individuals to become less reactive (Cahn &amp; Polich, 2009; Goldin &amp; Gross,2010; Ortner, Kilner, &amp; Zelazo, 2007; Siegal, 2007a, 2007b), and mindfulness is directly linked with the ability to act with consciousness in social situations, therefore mindfulness acts as a protector against the emotionally stressful effects of social conflict and is associated with the ability to express oneself in different social situations (</w:t>
      </w:r>
      <w:r w:rsidRPr="76310088" w:rsidR="5A20166F">
        <w:rPr>
          <w:rFonts w:ascii="Arial" w:hAnsi="Arial" w:eastAsia="Arial" w:cs="Arial"/>
          <w:b w:val="0"/>
          <w:bCs w:val="0"/>
          <w:noProof w:val="0"/>
          <w:sz w:val="24"/>
          <w:szCs w:val="24"/>
          <w:lang w:val="en-GB"/>
        </w:rPr>
        <w:t>Dekeyser</w:t>
      </w:r>
      <w:r w:rsidRPr="76310088" w:rsidR="5A20166F">
        <w:rPr>
          <w:rFonts w:ascii="Arial" w:hAnsi="Arial" w:eastAsia="Arial" w:cs="Arial"/>
          <w:b w:val="0"/>
          <w:bCs w:val="0"/>
          <w:noProof w:val="0"/>
          <w:sz w:val="24"/>
          <w:szCs w:val="24"/>
          <w:lang w:val="en-GB"/>
        </w:rPr>
        <w:t xml:space="preserve"> et al., 2008), as with any intervention used there are limitations, however in relation to mindfulness this is very minimal with the main focus being on how unpleasant and challenging mindfulness can be without causing harm. Mindfulness can help practitioners improve their focus, increase overall sense of </w:t>
      </w:r>
      <w:r w:rsidRPr="76310088" w:rsidR="5A20166F">
        <w:rPr>
          <w:rFonts w:ascii="Arial" w:hAnsi="Arial" w:eastAsia="Arial" w:cs="Arial"/>
          <w:b w:val="0"/>
          <w:bCs w:val="0"/>
          <w:noProof w:val="0"/>
          <w:sz w:val="24"/>
          <w:szCs w:val="24"/>
          <w:lang w:val="en-GB"/>
        </w:rPr>
        <w:t>well-being</w:t>
      </w:r>
      <w:r w:rsidRPr="76310088" w:rsidR="5A20166F">
        <w:rPr>
          <w:rFonts w:ascii="Arial" w:hAnsi="Arial" w:eastAsia="Arial" w:cs="Arial"/>
          <w:b w:val="0"/>
          <w:bCs w:val="0"/>
          <w:noProof w:val="0"/>
          <w:sz w:val="24"/>
          <w:szCs w:val="24"/>
          <w:lang w:val="en-GB"/>
        </w:rPr>
        <w:t xml:space="preserve"> and reduce anxiety, enabling a consistent flow allowing both practitioners and individuals to stay present during interventions. </w:t>
      </w:r>
    </w:p>
    <w:p w:rsidR="5A20166F" w:rsidP="76310088" w:rsidRDefault="5A20166F" w14:paraId="7AD66C9A" w14:textId="23FA8D16">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The life of a therapist or healthcare professional includes consistently listening to the trauma that others have suffered, and work stressors. The constant exposure, alongside exhaustion and actuate stress places them at a higher risk of burnout and/or compassion fatigue. Which </w:t>
      </w:r>
      <w:r w:rsidRPr="76310088" w:rsidR="5A20166F">
        <w:rPr>
          <w:rFonts w:ascii="Arial" w:hAnsi="Arial" w:eastAsia="Arial" w:cs="Arial"/>
          <w:b w:val="0"/>
          <w:bCs w:val="0"/>
          <w:noProof w:val="0"/>
          <w:sz w:val="24"/>
          <w:szCs w:val="24"/>
          <w:lang w:val="en-GB"/>
        </w:rPr>
        <w:t>ultimately impacts</w:t>
      </w:r>
      <w:r w:rsidRPr="76310088" w:rsidR="5A20166F">
        <w:rPr>
          <w:rFonts w:ascii="Arial" w:hAnsi="Arial" w:eastAsia="Arial" w:cs="Arial"/>
          <w:b w:val="0"/>
          <w:bCs w:val="0"/>
          <w:noProof w:val="0"/>
          <w:sz w:val="24"/>
          <w:szCs w:val="24"/>
          <w:lang w:val="en-GB"/>
        </w:rPr>
        <w:t xml:space="preserve"> their job performance and mental health (Kase et al., 2021). Compassion fatigue is commonly referred to feelings of psychological, </w:t>
      </w:r>
      <w:r w:rsidRPr="76310088" w:rsidR="5A20166F">
        <w:rPr>
          <w:rFonts w:ascii="Arial" w:hAnsi="Arial" w:eastAsia="Arial" w:cs="Arial"/>
          <w:b w:val="0"/>
          <w:bCs w:val="0"/>
          <w:noProof w:val="0"/>
          <w:sz w:val="24"/>
          <w:szCs w:val="24"/>
          <w:lang w:val="en-GB"/>
        </w:rPr>
        <w:t>social</w:t>
      </w:r>
      <w:r w:rsidRPr="76310088" w:rsidR="5A20166F">
        <w:rPr>
          <w:rFonts w:ascii="Arial" w:hAnsi="Arial" w:eastAsia="Arial" w:cs="Arial"/>
          <w:b w:val="0"/>
          <w:bCs w:val="0"/>
          <w:noProof w:val="0"/>
          <w:sz w:val="24"/>
          <w:szCs w:val="24"/>
          <w:lang w:val="en-GB"/>
        </w:rPr>
        <w:t xml:space="preserve"> and biological exhaustion which occurs after large exposure to compassionate stress (Wynn,2020)</w:t>
      </w:r>
      <w:r w:rsidRPr="76310088" w:rsidR="5A20166F">
        <w:rPr>
          <w:rFonts w:ascii="Arial" w:hAnsi="Arial" w:eastAsia="Arial" w:cs="Arial"/>
          <w:b w:val="0"/>
          <w:bCs w:val="0"/>
          <w:noProof w:val="0"/>
          <w:sz w:val="24"/>
          <w:szCs w:val="24"/>
          <w:lang w:val="en-GB"/>
        </w:rPr>
        <w:t xml:space="preserve">.  </w:t>
      </w:r>
      <w:r w:rsidRPr="76310088" w:rsidR="5A20166F">
        <w:rPr>
          <w:rFonts w:ascii="Arial" w:hAnsi="Arial" w:eastAsia="Arial" w:cs="Arial"/>
          <w:b w:val="0"/>
          <w:bCs w:val="0"/>
          <w:noProof w:val="0"/>
          <w:sz w:val="24"/>
          <w:szCs w:val="24"/>
          <w:lang w:val="en-GB"/>
        </w:rPr>
        <w:t>Although compassion fatigue and burnout are often seen working coherently it is advised that burn out occurs due to the emotional toll of supporting trauma victims (Forrest et al., 2020)</w:t>
      </w:r>
      <w:r w:rsidRPr="76310088" w:rsidR="5A20166F">
        <w:rPr>
          <w:rFonts w:ascii="Arial" w:hAnsi="Arial" w:eastAsia="Arial" w:cs="Arial"/>
          <w:b w:val="0"/>
          <w:bCs w:val="0"/>
          <w:noProof w:val="0"/>
          <w:sz w:val="24"/>
          <w:szCs w:val="24"/>
          <w:lang w:val="en-GB"/>
        </w:rPr>
        <w:t xml:space="preserve">.  </w:t>
      </w:r>
    </w:p>
    <w:p w:rsidR="5A20166F" w:rsidP="76310088" w:rsidRDefault="5A20166F" w14:paraId="77376E1E" w14:textId="02018D42">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It is crucial for professionals to set clear boundaries </w:t>
      </w:r>
      <w:r w:rsidRPr="76310088" w:rsidR="5A20166F">
        <w:rPr>
          <w:rFonts w:ascii="Arial" w:hAnsi="Arial" w:eastAsia="Arial" w:cs="Arial"/>
          <w:b w:val="0"/>
          <w:bCs w:val="0"/>
          <w:noProof w:val="0"/>
          <w:sz w:val="24"/>
          <w:szCs w:val="24"/>
          <w:lang w:val="en-GB"/>
        </w:rPr>
        <w:t>in order to</w:t>
      </w:r>
      <w:r w:rsidRPr="76310088" w:rsidR="5A20166F">
        <w:rPr>
          <w:rFonts w:ascii="Arial" w:hAnsi="Arial" w:eastAsia="Arial" w:cs="Arial"/>
          <w:b w:val="0"/>
          <w:bCs w:val="0"/>
          <w:noProof w:val="0"/>
          <w:sz w:val="24"/>
          <w:szCs w:val="24"/>
          <w:lang w:val="en-GB"/>
        </w:rPr>
        <w:t xml:space="preserve"> prevent overworking and help </w:t>
      </w:r>
      <w:r w:rsidRPr="76310088" w:rsidR="5A20166F">
        <w:rPr>
          <w:rFonts w:ascii="Arial" w:hAnsi="Arial" w:eastAsia="Arial" w:cs="Arial"/>
          <w:b w:val="0"/>
          <w:bCs w:val="0"/>
          <w:noProof w:val="0"/>
          <w:sz w:val="24"/>
          <w:szCs w:val="24"/>
          <w:lang w:val="en-GB"/>
        </w:rPr>
        <w:t>maintain</w:t>
      </w:r>
      <w:r w:rsidRPr="76310088" w:rsidR="5A20166F">
        <w:rPr>
          <w:rFonts w:ascii="Arial" w:hAnsi="Arial" w:eastAsia="Arial" w:cs="Arial"/>
          <w:b w:val="0"/>
          <w:bCs w:val="0"/>
          <w:noProof w:val="0"/>
          <w:sz w:val="24"/>
          <w:szCs w:val="24"/>
          <w:lang w:val="en-GB"/>
        </w:rPr>
        <w:t xml:space="preserve"> an emotional balance, by avoiding taking work home and only responding to urgent matters outside of working hours, also finding time for physical health. Neglecting physical health is detrimental to stress, reduces energy levels and increases the chances of burnout. As a professional it is important to set time aside for yourself, spend time with family and friends, ensure a good eating habit is being fulfilled and having </w:t>
      </w:r>
      <w:r w:rsidRPr="76310088" w:rsidR="5A20166F">
        <w:rPr>
          <w:rFonts w:ascii="Arial" w:hAnsi="Arial" w:eastAsia="Arial" w:cs="Arial"/>
          <w:b w:val="0"/>
          <w:bCs w:val="0"/>
          <w:noProof w:val="0"/>
          <w:sz w:val="24"/>
          <w:szCs w:val="24"/>
          <w:lang w:val="en-GB"/>
        </w:rPr>
        <w:t>good quality</w:t>
      </w:r>
      <w:r w:rsidRPr="76310088" w:rsidR="5A20166F">
        <w:rPr>
          <w:rFonts w:ascii="Arial" w:hAnsi="Arial" w:eastAsia="Arial" w:cs="Arial"/>
          <w:b w:val="0"/>
          <w:bCs w:val="0"/>
          <w:noProof w:val="0"/>
          <w:sz w:val="24"/>
          <w:szCs w:val="24"/>
          <w:lang w:val="en-GB"/>
        </w:rPr>
        <w:t xml:space="preserve"> sleep. </w:t>
      </w:r>
      <w:r w:rsidRPr="76310088" w:rsidR="5A20166F">
        <w:rPr>
          <w:rFonts w:ascii="Arial" w:hAnsi="Arial" w:eastAsia="Arial" w:cs="Arial"/>
          <w:b w:val="0"/>
          <w:bCs w:val="0"/>
          <w:noProof w:val="0"/>
          <w:sz w:val="24"/>
          <w:szCs w:val="24"/>
          <w:lang w:val="en-GB"/>
        </w:rPr>
        <w:t>Stoewen</w:t>
      </w:r>
      <w:r w:rsidRPr="76310088" w:rsidR="5A20166F">
        <w:rPr>
          <w:rFonts w:ascii="Arial" w:hAnsi="Arial" w:eastAsia="Arial" w:cs="Arial"/>
          <w:b w:val="0"/>
          <w:bCs w:val="0"/>
          <w:noProof w:val="0"/>
          <w:sz w:val="24"/>
          <w:szCs w:val="24"/>
          <w:lang w:val="en-GB"/>
        </w:rPr>
        <w:t xml:space="preserve"> (2019) acknowledges that compassion resilience can be built, once you have a baseline understanding of what compassion fatigue is. As a professional it is important that once you have recognised you are suffering with compassion fatigue you seek help, whether this is professional or peer support</w:t>
      </w:r>
      <w:r w:rsidRPr="76310088" w:rsidR="5A20166F">
        <w:rPr>
          <w:rFonts w:ascii="Arial" w:hAnsi="Arial" w:eastAsia="Arial" w:cs="Arial"/>
          <w:b w:val="0"/>
          <w:bCs w:val="0"/>
          <w:noProof w:val="0"/>
          <w:sz w:val="24"/>
          <w:szCs w:val="24"/>
          <w:lang w:val="en-GB"/>
        </w:rPr>
        <w:t xml:space="preserve">.  </w:t>
      </w:r>
    </w:p>
    <w:p w:rsidR="5A20166F" w:rsidP="76310088" w:rsidRDefault="5A20166F" w14:paraId="7EA4C97F" w14:textId="6A451203">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Self-care is acknowledged within organisations, however engagement with self-care is not mandatory. Although studies consistently discuss the need for ‘good self-care' (Barton, 2020), the research also acknowledges the lack of exploration of the true meaning. Therefore, there is an evidential need for a detailed approach for self-care strategies to communicate the importance of long-term well-being. It is important to consider personal emotions when working with Jack as the details and issues that will arise during interventions may affect personal emotional well-being. To best support Jack, emphasising and ensuring that personal emotional well-being is a priority is crucial as this will ensure that emotions are not heightened and as a professional you can be fully engaged in each discussion without allowing personal issues to arise and cause any issues</w:t>
      </w:r>
      <w:r w:rsidRPr="76310088" w:rsidR="5A20166F">
        <w:rPr>
          <w:rFonts w:ascii="Arial" w:hAnsi="Arial" w:eastAsia="Arial" w:cs="Arial"/>
          <w:b w:val="0"/>
          <w:bCs w:val="0"/>
          <w:noProof w:val="0"/>
          <w:sz w:val="24"/>
          <w:szCs w:val="24"/>
          <w:lang w:val="en-GB"/>
        </w:rPr>
        <w:t xml:space="preserve">.  </w:t>
      </w:r>
    </w:p>
    <w:p w:rsidR="5A20166F" w:rsidP="76310088" w:rsidRDefault="5A20166F" w14:paraId="3D4EEF5F" w14:textId="1BBD50EF">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Jacks case is diverse and complex, needing support in a variety of areas which can be emotionally challenging and triggering. His caregivers and himself need support and guidance </w:t>
      </w:r>
      <w:r w:rsidRPr="76310088" w:rsidR="5A20166F">
        <w:rPr>
          <w:rFonts w:ascii="Arial" w:hAnsi="Arial" w:eastAsia="Arial" w:cs="Arial"/>
          <w:b w:val="0"/>
          <w:bCs w:val="0"/>
          <w:noProof w:val="0"/>
          <w:sz w:val="24"/>
          <w:szCs w:val="24"/>
          <w:lang w:val="en-GB"/>
        </w:rPr>
        <w:t>in order to</w:t>
      </w:r>
      <w:r w:rsidRPr="76310088" w:rsidR="5A20166F">
        <w:rPr>
          <w:rFonts w:ascii="Arial" w:hAnsi="Arial" w:eastAsia="Arial" w:cs="Arial"/>
          <w:b w:val="0"/>
          <w:bCs w:val="0"/>
          <w:noProof w:val="0"/>
          <w:sz w:val="24"/>
          <w:szCs w:val="24"/>
          <w:lang w:val="en-GB"/>
        </w:rPr>
        <w:t xml:space="preserve"> prevent any ongoing symptoms or symptoms worsening into adulthood, however </w:t>
      </w:r>
      <w:r w:rsidRPr="76310088" w:rsidR="5A20166F">
        <w:rPr>
          <w:rFonts w:ascii="Arial" w:hAnsi="Arial" w:eastAsia="Arial" w:cs="Arial"/>
          <w:b w:val="0"/>
          <w:bCs w:val="0"/>
          <w:noProof w:val="0"/>
          <w:sz w:val="24"/>
          <w:szCs w:val="24"/>
          <w:lang w:val="en-GB"/>
        </w:rPr>
        <w:t>in order to</w:t>
      </w:r>
      <w:r w:rsidRPr="76310088" w:rsidR="5A20166F">
        <w:rPr>
          <w:rFonts w:ascii="Arial" w:hAnsi="Arial" w:eastAsia="Arial" w:cs="Arial"/>
          <w:b w:val="0"/>
          <w:bCs w:val="0"/>
          <w:noProof w:val="0"/>
          <w:sz w:val="24"/>
          <w:szCs w:val="24"/>
          <w:lang w:val="en-GB"/>
        </w:rPr>
        <w:t xml:space="preserve"> best support them as a professional, personal health needs to be </w:t>
      </w:r>
      <w:r w:rsidRPr="76310088" w:rsidR="5A20166F">
        <w:rPr>
          <w:rFonts w:ascii="Arial" w:hAnsi="Arial" w:eastAsia="Arial" w:cs="Arial"/>
          <w:b w:val="0"/>
          <w:bCs w:val="0"/>
          <w:noProof w:val="0"/>
          <w:sz w:val="24"/>
          <w:szCs w:val="24"/>
          <w:lang w:val="en-GB"/>
        </w:rPr>
        <w:t>monitored</w:t>
      </w:r>
      <w:r w:rsidRPr="76310088" w:rsidR="5A20166F">
        <w:rPr>
          <w:rFonts w:ascii="Arial" w:hAnsi="Arial" w:eastAsia="Arial" w:cs="Arial"/>
          <w:b w:val="0"/>
          <w:bCs w:val="0"/>
          <w:noProof w:val="0"/>
          <w:sz w:val="24"/>
          <w:szCs w:val="24"/>
          <w:lang w:val="en-GB"/>
        </w:rPr>
        <w:t xml:space="preserve"> to lessen the risk of confrontation and conflict during interventions</w:t>
      </w:r>
      <w:r w:rsidRPr="76310088" w:rsidR="5A20166F">
        <w:rPr>
          <w:rFonts w:ascii="Arial" w:hAnsi="Arial" w:eastAsia="Arial" w:cs="Arial"/>
          <w:b w:val="0"/>
          <w:bCs w:val="0"/>
          <w:noProof w:val="0"/>
          <w:sz w:val="24"/>
          <w:szCs w:val="24"/>
          <w:lang w:val="en-GB"/>
        </w:rPr>
        <w:t xml:space="preserve">.  </w:t>
      </w:r>
    </w:p>
    <w:p w:rsidR="5A20166F" w:rsidP="76310088" w:rsidRDefault="5A20166F" w14:paraId="038EACD5" w14:textId="55F92CF0">
      <w:pPr>
        <w:spacing w:before="0" w:beforeAutospacing="off" w:after="160" w:afterAutospacing="off" w:line="360" w:lineRule="auto"/>
        <w:jc w:val="left"/>
        <w:rPr>
          <w:rFonts w:ascii="Arial" w:hAnsi="Arial" w:eastAsia="Arial" w:cs="Arial"/>
          <w:b w:val="0"/>
          <w:bCs w:val="0"/>
          <w:noProof w:val="0"/>
          <w:sz w:val="24"/>
          <w:szCs w:val="24"/>
          <w:lang w:val="en-GB"/>
        </w:rPr>
      </w:pPr>
      <w:r w:rsidRPr="76310088" w:rsidR="5A20166F">
        <w:rPr>
          <w:rFonts w:ascii="Arial" w:hAnsi="Arial" w:eastAsia="Arial" w:cs="Arial"/>
          <w:b w:val="0"/>
          <w:bCs w:val="0"/>
          <w:noProof w:val="0"/>
          <w:sz w:val="24"/>
          <w:szCs w:val="24"/>
          <w:lang w:val="en-GB"/>
        </w:rPr>
        <w:t xml:space="preserve">In conclusion ACEs is often complex, and the need for support to individuals, caregivers and self-care for professionals has never been greater. Jacks case study </w:t>
      </w:r>
      <w:r w:rsidRPr="76310088" w:rsidR="5A20166F">
        <w:rPr>
          <w:rFonts w:ascii="Arial" w:hAnsi="Arial" w:eastAsia="Arial" w:cs="Arial"/>
          <w:b w:val="0"/>
          <w:bCs w:val="0"/>
          <w:noProof w:val="0"/>
          <w:sz w:val="24"/>
          <w:szCs w:val="24"/>
          <w:lang w:val="en-GB"/>
        </w:rPr>
        <w:t>demonstrates</w:t>
      </w:r>
      <w:r w:rsidRPr="76310088" w:rsidR="5A20166F">
        <w:rPr>
          <w:rFonts w:ascii="Arial" w:hAnsi="Arial" w:eastAsia="Arial" w:cs="Arial"/>
          <w:b w:val="0"/>
          <w:bCs w:val="0"/>
          <w:noProof w:val="0"/>
          <w:sz w:val="24"/>
          <w:szCs w:val="24"/>
          <w:lang w:val="en-GB"/>
        </w:rPr>
        <w:t xml:space="preserve"> an opportunity to build on resilience with the use of interventions and support, which in turn can offer strategies to mitigate the effects of ACEs </w:t>
      </w:r>
      <w:r w:rsidRPr="76310088" w:rsidR="5A20166F">
        <w:rPr>
          <w:rFonts w:ascii="Arial" w:hAnsi="Arial" w:eastAsia="Arial" w:cs="Arial"/>
          <w:b w:val="0"/>
          <w:bCs w:val="0"/>
          <w:noProof w:val="0"/>
          <w:sz w:val="24"/>
          <w:szCs w:val="24"/>
          <w:lang w:val="en-GB"/>
        </w:rPr>
        <w:t>later on</w:t>
      </w:r>
      <w:r w:rsidRPr="76310088" w:rsidR="5A20166F">
        <w:rPr>
          <w:rFonts w:ascii="Arial" w:hAnsi="Arial" w:eastAsia="Arial" w:cs="Arial"/>
          <w:b w:val="0"/>
          <w:bCs w:val="0"/>
          <w:noProof w:val="0"/>
          <w:sz w:val="24"/>
          <w:szCs w:val="24"/>
          <w:lang w:val="en-GB"/>
        </w:rPr>
        <w:t xml:space="preserve"> in his life. Professionals should consider the ACE type before selecting the intervention which will be most effective, leading to the best treatment outcomes for the individual and reduced issues in relation to health </w:t>
      </w:r>
      <w:r w:rsidRPr="76310088" w:rsidR="5A20166F">
        <w:rPr>
          <w:rFonts w:ascii="Arial" w:hAnsi="Arial" w:eastAsia="Arial" w:cs="Arial"/>
          <w:b w:val="0"/>
          <w:bCs w:val="0"/>
          <w:noProof w:val="0"/>
          <w:sz w:val="24"/>
          <w:szCs w:val="24"/>
          <w:lang w:val="en-GB"/>
        </w:rPr>
        <w:t>later on</w:t>
      </w:r>
      <w:r w:rsidRPr="76310088" w:rsidR="5A20166F">
        <w:rPr>
          <w:rFonts w:ascii="Arial" w:hAnsi="Arial" w:eastAsia="Arial" w:cs="Arial"/>
          <w:b w:val="0"/>
          <w:bCs w:val="0"/>
          <w:noProof w:val="0"/>
          <w:sz w:val="24"/>
          <w:szCs w:val="24"/>
          <w:lang w:val="en-GB"/>
        </w:rPr>
        <w:t xml:space="preserve"> in life. Furthermore, the effects from intervention are influenced by the frequency and length of time, within intensive interventions it is clearer to </w:t>
      </w:r>
      <w:r w:rsidRPr="76310088" w:rsidR="5A20166F">
        <w:rPr>
          <w:rFonts w:ascii="Arial" w:hAnsi="Arial" w:eastAsia="Arial" w:cs="Arial"/>
          <w:b w:val="0"/>
          <w:bCs w:val="0"/>
          <w:noProof w:val="0"/>
          <w:sz w:val="24"/>
          <w:szCs w:val="24"/>
          <w:lang w:val="en-GB"/>
        </w:rPr>
        <w:t>observe</w:t>
      </w:r>
      <w:r w:rsidRPr="76310088" w:rsidR="5A20166F">
        <w:rPr>
          <w:rFonts w:ascii="Arial" w:hAnsi="Arial" w:eastAsia="Arial" w:cs="Arial"/>
          <w:b w:val="0"/>
          <w:bCs w:val="0"/>
          <w:noProof w:val="0"/>
          <w:sz w:val="24"/>
          <w:szCs w:val="24"/>
          <w:lang w:val="en-GB"/>
        </w:rPr>
        <w:t xml:space="preserve"> significant differences. as they last longer than short interventions (</w:t>
      </w:r>
      <w:r w:rsidRPr="76310088" w:rsidR="5A20166F">
        <w:rPr>
          <w:rFonts w:ascii="Arial" w:hAnsi="Arial" w:eastAsia="Arial" w:cs="Arial"/>
          <w:b w:val="0"/>
          <w:bCs w:val="0"/>
          <w:noProof w:val="0"/>
          <w:sz w:val="24"/>
          <w:szCs w:val="24"/>
          <w:lang w:val="en-GB"/>
        </w:rPr>
        <w:t>Kirlic</w:t>
      </w:r>
      <w:r w:rsidRPr="76310088" w:rsidR="5A20166F">
        <w:rPr>
          <w:rFonts w:ascii="Arial" w:hAnsi="Arial" w:eastAsia="Arial" w:cs="Arial"/>
          <w:b w:val="0"/>
          <w:bCs w:val="0"/>
          <w:noProof w:val="0"/>
          <w:sz w:val="24"/>
          <w:szCs w:val="24"/>
          <w:lang w:val="en-GB"/>
        </w:rPr>
        <w:t xml:space="preserve"> et al., 2020). Both Cognitive Behavioural Therapy and Dyadic Developmental Psychotherapy offer a variety of coping mechanisms and strategies to be used throughout life </w:t>
      </w:r>
      <w:r w:rsidRPr="76310088" w:rsidR="5A20166F">
        <w:rPr>
          <w:rFonts w:ascii="Arial" w:hAnsi="Arial" w:eastAsia="Arial" w:cs="Arial"/>
          <w:b w:val="0"/>
          <w:bCs w:val="0"/>
          <w:noProof w:val="0"/>
          <w:sz w:val="24"/>
          <w:szCs w:val="24"/>
          <w:lang w:val="en-GB"/>
        </w:rPr>
        <w:t>benefitting</w:t>
      </w:r>
      <w:r w:rsidRPr="76310088" w:rsidR="5A20166F">
        <w:rPr>
          <w:rFonts w:ascii="Arial" w:hAnsi="Arial" w:eastAsia="Arial" w:cs="Arial"/>
          <w:b w:val="0"/>
          <w:bCs w:val="0"/>
          <w:noProof w:val="0"/>
          <w:sz w:val="24"/>
          <w:szCs w:val="24"/>
          <w:lang w:val="en-GB"/>
        </w:rPr>
        <w:t xml:space="preserve"> emotional regulation and development, whilst also helping with social development as the severity of symptoms will eventually lessen</w:t>
      </w:r>
      <w:r w:rsidRPr="76310088" w:rsidR="5A20166F">
        <w:rPr>
          <w:rFonts w:ascii="Arial" w:hAnsi="Arial" w:eastAsia="Arial" w:cs="Arial"/>
          <w:b w:val="0"/>
          <w:bCs w:val="0"/>
          <w:noProof w:val="0"/>
          <w:sz w:val="24"/>
          <w:szCs w:val="24"/>
          <w:lang w:val="en-GB"/>
        </w:rPr>
        <w:t xml:space="preserve">.  </w:t>
      </w:r>
    </w:p>
    <w:p w:rsidR="76310088" w:rsidP="76310088" w:rsidRDefault="76310088" w14:paraId="7B031749" w14:textId="0B4B9F3B">
      <w:pPr>
        <w:pStyle w:val="Normal"/>
        <w:spacing w:line="360" w:lineRule="auto"/>
        <w:ind w:left="0"/>
        <w:jc w:val="left"/>
        <w:rPr>
          <w:rFonts w:ascii="Arial" w:hAnsi="Arial" w:eastAsia="Arial" w:cs="Arial"/>
          <w:b w:val="0"/>
          <w:bCs w:val="0"/>
          <w:noProof w:val="0"/>
          <w:sz w:val="24"/>
          <w:szCs w:val="24"/>
          <w:u w:val="none"/>
          <w:lang w:val="en-GB"/>
        </w:rPr>
      </w:pPr>
    </w:p>
    <w:p w:rsidR="5338E615" w:rsidP="5338E615" w:rsidRDefault="5338E615" w14:paraId="1770E276" w14:textId="325CB3D4">
      <w:pPr>
        <w:rPr>
          <w:rFonts w:ascii="Arial" w:hAnsi="Arial" w:eastAsia="Arial" w:cs="Arial"/>
          <w:b w:val="0"/>
          <w:bCs w:val="0"/>
          <w:sz w:val="24"/>
          <w:szCs w:val="24"/>
          <w:u w:val="none"/>
        </w:rPr>
      </w:pPr>
    </w:p>
    <w:p w:rsidRPr="00D506A0" w:rsidR="00D506A0" w:rsidP="5338E615" w:rsidRDefault="00D506A0" w14:paraId="6F4509FA" w14:textId="151C8A81">
      <w:pPr>
        <w:rPr>
          <w:rFonts w:ascii="Arial" w:hAnsi="Arial" w:eastAsia="Arial" w:cs="Arial"/>
          <w:b w:val="1"/>
          <w:bCs w:val="1"/>
          <w:sz w:val="24"/>
          <w:szCs w:val="24"/>
          <w:u w:val="single"/>
        </w:rPr>
      </w:pPr>
      <w:r w:rsidRPr="5338E615" w:rsidR="52AD5B82">
        <w:rPr>
          <w:rFonts w:ascii="Arial" w:hAnsi="Arial" w:eastAsia="Arial" w:cs="Arial"/>
          <w:b w:val="1"/>
          <w:bCs w:val="1"/>
          <w:sz w:val="24"/>
          <w:szCs w:val="24"/>
          <w:u w:val="single"/>
        </w:rPr>
        <w:t>REFER</w:t>
      </w:r>
      <w:r w:rsidRPr="5338E615" w:rsidR="52AD5B82">
        <w:rPr>
          <w:rFonts w:ascii="Arial" w:hAnsi="Arial" w:eastAsia="Arial" w:cs="Arial"/>
          <w:b w:val="1"/>
          <w:bCs w:val="1"/>
          <w:sz w:val="24"/>
          <w:szCs w:val="24"/>
          <w:u w:val="single"/>
        </w:rPr>
        <w:t>E</w:t>
      </w:r>
      <w:r w:rsidRPr="5338E615" w:rsidR="52AD5B82">
        <w:rPr>
          <w:rFonts w:ascii="Arial" w:hAnsi="Arial" w:eastAsia="Arial" w:cs="Arial"/>
          <w:b w:val="1"/>
          <w:bCs w:val="1"/>
          <w:sz w:val="24"/>
          <w:szCs w:val="24"/>
          <w:u w:val="single"/>
        </w:rPr>
        <w:t xml:space="preserve">NCES </w:t>
      </w:r>
    </w:p>
    <w:p w:rsidR="00D506A0" w:rsidP="5338E615" w:rsidRDefault="00D506A0" w14:paraId="6CB8F2AC" w14:textId="6669A63C">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Abbott, T. (2019). Adverse Childhood Experiences, Neuroadaptation, and Resilience: Does Trauma Focused Cognitive </w:t>
      </w:r>
      <w:r w:rsidRPr="5338E615" w:rsidR="1AB876F6">
        <w:rPr>
          <w:rFonts w:ascii="Arial" w:hAnsi="Arial" w:eastAsia="Arial" w:cs="Arial"/>
          <w:b w:val="0"/>
          <w:bCs w:val="0"/>
          <w:noProof w:val="0"/>
          <w:color w:val="000000" w:themeColor="text1" w:themeTint="FF" w:themeShade="FF"/>
          <w:sz w:val="24"/>
          <w:szCs w:val="24"/>
          <w:u w:val="none"/>
          <w:lang w:val="en-GB"/>
        </w:rPr>
        <w:t>Behavioral</w:t>
      </w:r>
      <w:r w:rsidRPr="5338E615" w:rsidR="1AB876F6">
        <w:rPr>
          <w:rFonts w:ascii="Arial" w:hAnsi="Arial" w:eastAsia="Arial" w:cs="Arial"/>
          <w:b w:val="0"/>
          <w:bCs w:val="0"/>
          <w:noProof w:val="0"/>
          <w:color w:val="000000" w:themeColor="text1" w:themeTint="FF" w:themeShade="FF"/>
          <w:sz w:val="24"/>
          <w:szCs w:val="24"/>
          <w:u w:val="none"/>
          <w:lang w:val="en-GB"/>
        </w:rPr>
        <w:t xml:space="preserve"> Therapy Go Far Enough? </w:t>
      </w:r>
      <w:r w:rsidRPr="5338E615" w:rsidR="1AB876F6">
        <w:rPr>
          <w:rFonts w:ascii="Arial" w:hAnsi="Arial" w:eastAsia="Arial" w:cs="Arial"/>
          <w:b w:val="0"/>
          <w:bCs w:val="0"/>
          <w:i w:val="1"/>
          <w:iCs w:val="1"/>
          <w:noProof w:val="0"/>
          <w:color w:val="000000" w:themeColor="text1" w:themeTint="FF" w:themeShade="FF"/>
          <w:sz w:val="24"/>
          <w:szCs w:val="24"/>
          <w:u w:val="none"/>
          <w:lang w:val="en-GB"/>
        </w:rPr>
        <w:t>Graduate School of Professional Psychology: Doctoral Papers and Masters Projects</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hyperlink r:id="Rf4a7193a4a934b51">
        <w:r w:rsidRPr="5338E615" w:rsidR="1AB876F6">
          <w:rPr>
            <w:rStyle w:val="Hyperlink"/>
            <w:rFonts w:ascii="Arial" w:hAnsi="Arial" w:eastAsia="Arial" w:cs="Arial"/>
            <w:b w:val="0"/>
            <w:bCs w:val="0"/>
            <w:noProof w:val="0"/>
            <w:sz w:val="24"/>
            <w:szCs w:val="24"/>
            <w:u w:val="none"/>
            <w:lang w:val="en-GB"/>
          </w:rPr>
          <w:t>https://digitalcommons.du.edu/capstone_masters/364/</w:t>
        </w:r>
      </w:hyperlink>
    </w:p>
    <w:p w:rsidR="00D506A0" w:rsidP="5338E615" w:rsidRDefault="00D506A0" w14:paraId="490959EE" w14:textId="084D2ED9">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Adeyemo, Idowu. R., </w:t>
      </w:r>
      <w:r w:rsidRPr="5338E615" w:rsidR="1AB876F6">
        <w:rPr>
          <w:rFonts w:ascii="Arial" w:hAnsi="Arial" w:eastAsia="Arial" w:cs="Arial"/>
          <w:b w:val="0"/>
          <w:bCs w:val="0"/>
          <w:noProof w:val="0"/>
          <w:color w:val="000000" w:themeColor="text1" w:themeTint="FF" w:themeShade="FF"/>
          <w:sz w:val="24"/>
          <w:szCs w:val="24"/>
          <w:u w:val="none"/>
          <w:lang w:val="en-GB"/>
        </w:rPr>
        <w:t>Adeyoyin</w:t>
      </w:r>
      <w:r w:rsidRPr="5338E615" w:rsidR="1AB876F6">
        <w:rPr>
          <w:rFonts w:ascii="Arial" w:hAnsi="Arial" w:eastAsia="Arial" w:cs="Arial"/>
          <w:b w:val="0"/>
          <w:bCs w:val="0"/>
          <w:noProof w:val="0"/>
          <w:color w:val="000000" w:themeColor="text1" w:themeTint="FF" w:themeShade="FF"/>
          <w:sz w:val="24"/>
          <w:szCs w:val="24"/>
          <w:u w:val="none"/>
          <w:lang w:val="en-GB"/>
        </w:rPr>
        <w:t xml:space="preserve">, O., </w:t>
      </w:r>
      <w:r w:rsidRPr="5338E615" w:rsidR="1AB876F6">
        <w:rPr>
          <w:rFonts w:ascii="Arial" w:hAnsi="Arial" w:eastAsia="Arial" w:cs="Arial"/>
          <w:b w:val="0"/>
          <w:bCs w:val="0"/>
          <w:noProof w:val="0"/>
          <w:color w:val="000000" w:themeColor="text1" w:themeTint="FF" w:themeShade="FF"/>
          <w:sz w:val="24"/>
          <w:szCs w:val="24"/>
          <w:u w:val="none"/>
          <w:lang w:val="en-GB"/>
        </w:rPr>
        <w:t>Ukagwu</w:t>
      </w:r>
      <w:r w:rsidRPr="5338E615" w:rsidR="1AB876F6">
        <w:rPr>
          <w:rFonts w:ascii="Arial" w:hAnsi="Arial" w:eastAsia="Arial" w:cs="Arial"/>
          <w:b w:val="0"/>
          <w:bCs w:val="0"/>
          <w:noProof w:val="0"/>
          <w:color w:val="000000" w:themeColor="text1" w:themeTint="FF" w:themeShade="FF"/>
          <w:sz w:val="24"/>
          <w:szCs w:val="24"/>
          <w:u w:val="none"/>
          <w:lang w:val="en-GB"/>
        </w:rPr>
        <w:t>, Chijindu. A., Ibrahim-</w:t>
      </w:r>
      <w:r w:rsidRPr="5338E615" w:rsidR="1AB876F6">
        <w:rPr>
          <w:rFonts w:ascii="Arial" w:hAnsi="Arial" w:eastAsia="Arial" w:cs="Arial"/>
          <w:b w:val="0"/>
          <w:bCs w:val="0"/>
          <w:noProof w:val="0"/>
          <w:color w:val="000000" w:themeColor="text1" w:themeTint="FF" w:themeShade="FF"/>
          <w:sz w:val="24"/>
          <w:szCs w:val="24"/>
          <w:u w:val="none"/>
          <w:lang w:val="en-GB"/>
        </w:rPr>
        <w:t>Ojoawo</w:t>
      </w:r>
      <w:r w:rsidRPr="5338E615" w:rsidR="1AB876F6">
        <w:rPr>
          <w:rFonts w:ascii="Arial" w:hAnsi="Arial" w:eastAsia="Arial" w:cs="Arial"/>
          <w:b w:val="0"/>
          <w:bCs w:val="0"/>
          <w:noProof w:val="0"/>
          <w:color w:val="000000" w:themeColor="text1" w:themeTint="FF" w:themeShade="FF"/>
          <w:sz w:val="24"/>
          <w:szCs w:val="24"/>
          <w:u w:val="none"/>
          <w:lang w:val="en-GB"/>
        </w:rPr>
        <w:t xml:space="preserve">, A., &amp; Asiedu, Lydia. A. (2025). Efficacy of Cognitive </w:t>
      </w:r>
      <w:r w:rsidRPr="5338E615" w:rsidR="1AB876F6">
        <w:rPr>
          <w:rFonts w:ascii="Arial" w:hAnsi="Arial" w:eastAsia="Arial" w:cs="Arial"/>
          <w:b w:val="0"/>
          <w:bCs w:val="0"/>
          <w:noProof w:val="0"/>
          <w:color w:val="000000" w:themeColor="text1" w:themeTint="FF" w:themeShade="FF"/>
          <w:sz w:val="24"/>
          <w:szCs w:val="24"/>
          <w:u w:val="none"/>
          <w:lang w:val="en-GB"/>
        </w:rPr>
        <w:t>Behavioral</w:t>
      </w:r>
      <w:r w:rsidRPr="5338E615" w:rsidR="1AB876F6">
        <w:rPr>
          <w:rFonts w:ascii="Arial" w:hAnsi="Arial" w:eastAsia="Arial" w:cs="Arial"/>
          <w:b w:val="0"/>
          <w:bCs w:val="0"/>
          <w:noProof w:val="0"/>
          <w:color w:val="000000" w:themeColor="text1" w:themeTint="FF" w:themeShade="FF"/>
          <w:sz w:val="24"/>
          <w:szCs w:val="24"/>
          <w:u w:val="none"/>
          <w:lang w:val="en-GB"/>
        </w:rPr>
        <w:t xml:space="preserve"> Therapy Compared to Other Evidence-Based Mental Health Interventions in Children and Adolescents with Symptoms of Childhood Adversities: A Scoping Review. </w:t>
      </w:r>
      <w:r w:rsidRPr="5338E615" w:rsidR="1AB876F6">
        <w:rPr>
          <w:rFonts w:ascii="Arial" w:hAnsi="Arial" w:eastAsia="Arial" w:cs="Arial"/>
          <w:b w:val="0"/>
          <w:bCs w:val="0"/>
          <w:i w:val="1"/>
          <w:iCs w:val="1"/>
          <w:noProof w:val="0"/>
          <w:color w:val="000000" w:themeColor="text1" w:themeTint="FF" w:themeShade="FF"/>
          <w:sz w:val="24"/>
          <w:szCs w:val="24"/>
          <w:u w:val="none"/>
          <w:lang w:val="en-GB"/>
        </w:rPr>
        <w:t>Asian Journal of Advanced Research and Reports</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19</w:t>
      </w:r>
      <w:r w:rsidRPr="5338E615" w:rsidR="1AB876F6">
        <w:rPr>
          <w:rFonts w:ascii="Arial" w:hAnsi="Arial" w:eastAsia="Arial" w:cs="Arial"/>
          <w:b w:val="0"/>
          <w:bCs w:val="0"/>
          <w:noProof w:val="0"/>
          <w:color w:val="000000" w:themeColor="text1" w:themeTint="FF" w:themeShade="FF"/>
          <w:sz w:val="24"/>
          <w:szCs w:val="24"/>
          <w:u w:val="none"/>
          <w:lang w:val="en-GB"/>
        </w:rPr>
        <w:t xml:space="preserve">(6), 255–269. </w:t>
      </w:r>
      <w:hyperlink r:id="R12c072e705334499">
        <w:r w:rsidRPr="5338E615" w:rsidR="1AB876F6">
          <w:rPr>
            <w:rStyle w:val="Hyperlink"/>
            <w:rFonts w:ascii="Arial" w:hAnsi="Arial" w:eastAsia="Arial" w:cs="Arial"/>
            <w:b w:val="0"/>
            <w:bCs w:val="0"/>
            <w:noProof w:val="0"/>
            <w:sz w:val="24"/>
            <w:szCs w:val="24"/>
            <w:u w:val="none"/>
            <w:lang w:val="en-GB"/>
          </w:rPr>
          <w:t>https://doi.org/10.9734/ajarr/2025/v19i61057</w:t>
        </w:r>
      </w:hyperlink>
    </w:p>
    <w:p w:rsidR="00D506A0" w:rsidP="5338E615" w:rsidRDefault="00D506A0" w14:paraId="5C263248" w14:textId="02A224C8">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i w:val="1"/>
          <w:iCs w:val="1"/>
          <w:noProof w:val="0"/>
          <w:color w:val="000000" w:themeColor="text1" w:themeTint="FF" w:themeShade="FF"/>
          <w:sz w:val="24"/>
          <w:szCs w:val="24"/>
          <w:u w:val="none"/>
          <w:lang w:val="en-GB"/>
        </w:rPr>
        <w:t>Adolescent Violence Perpetration: Associations With Multiple Types of Adverse Childhood Experiences</w:t>
      </w:r>
      <w:r w:rsidRPr="5338E615" w:rsidR="1AB876F6">
        <w:rPr>
          <w:rFonts w:ascii="Arial" w:hAnsi="Arial" w:eastAsia="Arial" w:cs="Arial"/>
          <w:b w:val="0"/>
          <w:bCs w:val="0"/>
          <w:noProof w:val="0"/>
          <w:color w:val="000000" w:themeColor="text1" w:themeTint="FF" w:themeShade="FF"/>
          <w:sz w:val="24"/>
          <w:szCs w:val="24"/>
          <w:u w:val="none"/>
          <w:lang w:val="en-GB"/>
        </w:rPr>
        <w:t xml:space="preserve">. (2010). </w:t>
      </w:r>
      <w:hyperlink r:id="R843f01b1cecc452d">
        <w:r w:rsidRPr="5338E615" w:rsidR="1AB876F6">
          <w:rPr>
            <w:rStyle w:val="Hyperlink"/>
            <w:rFonts w:ascii="Arial" w:hAnsi="Arial" w:eastAsia="Arial" w:cs="Arial"/>
            <w:b w:val="0"/>
            <w:bCs w:val="0"/>
            <w:noProof w:val="0"/>
            <w:sz w:val="24"/>
            <w:szCs w:val="24"/>
            <w:u w:val="none"/>
            <w:lang w:val="en-GB"/>
          </w:rPr>
          <w:t>https://publications.aap.org/pediatrics/article-abstract/125/4/e778/73159/Adolescent-Violence-Perpetration-Associations-With</w:t>
        </w:r>
      </w:hyperlink>
    </w:p>
    <w:p w:rsidR="00D506A0" w:rsidP="5338E615" w:rsidRDefault="00D506A0" w14:paraId="15A51987" w14:textId="7F0B971E">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Ahmadi, S. J., </w:t>
      </w:r>
      <w:r w:rsidRPr="5338E615" w:rsidR="1AB876F6">
        <w:rPr>
          <w:rFonts w:ascii="Arial" w:hAnsi="Arial" w:eastAsia="Arial" w:cs="Arial"/>
          <w:b w:val="0"/>
          <w:bCs w:val="0"/>
          <w:noProof w:val="0"/>
          <w:color w:val="000000" w:themeColor="text1" w:themeTint="FF" w:themeShade="FF"/>
          <w:sz w:val="24"/>
          <w:szCs w:val="24"/>
          <w:u w:val="none"/>
          <w:lang w:val="en-GB"/>
        </w:rPr>
        <w:t>Tavoli</w:t>
      </w:r>
      <w:r w:rsidRPr="5338E615" w:rsidR="1AB876F6">
        <w:rPr>
          <w:rFonts w:ascii="Arial" w:hAnsi="Arial" w:eastAsia="Arial" w:cs="Arial"/>
          <w:b w:val="0"/>
          <w:bCs w:val="0"/>
          <w:noProof w:val="0"/>
          <w:color w:val="000000" w:themeColor="text1" w:themeTint="FF" w:themeShade="FF"/>
          <w:sz w:val="24"/>
          <w:szCs w:val="24"/>
          <w:u w:val="none"/>
          <w:lang w:val="en-GB"/>
        </w:rPr>
        <w:t xml:space="preserve">, A., Musavi, Z., &amp; Dainer-Best, J. (2024). Acceptance and commitment therapy versus trauma-focused cognitive </w:t>
      </w:r>
      <w:r w:rsidRPr="5338E615" w:rsidR="1AB876F6">
        <w:rPr>
          <w:rFonts w:ascii="Arial" w:hAnsi="Arial" w:eastAsia="Arial" w:cs="Arial"/>
          <w:b w:val="0"/>
          <w:bCs w:val="0"/>
          <w:noProof w:val="0"/>
          <w:color w:val="000000" w:themeColor="text1" w:themeTint="FF" w:themeShade="FF"/>
          <w:sz w:val="24"/>
          <w:szCs w:val="24"/>
          <w:u w:val="none"/>
          <w:lang w:val="en-GB"/>
        </w:rPr>
        <w:t>behavior</w:t>
      </w:r>
      <w:r w:rsidRPr="5338E615" w:rsidR="1AB876F6">
        <w:rPr>
          <w:rFonts w:ascii="Arial" w:hAnsi="Arial" w:eastAsia="Arial" w:cs="Arial"/>
          <w:b w:val="0"/>
          <w:bCs w:val="0"/>
          <w:noProof w:val="0"/>
          <w:color w:val="000000" w:themeColor="text1" w:themeTint="FF" w:themeShade="FF"/>
          <w:sz w:val="24"/>
          <w:szCs w:val="24"/>
          <w:u w:val="none"/>
          <w:lang w:val="en-GB"/>
        </w:rPr>
        <w:t xml:space="preserve"> therapy: A comparative study of the effects on the posttraumatic stress symptoms of female Afghan adolescents. </w:t>
      </w:r>
      <w:r w:rsidRPr="5338E615" w:rsidR="1AB876F6">
        <w:rPr>
          <w:rFonts w:ascii="Arial" w:hAnsi="Arial" w:eastAsia="Arial" w:cs="Arial"/>
          <w:b w:val="0"/>
          <w:bCs w:val="0"/>
          <w:i w:val="1"/>
          <w:iCs w:val="1"/>
          <w:noProof w:val="0"/>
          <w:color w:val="000000" w:themeColor="text1" w:themeTint="FF" w:themeShade="FF"/>
          <w:sz w:val="24"/>
          <w:szCs w:val="24"/>
          <w:u w:val="none"/>
          <w:lang w:val="en-GB"/>
        </w:rPr>
        <w:t>American Psychologist</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79</w:t>
      </w:r>
      <w:r w:rsidRPr="5338E615" w:rsidR="1AB876F6">
        <w:rPr>
          <w:rFonts w:ascii="Arial" w:hAnsi="Arial" w:eastAsia="Arial" w:cs="Arial"/>
          <w:b w:val="0"/>
          <w:bCs w:val="0"/>
          <w:noProof w:val="0"/>
          <w:color w:val="000000" w:themeColor="text1" w:themeTint="FF" w:themeShade="FF"/>
          <w:sz w:val="24"/>
          <w:szCs w:val="24"/>
          <w:u w:val="none"/>
          <w:lang w:val="en-GB"/>
        </w:rPr>
        <w:t xml:space="preserve">(9), 1452–1459. </w:t>
      </w:r>
      <w:hyperlink r:id="Rea84d7b5e6be4f62">
        <w:r w:rsidRPr="5338E615" w:rsidR="1AB876F6">
          <w:rPr>
            <w:rStyle w:val="Hyperlink"/>
            <w:rFonts w:ascii="Arial" w:hAnsi="Arial" w:eastAsia="Arial" w:cs="Arial"/>
            <w:b w:val="0"/>
            <w:bCs w:val="0"/>
            <w:noProof w:val="0"/>
            <w:sz w:val="24"/>
            <w:szCs w:val="24"/>
            <w:u w:val="none"/>
            <w:lang w:val="en-GB"/>
          </w:rPr>
          <w:t>https://doi.org/10.1037/amp0001451</w:t>
        </w:r>
      </w:hyperlink>
    </w:p>
    <w:p w:rsidR="00D506A0" w:rsidP="5338E615" w:rsidRDefault="00D506A0" w14:paraId="51E3F431" w14:textId="17517C1D">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Anda, R. F., Whitfield, C. L., </w:t>
      </w:r>
      <w:r w:rsidRPr="5338E615" w:rsidR="1AB876F6">
        <w:rPr>
          <w:rFonts w:ascii="Arial" w:hAnsi="Arial" w:eastAsia="Arial" w:cs="Arial"/>
          <w:b w:val="0"/>
          <w:bCs w:val="0"/>
          <w:noProof w:val="0"/>
          <w:color w:val="000000" w:themeColor="text1" w:themeTint="FF" w:themeShade="FF"/>
          <w:sz w:val="24"/>
          <w:szCs w:val="24"/>
          <w:u w:val="none"/>
          <w:lang w:val="en-GB"/>
        </w:rPr>
        <w:t>Felitti</w:t>
      </w:r>
      <w:r w:rsidRPr="5338E615" w:rsidR="1AB876F6">
        <w:rPr>
          <w:rFonts w:ascii="Arial" w:hAnsi="Arial" w:eastAsia="Arial" w:cs="Arial"/>
          <w:b w:val="0"/>
          <w:bCs w:val="0"/>
          <w:noProof w:val="0"/>
          <w:color w:val="000000" w:themeColor="text1" w:themeTint="FF" w:themeShade="FF"/>
          <w:sz w:val="24"/>
          <w:szCs w:val="24"/>
          <w:u w:val="none"/>
          <w:lang w:val="en-GB"/>
        </w:rPr>
        <w:t xml:space="preserve">, V. J., Chapman, D., Edwards, V. J., Dube, S. R., &amp; Williamson, D. F. (2002). Adverse Childhood Experiences, Alcoholic Parents, and Later Risk of Alcoholism and Depression. </w:t>
      </w:r>
      <w:r w:rsidRPr="5338E615" w:rsidR="1AB876F6">
        <w:rPr>
          <w:rFonts w:ascii="Arial" w:hAnsi="Arial" w:eastAsia="Arial" w:cs="Arial"/>
          <w:b w:val="0"/>
          <w:bCs w:val="0"/>
          <w:i w:val="1"/>
          <w:iCs w:val="1"/>
          <w:noProof w:val="0"/>
          <w:color w:val="000000" w:themeColor="text1" w:themeTint="FF" w:themeShade="FF"/>
          <w:sz w:val="24"/>
          <w:szCs w:val="24"/>
          <w:u w:val="none"/>
          <w:lang w:val="en-GB"/>
        </w:rPr>
        <w:t>Psychiatric Services</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53</w:t>
      </w:r>
      <w:r w:rsidRPr="5338E615" w:rsidR="1AB876F6">
        <w:rPr>
          <w:rFonts w:ascii="Arial" w:hAnsi="Arial" w:eastAsia="Arial" w:cs="Arial"/>
          <w:b w:val="0"/>
          <w:bCs w:val="0"/>
          <w:noProof w:val="0"/>
          <w:color w:val="000000" w:themeColor="text1" w:themeTint="FF" w:themeShade="FF"/>
          <w:sz w:val="24"/>
          <w:szCs w:val="24"/>
          <w:u w:val="none"/>
          <w:lang w:val="en-GB"/>
        </w:rPr>
        <w:t xml:space="preserve">(8), 1001–1009. </w:t>
      </w:r>
      <w:hyperlink r:id="Rc1feb2ad3dc0426a">
        <w:r w:rsidRPr="5338E615" w:rsidR="1AB876F6">
          <w:rPr>
            <w:rStyle w:val="Hyperlink"/>
            <w:rFonts w:ascii="Arial" w:hAnsi="Arial" w:eastAsia="Arial" w:cs="Arial"/>
            <w:b w:val="0"/>
            <w:bCs w:val="0"/>
            <w:noProof w:val="0"/>
            <w:sz w:val="24"/>
            <w:szCs w:val="24"/>
            <w:u w:val="none"/>
            <w:lang w:val="en-GB"/>
          </w:rPr>
          <w:t>https://doi.org/10.1176/appi.ps.53.8.1001</w:t>
        </w:r>
      </w:hyperlink>
    </w:p>
    <w:p w:rsidR="00D506A0" w:rsidP="5338E615" w:rsidRDefault="00D506A0" w14:paraId="2633CC8D" w14:textId="037FBCFA">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Barton, H. (2020). An exploration of the experiences that counsellors have of taking care of their own mental, </w:t>
      </w:r>
      <w:r w:rsidRPr="5338E615" w:rsidR="1AB876F6">
        <w:rPr>
          <w:rFonts w:ascii="Arial" w:hAnsi="Arial" w:eastAsia="Arial" w:cs="Arial"/>
          <w:b w:val="0"/>
          <w:bCs w:val="0"/>
          <w:noProof w:val="0"/>
          <w:color w:val="000000" w:themeColor="text1" w:themeTint="FF" w:themeShade="FF"/>
          <w:sz w:val="24"/>
          <w:szCs w:val="24"/>
          <w:u w:val="none"/>
          <w:lang w:val="en-GB"/>
        </w:rPr>
        <w:t>emotional</w:t>
      </w:r>
      <w:r w:rsidRPr="5338E615" w:rsidR="1AB876F6">
        <w:rPr>
          <w:rFonts w:ascii="Arial" w:hAnsi="Arial" w:eastAsia="Arial" w:cs="Arial"/>
          <w:b w:val="0"/>
          <w:bCs w:val="0"/>
          <w:noProof w:val="0"/>
          <w:color w:val="000000" w:themeColor="text1" w:themeTint="FF" w:themeShade="FF"/>
          <w:sz w:val="24"/>
          <w:szCs w:val="24"/>
          <w:u w:val="none"/>
          <w:lang w:val="en-GB"/>
        </w:rPr>
        <w:t xml:space="preserve"> and spiritual well‐being. </w:t>
      </w:r>
      <w:r w:rsidRPr="5338E615" w:rsidR="1AB876F6">
        <w:rPr>
          <w:rFonts w:ascii="Arial" w:hAnsi="Arial" w:eastAsia="Arial" w:cs="Arial"/>
          <w:b w:val="0"/>
          <w:bCs w:val="0"/>
          <w:i w:val="1"/>
          <w:iCs w:val="1"/>
          <w:noProof w:val="0"/>
          <w:color w:val="000000" w:themeColor="text1" w:themeTint="FF" w:themeShade="FF"/>
          <w:sz w:val="24"/>
          <w:szCs w:val="24"/>
          <w:u w:val="none"/>
          <w:lang w:val="en-GB"/>
        </w:rPr>
        <w:t>Counselling and Psychotherapy Research</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20</w:t>
      </w:r>
      <w:r w:rsidRPr="5338E615" w:rsidR="1AB876F6">
        <w:rPr>
          <w:rFonts w:ascii="Arial" w:hAnsi="Arial" w:eastAsia="Arial" w:cs="Arial"/>
          <w:b w:val="0"/>
          <w:bCs w:val="0"/>
          <w:noProof w:val="0"/>
          <w:color w:val="000000" w:themeColor="text1" w:themeTint="FF" w:themeShade="FF"/>
          <w:sz w:val="24"/>
          <w:szCs w:val="24"/>
          <w:u w:val="none"/>
          <w:lang w:val="en-GB"/>
        </w:rPr>
        <w:t xml:space="preserve">(3), 516–524. </w:t>
      </w:r>
      <w:hyperlink r:id="R20ae961d5dd84e56">
        <w:r w:rsidRPr="5338E615" w:rsidR="1AB876F6">
          <w:rPr>
            <w:rStyle w:val="Hyperlink"/>
            <w:rFonts w:ascii="Arial" w:hAnsi="Arial" w:eastAsia="Arial" w:cs="Arial"/>
            <w:b w:val="0"/>
            <w:bCs w:val="0"/>
            <w:noProof w:val="0"/>
            <w:sz w:val="24"/>
            <w:szCs w:val="24"/>
            <w:u w:val="none"/>
            <w:lang w:val="en-GB"/>
          </w:rPr>
          <w:t>https://doi.org/10.1002/capr.12280</w:t>
        </w:r>
      </w:hyperlink>
    </w:p>
    <w:p w:rsidR="00D506A0" w:rsidP="5338E615" w:rsidRDefault="00D506A0" w14:paraId="091DF650" w14:textId="35F1E3A0">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Becker-Weidman, A. (2008). Treatment for Children with Reactive Attachment Disorder: Dyadic Developmental Psychotherapy. </w:t>
      </w:r>
      <w:r w:rsidRPr="5338E615" w:rsidR="1AB876F6">
        <w:rPr>
          <w:rFonts w:ascii="Arial" w:hAnsi="Arial" w:eastAsia="Arial" w:cs="Arial"/>
          <w:b w:val="0"/>
          <w:bCs w:val="0"/>
          <w:i w:val="1"/>
          <w:iCs w:val="1"/>
          <w:noProof w:val="0"/>
          <w:color w:val="000000" w:themeColor="text1" w:themeTint="FF" w:themeShade="FF"/>
          <w:sz w:val="24"/>
          <w:szCs w:val="24"/>
          <w:u w:val="none"/>
          <w:lang w:val="en-GB"/>
        </w:rPr>
        <w:t>Child and Adolescent Mental Health</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13</w:t>
      </w:r>
      <w:r w:rsidRPr="5338E615" w:rsidR="1AB876F6">
        <w:rPr>
          <w:rFonts w:ascii="Arial" w:hAnsi="Arial" w:eastAsia="Arial" w:cs="Arial"/>
          <w:b w:val="0"/>
          <w:bCs w:val="0"/>
          <w:noProof w:val="0"/>
          <w:color w:val="000000" w:themeColor="text1" w:themeTint="FF" w:themeShade="FF"/>
          <w:sz w:val="24"/>
          <w:szCs w:val="24"/>
          <w:u w:val="none"/>
          <w:lang w:val="en-GB"/>
        </w:rPr>
        <w:t xml:space="preserve">(1), 52–52. </w:t>
      </w:r>
      <w:hyperlink r:id="Re8618ade09294c7e">
        <w:r w:rsidRPr="5338E615" w:rsidR="1AB876F6">
          <w:rPr>
            <w:rStyle w:val="Hyperlink"/>
            <w:rFonts w:ascii="Arial" w:hAnsi="Arial" w:eastAsia="Arial" w:cs="Arial"/>
            <w:b w:val="0"/>
            <w:bCs w:val="0"/>
            <w:noProof w:val="0"/>
            <w:sz w:val="24"/>
            <w:szCs w:val="24"/>
            <w:u w:val="none"/>
            <w:lang w:val="en-GB"/>
          </w:rPr>
          <w:t>https://doi.org/10.1111/j.1475-3588.2006.00428.x</w:t>
        </w:r>
      </w:hyperlink>
    </w:p>
    <w:p w:rsidR="00D506A0" w:rsidP="5338E615" w:rsidRDefault="00D506A0" w14:paraId="7E376454" w14:textId="396C7F82">
      <w:pPr>
        <w:spacing w:before="240" w:beforeAutospacing="off" w:after="0" w:afterAutospacing="off" w:line="480" w:lineRule="auto"/>
        <w:ind w:left="720" w:right="0" w:hanging="720"/>
        <w:rPr>
          <w:rFonts w:ascii="Arial" w:hAnsi="Arial" w:eastAsia="Arial" w:cs="Arial"/>
          <w:b w:val="0"/>
          <w:bCs w:val="0"/>
          <w:noProof w:val="0"/>
          <w:color w:val="000000" w:themeColor="text1" w:themeTint="FF" w:themeShade="FF"/>
          <w:sz w:val="24"/>
          <w:szCs w:val="24"/>
          <w:u w:val="none"/>
          <w:lang w:val="en-GB"/>
        </w:rPr>
      </w:pPr>
      <w:r w:rsidRPr="5338E615" w:rsidR="1AB876F6">
        <w:rPr>
          <w:rFonts w:ascii="Arial" w:hAnsi="Arial" w:eastAsia="Arial" w:cs="Arial"/>
          <w:b w:val="0"/>
          <w:bCs w:val="0"/>
          <w:noProof w:val="0"/>
          <w:color w:val="000000" w:themeColor="text1" w:themeTint="FF" w:themeShade="FF"/>
          <w:sz w:val="24"/>
          <w:szCs w:val="24"/>
          <w:u w:val="none"/>
          <w:lang w:val="en-GB"/>
        </w:rPr>
        <w:t xml:space="preserve">Becker-Weidman, A. (2012a). Dyadic Developmental Psychotherapy: an evidence-based treatment for children with complex trauma and disorders of attachment. </w:t>
      </w:r>
      <w:r w:rsidRPr="5338E615" w:rsidR="1AB876F6">
        <w:rPr>
          <w:rFonts w:ascii="Arial" w:hAnsi="Arial" w:eastAsia="Arial" w:cs="Arial"/>
          <w:b w:val="0"/>
          <w:bCs w:val="0"/>
          <w:i w:val="1"/>
          <w:iCs w:val="1"/>
          <w:noProof w:val="0"/>
          <w:color w:val="000000" w:themeColor="text1" w:themeTint="FF" w:themeShade="FF"/>
          <w:sz w:val="24"/>
          <w:szCs w:val="24"/>
          <w:u w:val="none"/>
          <w:lang w:val="en-GB"/>
        </w:rPr>
        <w:t xml:space="preserve">Illinois </w:t>
      </w:r>
      <w:r w:rsidRPr="5338E615" w:rsidR="1AB876F6">
        <w:rPr>
          <w:rFonts w:ascii="Arial" w:hAnsi="Arial" w:eastAsia="Arial" w:cs="Arial"/>
          <w:b w:val="0"/>
          <w:bCs w:val="0"/>
          <w:i w:val="1"/>
          <w:iCs w:val="1"/>
          <w:noProof w:val="0"/>
          <w:color w:val="000000" w:themeColor="text1" w:themeTint="FF" w:themeShade="FF"/>
          <w:sz w:val="24"/>
          <w:szCs w:val="24"/>
          <w:u w:val="none"/>
          <w:lang w:val="en-GB"/>
        </w:rPr>
        <w:t>Cild</w:t>
      </w:r>
      <w:r w:rsidRPr="5338E615" w:rsidR="1AB876F6">
        <w:rPr>
          <w:rFonts w:ascii="Arial" w:hAnsi="Arial" w:eastAsia="Arial" w:cs="Arial"/>
          <w:b w:val="0"/>
          <w:bCs w:val="0"/>
          <w:i w:val="1"/>
          <w:iCs w:val="1"/>
          <w:noProof w:val="0"/>
          <w:color w:val="000000" w:themeColor="text1" w:themeTint="FF" w:themeShade="FF"/>
          <w:sz w:val="24"/>
          <w:szCs w:val="24"/>
          <w:u w:val="none"/>
          <w:lang w:val="en-GB"/>
        </w:rPr>
        <w:t xml:space="preserve"> Welfare Journal</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6</w:t>
      </w:r>
      <w:r w:rsidRPr="5338E615" w:rsidR="1AB876F6">
        <w:rPr>
          <w:rFonts w:ascii="Arial" w:hAnsi="Arial" w:eastAsia="Arial" w:cs="Arial"/>
          <w:b w:val="0"/>
          <w:bCs w:val="0"/>
          <w:noProof w:val="0"/>
          <w:color w:val="000000" w:themeColor="text1" w:themeTint="FF" w:themeShade="FF"/>
          <w:sz w:val="24"/>
          <w:szCs w:val="24"/>
          <w:u w:val="none"/>
          <w:lang w:val="en-GB"/>
        </w:rPr>
        <w:t>(1), 1–11.</w:t>
      </w:r>
    </w:p>
    <w:p w:rsidR="00D506A0" w:rsidP="5338E615" w:rsidRDefault="00D506A0" w14:paraId="74CCD264" w14:textId="17839545">
      <w:pPr>
        <w:spacing w:before="240" w:beforeAutospacing="off" w:after="0" w:afterAutospacing="off" w:line="480" w:lineRule="auto"/>
        <w:ind w:left="720" w:right="0" w:hanging="720"/>
        <w:rPr>
          <w:rFonts w:ascii="Arial" w:hAnsi="Arial" w:eastAsia="Arial" w:cs="Arial"/>
          <w:b w:val="0"/>
          <w:bCs w:val="0"/>
          <w:i w:val="1"/>
          <w:iCs w:val="1"/>
          <w:noProof w:val="0"/>
          <w:color w:val="000000" w:themeColor="text1" w:themeTint="FF" w:themeShade="FF"/>
          <w:sz w:val="24"/>
          <w:szCs w:val="24"/>
          <w:u w:val="none"/>
          <w:lang w:val="en-GB"/>
        </w:rPr>
      </w:pPr>
      <w:r w:rsidRPr="5338E615" w:rsidR="1AB876F6">
        <w:rPr>
          <w:rFonts w:ascii="Arial" w:hAnsi="Arial" w:eastAsia="Arial" w:cs="Arial"/>
          <w:b w:val="0"/>
          <w:bCs w:val="0"/>
          <w:noProof w:val="0"/>
          <w:color w:val="000000" w:themeColor="text1" w:themeTint="FF" w:themeShade="FF"/>
          <w:sz w:val="24"/>
          <w:szCs w:val="24"/>
          <w:u w:val="none"/>
          <w:lang w:val="en-GB"/>
        </w:rPr>
        <w:t xml:space="preserve">Becker-Weidman, A. (2012b). </w:t>
      </w:r>
      <w:r w:rsidRPr="5338E615" w:rsidR="1AB876F6">
        <w:rPr>
          <w:rFonts w:ascii="Arial" w:hAnsi="Arial" w:eastAsia="Arial" w:cs="Arial"/>
          <w:b w:val="0"/>
          <w:bCs w:val="0"/>
          <w:i w:val="1"/>
          <w:iCs w:val="1"/>
          <w:noProof w:val="0"/>
          <w:color w:val="000000" w:themeColor="text1" w:themeTint="FF" w:themeShade="FF"/>
          <w:sz w:val="24"/>
          <w:szCs w:val="24"/>
          <w:u w:val="none"/>
          <w:lang w:val="en-GB"/>
        </w:rPr>
        <w:t>The Dyadic Developmental Psychotherapy Primer, Williamsville, NY: Century.</w:t>
      </w:r>
    </w:p>
    <w:p w:rsidR="00D506A0" w:rsidP="5338E615" w:rsidRDefault="00D506A0" w14:paraId="081E9208" w14:textId="4C7E6DA6">
      <w:pPr>
        <w:spacing w:before="240" w:beforeAutospacing="off" w:after="0" w:afterAutospacing="off" w:line="480" w:lineRule="auto"/>
        <w:ind w:left="720" w:right="0" w:hanging="720"/>
        <w:rPr>
          <w:rFonts w:ascii="Arial" w:hAnsi="Arial" w:eastAsia="Arial" w:cs="Arial"/>
          <w:b w:val="0"/>
          <w:bCs w:val="0"/>
          <w:noProof w:val="0"/>
          <w:color w:val="000000" w:themeColor="text1" w:themeTint="FF" w:themeShade="FF"/>
          <w:sz w:val="24"/>
          <w:szCs w:val="24"/>
          <w:u w:val="none"/>
          <w:lang w:val="en-GB"/>
        </w:rPr>
      </w:pPr>
      <w:r w:rsidRPr="5338E615" w:rsidR="1AB876F6">
        <w:rPr>
          <w:rFonts w:ascii="Arial" w:hAnsi="Arial" w:eastAsia="Arial" w:cs="Arial"/>
          <w:b w:val="0"/>
          <w:bCs w:val="0"/>
          <w:noProof w:val="0"/>
          <w:color w:val="000000" w:themeColor="text1" w:themeTint="FF" w:themeShade="FF"/>
          <w:sz w:val="24"/>
          <w:szCs w:val="24"/>
          <w:u w:val="none"/>
          <w:lang w:val="en-GB"/>
        </w:rPr>
        <w:t xml:space="preserve">Becker-Weidman, A., &amp; Shell, D. (2010). </w:t>
      </w:r>
      <w:r w:rsidRPr="5338E615" w:rsidR="1AB876F6">
        <w:rPr>
          <w:rFonts w:ascii="Arial" w:hAnsi="Arial" w:eastAsia="Arial" w:cs="Arial"/>
          <w:b w:val="0"/>
          <w:bCs w:val="0"/>
          <w:i w:val="1"/>
          <w:iCs w:val="1"/>
          <w:noProof w:val="0"/>
          <w:color w:val="000000" w:themeColor="text1" w:themeTint="FF" w:themeShade="FF"/>
          <w:sz w:val="24"/>
          <w:szCs w:val="24"/>
          <w:u w:val="none"/>
          <w:lang w:val="en-GB"/>
        </w:rPr>
        <w:t>Attachment parenting: Developing connections and healing children. Jason Aronson.</w:t>
      </w:r>
      <w:r w:rsidRPr="5338E615" w:rsidR="1AB876F6">
        <w:rPr>
          <w:rFonts w:ascii="Arial" w:hAnsi="Arial" w:eastAsia="Arial" w:cs="Arial"/>
          <w:b w:val="0"/>
          <w:bCs w:val="0"/>
          <w:noProof w:val="0"/>
          <w:color w:val="000000" w:themeColor="text1" w:themeTint="FF" w:themeShade="FF"/>
          <w:sz w:val="24"/>
          <w:szCs w:val="24"/>
          <w:u w:val="none"/>
          <w:lang w:val="en-GB"/>
        </w:rPr>
        <w:t>Psycnet.org.</w:t>
      </w:r>
    </w:p>
    <w:p w:rsidR="00D506A0" w:rsidP="5338E615" w:rsidRDefault="00D506A0" w14:paraId="1BCBEF95" w14:textId="3E204DB9">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Bellis, M. A., Hughes, K., Leckenby, N., Perkins, C., &amp; Lowey, H. (2014). National Household Survey of Adverse Childhood Experiences and Their Relationship with Resilience to health-harming </w:t>
      </w:r>
      <w:r w:rsidRPr="5338E615" w:rsidR="1AB876F6">
        <w:rPr>
          <w:rFonts w:ascii="Arial" w:hAnsi="Arial" w:eastAsia="Arial" w:cs="Arial"/>
          <w:b w:val="0"/>
          <w:bCs w:val="0"/>
          <w:noProof w:val="0"/>
          <w:color w:val="000000" w:themeColor="text1" w:themeTint="FF" w:themeShade="FF"/>
          <w:sz w:val="24"/>
          <w:szCs w:val="24"/>
          <w:u w:val="none"/>
          <w:lang w:val="en-GB"/>
        </w:rPr>
        <w:t>Behaviors</w:t>
      </w:r>
      <w:r w:rsidRPr="5338E615" w:rsidR="1AB876F6">
        <w:rPr>
          <w:rFonts w:ascii="Arial" w:hAnsi="Arial" w:eastAsia="Arial" w:cs="Arial"/>
          <w:b w:val="0"/>
          <w:bCs w:val="0"/>
          <w:noProof w:val="0"/>
          <w:color w:val="000000" w:themeColor="text1" w:themeTint="FF" w:themeShade="FF"/>
          <w:sz w:val="24"/>
          <w:szCs w:val="24"/>
          <w:u w:val="none"/>
          <w:lang w:val="en-GB"/>
        </w:rPr>
        <w:t xml:space="preserve"> in England. </w:t>
      </w:r>
      <w:r w:rsidRPr="5338E615" w:rsidR="1AB876F6">
        <w:rPr>
          <w:rFonts w:ascii="Arial" w:hAnsi="Arial" w:eastAsia="Arial" w:cs="Arial"/>
          <w:b w:val="0"/>
          <w:bCs w:val="0"/>
          <w:i w:val="1"/>
          <w:iCs w:val="1"/>
          <w:noProof w:val="0"/>
          <w:color w:val="000000" w:themeColor="text1" w:themeTint="FF" w:themeShade="FF"/>
          <w:sz w:val="24"/>
          <w:szCs w:val="24"/>
          <w:u w:val="none"/>
          <w:lang w:val="en-GB"/>
        </w:rPr>
        <w:t>BMC Medicine</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12</w:t>
      </w:r>
      <w:r w:rsidRPr="5338E615" w:rsidR="1AB876F6">
        <w:rPr>
          <w:rFonts w:ascii="Arial" w:hAnsi="Arial" w:eastAsia="Arial" w:cs="Arial"/>
          <w:b w:val="0"/>
          <w:bCs w:val="0"/>
          <w:noProof w:val="0"/>
          <w:color w:val="000000" w:themeColor="text1" w:themeTint="FF" w:themeShade="FF"/>
          <w:sz w:val="24"/>
          <w:szCs w:val="24"/>
          <w:u w:val="none"/>
          <w:lang w:val="en-GB"/>
        </w:rPr>
        <w:t xml:space="preserve">(1). </w:t>
      </w:r>
      <w:hyperlink r:id="R7b95610691314e47">
        <w:r w:rsidRPr="5338E615" w:rsidR="1AB876F6">
          <w:rPr>
            <w:rStyle w:val="Hyperlink"/>
            <w:rFonts w:ascii="Arial" w:hAnsi="Arial" w:eastAsia="Arial" w:cs="Arial"/>
            <w:b w:val="0"/>
            <w:bCs w:val="0"/>
            <w:noProof w:val="0"/>
            <w:sz w:val="24"/>
            <w:szCs w:val="24"/>
            <w:u w:val="none"/>
            <w:lang w:val="en-GB"/>
          </w:rPr>
          <w:t>https://doi.org/10.1186/1741-7015-12-72</w:t>
        </w:r>
      </w:hyperlink>
    </w:p>
    <w:p w:rsidR="00D506A0" w:rsidP="5338E615" w:rsidRDefault="00D506A0" w14:paraId="145C7A6A" w14:textId="1CFA6445">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Bohecker, L., &amp; Doughty Horn, E. A. (2016). Increasing Students’ Empathy and </w:t>
      </w:r>
      <w:r w:rsidRPr="5338E615" w:rsidR="1AB876F6">
        <w:rPr>
          <w:rFonts w:ascii="Arial" w:hAnsi="Arial" w:eastAsia="Arial" w:cs="Arial"/>
          <w:b w:val="0"/>
          <w:bCs w:val="0"/>
          <w:noProof w:val="0"/>
          <w:color w:val="000000" w:themeColor="text1" w:themeTint="FF" w:themeShade="FF"/>
          <w:sz w:val="24"/>
          <w:szCs w:val="24"/>
          <w:u w:val="none"/>
          <w:lang w:val="en-GB"/>
        </w:rPr>
        <w:t>Counseling</w:t>
      </w:r>
      <w:r w:rsidRPr="5338E615" w:rsidR="1AB876F6">
        <w:rPr>
          <w:rFonts w:ascii="Arial" w:hAnsi="Arial" w:eastAsia="Arial" w:cs="Arial"/>
          <w:b w:val="0"/>
          <w:bCs w:val="0"/>
          <w:noProof w:val="0"/>
          <w:color w:val="000000" w:themeColor="text1" w:themeTint="FF" w:themeShade="FF"/>
          <w:sz w:val="24"/>
          <w:szCs w:val="24"/>
          <w:u w:val="none"/>
          <w:lang w:val="en-GB"/>
        </w:rPr>
        <w:t xml:space="preserve"> Self-Efficacy Through a Mindfulness Experiential Small Group. </w:t>
      </w:r>
      <w:r w:rsidRPr="5338E615" w:rsidR="1AB876F6">
        <w:rPr>
          <w:rFonts w:ascii="Arial" w:hAnsi="Arial" w:eastAsia="Arial" w:cs="Arial"/>
          <w:b w:val="0"/>
          <w:bCs w:val="0"/>
          <w:i w:val="1"/>
          <w:iCs w:val="1"/>
          <w:noProof w:val="0"/>
          <w:color w:val="000000" w:themeColor="text1" w:themeTint="FF" w:themeShade="FF"/>
          <w:sz w:val="24"/>
          <w:szCs w:val="24"/>
          <w:u w:val="none"/>
          <w:lang w:val="en-GB"/>
        </w:rPr>
        <w:t>The Journal for Specialists in Group Work</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41</w:t>
      </w:r>
      <w:r w:rsidRPr="5338E615" w:rsidR="1AB876F6">
        <w:rPr>
          <w:rFonts w:ascii="Arial" w:hAnsi="Arial" w:eastAsia="Arial" w:cs="Arial"/>
          <w:b w:val="0"/>
          <w:bCs w:val="0"/>
          <w:noProof w:val="0"/>
          <w:color w:val="000000" w:themeColor="text1" w:themeTint="FF" w:themeShade="FF"/>
          <w:sz w:val="24"/>
          <w:szCs w:val="24"/>
          <w:u w:val="none"/>
          <w:lang w:val="en-GB"/>
        </w:rPr>
        <w:t xml:space="preserve">(4), 312–333. </w:t>
      </w:r>
      <w:hyperlink r:id="R6580b533bacc47bf">
        <w:r w:rsidRPr="5338E615" w:rsidR="1AB876F6">
          <w:rPr>
            <w:rStyle w:val="Hyperlink"/>
            <w:rFonts w:ascii="Arial" w:hAnsi="Arial" w:eastAsia="Arial" w:cs="Arial"/>
            <w:b w:val="0"/>
            <w:bCs w:val="0"/>
            <w:noProof w:val="0"/>
            <w:sz w:val="24"/>
            <w:szCs w:val="24"/>
            <w:u w:val="none"/>
            <w:lang w:val="en-GB"/>
          </w:rPr>
          <w:t>https://doi.org/10.1080/01933922.2016.1232322</w:t>
        </w:r>
      </w:hyperlink>
    </w:p>
    <w:p w:rsidR="00D506A0" w:rsidP="5338E615" w:rsidRDefault="00D506A0" w14:paraId="40760109" w14:textId="36CDD60C">
      <w:pPr>
        <w:spacing w:before="240" w:beforeAutospacing="off" w:after="0" w:afterAutospacing="off" w:line="480" w:lineRule="auto"/>
        <w:ind w:left="720" w:right="0" w:hanging="720"/>
        <w:rPr>
          <w:rFonts w:ascii="Arial" w:hAnsi="Arial" w:eastAsia="Arial" w:cs="Arial"/>
          <w:b w:val="0"/>
          <w:bCs w:val="0"/>
          <w:noProof w:val="0"/>
          <w:color w:val="000000" w:themeColor="text1" w:themeTint="FF" w:themeShade="FF"/>
          <w:sz w:val="24"/>
          <w:szCs w:val="24"/>
          <w:u w:val="none"/>
          <w:lang w:val="en-GB"/>
        </w:rPr>
      </w:pPr>
      <w:r w:rsidRPr="5338E615" w:rsidR="1AB876F6">
        <w:rPr>
          <w:rFonts w:ascii="Arial" w:hAnsi="Arial" w:eastAsia="Arial" w:cs="Arial"/>
          <w:b w:val="0"/>
          <w:bCs w:val="0"/>
          <w:noProof w:val="0"/>
          <w:color w:val="000000" w:themeColor="text1" w:themeTint="FF" w:themeShade="FF"/>
          <w:sz w:val="24"/>
          <w:szCs w:val="24"/>
          <w:u w:val="none"/>
          <w:lang w:val="en-GB"/>
        </w:rPr>
        <w:t xml:space="preserve">Bowlby, J. (1969). </w:t>
      </w:r>
      <w:r w:rsidRPr="5338E615" w:rsidR="1AB876F6">
        <w:rPr>
          <w:rFonts w:ascii="Arial" w:hAnsi="Arial" w:eastAsia="Arial" w:cs="Arial"/>
          <w:b w:val="0"/>
          <w:bCs w:val="0"/>
          <w:i w:val="1"/>
          <w:iCs w:val="1"/>
          <w:noProof w:val="0"/>
          <w:color w:val="000000" w:themeColor="text1" w:themeTint="FF" w:themeShade="FF"/>
          <w:sz w:val="24"/>
          <w:szCs w:val="24"/>
          <w:u w:val="none"/>
          <w:lang w:val="en-GB"/>
        </w:rPr>
        <w:t>Attachment and Loss</w:t>
      </w:r>
      <w:r w:rsidRPr="5338E615" w:rsidR="1AB876F6">
        <w:rPr>
          <w:rFonts w:ascii="Arial" w:hAnsi="Arial" w:eastAsia="Arial" w:cs="Arial"/>
          <w:b w:val="0"/>
          <w:bCs w:val="0"/>
          <w:noProof w:val="0"/>
          <w:color w:val="000000" w:themeColor="text1" w:themeTint="FF" w:themeShade="FF"/>
          <w:sz w:val="24"/>
          <w:szCs w:val="24"/>
          <w:u w:val="none"/>
          <w:lang w:val="en-GB"/>
        </w:rPr>
        <w:t>. New York: Basic Books.</w:t>
      </w:r>
    </w:p>
    <w:p w:rsidR="00D506A0" w:rsidP="5338E615" w:rsidRDefault="00D506A0" w14:paraId="7C4AC434" w14:textId="3A4F6D03">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Bradley, N., Whisenhunt, J., Adamson, N., &amp; Kress, V. E. (2013). Creative approaches for promoting </w:t>
      </w:r>
      <w:r w:rsidRPr="5338E615" w:rsidR="1AB876F6">
        <w:rPr>
          <w:rFonts w:ascii="Arial" w:hAnsi="Arial" w:eastAsia="Arial" w:cs="Arial"/>
          <w:b w:val="0"/>
          <w:bCs w:val="0"/>
          <w:noProof w:val="0"/>
          <w:color w:val="000000" w:themeColor="text1" w:themeTint="FF" w:themeShade="FF"/>
          <w:sz w:val="24"/>
          <w:szCs w:val="24"/>
          <w:u w:val="none"/>
          <w:lang w:val="en-GB"/>
        </w:rPr>
        <w:t>counselor</w:t>
      </w:r>
      <w:r w:rsidRPr="5338E615" w:rsidR="1AB876F6">
        <w:rPr>
          <w:rFonts w:ascii="Arial" w:hAnsi="Arial" w:eastAsia="Arial" w:cs="Arial"/>
          <w:b w:val="0"/>
          <w:bCs w:val="0"/>
          <w:noProof w:val="0"/>
          <w:color w:val="000000" w:themeColor="text1" w:themeTint="FF" w:themeShade="FF"/>
          <w:sz w:val="24"/>
          <w:szCs w:val="24"/>
          <w:u w:val="none"/>
          <w:lang w:val="en-GB"/>
        </w:rPr>
        <w:t xml:space="preserve"> self-care. </w:t>
      </w:r>
      <w:r w:rsidRPr="5338E615" w:rsidR="1AB876F6">
        <w:rPr>
          <w:rFonts w:ascii="Arial" w:hAnsi="Arial" w:eastAsia="Arial" w:cs="Arial"/>
          <w:b w:val="0"/>
          <w:bCs w:val="0"/>
          <w:i w:val="1"/>
          <w:iCs w:val="1"/>
          <w:noProof w:val="0"/>
          <w:color w:val="000000" w:themeColor="text1" w:themeTint="FF" w:themeShade="FF"/>
          <w:sz w:val="24"/>
          <w:szCs w:val="24"/>
          <w:u w:val="none"/>
          <w:lang w:val="en-GB"/>
        </w:rPr>
        <w:t>Journal of Creativity in Mental Health</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8</w:t>
      </w:r>
      <w:r w:rsidRPr="5338E615" w:rsidR="1AB876F6">
        <w:rPr>
          <w:rFonts w:ascii="Arial" w:hAnsi="Arial" w:eastAsia="Arial" w:cs="Arial"/>
          <w:b w:val="0"/>
          <w:bCs w:val="0"/>
          <w:noProof w:val="0"/>
          <w:color w:val="000000" w:themeColor="text1" w:themeTint="FF" w:themeShade="FF"/>
          <w:sz w:val="24"/>
          <w:szCs w:val="24"/>
          <w:u w:val="none"/>
          <w:lang w:val="en-GB"/>
        </w:rPr>
        <w:t xml:space="preserve">(4), 456–469. </w:t>
      </w:r>
      <w:hyperlink r:id="R174816c5007d438c">
        <w:r w:rsidRPr="5338E615" w:rsidR="1AB876F6">
          <w:rPr>
            <w:rStyle w:val="Hyperlink"/>
            <w:rFonts w:ascii="Arial" w:hAnsi="Arial" w:eastAsia="Arial" w:cs="Arial"/>
            <w:b w:val="0"/>
            <w:bCs w:val="0"/>
            <w:noProof w:val="0"/>
            <w:sz w:val="24"/>
            <w:szCs w:val="24"/>
            <w:u w:val="none"/>
            <w:lang w:val="en-GB"/>
          </w:rPr>
          <w:t>https://doi.org/10.1080/15401383.2013.844656</w:t>
        </w:r>
      </w:hyperlink>
    </w:p>
    <w:p w:rsidR="00D506A0" w:rsidP="5338E615" w:rsidRDefault="00D506A0" w14:paraId="2AB871AB" w14:textId="1B476DE9">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Brown, D. W., Anda, R. F., </w:t>
      </w:r>
      <w:r w:rsidRPr="5338E615" w:rsidR="1AB876F6">
        <w:rPr>
          <w:rFonts w:ascii="Arial" w:hAnsi="Arial" w:eastAsia="Arial" w:cs="Arial"/>
          <w:b w:val="0"/>
          <w:bCs w:val="0"/>
          <w:noProof w:val="0"/>
          <w:color w:val="000000" w:themeColor="text1" w:themeTint="FF" w:themeShade="FF"/>
          <w:sz w:val="24"/>
          <w:szCs w:val="24"/>
          <w:u w:val="none"/>
          <w:lang w:val="en-GB"/>
        </w:rPr>
        <w:t>Felitti</w:t>
      </w:r>
      <w:r w:rsidRPr="5338E615" w:rsidR="1AB876F6">
        <w:rPr>
          <w:rFonts w:ascii="Arial" w:hAnsi="Arial" w:eastAsia="Arial" w:cs="Arial"/>
          <w:b w:val="0"/>
          <w:bCs w:val="0"/>
          <w:noProof w:val="0"/>
          <w:color w:val="000000" w:themeColor="text1" w:themeTint="FF" w:themeShade="FF"/>
          <w:sz w:val="24"/>
          <w:szCs w:val="24"/>
          <w:u w:val="none"/>
          <w:lang w:val="en-GB"/>
        </w:rPr>
        <w:t xml:space="preserve">, V. J., Edwards, V. J., </w:t>
      </w:r>
      <w:r w:rsidRPr="5338E615" w:rsidR="1AB876F6">
        <w:rPr>
          <w:rFonts w:ascii="Arial" w:hAnsi="Arial" w:eastAsia="Arial" w:cs="Arial"/>
          <w:b w:val="0"/>
          <w:bCs w:val="0"/>
          <w:noProof w:val="0"/>
          <w:color w:val="000000" w:themeColor="text1" w:themeTint="FF" w:themeShade="FF"/>
          <w:sz w:val="24"/>
          <w:szCs w:val="24"/>
          <w:u w:val="none"/>
          <w:lang w:val="en-GB"/>
        </w:rPr>
        <w:t>Malarcher</w:t>
      </w:r>
      <w:r w:rsidRPr="5338E615" w:rsidR="1AB876F6">
        <w:rPr>
          <w:rFonts w:ascii="Arial" w:hAnsi="Arial" w:eastAsia="Arial" w:cs="Arial"/>
          <w:b w:val="0"/>
          <w:bCs w:val="0"/>
          <w:noProof w:val="0"/>
          <w:color w:val="000000" w:themeColor="text1" w:themeTint="FF" w:themeShade="FF"/>
          <w:sz w:val="24"/>
          <w:szCs w:val="24"/>
          <w:u w:val="none"/>
          <w:lang w:val="en-GB"/>
        </w:rPr>
        <w:t xml:space="preserve">, A. M., Croft, J. B., &amp; Giles, W. H. (2010). Adverse childhood experiences are associated with the risk of lung cancer: a prospective cohort study. </w:t>
      </w:r>
      <w:r w:rsidRPr="5338E615" w:rsidR="1AB876F6">
        <w:rPr>
          <w:rFonts w:ascii="Arial" w:hAnsi="Arial" w:eastAsia="Arial" w:cs="Arial"/>
          <w:b w:val="0"/>
          <w:bCs w:val="0"/>
          <w:i w:val="1"/>
          <w:iCs w:val="1"/>
          <w:noProof w:val="0"/>
          <w:color w:val="000000" w:themeColor="text1" w:themeTint="FF" w:themeShade="FF"/>
          <w:sz w:val="24"/>
          <w:szCs w:val="24"/>
          <w:u w:val="none"/>
          <w:lang w:val="en-GB"/>
        </w:rPr>
        <w:t>BMC Public Health</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10</w:t>
      </w:r>
      <w:r w:rsidRPr="5338E615" w:rsidR="1AB876F6">
        <w:rPr>
          <w:rFonts w:ascii="Arial" w:hAnsi="Arial" w:eastAsia="Arial" w:cs="Arial"/>
          <w:b w:val="0"/>
          <w:bCs w:val="0"/>
          <w:noProof w:val="0"/>
          <w:color w:val="000000" w:themeColor="text1" w:themeTint="FF" w:themeShade="FF"/>
          <w:sz w:val="24"/>
          <w:szCs w:val="24"/>
          <w:u w:val="none"/>
          <w:lang w:val="en-GB"/>
        </w:rPr>
        <w:t xml:space="preserve">(1). </w:t>
      </w:r>
      <w:hyperlink r:id="R4f9f5c69d1fd44c6">
        <w:r w:rsidRPr="5338E615" w:rsidR="1AB876F6">
          <w:rPr>
            <w:rStyle w:val="Hyperlink"/>
            <w:rFonts w:ascii="Arial" w:hAnsi="Arial" w:eastAsia="Arial" w:cs="Arial"/>
            <w:b w:val="0"/>
            <w:bCs w:val="0"/>
            <w:noProof w:val="0"/>
            <w:sz w:val="24"/>
            <w:szCs w:val="24"/>
            <w:u w:val="none"/>
            <w:lang w:val="en-GB"/>
          </w:rPr>
          <w:t>https://doi.org/10.1186/1471-2458-10-20</w:t>
        </w:r>
      </w:hyperlink>
    </w:p>
    <w:p w:rsidR="00D506A0" w:rsidP="5338E615" w:rsidRDefault="00D506A0" w14:paraId="6F48A7DA" w14:textId="05788D1B">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Bulmer, L., Stanley, C., Loffredo, L., Mills, R., &amp; Doyle, L. (2021). Building a foundation in self‐awareness: Genetic </w:t>
      </w:r>
      <w:r w:rsidRPr="5338E615" w:rsidR="1AB876F6">
        <w:rPr>
          <w:rFonts w:ascii="Arial" w:hAnsi="Arial" w:eastAsia="Arial" w:cs="Arial"/>
          <w:b w:val="0"/>
          <w:bCs w:val="0"/>
          <w:noProof w:val="0"/>
          <w:color w:val="000000" w:themeColor="text1" w:themeTint="FF" w:themeShade="FF"/>
          <w:sz w:val="24"/>
          <w:szCs w:val="24"/>
          <w:u w:val="none"/>
          <w:lang w:val="en-GB"/>
        </w:rPr>
        <w:t>counseling</w:t>
      </w:r>
      <w:r w:rsidRPr="5338E615" w:rsidR="1AB876F6">
        <w:rPr>
          <w:rFonts w:ascii="Arial" w:hAnsi="Arial" w:eastAsia="Arial" w:cs="Arial"/>
          <w:b w:val="0"/>
          <w:bCs w:val="0"/>
          <w:noProof w:val="0"/>
          <w:color w:val="000000" w:themeColor="text1" w:themeTint="FF" w:themeShade="FF"/>
          <w:sz w:val="24"/>
          <w:szCs w:val="24"/>
          <w:u w:val="none"/>
          <w:lang w:val="en-GB"/>
        </w:rPr>
        <w:t xml:space="preserve"> students’ experiences with self‐care, reflection, and mindfulness. </w:t>
      </w:r>
      <w:r w:rsidRPr="5338E615" w:rsidR="1AB876F6">
        <w:rPr>
          <w:rFonts w:ascii="Arial" w:hAnsi="Arial" w:eastAsia="Arial" w:cs="Arial"/>
          <w:b w:val="0"/>
          <w:bCs w:val="0"/>
          <w:i w:val="1"/>
          <w:iCs w:val="1"/>
          <w:noProof w:val="0"/>
          <w:color w:val="000000" w:themeColor="text1" w:themeTint="FF" w:themeShade="FF"/>
          <w:sz w:val="24"/>
          <w:szCs w:val="24"/>
          <w:u w:val="none"/>
          <w:lang w:val="en-GB"/>
        </w:rPr>
        <w:t xml:space="preserve">Journal of Genetic </w:t>
      </w:r>
      <w:r w:rsidRPr="5338E615" w:rsidR="1AB876F6">
        <w:rPr>
          <w:rFonts w:ascii="Arial" w:hAnsi="Arial" w:eastAsia="Arial" w:cs="Arial"/>
          <w:b w:val="0"/>
          <w:bCs w:val="0"/>
          <w:i w:val="1"/>
          <w:iCs w:val="1"/>
          <w:noProof w:val="0"/>
          <w:color w:val="000000" w:themeColor="text1" w:themeTint="FF" w:themeShade="FF"/>
          <w:sz w:val="24"/>
          <w:szCs w:val="24"/>
          <w:u w:val="none"/>
          <w:lang w:val="en-GB"/>
        </w:rPr>
        <w:t>Counseling</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31</w:t>
      </w:r>
      <w:r w:rsidRPr="5338E615" w:rsidR="1AB876F6">
        <w:rPr>
          <w:rFonts w:ascii="Arial" w:hAnsi="Arial" w:eastAsia="Arial" w:cs="Arial"/>
          <w:b w:val="0"/>
          <w:bCs w:val="0"/>
          <w:noProof w:val="0"/>
          <w:color w:val="000000" w:themeColor="text1" w:themeTint="FF" w:themeShade="FF"/>
          <w:sz w:val="24"/>
          <w:szCs w:val="24"/>
          <w:u w:val="none"/>
          <w:lang w:val="en-GB"/>
        </w:rPr>
        <w:t xml:space="preserve">(3). </w:t>
      </w:r>
      <w:hyperlink r:id="Rec9e2f5673074c91">
        <w:r w:rsidRPr="5338E615" w:rsidR="1AB876F6">
          <w:rPr>
            <w:rStyle w:val="Hyperlink"/>
            <w:rFonts w:ascii="Arial" w:hAnsi="Arial" w:eastAsia="Arial" w:cs="Arial"/>
            <w:b w:val="0"/>
            <w:bCs w:val="0"/>
            <w:noProof w:val="0"/>
            <w:sz w:val="24"/>
            <w:szCs w:val="24"/>
            <w:u w:val="none"/>
            <w:lang w:val="en-GB"/>
          </w:rPr>
          <w:t>https://doi.org/10.1002/jgc4.1539</w:t>
        </w:r>
      </w:hyperlink>
    </w:p>
    <w:p w:rsidR="00D506A0" w:rsidP="5338E615" w:rsidRDefault="00D506A0" w14:paraId="18061710" w14:textId="38118600">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Bunting, L., Montgomery, L., Mooney, S., MacDonald, M., Coulter, S., Hayes, D., &amp; Davidson, G. (2019). Trauma informed child welfare systems—a rapid evidence review. </w:t>
      </w:r>
      <w:r w:rsidRPr="5338E615" w:rsidR="1AB876F6">
        <w:rPr>
          <w:rFonts w:ascii="Arial" w:hAnsi="Arial" w:eastAsia="Arial" w:cs="Arial"/>
          <w:b w:val="0"/>
          <w:bCs w:val="0"/>
          <w:i w:val="1"/>
          <w:iCs w:val="1"/>
          <w:noProof w:val="0"/>
          <w:color w:val="000000" w:themeColor="text1" w:themeTint="FF" w:themeShade="FF"/>
          <w:sz w:val="24"/>
          <w:szCs w:val="24"/>
          <w:u w:val="none"/>
          <w:lang w:val="en-GB"/>
        </w:rPr>
        <w:t>International Journal of Environmental Research and Public Health</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16</w:t>
      </w:r>
      <w:r w:rsidRPr="5338E615" w:rsidR="1AB876F6">
        <w:rPr>
          <w:rFonts w:ascii="Arial" w:hAnsi="Arial" w:eastAsia="Arial" w:cs="Arial"/>
          <w:b w:val="0"/>
          <w:bCs w:val="0"/>
          <w:noProof w:val="0"/>
          <w:color w:val="000000" w:themeColor="text1" w:themeTint="FF" w:themeShade="FF"/>
          <w:sz w:val="24"/>
          <w:szCs w:val="24"/>
          <w:u w:val="none"/>
          <w:lang w:val="en-GB"/>
        </w:rPr>
        <w:t xml:space="preserve">(13), 2365. </w:t>
      </w:r>
      <w:hyperlink r:id="Ra1178ec037484573">
        <w:r w:rsidRPr="5338E615" w:rsidR="1AB876F6">
          <w:rPr>
            <w:rStyle w:val="Hyperlink"/>
            <w:rFonts w:ascii="Arial" w:hAnsi="Arial" w:eastAsia="Arial" w:cs="Arial"/>
            <w:b w:val="0"/>
            <w:bCs w:val="0"/>
            <w:noProof w:val="0"/>
            <w:sz w:val="24"/>
            <w:szCs w:val="24"/>
            <w:u w:val="none"/>
            <w:lang w:val="en-GB"/>
          </w:rPr>
          <w:t>https://doi.org/10.3390/ijerph16132365</w:t>
        </w:r>
      </w:hyperlink>
    </w:p>
    <w:p w:rsidR="00D506A0" w:rsidP="5338E615" w:rsidRDefault="00D506A0" w14:paraId="15B01AE1" w14:textId="4FE2C188">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Burch, K., </w:t>
      </w:r>
      <w:r w:rsidRPr="5338E615" w:rsidR="1AB876F6">
        <w:rPr>
          <w:rFonts w:ascii="Arial" w:hAnsi="Arial" w:eastAsia="Arial" w:cs="Arial"/>
          <w:b w:val="0"/>
          <w:bCs w:val="0"/>
          <w:noProof w:val="0"/>
          <w:color w:val="000000" w:themeColor="text1" w:themeTint="FF" w:themeShade="FF"/>
          <w:sz w:val="24"/>
          <w:szCs w:val="24"/>
          <w:u w:val="none"/>
          <w:lang w:val="en-GB"/>
        </w:rPr>
        <w:t>Backinsell</w:t>
      </w:r>
      <w:r w:rsidRPr="5338E615" w:rsidR="1AB876F6">
        <w:rPr>
          <w:rFonts w:ascii="Arial" w:hAnsi="Arial" w:eastAsia="Arial" w:cs="Arial"/>
          <w:b w:val="0"/>
          <w:bCs w:val="0"/>
          <w:noProof w:val="0"/>
          <w:color w:val="000000" w:themeColor="text1" w:themeTint="FF" w:themeShade="FF"/>
          <w:sz w:val="24"/>
          <w:szCs w:val="24"/>
          <w:u w:val="none"/>
          <w:lang w:val="en-GB"/>
        </w:rPr>
        <w:t xml:space="preserve">, A., Coombes, L., &amp; Halford, E. (2022). </w:t>
      </w:r>
      <w:r w:rsidRPr="5338E615" w:rsidR="1AB876F6">
        <w:rPr>
          <w:rFonts w:ascii="Arial" w:hAnsi="Arial" w:eastAsia="Arial" w:cs="Arial"/>
          <w:b w:val="0"/>
          <w:bCs w:val="0"/>
          <w:i w:val="1"/>
          <w:iCs w:val="1"/>
          <w:noProof w:val="0"/>
          <w:color w:val="000000" w:themeColor="text1" w:themeTint="FF" w:themeShade="FF"/>
          <w:sz w:val="24"/>
          <w:szCs w:val="24"/>
          <w:u w:val="none"/>
          <w:lang w:val="en-GB"/>
        </w:rPr>
        <w:t>Evaluation of the Adoption Support Fund: first follow up survey of parents and carers</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hyperlink r:id="R8ebbaef7dfa843a9">
        <w:r w:rsidRPr="5338E615" w:rsidR="1AB876F6">
          <w:rPr>
            <w:rStyle w:val="Hyperlink"/>
            <w:rFonts w:ascii="Arial" w:hAnsi="Arial" w:eastAsia="Arial" w:cs="Arial"/>
            <w:b w:val="0"/>
            <w:bCs w:val="0"/>
            <w:noProof w:val="0"/>
            <w:sz w:val="24"/>
            <w:szCs w:val="24"/>
            <w:u w:val="none"/>
            <w:lang w:val="en-GB"/>
          </w:rPr>
          <w:t>https://dera.ioe.ac.uk/id/eprint/39062/1/Evaluation_of_ASF_first_follow_up_survey.pdf</w:t>
        </w:r>
      </w:hyperlink>
    </w:p>
    <w:p w:rsidR="00D506A0" w:rsidP="5338E615" w:rsidRDefault="00D506A0" w14:paraId="191F2EE1" w14:textId="3598C339">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Cahn, B. R., &amp; Polich, J. (2009a). Meditation (Vipassana) and the P3a event-related brain potential. </w:t>
      </w:r>
      <w:r w:rsidRPr="5338E615" w:rsidR="1AB876F6">
        <w:rPr>
          <w:rFonts w:ascii="Arial" w:hAnsi="Arial" w:eastAsia="Arial" w:cs="Arial"/>
          <w:b w:val="0"/>
          <w:bCs w:val="0"/>
          <w:i w:val="1"/>
          <w:iCs w:val="1"/>
          <w:noProof w:val="0"/>
          <w:color w:val="000000" w:themeColor="text1" w:themeTint="FF" w:themeShade="FF"/>
          <w:sz w:val="24"/>
          <w:szCs w:val="24"/>
          <w:u w:val="none"/>
          <w:lang w:val="en-GB"/>
        </w:rPr>
        <w:t>International Journal of Psychophysiology</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72</w:t>
      </w:r>
      <w:r w:rsidRPr="5338E615" w:rsidR="1AB876F6">
        <w:rPr>
          <w:rFonts w:ascii="Arial" w:hAnsi="Arial" w:eastAsia="Arial" w:cs="Arial"/>
          <w:b w:val="0"/>
          <w:bCs w:val="0"/>
          <w:noProof w:val="0"/>
          <w:color w:val="000000" w:themeColor="text1" w:themeTint="FF" w:themeShade="FF"/>
          <w:sz w:val="24"/>
          <w:szCs w:val="24"/>
          <w:u w:val="none"/>
          <w:lang w:val="en-GB"/>
        </w:rPr>
        <w:t xml:space="preserve">(1), 51–60. </w:t>
      </w:r>
      <w:hyperlink r:id="R50fba7e82e084e9f">
        <w:r w:rsidRPr="5338E615" w:rsidR="1AB876F6">
          <w:rPr>
            <w:rStyle w:val="Hyperlink"/>
            <w:rFonts w:ascii="Arial" w:hAnsi="Arial" w:eastAsia="Arial" w:cs="Arial"/>
            <w:b w:val="0"/>
            <w:bCs w:val="0"/>
            <w:noProof w:val="0"/>
            <w:sz w:val="24"/>
            <w:szCs w:val="24"/>
            <w:u w:val="none"/>
            <w:lang w:val="en-GB"/>
          </w:rPr>
          <w:t>https://doi.org/10.1016/j.ijpsycho.2008.03.013</w:t>
        </w:r>
      </w:hyperlink>
    </w:p>
    <w:p w:rsidR="00D506A0" w:rsidP="5338E615" w:rsidRDefault="00D506A0" w14:paraId="76FC1675" w14:textId="37DBF052">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Cahn, B. R., &amp; Polich, J. (2009b). Meditation (Vipassana) and the P3a event-related brain potential. </w:t>
      </w:r>
      <w:r w:rsidRPr="5338E615" w:rsidR="1AB876F6">
        <w:rPr>
          <w:rFonts w:ascii="Arial" w:hAnsi="Arial" w:eastAsia="Arial" w:cs="Arial"/>
          <w:b w:val="0"/>
          <w:bCs w:val="0"/>
          <w:i w:val="1"/>
          <w:iCs w:val="1"/>
          <w:noProof w:val="0"/>
          <w:color w:val="000000" w:themeColor="text1" w:themeTint="FF" w:themeShade="FF"/>
          <w:sz w:val="24"/>
          <w:szCs w:val="24"/>
          <w:u w:val="none"/>
          <w:lang w:val="en-GB"/>
        </w:rPr>
        <w:t>International Journal of Psychophysiology</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72</w:t>
      </w:r>
      <w:r w:rsidRPr="5338E615" w:rsidR="1AB876F6">
        <w:rPr>
          <w:rFonts w:ascii="Arial" w:hAnsi="Arial" w:eastAsia="Arial" w:cs="Arial"/>
          <w:b w:val="0"/>
          <w:bCs w:val="0"/>
          <w:noProof w:val="0"/>
          <w:color w:val="000000" w:themeColor="text1" w:themeTint="FF" w:themeShade="FF"/>
          <w:sz w:val="24"/>
          <w:szCs w:val="24"/>
          <w:u w:val="none"/>
          <w:lang w:val="en-GB"/>
        </w:rPr>
        <w:t xml:space="preserve">(1), 51–60. </w:t>
      </w:r>
      <w:hyperlink r:id="Rd1861d0f99dd4030">
        <w:r w:rsidRPr="5338E615" w:rsidR="1AB876F6">
          <w:rPr>
            <w:rStyle w:val="Hyperlink"/>
            <w:rFonts w:ascii="Arial" w:hAnsi="Arial" w:eastAsia="Arial" w:cs="Arial"/>
            <w:b w:val="0"/>
            <w:bCs w:val="0"/>
            <w:noProof w:val="0"/>
            <w:sz w:val="24"/>
            <w:szCs w:val="24"/>
            <w:u w:val="none"/>
            <w:lang w:val="en-GB"/>
          </w:rPr>
          <w:t>https://doi.org/10.1016/j.ijpsycho.2008.03.013</w:t>
        </w:r>
      </w:hyperlink>
    </w:p>
    <w:p w:rsidR="00D506A0" w:rsidP="5338E615" w:rsidRDefault="00D506A0" w14:paraId="304B7D95" w14:textId="0461C841">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i w:val="1"/>
          <w:iCs w:val="1"/>
          <w:noProof w:val="0"/>
          <w:color w:val="000000" w:themeColor="text1" w:themeTint="FF" w:themeShade="FF"/>
          <w:sz w:val="24"/>
          <w:szCs w:val="24"/>
          <w:u w:val="none"/>
          <w:lang w:val="en-GB"/>
        </w:rPr>
        <w:t>Care Learning</w:t>
      </w:r>
      <w:r w:rsidRPr="5338E615" w:rsidR="1AB876F6">
        <w:rPr>
          <w:rFonts w:ascii="Arial" w:hAnsi="Arial" w:eastAsia="Arial" w:cs="Arial"/>
          <w:b w:val="0"/>
          <w:bCs w:val="0"/>
          <w:noProof w:val="0"/>
          <w:color w:val="000000" w:themeColor="text1" w:themeTint="FF" w:themeShade="FF"/>
          <w:sz w:val="24"/>
          <w:szCs w:val="24"/>
          <w:u w:val="none"/>
          <w:lang w:val="en-GB"/>
        </w:rPr>
        <w:t xml:space="preserve">. (2025). </w:t>
      </w:r>
      <w:hyperlink r:id="R0b1d7c08579643c5">
        <w:r w:rsidRPr="5338E615" w:rsidR="1AB876F6">
          <w:rPr>
            <w:rStyle w:val="Hyperlink"/>
            <w:rFonts w:ascii="Arial" w:hAnsi="Arial" w:eastAsia="Arial" w:cs="Arial"/>
            <w:b w:val="0"/>
            <w:bCs w:val="0"/>
            <w:noProof w:val="0"/>
            <w:sz w:val="24"/>
            <w:szCs w:val="24"/>
            <w:u w:val="none"/>
            <w:lang w:val="en-GB"/>
          </w:rPr>
          <w:t>https://carelearning.org.uk/qualifications/level-3-playwork/l3cd-pw5-wellbeing/4-2-explain-the-meaning-of-adverse-childhood-experiences-aces-and-how-this-may-influence-children-throughout-their-lives/</w:t>
        </w:r>
      </w:hyperlink>
    </w:p>
    <w:p w:rsidR="00D506A0" w:rsidP="5338E615" w:rsidRDefault="00D506A0" w14:paraId="71BBA56C" w14:textId="4B84CFF3">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Center</w:t>
      </w:r>
      <w:r w:rsidRPr="5338E615" w:rsidR="1AB876F6">
        <w:rPr>
          <w:rFonts w:ascii="Arial" w:hAnsi="Arial" w:eastAsia="Arial" w:cs="Arial"/>
          <w:b w:val="0"/>
          <w:bCs w:val="0"/>
          <w:noProof w:val="0"/>
          <w:color w:val="000000" w:themeColor="text1" w:themeTint="FF" w:themeShade="FF"/>
          <w:sz w:val="24"/>
          <w:szCs w:val="24"/>
          <w:u w:val="none"/>
          <w:lang w:val="en-GB"/>
        </w:rPr>
        <w:t xml:space="preserve">, N. (2024). </w:t>
      </w:r>
      <w:r w:rsidRPr="5338E615" w:rsidR="1AB876F6">
        <w:rPr>
          <w:rFonts w:ascii="Arial" w:hAnsi="Arial" w:eastAsia="Arial" w:cs="Arial"/>
          <w:b w:val="0"/>
          <w:bCs w:val="0"/>
          <w:i w:val="1"/>
          <w:iCs w:val="1"/>
          <w:noProof w:val="0"/>
          <w:color w:val="000000" w:themeColor="text1" w:themeTint="FF" w:themeShade="FF"/>
          <w:sz w:val="24"/>
          <w:szCs w:val="24"/>
          <w:u w:val="none"/>
          <w:lang w:val="en-GB"/>
        </w:rPr>
        <w:t>Substance Abuse and Mental Health Services Administration—SAMHSA SAMHSA’s Concept of Trauma and Guidance for a Trauma-Informed Approach.</w:t>
      </w:r>
      <w:r w:rsidRPr="5338E615" w:rsidR="1AB876F6">
        <w:rPr>
          <w:rFonts w:ascii="Arial" w:hAnsi="Arial" w:eastAsia="Arial" w:cs="Arial"/>
          <w:b w:val="0"/>
          <w:bCs w:val="0"/>
          <w:noProof w:val="0"/>
          <w:color w:val="000000" w:themeColor="text1" w:themeTint="FF" w:themeShade="FF"/>
          <w:sz w:val="24"/>
          <w:szCs w:val="24"/>
          <w:u w:val="none"/>
          <w:lang w:val="en-GB"/>
        </w:rPr>
        <w:t xml:space="preserve"> Acf.gov. </w:t>
      </w:r>
      <w:hyperlink r:id="R820ce030d2884c2c">
        <w:r w:rsidRPr="5338E615" w:rsidR="1AB876F6">
          <w:rPr>
            <w:rStyle w:val="Hyperlink"/>
            <w:rFonts w:ascii="Arial" w:hAnsi="Arial" w:eastAsia="Arial" w:cs="Arial"/>
            <w:b w:val="0"/>
            <w:bCs w:val="0"/>
            <w:noProof w:val="0"/>
            <w:sz w:val="24"/>
            <w:szCs w:val="24"/>
            <w:u w:val="none"/>
            <w:lang w:val="en-GB"/>
          </w:rPr>
          <w:t>https://ncsacw.acf.hhs.gov/userfiles/files/SAMHSA_Trauma.pdf</w:t>
        </w:r>
      </w:hyperlink>
    </w:p>
    <w:p w:rsidR="00D506A0" w:rsidP="5338E615" w:rsidRDefault="00D506A0" w14:paraId="38D03A0C" w14:textId="25AD6219">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Chapman, D. P., Whitfield, C. L., </w:t>
      </w:r>
      <w:r w:rsidRPr="5338E615" w:rsidR="1AB876F6">
        <w:rPr>
          <w:rFonts w:ascii="Arial" w:hAnsi="Arial" w:eastAsia="Arial" w:cs="Arial"/>
          <w:b w:val="0"/>
          <w:bCs w:val="0"/>
          <w:noProof w:val="0"/>
          <w:color w:val="000000" w:themeColor="text1" w:themeTint="FF" w:themeShade="FF"/>
          <w:sz w:val="24"/>
          <w:szCs w:val="24"/>
          <w:u w:val="none"/>
          <w:lang w:val="en-GB"/>
        </w:rPr>
        <w:t>Felitti</w:t>
      </w:r>
      <w:r w:rsidRPr="5338E615" w:rsidR="1AB876F6">
        <w:rPr>
          <w:rFonts w:ascii="Arial" w:hAnsi="Arial" w:eastAsia="Arial" w:cs="Arial"/>
          <w:b w:val="0"/>
          <w:bCs w:val="0"/>
          <w:noProof w:val="0"/>
          <w:color w:val="000000" w:themeColor="text1" w:themeTint="FF" w:themeShade="FF"/>
          <w:sz w:val="24"/>
          <w:szCs w:val="24"/>
          <w:u w:val="none"/>
          <w:lang w:val="en-GB"/>
        </w:rPr>
        <w:t xml:space="preserve">, V. J., Dube, S. R., Edwards, V. J., &amp; Anda, R. F. (2004). Adverse childhood experiences and the risk of depressive disorders in adulthood. </w:t>
      </w:r>
      <w:r w:rsidRPr="5338E615" w:rsidR="1AB876F6">
        <w:rPr>
          <w:rFonts w:ascii="Arial" w:hAnsi="Arial" w:eastAsia="Arial" w:cs="Arial"/>
          <w:b w:val="0"/>
          <w:bCs w:val="0"/>
          <w:i w:val="1"/>
          <w:iCs w:val="1"/>
          <w:noProof w:val="0"/>
          <w:color w:val="000000" w:themeColor="text1" w:themeTint="FF" w:themeShade="FF"/>
          <w:sz w:val="24"/>
          <w:szCs w:val="24"/>
          <w:u w:val="none"/>
          <w:lang w:val="en-GB"/>
        </w:rPr>
        <w:t>Journal of Affective Disorders</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82</w:t>
      </w:r>
      <w:r w:rsidRPr="5338E615" w:rsidR="1AB876F6">
        <w:rPr>
          <w:rFonts w:ascii="Arial" w:hAnsi="Arial" w:eastAsia="Arial" w:cs="Arial"/>
          <w:b w:val="0"/>
          <w:bCs w:val="0"/>
          <w:noProof w:val="0"/>
          <w:color w:val="000000" w:themeColor="text1" w:themeTint="FF" w:themeShade="FF"/>
          <w:sz w:val="24"/>
          <w:szCs w:val="24"/>
          <w:u w:val="none"/>
          <w:lang w:val="en-GB"/>
        </w:rPr>
        <w:t xml:space="preserve">(2), 217–225. </w:t>
      </w:r>
      <w:hyperlink r:id="Re5757dd26d7745cf">
        <w:r w:rsidRPr="5338E615" w:rsidR="1AB876F6">
          <w:rPr>
            <w:rStyle w:val="Hyperlink"/>
            <w:rFonts w:ascii="Arial" w:hAnsi="Arial" w:eastAsia="Arial" w:cs="Arial"/>
            <w:b w:val="0"/>
            <w:bCs w:val="0"/>
            <w:noProof w:val="0"/>
            <w:sz w:val="24"/>
            <w:szCs w:val="24"/>
            <w:u w:val="none"/>
            <w:lang w:val="en-GB"/>
          </w:rPr>
          <w:t>https://doi.org/10.1016/j.jad.2003.12.013</w:t>
        </w:r>
      </w:hyperlink>
    </w:p>
    <w:p w:rsidR="00D506A0" w:rsidP="5338E615" w:rsidRDefault="00D506A0" w14:paraId="698E49F3" w14:textId="39A2BC82">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Charmandari</w:t>
      </w:r>
      <w:r w:rsidRPr="5338E615" w:rsidR="1AB876F6">
        <w:rPr>
          <w:rFonts w:ascii="Arial" w:hAnsi="Arial" w:eastAsia="Arial" w:cs="Arial"/>
          <w:b w:val="0"/>
          <w:bCs w:val="0"/>
          <w:noProof w:val="0"/>
          <w:color w:val="000000" w:themeColor="text1" w:themeTint="FF" w:themeShade="FF"/>
          <w:sz w:val="24"/>
          <w:szCs w:val="24"/>
          <w:u w:val="none"/>
          <w:lang w:val="en-GB"/>
        </w:rPr>
        <w:t xml:space="preserve">, E., Kino, T., </w:t>
      </w:r>
      <w:r w:rsidRPr="5338E615" w:rsidR="1AB876F6">
        <w:rPr>
          <w:rFonts w:ascii="Arial" w:hAnsi="Arial" w:eastAsia="Arial" w:cs="Arial"/>
          <w:b w:val="0"/>
          <w:bCs w:val="0"/>
          <w:noProof w:val="0"/>
          <w:color w:val="000000" w:themeColor="text1" w:themeTint="FF" w:themeShade="FF"/>
          <w:sz w:val="24"/>
          <w:szCs w:val="24"/>
          <w:u w:val="none"/>
          <w:lang w:val="en-GB"/>
        </w:rPr>
        <w:t>Souvatzoglou</w:t>
      </w:r>
      <w:r w:rsidRPr="5338E615" w:rsidR="1AB876F6">
        <w:rPr>
          <w:rFonts w:ascii="Arial" w:hAnsi="Arial" w:eastAsia="Arial" w:cs="Arial"/>
          <w:b w:val="0"/>
          <w:bCs w:val="0"/>
          <w:noProof w:val="0"/>
          <w:color w:val="000000" w:themeColor="text1" w:themeTint="FF" w:themeShade="FF"/>
          <w:sz w:val="24"/>
          <w:szCs w:val="24"/>
          <w:u w:val="none"/>
          <w:lang w:val="en-GB"/>
        </w:rPr>
        <w:t xml:space="preserve">, E., &amp; </w:t>
      </w:r>
      <w:r w:rsidRPr="5338E615" w:rsidR="1AB876F6">
        <w:rPr>
          <w:rFonts w:ascii="Arial" w:hAnsi="Arial" w:eastAsia="Arial" w:cs="Arial"/>
          <w:b w:val="0"/>
          <w:bCs w:val="0"/>
          <w:noProof w:val="0"/>
          <w:color w:val="000000" w:themeColor="text1" w:themeTint="FF" w:themeShade="FF"/>
          <w:sz w:val="24"/>
          <w:szCs w:val="24"/>
          <w:u w:val="none"/>
          <w:lang w:val="en-GB"/>
        </w:rPr>
        <w:t>Chrousos</w:t>
      </w:r>
      <w:r w:rsidRPr="5338E615" w:rsidR="1AB876F6">
        <w:rPr>
          <w:rFonts w:ascii="Arial" w:hAnsi="Arial" w:eastAsia="Arial" w:cs="Arial"/>
          <w:b w:val="0"/>
          <w:bCs w:val="0"/>
          <w:noProof w:val="0"/>
          <w:color w:val="000000" w:themeColor="text1" w:themeTint="FF" w:themeShade="FF"/>
          <w:sz w:val="24"/>
          <w:szCs w:val="24"/>
          <w:u w:val="none"/>
          <w:lang w:val="en-GB"/>
        </w:rPr>
        <w:t xml:space="preserve">, G. P. (2003). </w:t>
      </w:r>
      <w:r w:rsidRPr="5338E615" w:rsidR="1AB876F6">
        <w:rPr>
          <w:rFonts w:ascii="Arial" w:hAnsi="Arial" w:eastAsia="Arial" w:cs="Arial"/>
          <w:b w:val="0"/>
          <w:bCs w:val="0"/>
          <w:noProof w:val="0"/>
          <w:color w:val="000000" w:themeColor="text1" w:themeTint="FF" w:themeShade="FF"/>
          <w:sz w:val="24"/>
          <w:szCs w:val="24"/>
          <w:u w:val="none"/>
          <w:lang w:val="en-GB"/>
        </w:rPr>
        <w:t>Pediatric</w:t>
      </w:r>
      <w:r w:rsidRPr="5338E615" w:rsidR="1AB876F6">
        <w:rPr>
          <w:rFonts w:ascii="Arial" w:hAnsi="Arial" w:eastAsia="Arial" w:cs="Arial"/>
          <w:b w:val="0"/>
          <w:bCs w:val="0"/>
          <w:noProof w:val="0"/>
          <w:color w:val="000000" w:themeColor="text1" w:themeTint="FF" w:themeShade="FF"/>
          <w:sz w:val="24"/>
          <w:szCs w:val="24"/>
          <w:u w:val="none"/>
          <w:lang w:val="en-GB"/>
        </w:rPr>
        <w:t xml:space="preserve"> Stress: Hormonal Mediators and Human Development. </w:t>
      </w:r>
      <w:r w:rsidRPr="5338E615" w:rsidR="1AB876F6">
        <w:rPr>
          <w:rFonts w:ascii="Arial" w:hAnsi="Arial" w:eastAsia="Arial" w:cs="Arial"/>
          <w:b w:val="0"/>
          <w:bCs w:val="0"/>
          <w:i w:val="1"/>
          <w:iCs w:val="1"/>
          <w:noProof w:val="0"/>
          <w:color w:val="000000" w:themeColor="text1" w:themeTint="FF" w:themeShade="FF"/>
          <w:sz w:val="24"/>
          <w:szCs w:val="24"/>
          <w:u w:val="none"/>
          <w:lang w:val="en-GB"/>
        </w:rPr>
        <w:t>Hormone Research in Paediatrics</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59</w:t>
      </w:r>
      <w:r w:rsidRPr="5338E615" w:rsidR="1AB876F6">
        <w:rPr>
          <w:rFonts w:ascii="Arial" w:hAnsi="Arial" w:eastAsia="Arial" w:cs="Arial"/>
          <w:b w:val="0"/>
          <w:bCs w:val="0"/>
          <w:noProof w:val="0"/>
          <w:color w:val="000000" w:themeColor="text1" w:themeTint="FF" w:themeShade="FF"/>
          <w:sz w:val="24"/>
          <w:szCs w:val="24"/>
          <w:u w:val="none"/>
          <w:lang w:val="en-GB"/>
        </w:rPr>
        <w:t xml:space="preserve">(4), 161–179. </w:t>
      </w:r>
      <w:hyperlink r:id="Rad42dac4bfe44051">
        <w:r w:rsidRPr="5338E615" w:rsidR="1AB876F6">
          <w:rPr>
            <w:rStyle w:val="Hyperlink"/>
            <w:rFonts w:ascii="Arial" w:hAnsi="Arial" w:eastAsia="Arial" w:cs="Arial"/>
            <w:b w:val="0"/>
            <w:bCs w:val="0"/>
            <w:noProof w:val="0"/>
            <w:sz w:val="24"/>
            <w:szCs w:val="24"/>
            <w:u w:val="none"/>
            <w:lang w:val="en-GB"/>
          </w:rPr>
          <w:t>https://doi.org/10.1159/000069325</w:t>
        </w:r>
      </w:hyperlink>
    </w:p>
    <w:p w:rsidR="00D506A0" w:rsidP="5338E615" w:rsidRDefault="00D506A0" w14:paraId="1EFFBD88" w14:textId="1FD6FC1F">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Cleveland Clinic. (2024, April 6). </w:t>
      </w:r>
      <w:r w:rsidRPr="5338E615" w:rsidR="1AB876F6">
        <w:rPr>
          <w:rFonts w:ascii="Arial" w:hAnsi="Arial" w:eastAsia="Arial" w:cs="Arial"/>
          <w:b w:val="0"/>
          <w:bCs w:val="0"/>
          <w:i w:val="1"/>
          <w:iCs w:val="1"/>
          <w:noProof w:val="0"/>
          <w:color w:val="000000" w:themeColor="text1" w:themeTint="FF" w:themeShade="FF"/>
          <w:sz w:val="24"/>
          <w:szCs w:val="24"/>
          <w:u w:val="none"/>
          <w:lang w:val="en-GB"/>
        </w:rPr>
        <w:t>What Is the Limbic System?</w:t>
      </w:r>
      <w:r w:rsidRPr="5338E615" w:rsidR="1AB876F6">
        <w:rPr>
          <w:rFonts w:ascii="Arial" w:hAnsi="Arial" w:eastAsia="Arial" w:cs="Arial"/>
          <w:b w:val="0"/>
          <w:bCs w:val="0"/>
          <w:noProof w:val="0"/>
          <w:color w:val="000000" w:themeColor="text1" w:themeTint="FF" w:themeShade="FF"/>
          <w:sz w:val="24"/>
          <w:szCs w:val="24"/>
          <w:u w:val="none"/>
          <w:lang w:val="en-GB"/>
        </w:rPr>
        <w:t xml:space="preserve"> Cleveland Clinic. </w:t>
      </w:r>
      <w:hyperlink r:id="Rd50064d117594c62">
        <w:r w:rsidRPr="5338E615" w:rsidR="1AB876F6">
          <w:rPr>
            <w:rStyle w:val="Hyperlink"/>
            <w:rFonts w:ascii="Arial" w:hAnsi="Arial" w:eastAsia="Arial" w:cs="Arial"/>
            <w:b w:val="0"/>
            <w:bCs w:val="0"/>
            <w:noProof w:val="0"/>
            <w:sz w:val="24"/>
            <w:szCs w:val="24"/>
            <w:u w:val="none"/>
            <w:lang w:val="en-GB"/>
          </w:rPr>
          <w:t>https://my.clevelandclinic.org/health/body/limbic-system</w:t>
        </w:r>
      </w:hyperlink>
    </w:p>
    <w:p w:rsidR="00D506A0" w:rsidP="5338E615" w:rsidRDefault="00D506A0" w14:paraId="49FA5C03" w14:textId="1BBF9C60">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Cooper, D., Yap, K., O’Brien, M., &amp; Scott, I. (2020). Mindfulness and Empathy Among </w:t>
      </w:r>
      <w:r w:rsidRPr="5338E615" w:rsidR="1AB876F6">
        <w:rPr>
          <w:rFonts w:ascii="Arial" w:hAnsi="Arial" w:eastAsia="Arial" w:cs="Arial"/>
          <w:b w:val="0"/>
          <w:bCs w:val="0"/>
          <w:noProof w:val="0"/>
          <w:color w:val="000000" w:themeColor="text1" w:themeTint="FF" w:themeShade="FF"/>
          <w:sz w:val="24"/>
          <w:szCs w:val="24"/>
          <w:u w:val="none"/>
          <w:lang w:val="en-GB"/>
        </w:rPr>
        <w:t>Counseling</w:t>
      </w:r>
      <w:r w:rsidRPr="5338E615" w:rsidR="1AB876F6">
        <w:rPr>
          <w:rFonts w:ascii="Arial" w:hAnsi="Arial" w:eastAsia="Arial" w:cs="Arial"/>
          <w:b w:val="0"/>
          <w:bCs w:val="0"/>
          <w:noProof w:val="0"/>
          <w:color w:val="000000" w:themeColor="text1" w:themeTint="FF" w:themeShade="FF"/>
          <w:sz w:val="24"/>
          <w:szCs w:val="24"/>
          <w:u w:val="none"/>
          <w:lang w:val="en-GB"/>
        </w:rPr>
        <w:t xml:space="preserve"> and Psychotherapy Professionals: A Systematic Review and Meta-analysis. </w:t>
      </w:r>
      <w:r w:rsidRPr="5338E615" w:rsidR="1AB876F6">
        <w:rPr>
          <w:rFonts w:ascii="Arial" w:hAnsi="Arial" w:eastAsia="Arial" w:cs="Arial"/>
          <w:b w:val="0"/>
          <w:bCs w:val="0"/>
          <w:i w:val="1"/>
          <w:iCs w:val="1"/>
          <w:noProof w:val="0"/>
          <w:color w:val="000000" w:themeColor="text1" w:themeTint="FF" w:themeShade="FF"/>
          <w:sz w:val="24"/>
          <w:szCs w:val="24"/>
          <w:u w:val="none"/>
          <w:lang w:val="en-GB"/>
        </w:rPr>
        <w:t>Mindfulness</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11</w:t>
      </w:r>
      <w:r w:rsidRPr="5338E615" w:rsidR="1AB876F6">
        <w:rPr>
          <w:rFonts w:ascii="Arial" w:hAnsi="Arial" w:eastAsia="Arial" w:cs="Arial"/>
          <w:b w:val="0"/>
          <w:bCs w:val="0"/>
          <w:noProof w:val="0"/>
          <w:color w:val="000000" w:themeColor="text1" w:themeTint="FF" w:themeShade="FF"/>
          <w:sz w:val="24"/>
          <w:szCs w:val="24"/>
          <w:u w:val="none"/>
          <w:lang w:val="en-GB"/>
        </w:rPr>
        <w:t xml:space="preserve">(10). </w:t>
      </w:r>
      <w:hyperlink r:id="R6a4ce0e931df4385">
        <w:r w:rsidRPr="5338E615" w:rsidR="1AB876F6">
          <w:rPr>
            <w:rStyle w:val="Hyperlink"/>
            <w:rFonts w:ascii="Arial" w:hAnsi="Arial" w:eastAsia="Arial" w:cs="Arial"/>
            <w:b w:val="0"/>
            <w:bCs w:val="0"/>
            <w:noProof w:val="0"/>
            <w:sz w:val="24"/>
            <w:szCs w:val="24"/>
            <w:u w:val="none"/>
            <w:lang w:val="en-GB"/>
          </w:rPr>
          <w:t>https://doi.org/10.1007/s12671-020-01425-3</w:t>
        </w:r>
      </w:hyperlink>
    </w:p>
    <w:p w:rsidR="00D506A0" w:rsidP="5338E615" w:rsidRDefault="00D506A0" w14:paraId="36EED50A" w14:textId="39C3DACA">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Corcoran, K. M., Farb, N., Anderson, A., &amp; Segal, Z. V. (2010). </w:t>
      </w:r>
      <w:r w:rsidRPr="5338E615" w:rsidR="1AB876F6">
        <w:rPr>
          <w:rFonts w:ascii="Arial" w:hAnsi="Arial" w:eastAsia="Arial" w:cs="Arial"/>
          <w:b w:val="0"/>
          <w:bCs w:val="0"/>
          <w:i w:val="1"/>
          <w:iCs w:val="1"/>
          <w:noProof w:val="0"/>
          <w:color w:val="000000" w:themeColor="text1" w:themeTint="FF" w:themeShade="FF"/>
          <w:sz w:val="24"/>
          <w:szCs w:val="24"/>
          <w:u w:val="none"/>
          <w:lang w:val="en-GB"/>
        </w:rPr>
        <w:t>Mindfulness and emotion regulation: Outcomes and possible mediating mechanisms</w:t>
      </w:r>
      <w:r w:rsidRPr="5338E615" w:rsidR="1AB876F6">
        <w:rPr>
          <w:rFonts w:ascii="Arial" w:hAnsi="Arial" w:eastAsia="Arial" w:cs="Arial"/>
          <w:b w:val="0"/>
          <w:bCs w:val="0"/>
          <w:noProof w:val="0"/>
          <w:color w:val="000000" w:themeColor="text1" w:themeTint="FF" w:themeShade="FF"/>
          <w:sz w:val="24"/>
          <w:szCs w:val="24"/>
          <w:u w:val="none"/>
          <w:lang w:val="en-GB"/>
        </w:rPr>
        <w:t xml:space="preserve">. In A. M. Kring &amp; D. M. Sloan (Eds.), Emotion Regulation and Psychopathology: A Transdiagnostic Approach to </w:t>
      </w:r>
      <w:r w:rsidRPr="5338E615" w:rsidR="1AB876F6">
        <w:rPr>
          <w:rFonts w:ascii="Arial" w:hAnsi="Arial" w:eastAsia="Arial" w:cs="Arial"/>
          <w:b w:val="0"/>
          <w:bCs w:val="0"/>
          <w:noProof w:val="0"/>
          <w:color w:val="000000" w:themeColor="text1" w:themeTint="FF" w:themeShade="FF"/>
          <w:sz w:val="24"/>
          <w:szCs w:val="24"/>
          <w:u w:val="none"/>
          <w:lang w:val="en-GB"/>
        </w:rPr>
        <w:t>Etiology</w:t>
      </w:r>
      <w:r w:rsidRPr="5338E615" w:rsidR="1AB876F6">
        <w:rPr>
          <w:rFonts w:ascii="Arial" w:hAnsi="Arial" w:eastAsia="Arial" w:cs="Arial"/>
          <w:b w:val="0"/>
          <w:bCs w:val="0"/>
          <w:noProof w:val="0"/>
          <w:color w:val="000000" w:themeColor="text1" w:themeTint="FF" w:themeShade="FF"/>
          <w:sz w:val="24"/>
          <w:szCs w:val="24"/>
          <w:u w:val="none"/>
          <w:lang w:val="en-GB"/>
        </w:rPr>
        <w:t xml:space="preserve"> and Treatment (Pp. 339–355). The Guilford Press. </w:t>
      </w:r>
      <w:hyperlink r:id="Rea5cc8fa9f9d49c6">
        <w:r w:rsidRPr="5338E615" w:rsidR="1AB876F6">
          <w:rPr>
            <w:rStyle w:val="Hyperlink"/>
            <w:rFonts w:ascii="Arial" w:hAnsi="Arial" w:eastAsia="Arial" w:cs="Arial"/>
            <w:b w:val="0"/>
            <w:bCs w:val="0"/>
            <w:noProof w:val="0"/>
            <w:sz w:val="24"/>
            <w:szCs w:val="24"/>
            <w:u w:val="none"/>
            <w:lang w:val="en-GB"/>
          </w:rPr>
          <w:t>https://psycnet.apa.org/record/2009-21674-014</w:t>
        </w:r>
      </w:hyperlink>
    </w:p>
    <w:p w:rsidR="00D506A0" w:rsidP="5338E615" w:rsidRDefault="00D506A0" w14:paraId="499D947A" w14:textId="02797709">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Cougle, J. R., Timpano, K. R., Sachs-Ericsson, N., Keough, M. E., &amp; Riccardi, C. J. (2010). Examining the unique relationships between anxiety disorders and childhood physical and sexual abuse in the National Comorbidity Survey-Replication. </w:t>
      </w:r>
      <w:r w:rsidRPr="5338E615" w:rsidR="1AB876F6">
        <w:rPr>
          <w:rFonts w:ascii="Arial" w:hAnsi="Arial" w:eastAsia="Arial" w:cs="Arial"/>
          <w:b w:val="0"/>
          <w:bCs w:val="0"/>
          <w:i w:val="1"/>
          <w:iCs w:val="1"/>
          <w:noProof w:val="0"/>
          <w:color w:val="000000" w:themeColor="text1" w:themeTint="FF" w:themeShade="FF"/>
          <w:sz w:val="24"/>
          <w:szCs w:val="24"/>
          <w:u w:val="none"/>
          <w:lang w:val="en-GB"/>
        </w:rPr>
        <w:t>Psychiatry Research</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177</w:t>
      </w:r>
      <w:r w:rsidRPr="5338E615" w:rsidR="1AB876F6">
        <w:rPr>
          <w:rFonts w:ascii="Arial" w:hAnsi="Arial" w:eastAsia="Arial" w:cs="Arial"/>
          <w:b w:val="0"/>
          <w:bCs w:val="0"/>
          <w:noProof w:val="0"/>
          <w:color w:val="000000" w:themeColor="text1" w:themeTint="FF" w:themeShade="FF"/>
          <w:sz w:val="24"/>
          <w:szCs w:val="24"/>
          <w:u w:val="none"/>
          <w:lang w:val="en-GB"/>
        </w:rPr>
        <w:t xml:space="preserve">(1-2), 150–155. </w:t>
      </w:r>
      <w:hyperlink r:id="R079476f8608e45a8">
        <w:r w:rsidRPr="5338E615" w:rsidR="1AB876F6">
          <w:rPr>
            <w:rStyle w:val="Hyperlink"/>
            <w:rFonts w:ascii="Arial" w:hAnsi="Arial" w:eastAsia="Arial" w:cs="Arial"/>
            <w:b w:val="0"/>
            <w:bCs w:val="0"/>
            <w:noProof w:val="0"/>
            <w:sz w:val="24"/>
            <w:szCs w:val="24"/>
            <w:u w:val="none"/>
            <w:lang w:val="en-GB"/>
          </w:rPr>
          <w:t>https://doi.org/10.1016/j.psychres.2009.03.008</w:t>
        </w:r>
      </w:hyperlink>
    </w:p>
    <w:p w:rsidR="00D506A0" w:rsidP="5338E615" w:rsidRDefault="00D506A0" w14:paraId="02CCEF1A" w14:textId="63A52AEE">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De Bellis, M. D., &amp; Zisk, A. (2014). The Biological Effects of Childhood Trauma. </w:t>
      </w:r>
      <w:r w:rsidRPr="5338E615" w:rsidR="1AB876F6">
        <w:rPr>
          <w:rFonts w:ascii="Arial" w:hAnsi="Arial" w:eastAsia="Arial" w:cs="Arial"/>
          <w:b w:val="0"/>
          <w:bCs w:val="0"/>
          <w:i w:val="1"/>
          <w:iCs w:val="1"/>
          <w:noProof w:val="0"/>
          <w:color w:val="000000" w:themeColor="text1" w:themeTint="FF" w:themeShade="FF"/>
          <w:sz w:val="24"/>
          <w:szCs w:val="24"/>
          <w:u w:val="none"/>
          <w:lang w:val="en-GB"/>
        </w:rPr>
        <w:t>Child and Adolescent Psychiatric Clinics of North America</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23</w:t>
      </w:r>
      <w:r w:rsidRPr="5338E615" w:rsidR="1AB876F6">
        <w:rPr>
          <w:rFonts w:ascii="Arial" w:hAnsi="Arial" w:eastAsia="Arial" w:cs="Arial"/>
          <w:b w:val="0"/>
          <w:bCs w:val="0"/>
          <w:noProof w:val="0"/>
          <w:color w:val="000000" w:themeColor="text1" w:themeTint="FF" w:themeShade="FF"/>
          <w:sz w:val="24"/>
          <w:szCs w:val="24"/>
          <w:u w:val="none"/>
          <w:lang w:val="en-GB"/>
        </w:rPr>
        <w:t xml:space="preserve">(2), 185–222. </w:t>
      </w:r>
      <w:hyperlink r:id="R941d27443f6c42f4">
        <w:r w:rsidRPr="5338E615" w:rsidR="1AB876F6">
          <w:rPr>
            <w:rStyle w:val="Hyperlink"/>
            <w:rFonts w:ascii="Arial" w:hAnsi="Arial" w:eastAsia="Arial" w:cs="Arial"/>
            <w:b w:val="0"/>
            <w:bCs w:val="0"/>
            <w:noProof w:val="0"/>
            <w:sz w:val="24"/>
            <w:szCs w:val="24"/>
            <w:u w:val="none"/>
            <w:lang w:val="en-GB"/>
          </w:rPr>
          <w:t>https://doi.org/10.1016/j.chc.2014.01.002</w:t>
        </w:r>
      </w:hyperlink>
    </w:p>
    <w:p w:rsidR="00D506A0" w:rsidP="5338E615" w:rsidRDefault="00D506A0" w14:paraId="79913E7A" w14:textId="053CB046">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Dekeyser</w:t>
      </w:r>
      <w:r w:rsidRPr="5338E615" w:rsidR="1AB876F6">
        <w:rPr>
          <w:rFonts w:ascii="Arial" w:hAnsi="Arial" w:eastAsia="Arial" w:cs="Arial"/>
          <w:b w:val="0"/>
          <w:bCs w:val="0"/>
          <w:noProof w:val="0"/>
          <w:color w:val="000000" w:themeColor="text1" w:themeTint="FF" w:themeShade="FF"/>
          <w:sz w:val="24"/>
          <w:szCs w:val="24"/>
          <w:u w:val="none"/>
          <w:lang w:val="en-GB"/>
        </w:rPr>
        <w:t xml:space="preserve">, M., Raes, F., </w:t>
      </w:r>
      <w:r w:rsidRPr="5338E615" w:rsidR="1AB876F6">
        <w:rPr>
          <w:rFonts w:ascii="Arial" w:hAnsi="Arial" w:eastAsia="Arial" w:cs="Arial"/>
          <w:b w:val="0"/>
          <w:bCs w:val="0"/>
          <w:noProof w:val="0"/>
          <w:color w:val="000000" w:themeColor="text1" w:themeTint="FF" w:themeShade="FF"/>
          <w:sz w:val="24"/>
          <w:szCs w:val="24"/>
          <w:u w:val="none"/>
          <w:lang w:val="en-GB"/>
        </w:rPr>
        <w:t>Leijssen</w:t>
      </w:r>
      <w:r w:rsidRPr="5338E615" w:rsidR="1AB876F6">
        <w:rPr>
          <w:rFonts w:ascii="Arial" w:hAnsi="Arial" w:eastAsia="Arial" w:cs="Arial"/>
          <w:b w:val="0"/>
          <w:bCs w:val="0"/>
          <w:noProof w:val="0"/>
          <w:color w:val="000000" w:themeColor="text1" w:themeTint="FF" w:themeShade="FF"/>
          <w:sz w:val="24"/>
          <w:szCs w:val="24"/>
          <w:u w:val="none"/>
          <w:lang w:val="en-GB"/>
        </w:rPr>
        <w:t xml:space="preserve">, M., Leysen, S., &amp; Dewulf, D. (2008). Mindfulness skills and interpersonal behaviour. </w:t>
      </w:r>
      <w:r w:rsidRPr="5338E615" w:rsidR="1AB876F6">
        <w:rPr>
          <w:rFonts w:ascii="Arial" w:hAnsi="Arial" w:eastAsia="Arial" w:cs="Arial"/>
          <w:b w:val="0"/>
          <w:bCs w:val="0"/>
          <w:i w:val="1"/>
          <w:iCs w:val="1"/>
          <w:noProof w:val="0"/>
          <w:color w:val="000000" w:themeColor="text1" w:themeTint="FF" w:themeShade="FF"/>
          <w:sz w:val="24"/>
          <w:szCs w:val="24"/>
          <w:u w:val="none"/>
          <w:lang w:val="en-GB"/>
        </w:rPr>
        <w:t>Personality and Individual Differences</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44</w:t>
      </w:r>
      <w:r w:rsidRPr="5338E615" w:rsidR="1AB876F6">
        <w:rPr>
          <w:rFonts w:ascii="Arial" w:hAnsi="Arial" w:eastAsia="Arial" w:cs="Arial"/>
          <w:b w:val="0"/>
          <w:bCs w:val="0"/>
          <w:noProof w:val="0"/>
          <w:color w:val="000000" w:themeColor="text1" w:themeTint="FF" w:themeShade="FF"/>
          <w:sz w:val="24"/>
          <w:szCs w:val="24"/>
          <w:u w:val="none"/>
          <w:lang w:val="en-GB"/>
        </w:rPr>
        <w:t xml:space="preserve">(5), 1235–1245. </w:t>
      </w:r>
      <w:hyperlink r:id="R32f345019a0f419d">
        <w:r w:rsidRPr="5338E615" w:rsidR="1AB876F6">
          <w:rPr>
            <w:rStyle w:val="Hyperlink"/>
            <w:rFonts w:ascii="Arial" w:hAnsi="Arial" w:eastAsia="Arial" w:cs="Arial"/>
            <w:b w:val="0"/>
            <w:bCs w:val="0"/>
            <w:noProof w:val="0"/>
            <w:sz w:val="24"/>
            <w:szCs w:val="24"/>
            <w:u w:val="none"/>
            <w:lang w:val="en-GB"/>
          </w:rPr>
          <w:t>https://doi.org/10.1016/j.paid.2007.11.018</w:t>
        </w:r>
      </w:hyperlink>
    </w:p>
    <w:p w:rsidR="00D506A0" w:rsidP="5338E615" w:rsidRDefault="00D506A0" w14:paraId="5EA75699" w14:textId="5B1CB576">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DeRubeis, R. J., Siegle, G. J., &amp; Hollon, S. D. (2008). Cognitive Therapy versus Medication for depression: Treatment Outcomes and Neural Mechanisms. </w:t>
      </w:r>
      <w:r w:rsidRPr="5338E615" w:rsidR="1AB876F6">
        <w:rPr>
          <w:rFonts w:ascii="Arial" w:hAnsi="Arial" w:eastAsia="Arial" w:cs="Arial"/>
          <w:b w:val="0"/>
          <w:bCs w:val="0"/>
          <w:i w:val="1"/>
          <w:iCs w:val="1"/>
          <w:noProof w:val="0"/>
          <w:color w:val="000000" w:themeColor="text1" w:themeTint="FF" w:themeShade="FF"/>
          <w:sz w:val="24"/>
          <w:szCs w:val="24"/>
          <w:u w:val="none"/>
          <w:lang w:val="en-GB"/>
        </w:rPr>
        <w:t>Nature Reviews Neuroscience</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9</w:t>
      </w:r>
      <w:r w:rsidRPr="5338E615" w:rsidR="1AB876F6">
        <w:rPr>
          <w:rFonts w:ascii="Arial" w:hAnsi="Arial" w:eastAsia="Arial" w:cs="Arial"/>
          <w:b w:val="0"/>
          <w:bCs w:val="0"/>
          <w:noProof w:val="0"/>
          <w:color w:val="000000" w:themeColor="text1" w:themeTint="FF" w:themeShade="FF"/>
          <w:sz w:val="24"/>
          <w:szCs w:val="24"/>
          <w:u w:val="none"/>
          <w:lang w:val="en-GB"/>
        </w:rPr>
        <w:t xml:space="preserve">(10), 788–796. </w:t>
      </w:r>
      <w:hyperlink r:id="Rc86707ad1b36460d">
        <w:r w:rsidRPr="5338E615" w:rsidR="1AB876F6">
          <w:rPr>
            <w:rStyle w:val="Hyperlink"/>
            <w:rFonts w:ascii="Arial" w:hAnsi="Arial" w:eastAsia="Arial" w:cs="Arial"/>
            <w:b w:val="0"/>
            <w:bCs w:val="0"/>
            <w:noProof w:val="0"/>
            <w:sz w:val="24"/>
            <w:szCs w:val="24"/>
            <w:u w:val="none"/>
            <w:lang w:val="en-GB"/>
          </w:rPr>
          <w:t>https://doi.org/10.1038/nrn2345</w:t>
        </w:r>
      </w:hyperlink>
    </w:p>
    <w:p w:rsidR="00D506A0" w:rsidP="5338E615" w:rsidRDefault="00D506A0" w14:paraId="13647E20" w14:textId="50E632D2">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Dong, M., Giles, W. H., </w:t>
      </w:r>
      <w:r w:rsidRPr="5338E615" w:rsidR="1AB876F6">
        <w:rPr>
          <w:rFonts w:ascii="Arial" w:hAnsi="Arial" w:eastAsia="Arial" w:cs="Arial"/>
          <w:b w:val="0"/>
          <w:bCs w:val="0"/>
          <w:noProof w:val="0"/>
          <w:color w:val="000000" w:themeColor="text1" w:themeTint="FF" w:themeShade="FF"/>
          <w:sz w:val="24"/>
          <w:szCs w:val="24"/>
          <w:u w:val="none"/>
          <w:lang w:val="en-GB"/>
        </w:rPr>
        <w:t>Felitti</w:t>
      </w:r>
      <w:r w:rsidRPr="5338E615" w:rsidR="1AB876F6">
        <w:rPr>
          <w:rFonts w:ascii="Arial" w:hAnsi="Arial" w:eastAsia="Arial" w:cs="Arial"/>
          <w:b w:val="0"/>
          <w:bCs w:val="0"/>
          <w:noProof w:val="0"/>
          <w:color w:val="000000" w:themeColor="text1" w:themeTint="FF" w:themeShade="FF"/>
          <w:sz w:val="24"/>
          <w:szCs w:val="24"/>
          <w:u w:val="none"/>
          <w:lang w:val="en-GB"/>
        </w:rPr>
        <w:t xml:space="preserve">, V. J., Dube, S. R., Williams, J. E., Chapman, D. P., &amp; Anda, R. F. (2004). Insights Into Causal Pathways for Ischemic Heart Disease. </w:t>
      </w:r>
      <w:r w:rsidRPr="5338E615" w:rsidR="1AB876F6">
        <w:rPr>
          <w:rFonts w:ascii="Arial" w:hAnsi="Arial" w:eastAsia="Arial" w:cs="Arial"/>
          <w:b w:val="0"/>
          <w:bCs w:val="0"/>
          <w:i w:val="1"/>
          <w:iCs w:val="1"/>
          <w:noProof w:val="0"/>
          <w:color w:val="000000" w:themeColor="text1" w:themeTint="FF" w:themeShade="FF"/>
          <w:sz w:val="24"/>
          <w:szCs w:val="24"/>
          <w:u w:val="none"/>
          <w:lang w:val="en-GB"/>
        </w:rPr>
        <w:t>Circulation</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110</w:t>
      </w:r>
      <w:r w:rsidRPr="5338E615" w:rsidR="1AB876F6">
        <w:rPr>
          <w:rFonts w:ascii="Arial" w:hAnsi="Arial" w:eastAsia="Arial" w:cs="Arial"/>
          <w:b w:val="0"/>
          <w:bCs w:val="0"/>
          <w:noProof w:val="0"/>
          <w:color w:val="000000" w:themeColor="text1" w:themeTint="FF" w:themeShade="FF"/>
          <w:sz w:val="24"/>
          <w:szCs w:val="24"/>
          <w:u w:val="none"/>
          <w:lang w:val="en-GB"/>
        </w:rPr>
        <w:t xml:space="preserve">(13), 1761–1766. </w:t>
      </w:r>
      <w:hyperlink r:id="R5dcfad82128d4196">
        <w:r w:rsidRPr="5338E615" w:rsidR="1AB876F6">
          <w:rPr>
            <w:rStyle w:val="Hyperlink"/>
            <w:rFonts w:ascii="Arial" w:hAnsi="Arial" w:eastAsia="Arial" w:cs="Arial"/>
            <w:b w:val="0"/>
            <w:bCs w:val="0"/>
            <w:noProof w:val="0"/>
            <w:sz w:val="24"/>
            <w:szCs w:val="24"/>
            <w:u w:val="none"/>
            <w:lang w:val="en-GB"/>
          </w:rPr>
          <w:t>https://doi.org/10.1161/01.cir.0000143074.54995.7f</w:t>
        </w:r>
      </w:hyperlink>
    </w:p>
    <w:p w:rsidR="00D506A0" w:rsidP="5338E615" w:rsidRDefault="00D506A0" w14:paraId="761BC691" w14:textId="1CE49EC7">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Dr Rebecca </w:t>
      </w:r>
      <w:r w:rsidRPr="5338E615" w:rsidR="1AB876F6">
        <w:rPr>
          <w:rFonts w:ascii="Arial" w:hAnsi="Arial" w:eastAsia="Arial" w:cs="Arial"/>
          <w:b w:val="0"/>
          <w:bCs w:val="0"/>
          <w:noProof w:val="0"/>
          <w:color w:val="000000" w:themeColor="text1" w:themeTint="FF" w:themeShade="FF"/>
          <w:sz w:val="24"/>
          <w:szCs w:val="24"/>
          <w:u w:val="none"/>
          <w:lang w:val="en-GB"/>
        </w:rPr>
        <w:t>Aloneftis</w:t>
      </w:r>
      <w:r w:rsidRPr="5338E615" w:rsidR="1AB876F6">
        <w:rPr>
          <w:rFonts w:ascii="Arial" w:hAnsi="Arial" w:eastAsia="Arial" w:cs="Arial"/>
          <w:b w:val="0"/>
          <w:bCs w:val="0"/>
          <w:noProof w:val="0"/>
          <w:color w:val="000000" w:themeColor="text1" w:themeTint="FF" w:themeShade="FF"/>
          <w:sz w:val="24"/>
          <w:szCs w:val="24"/>
          <w:u w:val="none"/>
          <w:lang w:val="en-GB"/>
        </w:rPr>
        <w:t xml:space="preserve">. (2025, April 13). </w:t>
      </w:r>
      <w:r w:rsidRPr="5338E615" w:rsidR="1AB876F6">
        <w:rPr>
          <w:rFonts w:ascii="Arial" w:hAnsi="Arial" w:eastAsia="Arial" w:cs="Arial"/>
          <w:b w:val="0"/>
          <w:bCs w:val="0"/>
          <w:i w:val="1"/>
          <w:iCs w:val="1"/>
          <w:noProof w:val="0"/>
          <w:color w:val="000000" w:themeColor="text1" w:themeTint="FF" w:themeShade="FF"/>
          <w:sz w:val="24"/>
          <w:szCs w:val="24"/>
          <w:u w:val="none"/>
          <w:lang w:val="en-GB"/>
        </w:rPr>
        <w:t>The Impact of Childhood Trauma on Brain Development</w:t>
      </w:r>
      <w:r w:rsidRPr="5338E615" w:rsidR="1AB876F6">
        <w:rPr>
          <w:rFonts w:ascii="Arial" w:hAnsi="Arial" w:eastAsia="Arial" w:cs="Arial"/>
          <w:b w:val="0"/>
          <w:bCs w:val="0"/>
          <w:noProof w:val="0"/>
          <w:color w:val="000000" w:themeColor="text1" w:themeTint="FF" w:themeShade="FF"/>
          <w:sz w:val="24"/>
          <w:szCs w:val="24"/>
          <w:u w:val="none"/>
          <w:lang w:val="en-GB"/>
        </w:rPr>
        <w:t xml:space="preserve">. Raven Psychology. </w:t>
      </w:r>
      <w:hyperlink r:id="Rbcb29067046343c1">
        <w:r w:rsidRPr="5338E615" w:rsidR="1AB876F6">
          <w:rPr>
            <w:rStyle w:val="Hyperlink"/>
            <w:rFonts w:ascii="Arial" w:hAnsi="Arial" w:eastAsia="Arial" w:cs="Arial"/>
            <w:b w:val="0"/>
            <w:bCs w:val="0"/>
            <w:noProof w:val="0"/>
            <w:sz w:val="24"/>
            <w:szCs w:val="24"/>
            <w:u w:val="none"/>
            <w:lang w:val="en-GB"/>
          </w:rPr>
          <w:t>https://ravenpsychology.com/2025/04/13/impact-of-childhood-trauma-on-brain-development/</w:t>
        </w:r>
      </w:hyperlink>
    </w:p>
    <w:p w:rsidR="00D506A0" w:rsidP="5338E615" w:rsidRDefault="00D506A0" w14:paraId="72DF1D44" w14:textId="64437CA4">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Dube, S. R., Anda, R. F., </w:t>
      </w:r>
      <w:r w:rsidRPr="5338E615" w:rsidR="1AB876F6">
        <w:rPr>
          <w:rFonts w:ascii="Arial" w:hAnsi="Arial" w:eastAsia="Arial" w:cs="Arial"/>
          <w:b w:val="0"/>
          <w:bCs w:val="0"/>
          <w:noProof w:val="0"/>
          <w:color w:val="000000" w:themeColor="text1" w:themeTint="FF" w:themeShade="FF"/>
          <w:sz w:val="24"/>
          <w:szCs w:val="24"/>
          <w:u w:val="none"/>
          <w:lang w:val="en-GB"/>
        </w:rPr>
        <w:t>Felitti</w:t>
      </w:r>
      <w:r w:rsidRPr="5338E615" w:rsidR="1AB876F6">
        <w:rPr>
          <w:rFonts w:ascii="Arial" w:hAnsi="Arial" w:eastAsia="Arial" w:cs="Arial"/>
          <w:b w:val="0"/>
          <w:bCs w:val="0"/>
          <w:noProof w:val="0"/>
          <w:color w:val="000000" w:themeColor="text1" w:themeTint="FF" w:themeShade="FF"/>
          <w:sz w:val="24"/>
          <w:szCs w:val="24"/>
          <w:u w:val="none"/>
          <w:lang w:val="en-GB"/>
        </w:rPr>
        <w:t xml:space="preserve">, V. J., Chapman, D. P., Williamson, D. F., &amp; Giles, W. H. (2001). Childhood Abuse, Household Dysfunction, and the Risk of Attempted Suicide Throughout the Life Span. </w:t>
      </w:r>
      <w:r w:rsidRPr="5338E615" w:rsidR="1AB876F6">
        <w:rPr>
          <w:rFonts w:ascii="Arial" w:hAnsi="Arial" w:eastAsia="Arial" w:cs="Arial"/>
          <w:b w:val="0"/>
          <w:bCs w:val="0"/>
          <w:i w:val="1"/>
          <w:iCs w:val="1"/>
          <w:noProof w:val="0"/>
          <w:color w:val="000000" w:themeColor="text1" w:themeTint="FF" w:themeShade="FF"/>
          <w:sz w:val="24"/>
          <w:szCs w:val="24"/>
          <w:u w:val="none"/>
          <w:lang w:val="en-GB"/>
        </w:rPr>
        <w:t>JAMA</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286</w:t>
      </w:r>
      <w:r w:rsidRPr="5338E615" w:rsidR="1AB876F6">
        <w:rPr>
          <w:rFonts w:ascii="Arial" w:hAnsi="Arial" w:eastAsia="Arial" w:cs="Arial"/>
          <w:b w:val="0"/>
          <w:bCs w:val="0"/>
          <w:noProof w:val="0"/>
          <w:color w:val="000000" w:themeColor="text1" w:themeTint="FF" w:themeShade="FF"/>
          <w:sz w:val="24"/>
          <w:szCs w:val="24"/>
          <w:u w:val="none"/>
          <w:lang w:val="en-GB"/>
        </w:rPr>
        <w:t xml:space="preserve">(24), 3089. </w:t>
      </w:r>
      <w:hyperlink r:id="Ree81e664f2c74578">
        <w:r w:rsidRPr="5338E615" w:rsidR="1AB876F6">
          <w:rPr>
            <w:rStyle w:val="Hyperlink"/>
            <w:rFonts w:ascii="Arial" w:hAnsi="Arial" w:eastAsia="Arial" w:cs="Arial"/>
            <w:b w:val="0"/>
            <w:bCs w:val="0"/>
            <w:noProof w:val="0"/>
            <w:sz w:val="24"/>
            <w:szCs w:val="24"/>
            <w:u w:val="none"/>
            <w:lang w:val="en-GB"/>
          </w:rPr>
          <w:t>https://doi.org/10.1001/jama.286.24.3089</w:t>
        </w:r>
      </w:hyperlink>
    </w:p>
    <w:p w:rsidR="00D506A0" w:rsidP="5338E615" w:rsidRDefault="00D506A0" w14:paraId="378098AC" w14:textId="59049FCE">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Edwards, V. J., Holden, G. W., </w:t>
      </w:r>
      <w:r w:rsidRPr="5338E615" w:rsidR="1AB876F6">
        <w:rPr>
          <w:rFonts w:ascii="Arial" w:hAnsi="Arial" w:eastAsia="Arial" w:cs="Arial"/>
          <w:b w:val="0"/>
          <w:bCs w:val="0"/>
          <w:noProof w:val="0"/>
          <w:color w:val="000000" w:themeColor="text1" w:themeTint="FF" w:themeShade="FF"/>
          <w:sz w:val="24"/>
          <w:szCs w:val="24"/>
          <w:u w:val="none"/>
          <w:lang w:val="en-GB"/>
        </w:rPr>
        <w:t>Felitti</w:t>
      </w:r>
      <w:r w:rsidRPr="5338E615" w:rsidR="1AB876F6">
        <w:rPr>
          <w:rFonts w:ascii="Arial" w:hAnsi="Arial" w:eastAsia="Arial" w:cs="Arial"/>
          <w:b w:val="0"/>
          <w:bCs w:val="0"/>
          <w:noProof w:val="0"/>
          <w:color w:val="000000" w:themeColor="text1" w:themeTint="FF" w:themeShade="FF"/>
          <w:sz w:val="24"/>
          <w:szCs w:val="24"/>
          <w:u w:val="none"/>
          <w:lang w:val="en-GB"/>
        </w:rPr>
        <w:t xml:space="preserve">, V. J., &amp; Anda, R. F. (2003). Relationship Between Multiple Forms of Childhood Maltreatment and Adult Mental Health in Community Respondents: Results </w:t>
      </w:r>
      <w:r w:rsidRPr="5338E615" w:rsidR="1AB876F6">
        <w:rPr>
          <w:rFonts w:ascii="Arial" w:hAnsi="Arial" w:eastAsia="Arial" w:cs="Arial"/>
          <w:b w:val="0"/>
          <w:bCs w:val="0"/>
          <w:noProof w:val="0"/>
          <w:color w:val="000000" w:themeColor="text1" w:themeTint="FF" w:themeShade="FF"/>
          <w:sz w:val="24"/>
          <w:szCs w:val="24"/>
          <w:u w:val="none"/>
          <w:lang w:val="en-GB"/>
        </w:rPr>
        <w:t>From</w:t>
      </w:r>
      <w:r w:rsidRPr="5338E615" w:rsidR="1AB876F6">
        <w:rPr>
          <w:rFonts w:ascii="Arial" w:hAnsi="Arial" w:eastAsia="Arial" w:cs="Arial"/>
          <w:b w:val="0"/>
          <w:bCs w:val="0"/>
          <w:noProof w:val="0"/>
          <w:color w:val="000000" w:themeColor="text1" w:themeTint="FF" w:themeShade="FF"/>
          <w:sz w:val="24"/>
          <w:szCs w:val="24"/>
          <w:u w:val="none"/>
          <w:lang w:val="en-GB"/>
        </w:rPr>
        <w:t xml:space="preserve"> the Adverse Childhood Experiences Study. </w:t>
      </w:r>
      <w:r w:rsidRPr="5338E615" w:rsidR="1AB876F6">
        <w:rPr>
          <w:rFonts w:ascii="Arial" w:hAnsi="Arial" w:eastAsia="Arial" w:cs="Arial"/>
          <w:b w:val="0"/>
          <w:bCs w:val="0"/>
          <w:i w:val="1"/>
          <w:iCs w:val="1"/>
          <w:noProof w:val="0"/>
          <w:color w:val="000000" w:themeColor="text1" w:themeTint="FF" w:themeShade="FF"/>
          <w:sz w:val="24"/>
          <w:szCs w:val="24"/>
          <w:u w:val="none"/>
          <w:lang w:val="en-GB"/>
        </w:rPr>
        <w:t>American Journal of Psychiatry</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160</w:t>
      </w:r>
      <w:r w:rsidRPr="5338E615" w:rsidR="1AB876F6">
        <w:rPr>
          <w:rFonts w:ascii="Arial" w:hAnsi="Arial" w:eastAsia="Arial" w:cs="Arial"/>
          <w:b w:val="0"/>
          <w:bCs w:val="0"/>
          <w:noProof w:val="0"/>
          <w:color w:val="000000" w:themeColor="text1" w:themeTint="FF" w:themeShade="FF"/>
          <w:sz w:val="24"/>
          <w:szCs w:val="24"/>
          <w:u w:val="none"/>
          <w:lang w:val="en-GB"/>
        </w:rPr>
        <w:t xml:space="preserve">(8), 1453–1460. </w:t>
      </w:r>
      <w:hyperlink r:id="Re4cfb3dad98c464c">
        <w:r w:rsidRPr="5338E615" w:rsidR="1AB876F6">
          <w:rPr>
            <w:rStyle w:val="Hyperlink"/>
            <w:rFonts w:ascii="Arial" w:hAnsi="Arial" w:eastAsia="Arial" w:cs="Arial"/>
            <w:b w:val="0"/>
            <w:bCs w:val="0"/>
            <w:noProof w:val="0"/>
            <w:sz w:val="24"/>
            <w:szCs w:val="24"/>
            <w:u w:val="none"/>
            <w:lang w:val="en-GB"/>
          </w:rPr>
          <w:t>https://doi.org/10.1176/appi.ajp.160.8.1453</w:t>
        </w:r>
      </w:hyperlink>
    </w:p>
    <w:p w:rsidR="00D506A0" w:rsidP="5338E615" w:rsidRDefault="00D506A0" w14:paraId="7FEED7B3" w14:textId="17536768">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Farb, N. A. S., Anderson, A. K., </w:t>
      </w:r>
      <w:r w:rsidRPr="5338E615" w:rsidR="1AB876F6">
        <w:rPr>
          <w:rFonts w:ascii="Arial" w:hAnsi="Arial" w:eastAsia="Arial" w:cs="Arial"/>
          <w:b w:val="0"/>
          <w:bCs w:val="0"/>
          <w:noProof w:val="0"/>
          <w:color w:val="000000" w:themeColor="text1" w:themeTint="FF" w:themeShade="FF"/>
          <w:sz w:val="24"/>
          <w:szCs w:val="24"/>
          <w:u w:val="none"/>
          <w:lang w:val="en-GB"/>
        </w:rPr>
        <w:t>Mayberg</w:t>
      </w:r>
      <w:r w:rsidRPr="5338E615" w:rsidR="1AB876F6">
        <w:rPr>
          <w:rFonts w:ascii="Arial" w:hAnsi="Arial" w:eastAsia="Arial" w:cs="Arial"/>
          <w:b w:val="0"/>
          <w:bCs w:val="0"/>
          <w:noProof w:val="0"/>
          <w:color w:val="000000" w:themeColor="text1" w:themeTint="FF" w:themeShade="FF"/>
          <w:sz w:val="24"/>
          <w:szCs w:val="24"/>
          <w:u w:val="none"/>
          <w:lang w:val="en-GB"/>
        </w:rPr>
        <w:t xml:space="preserve">, H., Bean, J., McKeon, D., &amp; Segal, Z. V. (2010). Minding one’s emotions: mindfulness training alters the neural expression of sadness. </w:t>
      </w:r>
      <w:r w:rsidRPr="5338E615" w:rsidR="1AB876F6">
        <w:rPr>
          <w:rFonts w:ascii="Arial" w:hAnsi="Arial" w:eastAsia="Arial" w:cs="Arial"/>
          <w:b w:val="0"/>
          <w:bCs w:val="0"/>
          <w:i w:val="1"/>
          <w:iCs w:val="1"/>
          <w:noProof w:val="0"/>
          <w:color w:val="000000" w:themeColor="text1" w:themeTint="FF" w:themeShade="FF"/>
          <w:sz w:val="24"/>
          <w:szCs w:val="24"/>
          <w:u w:val="none"/>
          <w:lang w:val="en-GB"/>
        </w:rPr>
        <w:t>Emotion (Washington, D.C.)</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10</w:t>
      </w:r>
      <w:r w:rsidRPr="5338E615" w:rsidR="1AB876F6">
        <w:rPr>
          <w:rFonts w:ascii="Arial" w:hAnsi="Arial" w:eastAsia="Arial" w:cs="Arial"/>
          <w:b w:val="0"/>
          <w:bCs w:val="0"/>
          <w:noProof w:val="0"/>
          <w:color w:val="000000" w:themeColor="text1" w:themeTint="FF" w:themeShade="FF"/>
          <w:sz w:val="24"/>
          <w:szCs w:val="24"/>
          <w:u w:val="none"/>
          <w:lang w:val="en-GB"/>
        </w:rPr>
        <w:t xml:space="preserve">(1), 25–33. </w:t>
      </w:r>
      <w:hyperlink r:id="R205c1c36e6cc47b1">
        <w:r w:rsidRPr="5338E615" w:rsidR="1AB876F6">
          <w:rPr>
            <w:rStyle w:val="Hyperlink"/>
            <w:rFonts w:ascii="Arial" w:hAnsi="Arial" w:eastAsia="Arial" w:cs="Arial"/>
            <w:b w:val="0"/>
            <w:bCs w:val="0"/>
            <w:noProof w:val="0"/>
            <w:sz w:val="24"/>
            <w:szCs w:val="24"/>
            <w:u w:val="none"/>
            <w:lang w:val="en-GB"/>
          </w:rPr>
          <w:t>https://doi.org/10.1037/a0017151</w:t>
        </w:r>
      </w:hyperlink>
    </w:p>
    <w:p w:rsidR="00D506A0" w:rsidP="5338E615" w:rsidRDefault="00D506A0" w14:paraId="0EBAF899" w14:textId="52139107">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Felitti</w:t>
      </w:r>
      <w:r w:rsidRPr="5338E615" w:rsidR="1AB876F6">
        <w:rPr>
          <w:rFonts w:ascii="Arial" w:hAnsi="Arial" w:eastAsia="Arial" w:cs="Arial"/>
          <w:b w:val="0"/>
          <w:bCs w:val="0"/>
          <w:noProof w:val="0"/>
          <w:color w:val="000000" w:themeColor="text1" w:themeTint="FF" w:themeShade="FF"/>
          <w:sz w:val="24"/>
          <w:szCs w:val="24"/>
          <w:u w:val="none"/>
          <w:lang w:val="en-GB"/>
        </w:rPr>
        <w:t xml:space="preserve">, V. J., Anda, R. F., Nordenberg, D., Williamson, D. F., Spitz, A. M., Edwards, V., Koss, M. P., &amp; Marks, J. S. (1998). Relationship of childhood abuse and household dysfunction to many of the leading causes of death in adults: The adverse childhood experiences (ACE) study. </w:t>
      </w:r>
      <w:r w:rsidRPr="5338E615" w:rsidR="1AB876F6">
        <w:rPr>
          <w:rFonts w:ascii="Arial" w:hAnsi="Arial" w:eastAsia="Arial" w:cs="Arial"/>
          <w:b w:val="0"/>
          <w:bCs w:val="0"/>
          <w:i w:val="1"/>
          <w:iCs w:val="1"/>
          <w:noProof w:val="0"/>
          <w:color w:val="000000" w:themeColor="text1" w:themeTint="FF" w:themeShade="FF"/>
          <w:sz w:val="24"/>
          <w:szCs w:val="24"/>
          <w:u w:val="none"/>
          <w:lang w:val="en-GB"/>
        </w:rPr>
        <w:t>American Journal of Preventive Medicine</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14</w:t>
      </w:r>
      <w:r w:rsidRPr="5338E615" w:rsidR="1AB876F6">
        <w:rPr>
          <w:rFonts w:ascii="Arial" w:hAnsi="Arial" w:eastAsia="Arial" w:cs="Arial"/>
          <w:b w:val="0"/>
          <w:bCs w:val="0"/>
          <w:noProof w:val="0"/>
          <w:color w:val="000000" w:themeColor="text1" w:themeTint="FF" w:themeShade="FF"/>
          <w:sz w:val="24"/>
          <w:szCs w:val="24"/>
          <w:u w:val="none"/>
          <w:lang w:val="en-GB"/>
        </w:rPr>
        <w:t xml:space="preserve">(8), 245–258. </w:t>
      </w:r>
      <w:hyperlink r:id="Rb3e69488fa9b4407">
        <w:r w:rsidRPr="5338E615" w:rsidR="1AB876F6">
          <w:rPr>
            <w:rStyle w:val="Hyperlink"/>
            <w:rFonts w:ascii="Arial" w:hAnsi="Arial" w:eastAsia="Arial" w:cs="Arial"/>
            <w:b w:val="0"/>
            <w:bCs w:val="0"/>
            <w:noProof w:val="0"/>
            <w:sz w:val="24"/>
            <w:szCs w:val="24"/>
            <w:u w:val="none"/>
            <w:lang w:val="en-GB"/>
          </w:rPr>
          <w:t>https://doi.org/10.1016/j.amepre.2019.04.001</w:t>
        </w:r>
      </w:hyperlink>
    </w:p>
    <w:p w:rsidR="00D506A0" w:rsidP="5338E615" w:rsidRDefault="00D506A0" w14:paraId="6A701FDF" w14:textId="01247690">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Felton, T. M., Coates, L., &amp; Christopher, J. C. (2013). Impact of Mindfulness Training on </w:t>
      </w:r>
      <w:r w:rsidRPr="5338E615" w:rsidR="1AB876F6">
        <w:rPr>
          <w:rFonts w:ascii="Arial" w:hAnsi="Arial" w:eastAsia="Arial" w:cs="Arial"/>
          <w:b w:val="0"/>
          <w:bCs w:val="0"/>
          <w:noProof w:val="0"/>
          <w:color w:val="000000" w:themeColor="text1" w:themeTint="FF" w:themeShade="FF"/>
          <w:sz w:val="24"/>
          <w:szCs w:val="24"/>
          <w:u w:val="none"/>
          <w:lang w:val="en-GB"/>
        </w:rPr>
        <w:t>Counseling</w:t>
      </w:r>
      <w:r w:rsidRPr="5338E615" w:rsidR="1AB876F6">
        <w:rPr>
          <w:rFonts w:ascii="Arial" w:hAnsi="Arial" w:eastAsia="Arial" w:cs="Arial"/>
          <w:b w:val="0"/>
          <w:bCs w:val="0"/>
          <w:noProof w:val="0"/>
          <w:color w:val="000000" w:themeColor="text1" w:themeTint="FF" w:themeShade="FF"/>
          <w:sz w:val="24"/>
          <w:szCs w:val="24"/>
          <w:u w:val="none"/>
          <w:lang w:val="en-GB"/>
        </w:rPr>
        <w:t xml:space="preserve"> Students’ Perceptions of Stress. </w:t>
      </w:r>
      <w:r w:rsidRPr="5338E615" w:rsidR="1AB876F6">
        <w:rPr>
          <w:rFonts w:ascii="Arial" w:hAnsi="Arial" w:eastAsia="Arial" w:cs="Arial"/>
          <w:b w:val="0"/>
          <w:bCs w:val="0"/>
          <w:i w:val="1"/>
          <w:iCs w:val="1"/>
          <w:noProof w:val="0"/>
          <w:color w:val="000000" w:themeColor="text1" w:themeTint="FF" w:themeShade="FF"/>
          <w:sz w:val="24"/>
          <w:szCs w:val="24"/>
          <w:u w:val="none"/>
          <w:lang w:val="en-GB"/>
        </w:rPr>
        <w:t>Mindfulness</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6</w:t>
      </w:r>
      <w:r w:rsidRPr="5338E615" w:rsidR="1AB876F6">
        <w:rPr>
          <w:rFonts w:ascii="Arial" w:hAnsi="Arial" w:eastAsia="Arial" w:cs="Arial"/>
          <w:b w:val="0"/>
          <w:bCs w:val="0"/>
          <w:noProof w:val="0"/>
          <w:color w:val="000000" w:themeColor="text1" w:themeTint="FF" w:themeShade="FF"/>
          <w:sz w:val="24"/>
          <w:szCs w:val="24"/>
          <w:u w:val="none"/>
          <w:lang w:val="en-GB"/>
        </w:rPr>
        <w:t xml:space="preserve">(2), 159–169. </w:t>
      </w:r>
      <w:hyperlink r:id="R63870da6bd424b19">
        <w:r w:rsidRPr="5338E615" w:rsidR="1AB876F6">
          <w:rPr>
            <w:rStyle w:val="Hyperlink"/>
            <w:rFonts w:ascii="Arial" w:hAnsi="Arial" w:eastAsia="Arial" w:cs="Arial"/>
            <w:b w:val="0"/>
            <w:bCs w:val="0"/>
            <w:noProof w:val="0"/>
            <w:sz w:val="24"/>
            <w:szCs w:val="24"/>
            <w:u w:val="none"/>
            <w:lang w:val="en-GB"/>
          </w:rPr>
          <w:t>https://doi.org/10.1007/s12671-013-0240-8</w:t>
        </w:r>
      </w:hyperlink>
    </w:p>
    <w:p w:rsidR="00D506A0" w:rsidP="5338E615" w:rsidRDefault="00D506A0" w14:paraId="72678EE2" w14:textId="54A2F49D">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Forrest, L., Abdurrahman, M., &amp; </w:t>
      </w:r>
      <w:r w:rsidRPr="5338E615" w:rsidR="1AB876F6">
        <w:rPr>
          <w:rFonts w:ascii="Arial" w:hAnsi="Arial" w:eastAsia="Arial" w:cs="Arial"/>
          <w:b w:val="0"/>
          <w:bCs w:val="0"/>
          <w:noProof w:val="0"/>
          <w:color w:val="000000" w:themeColor="text1" w:themeTint="FF" w:themeShade="FF"/>
          <w:sz w:val="24"/>
          <w:szCs w:val="24"/>
          <w:u w:val="none"/>
          <w:lang w:val="en-GB"/>
        </w:rPr>
        <w:t>Ritsma</w:t>
      </w:r>
      <w:r w:rsidRPr="5338E615" w:rsidR="1AB876F6">
        <w:rPr>
          <w:rFonts w:ascii="Arial" w:hAnsi="Arial" w:eastAsia="Arial" w:cs="Arial"/>
          <w:b w:val="0"/>
          <w:bCs w:val="0"/>
          <w:noProof w:val="0"/>
          <w:color w:val="000000" w:themeColor="text1" w:themeTint="FF" w:themeShade="FF"/>
          <w:sz w:val="24"/>
          <w:szCs w:val="24"/>
          <w:u w:val="none"/>
          <w:lang w:val="en-GB"/>
        </w:rPr>
        <w:t xml:space="preserve">, A. (2020a). </w:t>
      </w:r>
      <w:r w:rsidRPr="5338E615" w:rsidR="1AB876F6">
        <w:rPr>
          <w:rFonts w:ascii="Arial" w:hAnsi="Arial" w:eastAsia="Arial" w:cs="Arial"/>
          <w:b w:val="0"/>
          <w:bCs w:val="0"/>
          <w:i w:val="1"/>
          <w:iCs w:val="1"/>
          <w:noProof w:val="0"/>
          <w:color w:val="000000" w:themeColor="text1" w:themeTint="FF" w:themeShade="FF"/>
          <w:sz w:val="24"/>
          <w:szCs w:val="24"/>
          <w:u w:val="none"/>
          <w:lang w:val="en-GB"/>
        </w:rPr>
        <w:t xml:space="preserve">Recognising Compassion Fatigue, </w:t>
      </w:r>
      <w:r w:rsidRPr="5338E615" w:rsidR="1AB876F6">
        <w:rPr>
          <w:rFonts w:ascii="Arial" w:hAnsi="Arial" w:eastAsia="Arial" w:cs="Arial"/>
          <w:b w:val="0"/>
          <w:bCs w:val="0"/>
          <w:i w:val="1"/>
          <w:iCs w:val="1"/>
          <w:noProof w:val="0"/>
          <w:color w:val="000000" w:themeColor="text1" w:themeTint="FF" w:themeShade="FF"/>
          <w:sz w:val="24"/>
          <w:szCs w:val="24"/>
          <w:u w:val="none"/>
          <w:lang w:val="en-GB"/>
        </w:rPr>
        <w:t>VicariousTrauma</w:t>
      </w:r>
      <w:r w:rsidRPr="5338E615" w:rsidR="1AB876F6">
        <w:rPr>
          <w:rFonts w:ascii="Arial" w:hAnsi="Arial" w:eastAsia="Arial" w:cs="Arial"/>
          <w:b w:val="0"/>
          <w:bCs w:val="0"/>
          <w:i w:val="1"/>
          <w:iCs w:val="1"/>
          <w:noProof w:val="0"/>
          <w:color w:val="000000" w:themeColor="text1" w:themeTint="FF" w:themeShade="FF"/>
          <w:sz w:val="24"/>
          <w:szCs w:val="24"/>
          <w:u w:val="none"/>
          <w:lang w:val="en-GB"/>
        </w:rPr>
        <w:t>, and Burnout.</w:t>
      </w:r>
      <w:r w:rsidRPr="5338E615" w:rsidR="1AB876F6">
        <w:rPr>
          <w:rFonts w:ascii="Arial" w:hAnsi="Arial" w:eastAsia="Arial" w:cs="Arial"/>
          <w:b w:val="0"/>
          <w:bCs w:val="0"/>
          <w:noProof w:val="0"/>
          <w:color w:val="000000" w:themeColor="text1" w:themeTint="FF" w:themeShade="FF"/>
          <w:sz w:val="24"/>
          <w:szCs w:val="24"/>
          <w:u w:val="none"/>
          <w:lang w:val="en-GB"/>
        </w:rPr>
        <w:t xml:space="preserve"> (A. </w:t>
      </w:r>
      <w:r w:rsidRPr="5338E615" w:rsidR="1AB876F6">
        <w:rPr>
          <w:rFonts w:ascii="Arial" w:hAnsi="Arial" w:eastAsia="Arial" w:cs="Arial"/>
          <w:b w:val="0"/>
          <w:bCs w:val="0"/>
          <w:noProof w:val="0"/>
          <w:color w:val="000000" w:themeColor="text1" w:themeTint="FF" w:themeShade="FF"/>
          <w:sz w:val="24"/>
          <w:szCs w:val="24"/>
          <w:u w:val="none"/>
          <w:lang w:val="en-GB"/>
        </w:rPr>
        <w:t>Hategan</w:t>
      </w:r>
      <w:r w:rsidRPr="5338E615" w:rsidR="1AB876F6">
        <w:rPr>
          <w:rFonts w:ascii="Arial" w:hAnsi="Arial" w:eastAsia="Arial" w:cs="Arial"/>
          <w:b w:val="0"/>
          <w:bCs w:val="0"/>
          <w:noProof w:val="0"/>
          <w:color w:val="000000" w:themeColor="text1" w:themeTint="FF" w:themeShade="FF"/>
          <w:sz w:val="24"/>
          <w:szCs w:val="24"/>
          <w:u w:val="none"/>
          <w:lang w:val="en-GB"/>
        </w:rPr>
        <w:t xml:space="preserve">, K. </w:t>
      </w:r>
      <w:r w:rsidRPr="5338E615" w:rsidR="1AB876F6">
        <w:rPr>
          <w:rFonts w:ascii="Arial" w:hAnsi="Arial" w:eastAsia="Arial" w:cs="Arial"/>
          <w:b w:val="0"/>
          <w:bCs w:val="0"/>
          <w:noProof w:val="0"/>
          <w:color w:val="000000" w:themeColor="text1" w:themeTint="FF" w:themeShade="FF"/>
          <w:sz w:val="24"/>
          <w:szCs w:val="24"/>
          <w:u w:val="none"/>
          <w:lang w:val="en-GB"/>
        </w:rPr>
        <w:t>Saperson</w:t>
      </w:r>
      <w:r w:rsidRPr="5338E615" w:rsidR="1AB876F6">
        <w:rPr>
          <w:rFonts w:ascii="Arial" w:hAnsi="Arial" w:eastAsia="Arial" w:cs="Arial"/>
          <w:b w:val="0"/>
          <w:bCs w:val="0"/>
          <w:noProof w:val="0"/>
          <w:color w:val="000000" w:themeColor="text1" w:themeTint="FF" w:themeShade="FF"/>
          <w:sz w:val="24"/>
          <w:szCs w:val="24"/>
          <w:u w:val="none"/>
          <w:lang w:val="en-GB"/>
        </w:rPr>
        <w:t xml:space="preserve">, S. Harms, &amp; H. Waters, Eds.). Springer eBooks. </w:t>
      </w:r>
      <w:hyperlink r:id="Re3e75661c96b47a2">
        <w:r w:rsidRPr="5338E615" w:rsidR="1AB876F6">
          <w:rPr>
            <w:rStyle w:val="Hyperlink"/>
            <w:rFonts w:ascii="Arial" w:hAnsi="Arial" w:eastAsia="Arial" w:cs="Arial"/>
            <w:b w:val="0"/>
            <w:bCs w:val="0"/>
            <w:noProof w:val="0"/>
            <w:sz w:val="24"/>
            <w:szCs w:val="24"/>
            <w:u w:val="none"/>
            <w:lang w:val="en-GB"/>
          </w:rPr>
          <w:t>https://doi.org/10.1007/978-3-030-45627-6</w:t>
        </w:r>
      </w:hyperlink>
    </w:p>
    <w:p w:rsidR="00D506A0" w:rsidP="5338E615" w:rsidRDefault="00D506A0" w14:paraId="28351E32" w14:textId="4D6E420A">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Forrest, L., Abdurrahman, M., &amp; </w:t>
      </w:r>
      <w:r w:rsidRPr="5338E615" w:rsidR="1AB876F6">
        <w:rPr>
          <w:rFonts w:ascii="Arial" w:hAnsi="Arial" w:eastAsia="Arial" w:cs="Arial"/>
          <w:b w:val="0"/>
          <w:bCs w:val="0"/>
          <w:noProof w:val="0"/>
          <w:color w:val="000000" w:themeColor="text1" w:themeTint="FF" w:themeShade="FF"/>
          <w:sz w:val="24"/>
          <w:szCs w:val="24"/>
          <w:u w:val="none"/>
          <w:lang w:val="en-GB"/>
        </w:rPr>
        <w:t>Ritsma</w:t>
      </w:r>
      <w:r w:rsidRPr="5338E615" w:rsidR="1AB876F6">
        <w:rPr>
          <w:rFonts w:ascii="Arial" w:hAnsi="Arial" w:eastAsia="Arial" w:cs="Arial"/>
          <w:b w:val="0"/>
          <w:bCs w:val="0"/>
          <w:noProof w:val="0"/>
          <w:color w:val="000000" w:themeColor="text1" w:themeTint="FF" w:themeShade="FF"/>
          <w:sz w:val="24"/>
          <w:szCs w:val="24"/>
          <w:u w:val="none"/>
          <w:lang w:val="en-GB"/>
        </w:rPr>
        <w:t xml:space="preserve">, A. (2020b). </w:t>
      </w:r>
      <w:r w:rsidRPr="5338E615" w:rsidR="1AB876F6">
        <w:rPr>
          <w:rFonts w:ascii="Arial" w:hAnsi="Arial" w:eastAsia="Arial" w:cs="Arial"/>
          <w:b w:val="0"/>
          <w:bCs w:val="0"/>
          <w:i w:val="1"/>
          <w:iCs w:val="1"/>
          <w:noProof w:val="0"/>
          <w:color w:val="000000" w:themeColor="text1" w:themeTint="FF" w:themeShade="FF"/>
          <w:sz w:val="24"/>
          <w:szCs w:val="24"/>
          <w:u w:val="none"/>
          <w:lang w:val="en-GB"/>
        </w:rPr>
        <w:t xml:space="preserve">Recognizing Compassion Fatigue, Vicarious Trauma, and </w:t>
      </w:r>
      <w:r w:rsidRPr="5338E615" w:rsidR="1AB876F6">
        <w:rPr>
          <w:rFonts w:ascii="Arial" w:hAnsi="Arial" w:eastAsia="Arial" w:cs="Arial"/>
          <w:b w:val="0"/>
          <w:bCs w:val="0"/>
          <w:i w:val="1"/>
          <w:iCs w:val="1"/>
          <w:noProof w:val="0"/>
          <w:color w:val="000000" w:themeColor="text1" w:themeTint="FF" w:themeShade="FF"/>
          <w:sz w:val="24"/>
          <w:szCs w:val="24"/>
          <w:u w:val="none"/>
          <w:lang w:val="en-GB"/>
        </w:rPr>
        <w:t>Burnout.</w:t>
      </w:r>
      <w:r w:rsidRPr="5338E615" w:rsidR="1AB876F6">
        <w:rPr>
          <w:rFonts w:ascii="Arial" w:hAnsi="Arial" w:eastAsia="Arial" w:cs="Arial"/>
          <w:b w:val="0"/>
          <w:bCs w:val="0"/>
          <w:noProof w:val="0"/>
          <w:color w:val="000000" w:themeColor="text1" w:themeTint="FF" w:themeShade="FF"/>
          <w:sz w:val="24"/>
          <w:szCs w:val="24"/>
          <w:u w:val="none"/>
          <w:lang w:val="en-GB"/>
        </w:rPr>
        <w:t>Springer</w:t>
      </w:r>
      <w:r w:rsidRPr="5338E615" w:rsidR="1AB876F6">
        <w:rPr>
          <w:rFonts w:ascii="Arial" w:hAnsi="Arial" w:eastAsia="Arial" w:cs="Arial"/>
          <w:b w:val="0"/>
          <w:bCs w:val="0"/>
          <w:noProof w:val="0"/>
          <w:color w:val="000000" w:themeColor="text1" w:themeTint="FF" w:themeShade="FF"/>
          <w:sz w:val="24"/>
          <w:szCs w:val="24"/>
          <w:u w:val="none"/>
          <w:lang w:val="en-GB"/>
        </w:rPr>
        <w:t xml:space="preserve"> eBooks. </w:t>
      </w:r>
      <w:hyperlink r:id="R063aecfc968c4ab9">
        <w:r w:rsidRPr="5338E615" w:rsidR="1AB876F6">
          <w:rPr>
            <w:rStyle w:val="Hyperlink"/>
            <w:rFonts w:ascii="Arial" w:hAnsi="Arial" w:eastAsia="Arial" w:cs="Arial"/>
            <w:b w:val="0"/>
            <w:bCs w:val="0"/>
            <w:noProof w:val="0"/>
            <w:sz w:val="24"/>
            <w:szCs w:val="24"/>
            <w:u w:val="none"/>
            <w:lang w:val="en-GB"/>
          </w:rPr>
          <w:t>https://doi.org/10.1007/978-3-030-45627-6</w:t>
        </w:r>
      </w:hyperlink>
    </w:p>
    <w:p w:rsidR="00D506A0" w:rsidP="5338E615" w:rsidRDefault="00D506A0" w14:paraId="2AB2C711" w14:textId="796A77D6">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Garner, A. S., Shonkoff, J. P., Siegel, B. S., Dobbins, M. I., Earls, M. F., Garner, A. S., McGuinn, L., Pascoe, J., &amp; Wood, D. L. (2011). Early Childhood Adversity, Toxic Stress, and the Role of the </w:t>
      </w:r>
      <w:r w:rsidRPr="5338E615" w:rsidR="1AB876F6">
        <w:rPr>
          <w:rFonts w:ascii="Arial" w:hAnsi="Arial" w:eastAsia="Arial" w:cs="Arial"/>
          <w:b w:val="0"/>
          <w:bCs w:val="0"/>
          <w:noProof w:val="0"/>
          <w:color w:val="000000" w:themeColor="text1" w:themeTint="FF" w:themeShade="FF"/>
          <w:sz w:val="24"/>
          <w:szCs w:val="24"/>
          <w:u w:val="none"/>
          <w:lang w:val="en-GB"/>
        </w:rPr>
        <w:t>Pediatrician</w:t>
      </w:r>
      <w:r w:rsidRPr="5338E615" w:rsidR="1AB876F6">
        <w:rPr>
          <w:rFonts w:ascii="Arial" w:hAnsi="Arial" w:eastAsia="Arial" w:cs="Arial"/>
          <w:b w:val="0"/>
          <w:bCs w:val="0"/>
          <w:noProof w:val="0"/>
          <w:color w:val="000000" w:themeColor="text1" w:themeTint="FF" w:themeShade="FF"/>
          <w:sz w:val="24"/>
          <w:szCs w:val="24"/>
          <w:u w:val="none"/>
          <w:lang w:val="en-GB"/>
        </w:rPr>
        <w:t xml:space="preserve">: Translating Developmental Science </w:t>
      </w:r>
      <w:r w:rsidRPr="5338E615" w:rsidR="1AB876F6">
        <w:rPr>
          <w:rFonts w:ascii="Arial" w:hAnsi="Arial" w:eastAsia="Arial" w:cs="Arial"/>
          <w:b w:val="0"/>
          <w:bCs w:val="0"/>
          <w:noProof w:val="0"/>
          <w:color w:val="000000" w:themeColor="text1" w:themeTint="FF" w:themeShade="FF"/>
          <w:sz w:val="24"/>
          <w:szCs w:val="24"/>
          <w:u w:val="none"/>
          <w:lang w:val="en-GB"/>
        </w:rPr>
        <w:t>Into</w:t>
      </w:r>
      <w:r w:rsidRPr="5338E615" w:rsidR="1AB876F6">
        <w:rPr>
          <w:rFonts w:ascii="Arial" w:hAnsi="Arial" w:eastAsia="Arial" w:cs="Arial"/>
          <w:b w:val="0"/>
          <w:bCs w:val="0"/>
          <w:noProof w:val="0"/>
          <w:color w:val="000000" w:themeColor="text1" w:themeTint="FF" w:themeShade="FF"/>
          <w:sz w:val="24"/>
          <w:szCs w:val="24"/>
          <w:u w:val="none"/>
          <w:lang w:val="en-GB"/>
        </w:rPr>
        <w:t xml:space="preserve"> Lifelong Health. </w:t>
      </w:r>
      <w:r w:rsidRPr="5338E615" w:rsidR="1AB876F6">
        <w:rPr>
          <w:rFonts w:ascii="Arial" w:hAnsi="Arial" w:eastAsia="Arial" w:cs="Arial"/>
          <w:b w:val="0"/>
          <w:bCs w:val="0"/>
          <w:i w:val="1"/>
          <w:iCs w:val="1"/>
          <w:noProof w:val="0"/>
          <w:color w:val="000000" w:themeColor="text1" w:themeTint="FF" w:themeShade="FF"/>
          <w:sz w:val="24"/>
          <w:szCs w:val="24"/>
          <w:u w:val="none"/>
          <w:lang w:val="en-GB"/>
        </w:rPr>
        <w:t>PEDIATRICS</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129</w:t>
      </w:r>
      <w:r w:rsidRPr="5338E615" w:rsidR="1AB876F6">
        <w:rPr>
          <w:rFonts w:ascii="Arial" w:hAnsi="Arial" w:eastAsia="Arial" w:cs="Arial"/>
          <w:b w:val="0"/>
          <w:bCs w:val="0"/>
          <w:noProof w:val="0"/>
          <w:color w:val="000000" w:themeColor="text1" w:themeTint="FF" w:themeShade="FF"/>
          <w:sz w:val="24"/>
          <w:szCs w:val="24"/>
          <w:u w:val="none"/>
          <w:lang w:val="en-GB"/>
        </w:rPr>
        <w:t xml:space="preserve">(1), e224–e231. </w:t>
      </w:r>
      <w:hyperlink r:id="Rcf638e743d604933">
        <w:r w:rsidRPr="5338E615" w:rsidR="1AB876F6">
          <w:rPr>
            <w:rStyle w:val="Hyperlink"/>
            <w:rFonts w:ascii="Arial" w:hAnsi="Arial" w:eastAsia="Arial" w:cs="Arial"/>
            <w:b w:val="0"/>
            <w:bCs w:val="0"/>
            <w:noProof w:val="0"/>
            <w:sz w:val="24"/>
            <w:szCs w:val="24"/>
            <w:u w:val="none"/>
            <w:lang w:val="en-GB"/>
          </w:rPr>
          <w:t>https://doi.org/10.1542/peds.2011-2662</w:t>
        </w:r>
      </w:hyperlink>
    </w:p>
    <w:p w:rsidR="00D506A0" w:rsidP="5338E615" w:rsidRDefault="00D506A0" w14:paraId="7E752D8B" w14:textId="574EEE77">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Gilbert, L. K., Breiding, M. J., Merrick, M. T., Thompson, W. W., Ford, D. C., Dhingra, S. S., &amp; Parks, S. E. (2015). Childhood Adversity and Adult Chronic Disease. </w:t>
      </w:r>
      <w:r w:rsidRPr="5338E615" w:rsidR="1AB876F6">
        <w:rPr>
          <w:rFonts w:ascii="Arial" w:hAnsi="Arial" w:eastAsia="Arial" w:cs="Arial"/>
          <w:b w:val="0"/>
          <w:bCs w:val="0"/>
          <w:i w:val="1"/>
          <w:iCs w:val="1"/>
          <w:noProof w:val="0"/>
          <w:color w:val="000000" w:themeColor="text1" w:themeTint="FF" w:themeShade="FF"/>
          <w:sz w:val="24"/>
          <w:szCs w:val="24"/>
          <w:u w:val="none"/>
          <w:lang w:val="en-GB"/>
        </w:rPr>
        <w:t>American Journal of Preventive Medicine</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48</w:t>
      </w:r>
      <w:r w:rsidRPr="5338E615" w:rsidR="1AB876F6">
        <w:rPr>
          <w:rFonts w:ascii="Arial" w:hAnsi="Arial" w:eastAsia="Arial" w:cs="Arial"/>
          <w:b w:val="0"/>
          <w:bCs w:val="0"/>
          <w:noProof w:val="0"/>
          <w:color w:val="000000" w:themeColor="text1" w:themeTint="FF" w:themeShade="FF"/>
          <w:sz w:val="24"/>
          <w:szCs w:val="24"/>
          <w:u w:val="none"/>
          <w:lang w:val="en-GB"/>
        </w:rPr>
        <w:t xml:space="preserve">(3), 345–349. </w:t>
      </w:r>
      <w:hyperlink r:id="R55a816500c9245f1">
        <w:r w:rsidRPr="5338E615" w:rsidR="1AB876F6">
          <w:rPr>
            <w:rStyle w:val="Hyperlink"/>
            <w:rFonts w:ascii="Arial" w:hAnsi="Arial" w:eastAsia="Arial" w:cs="Arial"/>
            <w:b w:val="0"/>
            <w:bCs w:val="0"/>
            <w:noProof w:val="0"/>
            <w:sz w:val="24"/>
            <w:szCs w:val="24"/>
            <w:u w:val="none"/>
            <w:lang w:val="en-GB"/>
          </w:rPr>
          <w:t>https://doi.org/10.1016/j.amepre.2014.09.006</w:t>
        </w:r>
      </w:hyperlink>
    </w:p>
    <w:p w:rsidR="00D506A0" w:rsidP="5338E615" w:rsidRDefault="00D506A0" w14:paraId="0E9B8CBB" w14:textId="5845C61A">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Hackman, D. A., Farah, M. J., &amp; Meaney, M. J. (2010). Socioeconomic status and the brain: Mechanistic insights from human and animal research. </w:t>
      </w:r>
      <w:r w:rsidRPr="5338E615" w:rsidR="1AB876F6">
        <w:rPr>
          <w:rFonts w:ascii="Arial" w:hAnsi="Arial" w:eastAsia="Arial" w:cs="Arial"/>
          <w:b w:val="0"/>
          <w:bCs w:val="0"/>
          <w:i w:val="1"/>
          <w:iCs w:val="1"/>
          <w:noProof w:val="0"/>
          <w:color w:val="000000" w:themeColor="text1" w:themeTint="FF" w:themeShade="FF"/>
          <w:sz w:val="24"/>
          <w:szCs w:val="24"/>
          <w:u w:val="none"/>
          <w:lang w:val="en-GB"/>
        </w:rPr>
        <w:t>Nature Reviews Neuroscience</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11</w:t>
      </w:r>
      <w:r w:rsidRPr="5338E615" w:rsidR="1AB876F6">
        <w:rPr>
          <w:rFonts w:ascii="Arial" w:hAnsi="Arial" w:eastAsia="Arial" w:cs="Arial"/>
          <w:b w:val="0"/>
          <w:bCs w:val="0"/>
          <w:noProof w:val="0"/>
          <w:color w:val="000000" w:themeColor="text1" w:themeTint="FF" w:themeShade="FF"/>
          <w:sz w:val="24"/>
          <w:szCs w:val="24"/>
          <w:u w:val="none"/>
          <w:lang w:val="en-GB"/>
        </w:rPr>
        <w:t xml:space="preserve">(9), 651–659. </w:t>
      </w:r>
      <w:hyperlink r:id="R42a870daf5a04697">
        <w:r w:rsidRPr="5338E615" w:rsidR="1AB876F6">
          <w:rPr>
            <w:rStyle w:val="Hyperlink"/>
            <w:rFonts w:ascii="Arial" w:hAnsi="Arial" w:eastAsia="Arial" w:cs="Arial"/>
            <w:b w:val="0"/>
            <w:bCs w:val="0"/>
            <w:noProof w:val="0"/>
            <w:sz w:val="24"/>
            <w:szCs w:val="24"/>
            <w:u w:val="none"/>
            <w:lang w:val="en-GB"/>
          </w:rPr>
          <w:t>https://doi.org/10.1038/nrn2897</w:t>
        </w:r>
      </w:hyperlink>
    </w:p>
    <w:p w:rsidR="00D506A0" w:rsidP="5338E615" w:rsidRDefault="00D506A0" w14:paraId="62C1D6A1" w14:textId="4AEFF956">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Hamburger, M. E., Leeb, R. T., &amp; Swahn, M. H. (2008). Childhood Maltreatment and Early Alcohol Use Among High-Risk Adolescents. </w:t>
      </w:r>
      <w:r w:rsidRPr="5338E615" w:rsidR="1AB876F6">
        <w:rPr>
          <w:rFonts w:ascii="Arial" w:hAnsi="Arial" w:eastAsia="Arial" w:cs="Arial"/>
          <w:b w:val="0"/>
          <w:bCs w:val="0"/>
          <w:i w:val="1"/>
          <w:iCs w:val="1"/>
          <w:noProof w:val="0"/>
          <w:color w:val="000000" w:themeColor="text1" w:themeTint="FF" w:themeShade="FF"/>
          <w:sz w:val="24"/>
          <w:szCs w:val="24"/>
          <w:u w:val="none"/>
          <w:lang w:val="en-GB"/>
        </w:rPr>
        <w:t>Journal of Studies on Alcohol and Drugs</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69</w:t>
      </w:r>
      <w:r w:rsidRPr="5338E615" w:rsidR="1AB876F6">
        <w:rPr>
          <w:rFonts w:ascii="Arial" w:hAnsi="Arial" w:eastAsia="Arial" w:cs="Arial"/>
          <w:b w:val="0"/>
          <w:bCs w:val="0"/>
          <w:noProof w:val="0"/>
          <w:color w:val="000000" w:themeColor="text1" w:themeTint="FF" w:themeShade="FF"/>
          <w:sz w:val="24"/>
          <w:szCs w:val="24"/>
          <w:u w:val="none"/>
          <w:lang w:val="en-GB"/>
        </w:rPr>
        <w:t xml:space="preserve">(2), 291–295. </w:t>
      </w:r>
      <w:hyperlink r:id="Reb1fd605b7474699">
        <w:r w:rsidRPr="5338E615" w:rsidR="1AB876F6">
          <w:rPr>
            <w:rStyle w:val="Hyperlink"/>
            <w:rFonts w:ascii="Arial" w:hAnsi="Arial" w:eastAsia="Arial" w:cs="Arial"/>
            <w:b w:val="0"/>
            <w:bCs w:val="0"/>
            <w:noProof w:val="0"/>
            <w:sz w:val="24"/>
            <w:szCs w:val="24"/>
            <w:u w:val="none"/>
            <w:lang w:val="en-GB"/>
          </w:rPr>
          <w:t>https://doi.org/10.15288/jsad.2008.69.291</w:t>
        </w:r>
      </w:hyperlink>
    </w:p>
    <w:p w:rsidR="00D506A0" w:rsidP="5338E615" w:rsidRDefault="00D506A0" w14:paraId="7AC23E62" w14:textId="33939D2C">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Hayes, J. A., Gelso, C. J., Goldberg, S., &amp; Kivlighan, D. M. (2018). Countertransference management and effective psychotherapy: Meta-analytic findings. </w:t>
      </w:r>
      <w:r w:rsidRPr="5338E615" w:rsidR="1AB876F6">
        <w:rPr>
          <w:rFonts w:ascii="Arial" w:hAnsi="Arial" w:eastAsia="Arial" w:cs="Arial"/>
          <w:b w:val="0"/>
          <w:bCs w:val="0"/>
          <w:i w:val="1"/>
          <w:iCs w:val="1"/>
          <w:noProof w:val="0"/>
          <w:color w:val="000000" w:themeColor="text1" w:themeTint="FF" w:themeShade="FF"/>
          <w:sz w:val="24"/>
          <w:szCs w:val="24"/>
          <w:u w:val="none"/>
          <w:lang w:val="en-GB"/>
        </w:rPr>
        <w:t>Psychotherapy</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55</w:t>
      </w:r>
      <w:r w:rsidRPr="5338E615" w:rsidR="1AB876F6">
        <w:rPr>
          <w:rFonts w:ascii="Arial" w:hAnsi="Arial" w:eastAsia="Arial" w:cs="Arial"/>
          <w:b w:val="0"/>
          <w:bCs w:val="0"/>
          <w:noProof w:val="0"/>
          <w:color w:val="000000" w:themeColor="text1" w:themeTint="FF" w:themeShade="FF"/>
          <w:sz w:val="24"/>
          <w:szCs w:val="24"/>
          <w:u w:val="none"/>
          <w:lang w:val="en-GB"/>
        </w:rPr>
        <w:t xml:space="preserve">(4), 496–507. </w:t>
      </w:r>
      <w:hyperlink r:id="R5b1f9799a05844ab">
        <w:r w:rsidRPr="5338E615" w:rsidR="1AB876F6">
          <w:rPr>
            <w:rStyle w:val="Hyperlink"/>
            <w:rFonts w:ascii="Arial" w:hAnsi="Arial" w:eastAsia="Arial" w:cs="Arial"/>
            <w:b w:val="0"/>
            <w:bCs w:val="0"/>
            <w:noProof w:val="0"/>
            <w:sz w:val="24"/>
            <w:szCs w:val="24"/>
            <w:u w:val="none"/>
            <w:lang w:val="en-GB"/>
          </w:rPr>
          <w:t>https://doi.org/10.1037/pst0000189</w:t>
        </w:r>
      </w:hyperlink>
    </w:p>
    <w:p w:rsidR="00D506A0" w:rsidP="5338E615" w:rsidRDefault="00D506A0" w14:paraId="20B11312" w14:textId="5D16994A">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i w:val="1"/>
          <w:iCs w:val="1"/>
          <w:noProof w:val="0"/>
          <w:color w:val="000000" w:themeColor="text1" w:themeTint="FF" w:themeShade="FF"/>
          <w:sz w:val="24"/>
          <w:szCs w:val="24"/>
          <w:u w:val="none"/>
          <w:lang w:val="en-GB"/>
        </w:rPr>
        <w:t>How Childhood Trauma Changes the Brain</w:t>
      </w:r>
      <w:r w:rsidRPr="5338E615" w:rsidR="1AB876F6">
        <w:rPr>
          <w:rFonts w:ascii="Arial" w:hAnsi="Arial" w:eastAsia="Arial" w:cs="Arial"/>
          <w:b w:val="0"/>
          <w:bCs w:val="0"/>
          <w:noProof w:val="0"/>
          <w:color w:val="000000" w:themeColor="text1" w:themeTint="FF" w:themeShade="FF"/>
          <w:sz w:val="24"/>
          <w:szCs w:val="24"/>
          <w:u w:val="none"/>
          <w:lang w:val="en-GB"/>
        </w:rPr>
        <w:t xml:space="preserve">. (2025, November 25). </w:t>
      </w:r>
      <w:r w:rsidRPr="5338E615" w:rsidR="1AB876F6">
        <w:rPr>
          <w:rFonts w:ascii="Arial" w:hAnsi="Arial" w:eastAsia="Arial" w:cs="Arial"/>
          <w:b w:val="0"/>
          <w:bCs w:val="0"/>
          <w:noProof w:val="0"/>
          <w:color w:val="000000" w:themeColor="text1" w:themeTint="FF" w:themeShade="FF"/>
          <w:sz w:val="24"/>
          <w:szCs w:val="24"/>
          <w:u w:val="none"/>
          <w:lang w:val="en-GB"/>
        </w:rPr>
        <w:t>ScienceInsights</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hyperlink r:id="Re7ca00222c684bfc">
        <w:r w:rsidRPr="5338E615" w:rsidR="1AB876F6">
          <w:rPr>
            <w:rStyle w:val="Hyperlink"/>
            <w:rFonts w:ascii="Arial" w:hAnsi="Arial" w:eastAsia="Arial" w:cs="Arial"/>
            <w:b w:val="0"/>
            <w:bCs w:val="0"/>
            <w:noProof w:val="0"/>
            <w:sz w:val="24"/>
            <w:szCs w:val="24"/>
            <w:u w:val="none"/>
            <w:lang w:val="en-GB"/>
          </w:rPr>
          <w:t>https://scienceinsights.org/how-childhood-trauma-changes-the-brain/</w:t>
        </w:r>
      </w:hyperlink>
    </w:p>
    <w:p w:rsidR="00D506A0" w:rsidP="5338E615" w:rsidRDefault="00D506A0" w14:paraId="73AE7B02" w14:textId="72A1E00F">
      <w:pPr>
        <w:spacing w:before="240" w:beforeAutospacing="off" w:after="0" w:afterAutospacing="off" w:line="480" w:lineRule="auto"/>
        <w:ind w:left="720" w:right="0" w:hanging="720"/>
        <w:rPr>
          <w:rFonts w:ascii="Arial" w:hAnsi="Arial" w:eastAsia="Arial" w:cs="Arial"/>
          <w:b w:val="0"/>
          <w:bCs w:val="0"/>
          <w:noProof w:val="0"/>
          <w:color w:val="000000" w:themeColor="text1" w:themeTint="FF" w:themeShade="FF"/>
          <w:sz w:val="24"/>
          <w:szCs w:val="24"/>
          <w:u w:val="none"/>
          <w:lang w:val="en-GB"/>
        </w:rPr>
      </w:pPr>
      <w:r w:rsidRPr="5338E615" w:rsidR="1AB876F6">
        <w:rPr>
          <w:rFonts w:ascii="Arial" w:hAnsi="Arial" w:eastAsia="Arial" w:cs="Arial"/>
          <w:b w:val="0"/>
          <w:bCs w:val="0"/>
          <w:noProof w:val="0"/>
          <w:color w:val="000000" w:themeColor="text1" w:themeTint="FF" w:themeShade="FF"/>
          <w:sz w:val="24"/>
          <w:szCs w:val="24"/>
          <w:u w:val="none"/>
          <w:lang w:val="en-GB"/>
        </w:rPr>
        <w:t xml:space="preserve">Hughes, D. A. (2011). </w:t>
      </w:r>
      <w:r w:rsidRPr="5338E615" w:rsidR="1AB876F6">
        <w:rPr>
          <w:rFonts w:ascii="Arial" w:hAnsi="Arial" w:eastAsia="Arial" w:cs="Arial"/>
          <w:b w:val="0"/>
          <w:bCs w:val="0"/>
          <w:i w:val="1"/>
          <w:iCs w:val="1"/>
          <w:noProof w:val="0"/>
          <w:color w:val="000000" w:themeColor="text1" w:themeTint="FF" w:themeShade="FF"/>
          <w:sz w:val="24"/>
          <w:szCs w:val="24"/>
          <w:u w:val="none"/>
          <w:lang w:val="en-GB"/>
        </w:rPr>
        <w:t>Attachment-focused family therapy workbook</w:t>
      </w:r>
      <w:r w:rsidRPr="5338E615" w:rsidR="1AB876F6">
        <w:rPr>
          <w:rFonts w:ascii="Arial" w:hAnsi="Arial" w:eastAsia="Arial" w:cs="Arial"/>
          <w:b w:val="0"/>
          <w:bCs w:val="0"/>
          <w:noProof w:val="0"/>
          <w:color w:val="000000" w:themeColor="text1" w:themeTint="FF" w:themeShade="FF"/>
          <w:sz w:val="24"/>
          <w:szCs w:val="24"/>
          <w:u w:val="none"/>
          <w:lang w:val="en-GB"/>
        </w:rPr>
        <w:t>. W.W. Norton.</w:t>
      </w:r>
    </w:p>
    <w:p w:rsidR="00D506A0" w:rsidP="5338E615" w:rsidRDefault="00D506A0" w14:paraId="078B73DF" w14:textId="7B37EF29">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Hughes, D. C. (2007). Attachment-Focused Family Therapy. </w:t>
      </w:r>
      <w:r w:rsidRPr="5338E615" w:rsidR="1AB876F6">
        <w:rPr>
          <w:rFonts w:ascii="Arial" w:hAnsi="Arial" w:eastAsia="Arial" w:cs="Arial"/>
          <w:b w:val="0"/>
          <w:bCs w:val="0"/>
          <w:i w:val="1"/>
          <w:iCs w:val="1"/>
          <w:noProof w:val="0"/>
          <w:color w:val="000000" w:themeColor="text1" w:themeTint="FF" w:themeShade="FF"/>
          <w:sz w:val="24"/>
          <w:szCs w:val="24"/>
          <w:u w:val="none"/>
          <w:lang w:val="en-GB"/>
        </w:rPr>
        <w:t xml:space="preserve">The SAGE </w:t>
      </w:r>
      <w:r w:rsidRPr="5338E615" w:rsidR="1AB876F6">
        <w:rPr>
          <w:rFonts w:ascii="Arial" w:hAnsi="Arial" w:eastAsia="Arial" w:cs="Arial"/>
          <w:b w:val="0"/>
          <w:bCs w:val="0"/>
          <w:i w:val="1"/>
          <w:iCs w:val="1"/>
          <w:noProof w:val="0"/>
          <w:color w:val="000000" w:themeColor="text1" w:themeTint="FF" w:themeShade="FF"/>
          <w:sz w:val="24"/>
          <w:szCs w:val="24"/>
          <w:u w:val="none"/>
          <w:lang w:val="en-GB"/>
        </w:rPr>
        <w:t>Encyclopedia</w:t>
      </w:r>
      <w:r w:rsidRPr="5338E615" w:rsidR="1AB876F6">
        <w:rPr>
          <w:rFonts w:ascii="Arial" w:hAnsi="Arial" w:eastAsia="Arial" w:cs="Arial"/>
          <w:b w:val="0"/>
          <w:bCs w:val="0"/>
          <w:i w:val="1"/>
          <w:iCs w:val="1"/>
          <w:noProof w:val="0"/>
          <w:color w:val="000000" w:themeColor="text1" w:themeTint="FF" w:themeShade="FF"/>
          <w:sz w:val="24"/>
          <w:szCs w:val="24"/>
          <w:u w:val="none"/>
          <w:lang w:val="en-GB"/>
        </w:rPr>
        <w:t xml:space="preserve"> of Theory in </w:t>
      </w:r>
      <w:r w:rsidRPr="5338E615" w:rsidR="1AB876F6">
        <w:rPr>
          <w:rFonts w:ascii="Arial" w:hAnsi="Arial" w:eastAsia="Arial" w:cs="Arial"/>
          <w:b w:val="0"/>
          <w:bCs w:val="0"/>
          <w:i w:val="1"/>
          <w:iCs w:val="1"/>
          <w:noProof w:val="0"/>
          <w:color w:val="000000" w:themeColor="text1" w:themeTint="FF" w:themeShade="FF"/>
          <w:sz w:val="24"/>
          <w:szCs w:val="24"/>
          <w:u w:val="none"/>
          <w:lang w:val="en-GB"/>
        </w:rPr>
        <w:t>Counseling</w:t>
      </w:r>
      <w:r w:rsidRPr="5338E615" w:rsidR="1AB876F6">
        <w:rPr>
          <w:rFonts w:ascii="Arial" w:hAnsi="Arial" w:eastAsia="Arial" w:cs="Arial"/>
          <w:b w:val="0"/>
          <w:bCs w:val="0"/>
          <w:i w:val="1"/>
          <w:iCs w:val="1"/>
          <w:noProof w:val="0"/>
          <w:color w:val="000000" w:themeColor="text1" w:themeTint="FF" w:themeShade="FF"/>
          <w:sz w:val="24"/>
          <w:szCs w:val="24"/>
          <w:u w:val="none"/>
          <w:lang w:val="en-GB"/>
        </w:rPr>
        <w:t xml:space="preserve"> and Psychotherapy</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hyperlink r:id="Rcd0672401df7499f">
        <w:r w:rsidRPr="5338E615" w:rsidR="1AB876F6">
          <w:rPr>
            <w:rStyle w:val="Hyperlink"/>
            <w:rFonts w:ascii="Arial" w:hAnsi="Arial" w:eastAsia="Arial" w:cs="Arial"/>
            <w:b w:val="0"/>
            <w:bCs w:val="0"/>
            <w:noProof w:val="0"/>
            <w:sz w:val="24"/>
            <w:szCs w:val="24"/>
            <w:u w:val="none"/>
            <w:lang w:val="en-GB"/>
          </w:rPr>
          <w:t>https://doi.org/10.4135/9781483346502.n32</w:t>
        </w:r>
      </w:hyperlink>
    </w:p>
    <w:p w:rsidR="00D506A0" w:rsidP="5338E615" w:rsidRDefault="00D506A0" w14:paraId="3BE62F47" w14:textId="10ABE49B">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Hughes, D., Golding, K. S., &amp; Hudson, J. (2015). Dyadic Developmental Psychotherapy (DDP): the development of the theory, </w:t>
      </w:r>
      <w:r w:rsidRPr="5338E615" w:rsidR="1AB876F6">
        <w:rPr>
          <w:rFonts w:ascii="Arial" w:hAnsi="Arial" w:eastAsia="Arial" w:cs="Arial"/>
          <w:b w:val="0"/>
          <w:bCs w:val="0"/>
          <w:noProof w:val="0"/>
          <w:color w:val="000000" w:themeColor="text1" w:themeTint="FF" w:themeShade="FF"/>
          <w:sz w:val="24"/>
          <w:szCs w:val="24"/>
          <w:u w:val="none"/>
          <w:lang w:val="en-GB"/>
        </w:rPr>
        <w:t>practice</w:t>
      </w:r>
      <w:r w:rsidRPr="5338E615" w:rsidR="1AB876F6">
        <w:rPr>
          <w:rFonts w:ascii="Arial" w:hAnsi="Arial" w:eastAsia="Arial" w:cs="Arial"/>
          <w:b w:val="0"/>
          <w:bCs w:val="0"/>
          <w:noProof w:val="0"/>
          <w:color w:val="000000" w:themeColor="text1" w:themeTint="FF" w:themeShade="FF"/>
          <w:sz w:val="24"/>
          <w:szCs w:val="24"/>
          <w:u w:val="none"/>
          <w:lang w:val="en-GB"/>
        </w:rPr>
        <w:t xml:space="preserve"> and research base. </w:t>
      </w:r>
      <w:r w:rsidRPr="5338E615" w:rsidR="1AB876F6">
        <w:rPr>
          <w:rFonts w:ascii="Arial" w:hAnsi="Arial" w:eastAsia="Arial" w:cs="Arial"/>
          <w:b w:val="0"/>
          <w:bCs w:val="0"/>
          <w:i w:val="1"/>
          <w:iCs w:val="1"/>
          <w:noProof w:val="0"/>
          <w:color w:val="000000" w:themeColor="text1" w:themeTint="FF" w:themeShade="FF"/>
          <w:sz w:val="24"/>
          <w:szCs w:val="24"/>
          <w:u w:val="none"/>
          <w:lang w:val="en-GB"/>
        </w:rPr>
        <w:t xml:space="preserve">Adoption &amp; </w:t>
      </w:r>
      <w:r w:rsidRPr="5338E615" w:rsidR="1AB876F6">
        <w:rPr>
          <w:rFonts w:ascii="Arial" w:hAnsi="Arial" w:eastAsia="Arial" w:cs="Arial"/>
          <w:b w:val="0"/>
          <w:bCs w:val="0"/>
          <w:i w:val="1"/>
          <w:iCs w:val="1"/>
          <w:noProof w:val="0"/>
          <w:color w:val="000000" w:themeColor="text1" w:themeTint="FF" w:themeShade="FF"/>
          <w:sz w:val="24"/>
          <w:szCs w:val="24"/>
          <w:u w:val="none"/>
          <w:lang w:val="en-GB"/>
        </w:rPr>
        <w:t>Fostering</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39</w:t>
      </w:r>
      <w:r w:rsidRPr="5338E615" w:rsidR="1AB876F6">
        <w:rPr>
          <w:rFonts w:ascii="Arial" w:hAnsi="Arial" w:eastAsia="Arial" w:cs="Arial"/>
          <w:b w:val="0"/>
          <w:bCs w:val="0"/>
          <w:noProof w:val="0"/>
          <w:color w:val="000000" w:themeColor="text1" w:themeTint="FF" w:themeShade="FF"/>
          <w:sz w:val="24"/>
          <w:szCs w:val="24"/>
          <w:u w:val="none"/>
          <w:lang w:val="en-GB"/>
        </w:rPr>
        <w:t xml:space="preserve">(4), 356–365. </w:t>
      </w:r>
      <w:hyperlink r:id="R3c10bfd389b84933">
        <w:r w:rsidRPr="5338E615" w:rsidR="1AB876F6">
          <w:rPr>
            <w:rStyle w:val="Hyperlink"/>
            <w:rFonts w:ascii="Arial" w:hAnsi="Arial" w:eastAsia="Arial" w:cs="Arial"/>
            <w:b w:val="0"/>
            <w:bCs w:val="0"/>
            <w:noProof w:val="0"/>
            <w:sz w:val="24"/>
            <w:szCs w:val="24"/>
            <w:u w:val="none"/>
            <w:lang w:val="en-GB"/>
          </w:rPr>
          <w:t>https://doi.org/10.1177/0308575915610943</w:t>
        </w:r>
      </w:hyperlink>
    </w:p>
    <w:p w:rsidR="00D506A0" w:rsidP="5338E615" w:rsidRDefault="00D506A0" w14:paraId="3393F68D" w14:textId="70190A93">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Hughes, Daniel. A., &amp; Golding, Kim. S. (2024). </w:t>
      </w:r>
      <w:r w:rsidRPr="5338E615" w:rsidR="1AB876F6">
        <w:rPr>
          <w:rFonts w:ascii="Arial" w:hAnsi="Arial" w:eastAsia="Arial" w:cs="Arial"/>
          <w:b w:val="0"/>
          <w:bCs w:val="0"/>
          <w:i w:val="1"/>
          <w:iCs w:val="1"/>
          <w:noProof w:val="0"/>
          <w:color w:val="000000" w:themeColor="text1" w:themeTint="FF" w:themeShade="FF"/>
          <w:sz w:val="24"/>
          <w:szCs w:val="24"/>
          <w:u w:val="none"/>
          <w:lang w:val="en-GB"/>
        </w:rPr>
        <w:t>Healing Relational Trauma with Attachment-Focused Interventions</w:t>
      </w:r>
      <w:r w:rsidRPr="5338E615" w:rsidR="1AB876F6">
        <w:rPr>
          <w:rFonts w:ascii="Arial" w:hAnsi="Arial" w:eastAsia="Arial" w:cs="Arial"/>
          <w:b w:val="0"/>
          <w:bCs w:val="0"/>
          <w:noProof w:val="0"/>
          <w:color w:val="000000" w:themeColor="text1" w:themeTint="FF" w:themeShade="FF"/>
          <w:sz w:val="24"/>
          <w:szCs w:val="24"/>
          <w:u w:val="none"/>
          <w:lang w:val="en-GB"/>
        </w:rPr>
        <w:t xml:space="preserve">. DDP Network. </w:t>
      </w:r>
      <w:hyperlink r:id="R390f56b9fc954ad1">
        <w:r w:rsidRPr="5338E615" w:rsidR="1AB876F6">
          <w:rPr>
            <w:rStyle w:val="Hyperlink"/>
            <w:rFonts w:ascii="Arial" w:hAnsi="Arial" w:eastAsia="Arial" w:cs="Arial"/>
            <w:b w:val="0"/>
            <w:bCs w:val="0"/>
            <w:noProof w:val="0"/>
            <w:sz w:val="24"/>
            <w:szCs w:val="24"/>
            <w:u w:val="none"/>
            <w:lang w:val="en-GB"/>
          </w:rPr>
          <w:t>https://ddpnetwork.org/library/healing-relational-trauma-with-attachment-focused-interventions/</w:t>
        </w:r>
      </w:hyperlink>
    </w:p>
    <w:p w:rsidR="00D506A0" w:rsidP="5338E615" w:rsidRDefault="00D506A0" w14:paraId="2F0862CB" w14:textId="2712C67F">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Iqbal, L., Akbar, S., Kiran Shehzadi, &amp; Singh, V. (2024). Examining the Effectiveness of Cognitive-</w:t>
      </w:r>
      <w:r w:rsidRPr="5338E615" w:rsidR="1AB876F6">
        <w:rPr>
          <w:rFonts w:ascii="Arial" w:hAnsi="Arial" w:eastAsia="Arial" w:cs="Arial"/>
          <w:b w:val="0"/>
          <w:bCs w:val="0"/>
          <w:noProof w:val="0"/>
          <w:color w:val="000000" w:themeColor="text1" w:themeTint="FF" w:themeShade="FF"/>
          <w:sz w:val="24"/>
          <w:szCs w:val="24"/>
          <w:u w:val="none"/>
          <w:lang w:val="en-GB"/>
        </w:rPr>
        <w:t>Behavioral</w:t>
      </w:r>
      <w:r w:rsidRPr="5338E615" w:rsidR="1AB876F6">
        <w:rPr>
          <w:rFonts w:ascii="Arial" w:hAnsi="Arial" w:eastAsia="Arial" w:cs="Arial"/>
          <w:b w:val="0"/>
          <w:bCs w:val="0"/>
          <w:noProof w:val="0"/>
          <w:color w:val="000000" w:themeColor="text1" w:themeTint="FF" w:themeShade="FF"/>
          <w:sz w:val="24"/>
          <w:szCs w:val="24"/>
          <w:u w:val="none"/>
          <w:lang w:val="en-GB"/>
        </w:rPr>
        <w:t xml:space="preserve"> Approaches in Reducing Anxiety among Adolescents and Improving their Mental Health. </w:t>
      </w:r>
      <w:r w:rsidRPr="5338E615" w:rsidR="1AB876F6">
        <w:rPr>
          <w:rFonts w:ascii="Arial" w:hAnsi="Arial" w:eastAsia="Arial" w:cs="Arial"/>
          <w:b w:val="0"/>
          <w:bCs w:val="0"/>
          <w:i w:val="1"/>
          <w:iCs w:val="1"/>
          <w:noProof w:val="0"/>
          <w:color w:val="000000" w:themeColor="text1" w:themeTint="FF" w:themeShade="FF"/>
          <w:sz w:val="24"/>
          <w:szCs w:val="24"/>
          <w:u w:val="none"/>
          <w:lang w:val="en-GB"/>
        </w:rPr>
        <w:t>Review of Applied Management and Social Sciences</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7</w:t>
      </w:r>
      <w:r w:rsidRPr="5338E615" w:rsidR="1AB876F6">
        <w:rPr>
          <w:rFonts w:ascii="Arial" w:hAnsi="Arial" w:eastAsia="Arial" w:cs="Arial"/>
          <w:b w:val="0"/>
          <w:bCs w:val="0"/>
          <w:noProof w:val="0"/>
          <w:color w:val="000000" w:themeColor="text1" w:themeTint="FF" w:themeShade="FF"/>
          <w:sz w:val="24"/>
          <w:szCs w:val="24"/>
          <w:u w:val="none"/>
          <w:lang w:val="en-GB"/>
        </w:rPr>
        <w:t xml:space="preserve">(4), 551–566. </w:t>
      </w:r>
      <w:hyperlink r:id="Rc0da83fad5e244fd">
        <w:r w:rsidRPr="5338E615" w:rsidR="1AB876F6">
          <w:rPr>
            <w:rStyle w:val="Hyperlink"/>
            <w:rFonts w:ascii="Arial" w:hAnsi="Arial" w:eastAsia="Arial" w:cs="Arial"/>
            <w:b w:val="0"/>
            <w:bCs w:val="0"/>
            <w:noProof w:val="0"/>
            <w:sz w:val="24"/>
            <w:szCs w:val="24"/>
            <w:u w:val="none"/>
            <w:lang w:val="en-GB"/>
          </w:rPr>
          <w:t>https://doi.org/10.47067/ramss.v7i4.399</w:t>
        </w:r>
      </w:hyperlink>
    </w:p>
    <w:p w:rsidR="00D506A0" w:rsidP="5338E615" w:rsidRDefault="00D506A0" w14:paraId="4ADA7D51" w14:textId="347885D0">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Johnson, S. B., Riley, A. W., Granger, D. A., &amp; Riis, J. (2013). The Science of Early Life Toxic Stress for </w:t>
      </w:r>
      <w:r w:rsidRPr="5338E615" w:rsidR="1AB876F6">
        <w:rPr>
          <w:rFonts w:ascii="Arial" w:hAnsi="Arial" w:eastAsia="Arial" w:cs="Arial"/>
          <w:b w:val="0"/>
          <w:bCs w:val="0"/>
          <w:noProof w:val="0"/>
          <w:color w:val="000000" w:themeColor="text1" w:themeTint="FF" w:themeShade="FF"/>
          <w:sz w:val="24"/>
          <w:szCs w:val="24"/>
          <w:u w:val="none"/>
          <w:lang w:val="en-GB"/>
        </w:rPr>
        <w:t>Pediatric</w:t>
      </w:r>
      <w:r w:rsidRPr="5338E615" w:rsidR="1AB876F6">
        <w:rPr>
          <w:rFonts w:ascii="Arial" w:hAnsi="Arial" w:eastAsia="Arial" w:cs="Arial"/>
          <w:b w:val="0"/>
          <w:bCs w:val="0"/>
          <w:noProof w:val="0"/>
          <w:color w:val="000000" w:themeColor="text1" w:themeTint="FF" w:themeShade="FF"/>
          <w:sz w:val="24"/>
          <w:szCs w:val="24"/>
          <w:u w:val="none"/>
          <w:lang w:val="en-GB"/>
        </w:rPr>
        <w:t xml:space="preserve"> Practice and Advocacy. </w:t>
      </w:r>
      <w:r w:rsidRPr="5338E615" w:rsidR="1AB876F6">
        <w:rPr>
          <w:rFonts w:ascii="Arial" w:hAnsi="Arial" w:eastAsia="Arial" w:cs="Arial"/>
          <w:b w:val="0"/>
          <w:bCs w:val="0"/>
          <w:i w:val="1"/>
          <w:iCs w:val="1"/>
          <w:noProof w:val="0"/>
          <w:color w:val="000000" w:themeColor="text1" w:themeTint="FF" w:themeShade="FF"/>
          <w:sz w:val="24"/>
          <w:szCs w:val="24"/>
          <w:u w:val="none"/>
          <w:lang w:val="en-GB"/>
        </w:rPr>
        <w:t>PEDIATRICS</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131</w:t>
      </w:r>
      <w:r w:rsidRPr="5338E615" w:rsidR="1AB876F6">
        <w:rPr>
          <w:rFonts w:ascii="Arial" w:hAnsi="Arial" w:eastAsia="Arial" w:cs="Arial"/>
          <w:b w:val="0"/>
          <w:bCs w:val="0"/>
          <w:noProof w:val="0"/>
          <w:color w:val="000000" w:themeColor="text1" w:themeTint="FF" w:themeShade="FF"/>
          <w:sz w:val="24"/>
          <w:szCs w:val="24"/>
          <w:u w:val="none"/>
          <w:lang w:val="en-GB"/>
        </w:rPr>
        <w:t xml:space="preserve">(2), 319–327. </w:t>
      </w:r>
      <w:hyperlink r:id="R5825849cec3d48f7">
        <w:r w:rsidRPr="5338E615" w:rsidR="1AB876F6">
          <w:rPr>
            <w:rStyle w:val="Hyperlink"/>
            <w:rFonts w:ascii="Arial" w:hAnsi="Arial" w:eastAsia="Arial" w:cs="Arial"/>
            <w:b w:val="0"/>
            <w:bCs w:val="0"/>
            <w:noProof w:val="0"/>
            <w:sz w:val="24"/>
            <w:szCs w:val="24"/>
            <w:u w:val="none"/>
            <w:lang w:val="en-GB"/>
          </w:rPr>
          <w:t>https://doi.org/10.1542/peds.2012-0469</w:t>
        </w:r>
      </w:hyperlink>
    </w:p>
    <w:p w:rsidR="00D506A0" w:rsidP="5338E615" w:rsidRDefault="00D506A0" w14:paraId="5B963252" w14:textId="16B9C15F">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Kase, S. M., Gribben, J. L., Guttmann, K. F., Waldman, E. D., &amp; Weintraub, A. S. (2021). Compassion fatigue, burnout, and compassion satisfaction in </w:t>
      </w:r>
      <w:r w:rsidRPr="5338E615" w:rsidR="1AB876F6">
        <w:rPr>
          <w:rFonts w:ascii="Arial" w:hAnsi="Arial" w:eastAsia="Arial" w:cs="Arial"/>
          <w:b w:val="0"/>
          <w:bCs w:val="0"/>
          <w:noProof w:val="0"/>
          <w:color w:val="000000" w:themeColor="text1" w:themeTint="FF" w:themeShade="FF"/>
          <w:sz w:val="24"/>
          <w:szCs w:val="24"/>
          <w:u w:val="none"/>
          <w:lang w:val="en-GB"/>
        </w:rPr>
        <w:t>pediatric</w:t>
      </w:r>
      <w:r w:rsidRPr="5338E615" w:rsidR="1AB876F6">
        <w:rPr>
          <w:rFonts w:ascii="Arial" w:hAnsi="Arial" w:eastAsia="Arial" w:cs="Arial"/>
          <w:b w:val="0"/>
          <w:bCs w:val="0"/>
          <w:noProof w:val="0"/>
          <w:color w:val="000000" w:themeColor="text1" w:themeTint="FF" w:themeShade="FF"/>
          <w:sz w:val="24"/>
          <w:szCs w:val="24"/>
          <w:u w:val="none"/>
          <w:lang w:val="en-GB"/>
        </w:rPr>
        <w:t xml:space="preserve"> subspecialists during the SARS-CoV-2 pandemic. </w:t>
      </w:r>
      <w:r w:rsidRPr="5338E615" w:rsidR="1AB876F6">
        <w:rPr>
          <w:rFonts w:ascii="Arial" w:hAnsi="Arial" w:eastAsia="Arial" w:cs="Arial"/>
          <w:b w:val="0"/>
          <w:bCs w:val="0"/>
          <w:i w:val="1"/>
          <w:iCs w:val="1"/>
          <w:noProof w:val="0"/>
          <w:color w:val="000000" w:themeColor="text1" w:themeTint="FF" w:themeShade="FF"/>
          <w:sz w:val="24"/>
          <w:szCs w:val="24"/>
          <w:u w:val="none"/>
          <w:lang w:val="en-GB"/>
        </w:rPr>
        <w:t>Pediatric</w:t>
      </w:r>
      <w:r w:rsidRPr="5338E615" w:rsidR="1AB876F6">
        <w:rPr>
          <w:rFonts w:ascii="Arial" w:hAnsi="Arial" w:eastAsia="Arial" w:cs="Arial"/>
          <w:b w:val="0"/>
          <w:bCs w:val="0"/>
          <w:i w:val="1"/>
          <w:iCs w:val="1"/>
          <w:noProof w:val="0"/>
          <w:color w:val="000000" w:themeColor="text1" w:themeTint="FF" w:themeShade="FF"/>
          <w:sz w:val="24"/>
          <w:szCs w:val="24"/>
          <w:u w:val="none"/>
          <w:lang w:val="en-GB"/>
        </w:rPr>
        <w:t xml:space="preserve"> Research</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91</w:t>
      </w:r>
      <w:r w:rsidRPr="5338E615" w:rsidR="1AB876F6">
        <w:rPr>
          <w:rFonts w:ascii="Arial" w:hAnsi="Arial" w:eastAsia="Arial" w:cs="Arial"/>
          <w:b w:val="0"/>
          <w:bCs w:val="0"/>
          <w:noProof w:val="0"/>
          <w:color w:val="000000" w:themeColor="text1" w:themeTint="FF" w:themeShade="FF"/>
          <w:sz w:val="24"/>
          <w:szCs w:val="24"/>
          <w:u w:val="none"/>
          <w:lang w:val="en-GB"/>
        </w:rPr>
        <w:t xml:space="preserve">(1), 143–148. </w:t>
      </w:r>
      <w:hyperlink r:id="Rcfee25afb9264465">
        <w:r w:rsidRPr="5338E615" w:rsidR="1AB876F6">
          <w:rPr>
            <w:rStyle w:val="Hyperlink"/>
            <w:rFonts w:ascii="Arial" w:hAnsi="Arial" w:eastAsia="Arial" w:cs="Arial"/>
            <w:b w:val="0"/>
            <w:bCs w:val="0"/>
            <w:noProof w:val="0"/>
            <w:sz w:val="24"/>
            <w:szCs w:val="24"/>
            <w:u w:val="none"/>
            <w:lang w:val="en-GB"/>
          </w:rPr>
          <w:t>https://doi.org/10.1038/s41390-021-01635-y</w:t>
        </w:r>
      </w:hyperlink>
    </w:p>
    <w:p w:rsidR="00D506A0" w:rsidP="5338E615" w:rsidRDefault="00D506A0" w14:paraId="55D399D2" w14:textId="3D662A56">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Kelly-Irving, M., &amp; </w:t>
      </w:r>
      <w:r w:rsidRPr="5338E615" w:rsidR="1AB876F6">
        <w:rPr>
          <w:rFonts w:ascii="Arial" w:hAnsi="Arial" w:eastAsia="Arial" w:cs="Arial"/>
          <w:b w:val="0"/>
          <w:bCs w:val="0"/>
          <w:noProof w:val="0"/>
          <w:color w:val="000000" w:themeColor="text1" w:themeTint="FF" w:themeShade="FF"/>
          <w:sz w:val="24"/>
          <w:szCs w:val="24"/>
          <w:u w:val="none"/>
          <w:lang w:val="en-GB"/>
        </w:rPr>
        <w:t>Delpierre</w:t>
      </w:r>
      <w:r w:rsidRPr="5338E615" w:rsidR="1AB876F6">
        <w:rPr>
          <w:rFonts w:ascii="Arial" w:hAnsi="Arial" w:eastAsia="Arial" w:cs="Arial"/>
          <w:b w:val="0"/>
          <w:bCs w:val="0"/>
          <w:noProof w:val="0"/>
          <w:color w:val="000000" w:themeColor="text1" w:themeTint="FF" w:themeShade="FF"/>
          <w:sz w:val="24"/>
          <w:szCs w:val="24"/>
          <w:u w:val="none"/>
          <w:lang w:val="en-GB"/>
        </w:rPr>
        <w:t xml:space="preserve">, C. (2019). A Critique of the Adverse Childhood Experiences Framework in Epidemiology and Public Health: Uses and Misuses. </w:t>
      </w:r>
      <w:r w:rsidRPr="5338E615" w:rsidR="1AB876F6">
        <w:rPr>
          <w:rFonts w:ascii="Arial" w:hAnsi="Arial" w:eastAsia="Arial" w:cs="Arial"/>
          <w:b w:val="0"/>
          <w:bCs w:val="0"/>
          <w:i w:val="1"/>
          <w:iCs w:val="1"/>
          <w:noProof w:val="0"/>
          <w:color w:val="000000" w:themeColor="text1" w:themeTint="FF" w:themeShade="FF"/>
          <w:sz w:val="24"/>
          <w:szCs w:val="24"/>
          <w:u w:val="none"/>
          <w:lang w:val="en-GB"/>
        </w:rPr>
        <w:t>Social Policy and Society</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18</w:t>
      </w:r>
      <w:r w:rsidRPr="5338E615" w:rsidR="1AB876F6">
        <w:rPr>
          <w:rFonts w:ascii="Arial" w:hAnsi="Arial" w:eastAsia="Arial" w:cs="Arial"/>
          <w:b w:val="0"/>
          <w:bCs w:val="0"/>
          <w:noProof w:val="0"/>
          <w:color w:val="000000" w:themeColor="text1" w:themeTint="FF" w:themeShade="FF"/>
          <w:sz w:val="24"/>
          <w:szCs w:val="24"/>
          <w:u w:val="none"/>
          <w:lang w:val="en-GB"/>
        </w:rPr>
        <w:t xml:space="preserve">(3), 445–456. </w:t>
      </w:r>
      <w:hyperlink r:id="R0a3f74882cce4f85">
        <w:r w:rsidRPr="5338E615" w:rsidR="1AB876F6">
          <w:rPr>
            <w:rStyle w:val="Hyperlink"/>
            <w:rFonts w:ascii="Arial" w:hAnsi="Arial" w:eastAsia="Arial" w:cs="Arial"/>
            <w:b w:val="0"/>
            <w:bCs w:val="0"/>
            <w:noProof w:val="0"/>
            <w:sz w:val="24"/>
            <w:szCs w:val="24"/>
            <w:u w:val="none"/>
            <w:lang w:val="en-GB"/>
          </w:rPr>
          <w:t>https://doi.org/10.1017/s1474746419000101</w:t>
        </w:r>
      </w:hyperlink>
    </w:p>
    <w:p w:rsidR="00D506A0" w:rsidP="5338E615" w:rsidRDefault="00D506A0" w14:paraId="254EA3A3" w14:textId="1B7E8E41">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Lanier, P., Maguire-Jack, K., Lombardi, B., Frey, J., &amp; Rose, R. A. (2017). Adverse Childhood Experiences and Child Health Outcomes: Comparing Cumulative Risk and Latent Class Approaches. </w:t>
      </w:r>
      <w:r w:rsidRPr="5338E615" w:rsidR="1AB876F6">
        <w:rPr>
          <w:rFonts w:ascii="Arial" w:hAnsi="Arial" w:eastAsia="Arial" w:cs="Arial"/>
          <w:b w:val="0"/>
          <w:bCs w:val="0"/>
          <w:i w:val="1"/>
          <w:iCs w:val="1"/>
          <w:noProof w:val="0"/>
          <w:color w:val="000000" w:themeColor="text1" w:themeTint="FF" w:themeShade="FF"/>
          <w:sz w:val="24"/>
          <w:szCs w:val="24"/>
          <w:u w:val="none"/>
          <w:lang w:val="en-GB"/>
        </w:rPr>
        <w:t>Maternal and Child Health Journal</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22</w:t>
      </w:r>
      <w:r w:rsidRPr="5338E615" w:rsidR="1AB876F6">
        <w:rPr>
          <w:rFonts w:ascii="Arial" w:hAnsi="Arial" w:eastAsia="Arial" w:cs="Arial"/>
          <w:b w:val="0"/>
          <w:bCs w:val="0"/>
          <w:noProof w:val="0"/>
          <w:color w:val="000000" w:themeColor="text1" w:themeTint="FF" w:themeShade="FF"/>
          <w:sz w:val="24"/>
          <w:szCs w:val="24"/>
          <w:u w:val="none"/>
          <w:lang w:val="en-GB"/>
        </w:rPr>
        <w:t xml:space="preserve">(3), 288–297. </w:t>
      </w:r>
      <w:hyperlink r:id="Rfe8ae23984864104">
        <w:r w:rsidRPr="5338E615" w:rsidR="1AB876F6">
          <w:rPr>
            <w:rStyle w:val="Hyperlink"/>
            <w:rFonts w:ascii="Arial" w:hAnsi="Arial" w:eastAsia="Arial" w:cs="Arial"/>
            <w:b w:val="0"/>
            <w:bCs w:val="0"/>
            <w:noProof w:val="0"/>
            <w:sz w:val="24"/>
            <w:szCs w:val="24"/>
            <w:u w:val="none"/>
            <w:lang w:val="en-GB"/>
          </w:rPr>
          <w:t>https://doi.org/10.1007/s10995-017-2365-1</w:t>
        </w:r>
      </w:hyperlink>
    </w:p>
    <w:p w:rsidR="00D506A0" w:rsidP="5338E615" w:rsidRDefault="00D506A0" w14:paraId="0B739BF2" w14:textId="4A023C49">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Larkin, H., Shields, J. J., &amp; Anda, R. F. (2012). The Health and Social Consequences of Adverse Childhood Experiences (ACE) Across the Lifespan: An Introduction to Prevention and Intervention in the Community. </w:t>
      </w:r>
      <w:r w:rsidRPr="5338E615" w:rsidR="1AB876F6">
        <w:rPr>
          <w:rFonts w:ascii="Arial" w:hAnsi="Arial" w:eastAsia="Arial" w:cs="Arial"/>
          <w:b w:val="0"/>
          <w:bCs w:val="0"/>
          <w:i w:val="1"/>
          <w:iCs w:val="1"/>
          <w:noProof w:val="0"/>
          <w:color w:val="000000" w:themeColor="text1" w:themeTint="FF" w:themeShade="FF"/>
          <w:sz w:val="24"/>
          <w:szCs w:val="24"/>
          <w:u w:val="none"/>
          <w:lang w:val="en-GB"/>
        </w:rPr>
        <w:t>Journal of Prevention &amp; Intervention in the Community</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40</w:t>
      </w:r>
      <w:r w:rsidRPr="5338E615" w:rsidR="1AB876F6">
        <w:rPr>
          <w:rFonts w:ascii="Arial" w:hAnsi="Arial" w:eastAsia="Arial" w:cs="Arial"/>
          <w:b w:val="0"/>
          <w:bCs w:val="0"/>
          <w:noProof w:val="0"/>
          <w:color w:val="000000" w:themeColor="text1" w:themeTint="FF" w:themeShade="FF"/>
          <w:sz w:val="24"/>
          <w:szCs w:val="24"/>
          <w:u w:val="none"/>
          <w:lang w:val="en-GB"/>
        </w:rPr>
        <w:t xml:space="preserve">(4), 263–270. </w:t>
      </w:r>
      <w:hyperlink r:id="R0881a29d7fd646d2">
        <w:r w:rsidRPr="5338E615" w:rsidR="1AB876F6">
          <w:rPr>
            <w:rStyle w:val="Hyperlink"/>
            <w:rFonts w:ascii="Arial" w:hAnsi="Arial" w:eastAsia="Arial" w:cs="Arial"/>
            <w:b w:val="0"/>
            <w:bCs w:val="0"/>
            <w:noProof w:val="0"/>
            <w:sz w:val="24"/>
            <w:szCs w:val="24"/>
            <w:u w:val="none"/>
            <w:lang w:val="en-GB"/>
          </w:rPr>
          <w:t>https://doi.org/10.1080/10852352.2012.707439</w:t>
        </w:r>
      </w:hyperlink>
    </w:p>
    <w:p w:rsidR="00D506A0" w:rsidP="5338E615" w:rsidRDefault="00D506A0" w14:paraId="6B89712D" w14:textId="038EB8C2">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Liming, K. W., &amp; Grube, W. A. (2018). Wellbeing Outcomes for Children Exposed to Multiple Adverse Experiences in Early Childhood: A Systematic Review. </w:t>
      </w:r>
      <w:r w:rsidRPr="5338E615" w:rsidR="1AB876F6">
        <w:rPr>
          <w:rFonts w:ascii="Arial" w:hAnsi="Arial" w:eastAsia="Arial" w:cs="Arial"/>
          <w:b w:val="0"/>
          <w:bCs w:val="0"/>
          <w:i w:val="1"/>
          <w:iCs w:val="1"/>
          <w:noProof w:val="0"/>
          <w:color w:val="000000" w:themeColor="text1" w:themeTint="FF" w:themeShade="FF"/>
          <w:sz w:val="24"/>
          <w:szCs w:val="24"/>
          <w:u w:val="none"/>
          <w:lang w:val="en-GB"/>
        </w:rPr>
        <w:t>Child and Adolescent Social Work Journal</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35</w:t>
      </w:r>
      <w:r w:rsidRPr="5338E615" w:rsidR="1AB876F6">
        <w:rPr>
          <w:rFonts w:ascii="Arial" w:hAnsi="Arial" w:eastAsia="Arial" w:cs="Arial"/>
          <w:b w:val="0"/>
          <w:bCs w:val="0"/>
          <w:noProof w:val="0"/>
          <w:color w:val="000000" w:themeColor="text1" w:themeTint="FF" w:themeShade="FF"/>
          <w:sz w:val="24"/>
          <w:szCs w:val="24"/>
          <w:u w:val="none"/>
          <w:lang w:val="en-GB"/>
        </w:rPr>
        <w:t xml:space="preserve">(4), 317–335. </w:t>
      </w:r>
      <w:hyperlink r:id="R9438e2321ac94e9f">
        <w:r w:rsidRPr="5338E615" w:rsidR="1AB876F6">
          <w:rPr>
            <w:rStyle w:val="Hyperlink"/>
            <w:rFonts w:ascii="Arial" w:hAnsi="Arial" w:eastAsia="Arial" w:cs="Arial"/>
            <w:b w:val="0"/>
            <w:bCs w:val="0"/>
            <w:noProof w:val="0"/>
            <w:sz w:val="24"/>
            <w:szCs w:val="24"/>
            <w:u w:val="none"/>
            <w:lang w:val="en-GB"/>
          </w:rPr>
          <w:t>https://doi.org/10.1007/s10560-018-0532-x</w:t>
        </w:r>
      </w:hyperlink>
    </w:p>
    <w:p w:rsidR="00D506A0" w:rsidP="5338E615" w:rsidRDefault="00D506A0" w14:paraId="773D1DEC" w14:textId="6163E3FE">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Macneil, C. A., Hasty, M., Cotton, S., Berk, M., Hallam, K., Kader, L., McGorry, P., &amp; Conus, P. (2012). Can a targeted psychological intervention be effective for young people following a first manic episode? Results from an 18-month pilot study. </w:t>
      </w:r>
      <w:r w:rsidRPr="5338E615" w:rsidR="1AB876F6">
        <w:rPr>
          <w:rFonts w:ascii="Arial" w:hAnsi="Arial" w:eastAsia="Arial" w:cs="Arial"/>
          <w:b w:val="0"/>
          <w:bCs w:val="0"/>
          <w:i w:val="1"/>
          <w:iCs w:val="1"/>
          <w:noProof w:val="0"/>
          <w:color w:val="000000" w:themeColor="text1" w:themeTint="FF" w:themeShade="FF"/>
          <w:sz w:val="24"/>
          <w:szCs w:val="24"/>
          <w:u w:val="none"/>
          <w:lang w:val="en-GB"/>
        </w:rPr>
        <w:t>Early Intervention in Psychiatry</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6</w:t>
      </w:r>
      <w:r w:rsidRPr="5338E615" w:rsidR="1AB876F6">
        <w:rPr>
          <w:rFonts w:ascii="Arial" w:hAnsi="Arial" w:eastAsia="Arial" w:cs="Arial"/>
          <w:b w:val="0"/>
          <w:bCs w:val="0"/>
          <w:noProof w:val="0"/>
          <w:color w:val="000000" w:themeColor="text1" w:themeTint="FF" w:themeShade="FF"/>
          <w:sz w:val="24"/>
          <w:szCs w:val="24"/>
          <w:u w:val="none"/>
          <w:lang w:val="en-GB"/>
        </w:rPr>
        <w:t xml:space="preserve">(4), 380–388. </w:t>
      </w:r>
      <w:hyperlink r:id="Raa62c7637a304b86">
        <w:r w:rsidRPr="5338E615" w:rsidR="1AB876F6">
          <w:rPr>
            <w:rStyle w:val="Hyperlink"/>
            <w:rFonts w:ascii="Arial" w:hAnsi="Arial" w:eastAsia="Arial" w:cs="Arial"/>
            <w:b w:val="0"/>
            <w:bCs w:val="0"/>
            <w:noProof w:val="0"/>
            <w:sz w:val="24"/>
            <w:szCs w:val="24"/>
            <w:u w:val="none"/>
            <w:lang w:val="en-GB"/>
          </w:rPr>
          <w:t>https://doi.org/10.1111/j.1751-7893.2011.00336.x</w:t>
        </w:r>
      </w:hyperlink>
    </w:p>
    <w:p w:rsidR="00D506A0" w:rsidP="5338E615" w:rsidRDefault="00D506A0" w14:paraId="00569682" w14:textId="6588E1F7">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Merrick, M. T., Ports, K. A., Ford, D. C., Afifi, T. O., Gershoff, E. T., &amp; Grogan-Kaylor, A. (2017). Unpacking the Impact of Adverse Childhood Experiences on Adult Mental Health. </w:t>
      </w:r>
      <w:r w:rsidRPr="5338E615" w:rsidR="1AB876F6">
        <w:rPr>
          <w:rFonts w:ascii="Arial" w:hAnsi="Arial" w:eastAsia="Arial" w:cs="Arial"/>
          <w:b w:val="0"/>
          <w:bCs w:val="0"/>
          <w:i w:val="1"/>
          <w:iCs w:val="1"/>
          <w:noProof w:val="0"/>
          <w:color w:val="000000" w:themeColor="text1" w:themeTint="FF" w:themeShade="FF"/>
          <w:sz w:val="24"/>
          <w:szCs w:val="24"/>
          <w:u w:val="none"/>
          <w:lang w:val="en-GB"/>
        </w:rPr>
        <w:t>Child Abuse &amp; Neglect</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69</w:t>
      </w:r>
      <w:r w:rsidRPr="5338E615" w:rsidR="1AB876F6">
        <w:rPr>
          <w:rFonts w:ascii="Arial" w:hAnsi="Arial" w:eastAsia="Arial" w:cs="Arial"/>
          <w:b w:val="0"/>
          <w:bCs w:val="0"/>
          <w:noProof w:val="0"/>
          <w:color w:val="000000" w:themeColor="text1" w:themeTint="FF" w:themeShade="FF"/>
          <w:sz w:val="24"/>
          <w:szCs w:val="24"/>
          <w:u w:val="none"/>
          <w:lang w:val="en-GB"/>
        </w:rPr>
        <w:t xml:space="preserve">(1), 10–19. </w:t>
      </w:r>
      <w:hyperlink r:id="R6c47067d944a4438">
        <w:r w:rsidRPr="5338E615" w:rsidR="1AB876F6">
          <w:rPr>
            <w:rStyle w:val="Hyperlink"/>
            <w:rFonts w:ascii="Arial" w:hAnsi="Arial" w:eastAsia="Arial" w:cs="Arial"/>
            <w:b w:val="0"/>
            <w:bCs w:val="0"/>
            <w:noProof w:val="0"/>
            <w:sz w:val="24"/>
            <w:szCs w:val="24"/>
            <w:u w:val="none"/>
            <w:lang w:val="en-GB"/>
          </w:rPr>
          <w:t>https://doi.org/10.1016/j.chiabu.2017.03.016</w:t>
        </w:r>
      </w:hyperlink>
    </w:p>
    <w:p w:rsidR="00D506A0" w:rsidP="5338E615" w:rsidRDefault="00D506A0" w14:paraId="0190F100" w14:textId="47B91D56">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Ortner, C. N. M., Kilner, S. J., &amp; Zelazo, P. D. (2007). Mindfulness meditation and reduced emotional interference on a cognitive task. </w:t>
      </w:r>
      <w:r w:rsidRPr="5338E615" w:rsidR="1AB876F6">
        <w:rPr>
          <w:rFonts w:ascii="Arial" w:hAnsi="Arial" w:eastAsia="Arial" w:cs="Arial"/>
          <w:b w:val="0"/>
          <w:bCs w:val="0"/>
          <w:i w:val="1"/>
          <w:iCs w:val="1"/>
          <w:noProof w:val="0"/>
          <w:color w:val="000000" w:themeColor="text1" w:themeTint="FF" w:themeShade="FF"/>
          <w:sz w:val="24"/>
          <w:szCs w:val="24"/>
          <w:u w:val="none"/>
          <w:lang w:val="en-GB"/>
        </w:rPr>
        <w:t>Motivation and Emotion</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31</w:t>
      </w:r>
      <w:r w:rsidRPr="5338E615" w:rsidR="1AB876F6">
        <w:rPr>
          <w:rFonts w:ascii="Arial" w:hAnsi="Arial" w:eastAsia="Arial" w:cs="Arial"/>
          <w:b w:val="0"/>
          <w:bCs w:val="0"/>
          <w:noProof w:val="0"/>
          <w:color w:val="000000" w:themeColor="text1" w:themeTint="FF" w:themeShade="FF"/>
          <w:sz w:val="24"/>
          <w:szCs w:val="24"/>
          <w:u w:val="none"/>
          <w:lang w:val="en-GB"/>
        </w:rPr>
        <w:t xml:space="preserve">(4), 271–283. </w:t>
      </w:r>
      <w:hyperlink r:id="R647e8102836341fc">
        <w:r w:rsidRPr="5338E615" w:rsidR="1AB876F6">
          <w:rPr>
            <w:rStyle w:val="Hyperlink"/>
            <w:rFonts w:ascii="Arial" w:hAnsi="Arial" w:eastAsia="Arial" w:cs="Arial"/>
            <w:b w:val="0"/>
            <w:bCs w:val="0"/>
            <w:noProof w:val="0"/>
            <w:sz w:val="24"/>
            <w:szCs w:val="24"/>
            <w:u w:val="none"/>
            <w:lang w:val="en-GB"/>
          </w:rPr>
          <w:t>https://doi.org/10.1007/s11031-007-9076-7</w:t>
        </w:r>
      </w:hyperlink>
    </w:p>
    <w:p w:rsidR="00D506A0" w:rsidP="5338E615" w:rsidRDefault="00D506A0" w14:paraId="1F23607F" w14:textId="4C4A351B">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Public Health Network Cymru. (2017). Adverse Childhood Experiences (ACEs) (Wales) [YouTube Video]. In </w:t>
      </w:r>
      <w:r w:rsidRPr="5338E615" w:rsidR="1AB876F6">
        <w:rPr>
          <w:rFonts w:ascii="Arial" w:hAnsi="Arial" w:eastAsia="Arial" w:cs="Arial"/>
          <w:b w:val="0"/>
          <w:bCs w:val="0"/>
          <w:i w:val="1"/>
          <w:iCs w:val="1"/>
          <w:noProof w:val="0"/>
          <w:color w:val="000000" w:themeColor="text1" w:themeTint="FF" w:themeShade="FF"/>
          <w:sz w:val="24"/>
          <w:szCs w:val="24"/>
          <w:u w:val="none"/>
          <w:lang w:val="en-GB"/>
        </w:rPr>
        <w:t>YouTube</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hyperlink r:id="R95926ee37348472e">
        <w:r w:rsidRPr="5338E615" w:rsidR="1AB876F6">
          <w:rPr>
            <w:rStyle w:val="Hyperlink"/>
            <w:rFonts w:ascii="Arial" w:hAnsi="Arial" w:eastAsia="Arial" w:cs="Arial"/>
            <w:b w:val="0"/>
            <w:bCs w:val="0"/>
            <w:noProof w:val="0"/>
            <w:sz w:val="24"/>
            <w:szCs w:val="24"/>
            <w:u w:val="none"/>
            <w:lang w:val="en-GB"/>
          </w:rPr>
          <w:t>https://www.youtube.com/watch?v=YiMjTzCnbNQ</w:t>
        </w:r>
      </w:hyperlink>
    </w:p>
    <w:p w:rsidR="00D506A0" w:rsidP="5338E615" w:rsidRDefault="00D506A0" w14:paraId="73CB15FD" w14:textId="6208C533">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i w:val="1"/>
          <w:iCs w:val="1"/>
          <w:noProof w:val="0"/>
          <w:color w:val="000000" w:themeColor="text1" w:themeTint="FF" w:themeShade="FF"/>
          <w:sz w:val="24"/>
          <w:szCs w:val="24"/>
          <w:u w:val="none"/>
          <w:lang w:val="en-GB"/>
        </w:rPr>
        <w:t xml:space="preserve">Siegel, D.J. (2007) The Mindful Brain Reflection and </w:t>
      </w:r>
      <w:r w:rsidRPr="5338E615" w:rsidR="1AB876F6">
        <w:rPr>
          <w:rFonts w:ascii="Arial" w:hAnsi="Arial" w:eastAsia="Arial" w:cs="Arial"/>
          <w:b w:val="0"/>
          <w:bCs w:val="0"/>
          <w:i w:val="1"/>
          <w:iCs w:val="1"/>
          <w:noProof w:val="0"/>
          <w:color w:val="000000" w:themeColor="text1" w:themeTint="FF" w:themeShade="FF"/>
          <w:sz w:val="24"/>
          <w:szCs w:val="24"/>
          <w:u w:val="none"/>
          <w:lang w:val="en-GB"/>
        </w:rPr>
        <w:t>Attunement</w:t>
      </w:r>
      <w:r w:rsidRPr="5338E615" w:rsidR="1AB876F6">
        <w:rPr>
          <w:rFonts w:ascii="Arial" w:hAnsi="Arial" w:eastAsia="Arial" w:cs="Arial"/>
          <w:b w:val="0"/>
          <w:bCs w:val="0"/>
          <w:i w:val="1"/>
          <w:iCs w:val="1"/>
          <w:noProof w:val="0"/>
          <w:color w:val="000000" w:themeColor="text1" w:themeTint="FF" w:themeShade="FF"/>
          <w:sz w:val="24"/>
          <w:szCs w:val="24"/>
          <w:u w:val="none"/>
          <w:lang w:val="en-GB"/>
        </w:rPr>
        <w:t xml:space="preserve"> in the Cultivation of Well-Being. WW Norton &amp; Company, New York. - References - Scientific Research Publishing</w:t>
      </w:r>
      <w:r w:rsidRPr="5338E615" w:rsidR="1AB876F6">
        <w:rPr>
          <w:rFonts w:ascii="Arial" w:hAnsi="Arial" w:eastAsia="Arial" w:cs="Arial"/>
          <w:b w:val="0"/>
          <w:bCs w:val="0"/>
          <w:noProof w:val="0"/>
          <w:color w:val="000000" w:themeColor="text1" w:themeTint="FF" w:themeShade="FF"/>
          <w:sz w:val="24"/>
          <w:szCs w:val="24"/>
          <w:u w:val="none"/>
          <w:lang w:val="en-GB"/>
        </w:rPr>
        <w:t xml:space="preserve">. (2021). Scirp.org. </w:t>
      </w:r>
      <w:hyperlink r:id="R86a9b8db75f54905">
        <w:r w:rsidRPr="5338E615" w:rsidR="1AB876F6">
          <w:rPr>
            <w:rStyle w:val="Hyperlink"/>
            <w:rFonts w:ascii="Arial" w:hAnsi="Arial" w:eastAsia="Arial" w:cs="Arial"/>
            <w:b w:val="0"/>
            <w:bCs w:val="0"/>
            <w:noProof w:val="0"/>
            <w:sz w:val="24"/>
            <w:szCs w:val="24"/>
            <w:u w:val="none"/>
            <w:lang w:val="en-GB"/>
          </w:rPr>
          <w:t>https://www.scirp.org/reference/referencespapers?referenceid=2988852</w:t>
        </w:r>
      </w:hyperlink>
    </w:p>
    <w:p w:rsidR="00D506A0" w:rsidP="5338E615" w:rsidRDefault="00D506A0" w14:paraId="237996AF" w14:textId="795D0ACB">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Siegel, D. J. (2007). Mindfulness training and neural integration: differentiation of distinct streams of awareness and the cultivation of well-being1. </w:t>
      </w:r>
      <w:r w:rsidRPr="5338E615" w:rsidR="1AB876F6">
        <w:rPr>
          <w:rFonts w:ascii="Arial" w:hAnsi="Arial" w:eastAsia="Arial" w:cs="Arial"/>
          <w:b w:val="0"/>
          <w:bCs w:val="0"/>
          <w:i w:val="1"/>
          <w:iCs w:val="1"/>
          <w:noProof w:val="0"/>
          <w:color w:val="000000" w:themeColor="text1" w:themeTint="FF" w:themeShade="FF"/>
          <w:sz w:val="24"/>
          <w:szCs w:val="24"/>
          <w:u w:val="none"/>
          <w:lang w:val="en-GB"/>
        </w:rPr>
        <w:t>Social Cognitive and Affective Neuroscience</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2</w:t>
      </w:r>
      <w:r w:rsidRPr="5338E615" w:rsidR="1AB876F6">
        <w:rPr>
          <w:rFonts w:ascii="Arial" w:hAnsi="Arial" w:eastAsia="Arial" w:cs="Arial"/>
          <w:b w:val="0"/>
          <w:bCs w:val="0"/>
          <w:noProof w:val="0"/>
          <w:color w:val="000000" w:themeColor="text1" w:themeTint="FF" w:themeShade="FF"/>
          <w:sz w:val="24"/>
          <w:szCs w:val="24"/>
          <w:u w:val="none"/>
          <w:lang w:val="en-GB"/>
        </w:rPr>
        <w:t xml:space="preserve">(4), 259–263. </w:t>
      </w:r>
      <w:hyperlink r:id="Ra27226f3cb2a4d5a">
        <w:r w:rsidRPr="5338E615" w:rsidR="1AB876F6">
          <w:rPr>
            <w:rStyle w:val="Hyperlink"/>
            <w:rFonts w:ascii="Arial" w:hAnsi="Arial" w:eastAsia="Arial" w:cs="Arial"/>
            <w:b w:val="0"/>
            <w:bCs w:val="0"/>
            <w:noProof w:val="0"/>
            <w:sz w:val="24"/>
            <w:szCs w:val="24"/>
            <w:u w:val="none"/>
            <w:lang w:val="en-GB"/>
          </w:rPr>
          <w:t>https://doi.org/10.1093/scan/nsm034</w:t>
        </w:r>
      </w:hyperlink>
    </w:p>
    <w:p w:rsidR="00D506A0" w:rsidP="5338E615" w:rsidRDefault="00D506A0" w14:paraId="4F6A71A6" w14:textId="047CFCD0">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Stoewen</w:t>
      </w:r>
      <w:r w:rsidRPr="5338E615" w:rsidR="1AB876F6">
        <w:rPr>
          <w:rFonts w:ascii="Arial" w:hAnsi="Arial" w:eastAsia="Arial" w:cs="Arial"/>
          <w:b w:val="0"/>
          <w:bCs w:val="0"/>
          <w:noProof w:val="0"/>
          <w:color w:val="000000" w:themeColor="text1" w:themeTint="FF" w:themeShade="FF"/>
          <w:sz w:val="24"/>
          <w:szCs w:val="24"/>
          <w:u w:val="none"/>
          <w:lang w:val="en-GB"/>
        </w:rPr>
        <w:t xml:space="preserve">, D. L. (2019). Moving from compassion fatigue to compassion resilience Part 2: Understanding compassion fatigue. </w:t>
      </w:r>
      <w:r w:rsidRPr="5338E615" w:rsidR="1AB876F6">
        <w:rPr>
          <w:rFonts w:ascii="Arial" w:hAnsi="Arial" w:eastAsia="Arial" w:cs="Arial"/>
          <w:b w:val="0"/>
          <w:bCs w:val="0"/>
          <w:i w:val="1"/>
          <w:iCs w:val="1"/>
          <w:noProof w:val="0"/>
          <w:color w:val="000000" w:themeColor="text1" w:themeTint="FF" w:themeShade="FF"/>
          <w:sz w:val="24"/>
          <w:szCs w:val="24"/>
          <w:u w:val="none"/>
          <w:lang w:val="en-GB"/>
        </w:rPr>
        <w:t>The Canadian Veterinary Journal</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60</w:t>
      </w:r>
      <w:r w:rsidRPr="5338E615" w:rsidR="1AB876F6">
        <w:rPr>
          <w:rFonts w:ascii="Arial" w:hAnsi="Arial" w:eastAsia="Arial" w:cs="Arial"/>
          <w:b w:val="0"/>
          <w:bCs w:val="0"/>
          <w:noProof w:val="0"/>
          <w:color w:val="000000" w:themeColor="text1" w:themeTint="FF" w:themeShade="FF"/>
          <w:sz w:val="24"/>
          <w:szCs w:val="24"/>
          <w:u w:val="none"/>
          <w:lang w:val="en-GB"/>
        </w:rPr>
        <w:t xml:space="preserve">(9), 1004. </w:t>
      </w:r>
      <w:hyperlink r:id="R88b1f7424cff4722">
        <w:r w:rsidRPr="5338E615" w:rsidR="1AB876F6">
          <w:rPr>
            <w:rStyle w:val="Hyperlink"/>
            <w:rFonts w:ascii="Arial" w:hAnsi="Arial" w:eastAsia="Arial" w:cs="Arial"/>
            <w:b w:val="0"/>
            <w:bCs w:val="0"/>
            <w:noProof w:val="0"/>
            <w:sz w:val="24"/>
            <w:szCs w:val="24"/>
            <w:u w:val="none"/>
            <w:lang w:val="en-GB"/>
          </w:rPr>
          <w:t>https://pmc.ncbi.nlm.nih.gov/articles/PMC6697064/</w:t>
        </w:r>
      </w:hyperlink>
    </w:p>
    <w:p w:rsidR="00D506A0" w:rsidP="5338E615" w:rsidRDefault="00D506A0" w14:paraId="54737A40" w14:textId="46711F0C">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Tarzia, L., Bohren, M. A., Cameron, J., Garcia-Moreno, C., O’Doherty, L., </w:t>
      </w:r>
      <w:r w:rsidRPr="5338E615" w:rsidR="1AB876F6">
        <w:rPr>
          <w:rFonts w:ascii="Arial" w:hAnsi="Arial" w:eastAsia="Arial" w:cs="Arial"/>
          <w:b w:val="0"/>
          <w:bCs w:val="0"/>
          <w:noProof w:val="0"/>
          <w:color w:val="000000" w:themeColor="text1" w:themeTint="FF" w:themeShade="FF"/>
          <w:sz w:val="24"/>
          <w:szCs w:val="24"/>
          <w:u w:val="none"/>
          <w:lang w:val="en-GB"/>
        </w:rPr>
        <w:t>Fiolet</w:t>
      </w:r>
      <w:r w:rsidRPr="5338E615" w:rsidR="1AB876F6">
        <w:rPr>
          <w:rFonts w:ascii="Arial" w:hAnsi="Arial" w:eastAsia="Arial" w:cs="Arial"/>
          <w:b w:val="0"/>
          <w:bCs w:val="0"/>
          <w:noProof w:val="0"/>
          <w:color w:val="000000" w:themeColor="text1" w:themeTint="FF" w:themeShade="FF"/>
          <w:sz w:val="24"/>
          <w:szCs w:val="24"/>
          <w:u w:val="none"/>
          <w:lang w:val="en-GB"/>
        </w:rPr>
        <w:t xml:space="preserve">, R., Hooker, L., Wellington, M., Parker, R., Koziol-McLain, J., Feder, G., &amp; Hegarty, K. (2020). Women’s experiences and expectations after disclosure of intimate partner abuse to a healthcare provider: A qualitative meta-synthesis. </w:t>
      </w:r>
      <w:r w:rsidRPr="5338E615" w:rsidR="1AB876F6">
        <w:rPr>
          <w:rFonts w:ascii="Arial" w:hAnsi="Arial" w:eastAsia="Arial" w:cs="Arial"/>
          <w:b w:val="0"/>
          <w:bCs w:val="0"/>
          <w:i w:val="1"/>
          <w:iCs w:val="1"/>
          <w:noProof w:val="0"/>
          <w:color w:val="000000" w:themeColor="text1" w:themeTint="FF" w:themeShade="FF"/>
          <w:sz w:val="24"/>
          <w:szCs w:val="24"/>
          <w:u w:val="none"/>
          <w:lang w:val="en-GB"/>
        </w:rPr>
        <w:t>BMJ Open</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10</w:t>
      </w:r>
      <w:r w:rsidRPr="5338E615" w:rsidR="1AB876F6">
        <w:rPr>
          <w:rFonts w:ascii="Arial" w:hAnsi="Arial" w:eastAsia="Arial" w:cs="Arial"/>
          <w:b w:val="0"/>
          <w:bCs w:val="0"/>
          <w:noProof w:val="0"/>
          <w:color w:val="000000" w:themeColor="text1" w:themeTint="FF" w:themeShade="FF"/>
          <w:sz w:val="24"/>
          <w:szCs w:val="24"/>
          <w:u w:val="none"/>
          <w:lang w:val="en-GB"/>
        </w:rPr>
        <w:t xml:space="preserve">(11), e041339. </w:t>
      </w:r>
      <w:hyperlink r:id="Rd2c10aa8653e4828">
        <w:r w:rsidRPr="5338E615" w:rsidR="1AB876F6">
          <w:rPr>
            <w:rStyle w:val="Hyperlink"/>
            <w:rFonts w:ascii="Arial" w:hAnsi="Arial" w:eastAsia="Arial" w:cs="Arial"/>
            <w:b w:val="0"/>
            <w:bCs w:val="0"/>
            <w:noProof w:val="0"/>
            <w:sz w:val="24"/>
            <w:szCs w:val="24"/>
            <w:u w:val="none"/>
            <w:lang w:val="en-GB"/>
          </w:rPr>
          <w:t>https://doi.org/10.1136/bmjopen-2020-041339</w:t>
        </w:r>
      </w:hyperlink>
    </w:p>
    <w:p w:rsidR="00D506A0" w:rsidP="5338E615" w:rsidRDefault="00D506A0" w14:paraId="7A1D07DE" w14:textId="7D9ACB20">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Wynn, F. (2020). Burnout or Compassion Fatigue? A Comparative Concept Analysis for Nurses Caring for Patients in High-Stakes Environments. </w:t>
      </w:r>
      <w:r w:rsidRPr="5338E615" w:rsidR="1AB876F6">
        <w:rPr>
          <w:rFonts w:ascii="Arial" w:hAnsi="Arial" w:eastAsia="Arial" w:cs="Arial"/>
          <w:b w:val="0"/>
          <w:bCs w:val="0"/>
          <w:i w:val="1"/>
          <w:iCs w:val="1"/>
          <w:noProof w:val="0"/>
          <w:color w:val="000000" w:themeColor="text1" w:themeTint="FF" w:themeShade="FF"/>
          <w:sz w:val="24"/>
          <w:szCs w:val="24"/>
          <w:u w:val="none"/>
          <w:lang w:val="en-GB"/>
        </w:rPr>
        <w:t>International Journal for Human Caring</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24</w:t>
      </w:r>
      <w:r w:rsidRPr="5338E615" w:rsidR="1AB876F6">
        <w:rPr>
          <w:rFonts w:ascii="Arial" w:hAnsi="Arial" w:eastAsia="Arial" w:cs="Arial"/>
          <w:b w:val="0"/>
          <w:bCs w:val="0"/>
          <w:noProof w:val="0"/>
          <w:color w:val="000000" w:themeColor="text1" w:themeTint="FF" w:themeShade="FF"/>
          <w:sz w:val="24"/>
          <w:szCs w:val="24"/>
          <w:u w:val="none"/>
          <w:lang w:val="en-GB"/>
        </w:rPr>
        <w:t xml:space="preserve">(1), 59–71. </w:t>
      </w:r>
      <w:hyperlink r:id="R377371d21b194d50">
        <w:r w:rsidRPr="5338E615" w:rsidR="1AB876F6">
          <w:rPr>
            <w:rStyle w:val="Hyperlink"/>
            <w:rFonts w:ascii="Arial" w:hAnsi="Arial" w:eastAsia="Arial" w:cs="Arial"/>
            <w:b w:val="0"/>
            <w:bCs w:val="0"/>
            <w:noProof w:val="0"/>
            <w:sz w:val="24"/>
            <w:szCs w:val="24"/>
            <w:u w:val="none"/>
            <w:lang w:val="en-GB"/>
          </w:rPr>
          <w:t>https://doi.org/10.20467/1091-5710.24.1.59</w:t>
        </w:r>
      </w:hyperlink>
    </w:p>
    <w:p w:rsidR="00D506A0" w:rsidP="5338E615" w:rsidRDefault="00D506A0" w14:paraId="29B9F3C6" w14:textId="26F434BC">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Xie, S., Cheng, Q., Tan, S., Li, H., Huang, T., Xiang, Y., &amp; Zhou, X. (2024a). The efficacy and acceptability of group trauma-focused cognitive </w:t>
      </w:r>
      <w:r w:rsidRPr="5338E615" w:rsidR="1AB876F6">
        <w:rPr>
          <w:rFonts w:ascii="Arial" w:hAnsi="Arial" w:eastAsia="Arial" w:cs="Arial"/>
          <w:b w:val="0"/>
          <w:bCs w:val="0"/>
          <w:noProof w:val="0"/>
          <w:color w:val="000000" w:themeColor="text1" w:themeTint="FF" w:themeShade="FF"/>
          <w:sz w:val="24"/>
          <w:szCs w:val="24"/>
          <w:u w:val="none"/>
          <w:lang w:val="en-GB"/>
        </w:rPr>
        <w:t>behavior</w:t>
      </w:r>
      <w:r w:rsidRPr="5338E615" w:rsidR="1AB876F6">
        <w:rPr>
          <w:rFonts w:ascii="Arial" w:hAnsi="Arial" w:eastAsia="Arial" w:cs="Arial"/>
          <w:b w:val="0"/>
          <w:bCs w:val="0"/>
          <w:noProof w:val="0"/>
          <w:color w:val="000000" w:themeColor="text1" w:themeTint="FF" w:themeShade="FF"/>
          <w:sz w:val="24"/>
          <w:szCs w:val="24"/>
          <w:u w:val="none"/>
          <w:lang w:val="en-GB"/>
        </w:rPr>
        <w:t xml:space="preserve"> therapy for the treatment of post-traumatic stress disorder in children and adolescents: A systematic review and meta-analysis. </w:t>
      </w:r>
      <w:r w:rsidRPr="5338E615" w:rsidR="1AB876F6">
        <w:rPr>
          <w:rFonts w:ascii="Arial" w:hAnsi="Arial" w:eastAsia="Arial" w:cs="Arial"/>
          <w:b w:val="0"/>
          <w:bCs w:val="0"/>
          <w:i w:val="1"/>
          <w:iCs w:val="1"/>
          <w:noProof w:val="0"/>
          <w:color w:val="000000" w:themeColor="text1" w:themeTint="FF" w:themeShade="FF"/>
          <w:sz w:val="24"/>
          <w:szCs w:val="24"/>
          <w:u w:val="none"/>
          <w:lang w:val="en-GB"/>
        </w:rPr>
        <w:t>General Hospital Psychiatry</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86</w:t>
      </w:r>
      <w:r w:rsidRPr="5338E615" w:rsidR="1AB876F6">
        <w:rPr>
          <w:rFonts w:ascii="Arial" w:hAnsi="Arial" w:eastAsia="Arial" w:cs="Arial"/>
          <w:b w:val="0"/>
          <w:bCs w:val="0"/>
          <w:noProof w:val="0"/>
          <w:color w:val="000000" w:themeColor="text1" w:themeTint="FF" w:themeShade="FF"/>
          <w:sz w:val="24"/>
          <w:szCs w:val="24"/>
          <w:u w:val="none"/>
          <w:lang w:val="en-GB"/>
        </w:rPr>
        <w:t xml:space="preserve">, 127–134. </w:t>
      </w:r>
      <w:hyperlink r:id="R73d316d2295c4772">
        <w:r w:rsidRPr="5338E615" w:rsidR="1AB876F6">
          <w:rPr>
            <w:rStyle w:val="Hyperlink"/>
            <w:rFonts w:ascii="Arial" w:hAnsi="Arial" w:eastAsia="Arial" w:cs="Arial"/>
            <w:b w:val="0"/>
            <w:bCs w:val="0"/>
            <w:noProof w:val="0"/>
            <w:sz w:val="24"/>
            <w:szCs w:val="24"/>
            <w:u w:val="none"/>
            <w:lang w:val="en-GB"/>
          </w:rPr>
          <w:t>https://doi.org/10.1016/j.genhosppsych.2023.11.012</w:t>
        </w:r>
      </w:hyperlink>
    </w:p>
    <w:p w:rsidR="00D506A0" w:rsidP="5338E615" w:rsidRDefault="00D506A0" w14:paraId="2A0CA894" w14:textId="581083EA">
      <w:pPr>
        <w:spacing w:before="240" w:beforeAutospacing="off" w:after="0" w:afterAutospacing="off" w:line="480" w:lineRule="auto"/>
        <w:ind w:left="720" w:right="0" w:hanging="720"/>
        <w:rPr>
          <w:rFonts w:ascii="Arial" w:hAnsi="Arial" w:eastAsia="Arial" w:cs="Arial"/>
          <w:b w:val="0"/>
          <w:bCs w:val="0"/>
          <w:u w:val="none"/>
        </w:rPr>
      </w:pPr>
      <w:r w:rsidRPr="5338E615" w:rsidR="1AB876F6">
        <w:rPr>
          <w:rFonts w:ascii="Arial" w:hAnsi="Arial" w:eastAsia="Arial" w:cs="Arial"/>
          <w:b w:val="0"/>
          <w:bCs w:val="0"/>
          <w:noProof w:val="0"/>
          <w:color w:val="000000" w:themeColor="text1" w:themeTint="FF" w:themeShade="FF"/>
          <w:sz w:val="24"/>
          <w:szCs w:val="24"/>
          <w:u w:val="none"/>
          <w:lang w:val="en-GB"/>
        </w:rPr>
        <w:t xml:space="preserve">Xie, S., Cheng, Q., Tan, S., Li, H., Huang, T., Xiang, Y., &amp; Zhou, X. (2024b). The efficacy and acceptability of group trauma-focused cognitive </w:t>
      </w:r>
      <w:r w:rsidRPr="5338E615" w:rsidR="1AB876F6">
        <w:rPr>
          <w:rFonts w:ascii="Arial" w:hAnsi="Arial" w:eastAsia="Arial" w:cs="Arial"/>
          <w:b w:val="0"/>
          <w:bCs w:val="0"/>
          <w:noProof w:val="0"/>
          <w:color w:val="000000" w:themeColor="text1" w:themeTint="FF" w:themeShade="FF"/>
          <w:sz w:val="24"/>
          <w:szCs w:val="24"/>
          <w:u w:val="none"/>
          <w:lang w:val="en-GB"/>
        </w:rPr>
        <w:t>behavior</w:t>
      </w:r>
      <w:r w:rsidRPr="5338E615" w:rsidR="1AB876F6">
        <w:rPr>
          <w:rFonts w:ascii="Arial" w:hAnsi="Arial" w:eastAsia="Arial" w:cs="Arial"/>
          <w:b w:val="0"/>
          <w:bCs w:val="0"/>
          <w:noProof w:val="0"/>
          <w:color w:val="000000" w:themeColor="text1" w:themeTint="FF" w:themeShade="FF"/>
          <w:sz w:val="24"/>
          <w:szCs w:val="24"/>
          <w:u w:val="none"/>
          <w:lang w:val="en-GB"/>
        </w:rPr>
        <w:t xml:space="preserve"> therapy for the treatment of post-traumatic stress disorder in children and adolescents: A systematic review and meta-analysis. </w:t>
      </w:r>
      <w:r w:rsidRPr="5338E615" w:rsidR="1AB876F6">
        <w:rPr>
          <w:rFonts w:ascii="Arial" w:hAnsi="Arial" w:eastAsia="Arial" w:cs="Arial"/>
          <w:b w:val="0"/>
          <w:bCs w:val="0"/>
          <w:i w:val="1"/>
          <w:iCs w:val="1"/>
          <w:noProof w:val="0"/>
          <w:color w:val="000000" w:themeColor="text1" w:themeTint="FF" w:themeShade="FF"/>
          <w:sz w:val="24"/>
          <w:szCs w:val="24"/>
          <w:u w:val="none"/>
          <w:lang w:val="en-GB"/>
        </w:rPr>
        <w:t>General Hospital Psychiatry</w:t>
      </w:r>
      <w:r w:rsidRPr="5338E615" w:rsidR="1AB876F6">
        <w:rPr>
          <w:rFonts w:ascii="Arial" w:hAnsi="Arial" w:eastAsia="Arial" w:cs="Arial"/>
          <w:b w:val="0"/>
          <w:bCs w:val="0"/>
          <w:noProof w:val="0"/>
          <w:color w:val="000000" w:themeColor="text1" w:themeTint="FF" w:themeShade="FF"/>
          <w:sz w:val="24"/>
          <w:szCs w:val="24"/>
          <w:u w:val="none"/>
          <w:lang w:val="en-GB"/>
        </w:rPr>
        <w:t xml:space="preserve">, </w:t>
      </w:r>
      <w:r w:rsidRPr="5338E615" w:rsidR="1AB876F6">
        <w:rPr>
          <w:rFonts w:ascii="Arial" w:hAnsi="Arial" w:eastAsia="Arial" w:cs="Arial"/>
          <w:b w:val="0"/>
          <w:bCs w:val="0"/>
          <w:i w:val="1"/>
          <w:iCs w:val="1"/>
          <w:noProof w:val="0"/>
          <w:color w:val="000000" w:themeColor="text1" w:themeTint="FF" w:themeShade="FF"/>
          <w:sz w:val="24"/>
          <w:szCs w:val="24"/>
          <w:u w:val="none"/>
          <w:lang w:val="en-GB"/>
        </w:rPr>
        <w:t>86</w:t>
      </w:r>
      <w:r w:rsidRPr="5338E615" w:rsidR="1AB876F6">
        <w:rPr>
          <w:rFonts w:ascii="Arial" w:hAnsi="Arial" w:eastAsia="Arial" w:cs="Arial"/>
          <w:b w:val="0"/>
          <w:bCs w:val="0"/>
          <w:noProof w:val="0"/>
          <w:color w:val="000000" w:themeColor="text1" w:themeTint="FF" w:themeShade="FF"/>
          <w:sz w:val="24"/>
          <w:szCs w:val="24"/>
          <w:u w:val="none"/>
          <w:lang w:val="en-GB"/>
        </w:rPr>
        <w:t xml:space="preserve">, 127–134. </w:t>
      </w:r>
      <w:hyperlink r:id="R2f55e24b66ec4b40">
        <w:r w:rsidRPr="5338E615" w:rsidR="1AB876F6">
          <w:rPr>
            <w:rStyle w:val="Hyperlink"/>
            <w:rFonts w:ascii="Arial" w:hAnsi="Arial" w:eastAsia="Arial" w:cs="Arial"/>
            <w:b w:val="0"/>
            <w:bCs w:val="0"/>
            <w:noProof w:val="0"/>
            <w:sz w:val="24"/>
            <w:szCs w:val="24"/>
            <w:u w:val="none"/>
            <w:lang w:val="en-GB"/>
          </w:rPr>
          <w:t>https://doi.org/10.1016/j.genhosppsych.2023.11.012</w:t>
        </w:r>
      </w:hyperlink>
    </w:p>
    <w:p w:rsidR="00D506A0" w:rsidP="5338E615" w:rsidRDefault="00D506A0" w14:paraId="0EC28B67" w14:textId="57CCD1CB">
      <w:pPr>
        <w:pStyle w:val="Normal"/>
        <w:spacing w:before="225" w:after="100" w:afterAutospacing="1" w:line="240" w:lineRule="auto"/>
        <w:ind w:left="720"/>
        <w:rPr>
          <w:rFonts w:ascii="Arial" w:hAnsi="Arial" w:eastAsia="Arial" w:cs="Arial"/>
          <w:b w:val="0"/>
          <w:bCs w:val="0"/>
          <w:sz w:val="24"/>
          <w:szCs w:val="24"/>
          <w:u w:val="none"/>
        </w:rPr>
      </w:pPr>
    </w:p>
    <w:p w:rsidR="5338E615" w:rsidP="5338E615" w:rsidRDefault="5338E615" w14:paraId="2378DF4B" w14:textId="71081694">
      <w:pPr>
        <w:pStyle w:val="Normal"/>
        <w:ind w:left="0"/>
        <w:rPr>
          <w:rFonts w:ascii="Arial" w:hAnsi="Arial" w:cs="Arial"/>
          <w:b w:val="0"/>
          <w:bCs w:val="0"/>
          <w:sz w:val="24"/>
          <w:szCs w:val="24"/>
        </w:rPr>
      </w:pPr>
    </w:p>
    <w:p w:rsidR="5338E615" w:rsidP="5338E615" w:rsidRDefault="5338E615" w14:paraId="3B07155F" w14:textId="4FB55801">
      <w:pPr>
        <w:pStyle w:val="Normal"/>
        <w:suppressLineNumbers w:val="0"/>
        <w:bidi w:val="0"/>
        <w:spacing w:before="0" w:beforeAutospacing="off" w:after="160" w:afterAutospacing="off" w:line="259" w:lineRule="auto"/>
        <w:ind w:right="0"/>
        <w:jc w:val="left"/>
        <w:rPr>
          <w:b w:val="0"/>
          <w:bCs w:val="0"/>
          <w:noProof w:val="0"/>
          <w:lang w:val="en-US"/>
        </w:rPr>
      </w:pPr>
    </w:p>
    <w:p w:rsidR="5338E615" w:rsidP="5338E615" w:rsidRDefault="5338E615" w14:paraId="3DB40CD4" w14:textId="6BD6AFBA">
      <w:pPr>
        <w:pStyle w:val="Normal"/>
        <w:suppressLineNumbers w:val="0"/>
        <w:bidi w:val="0"/>
        <w:spacing w:before="0" w:beforeAutospacing="off" w:after="160" w:afterAutospacing="off" w:line="259" w:lineRule="auto"/>
        <w:ind w:right="0"/>
        <w:jc w:val="left"/>
        <w:rPr>
          <w:rFonts w:ascii="system-ui" w:hAnsi="system-ui" w:eastAsia="system-ui" w:cs="system-ui"/>
          <w:noProof w:val="0"/>
          <w:color w:val="000000" w:themeColor="text1" w:themeTint="FF" w:themeShade="FF"/>
          <w:sz w:val="22"/>
          <w:szCs w:val="22"/>
          <w:lang w:val="en-GB"/>
        </w:rPr>
      </w:pPr>
    </w:p>
    <w:p w:rsidR="5338E615" w:rsidP="5338E615" w:rsidRDefault="5338E615" w14:paraId="2FEE30A9" w14:textId="49992FEA">
      <w:pPr>
        <w:pStyle w:val="ListParagraph"/>
        <w:suppressLineNumbers w:val="0"/>
        <w:bidi w:val="0"/>
        <w:spacing w:before="0" w:beforeAutospacing="off" w:after="160" w:afterAutospacing="off" w:line="259" w:lineRule="auto"/>
        <w:ind w:left="720" w:right="0" w:hanging="360"/>
        <w:jc w:val="left"/>
        <w:rPr>
          <w:rFonts w:ascii="system-ui" w:hAnsi="system-ui" w:eastAsia="system-ui" w:cs="system-ui"/>
          <w:noProof w:val="0"/>
          <w:color w:val="000000" w:themeColor="text1" w:themeTint="FF" w:themeShade="FF"/>
          <w:sz w:val="22"/>
          <w:szCs w:val="22"/>
          <w:lang w:val="en-GB"/>
        </w:rPr>
      </w:pPr>
    </w:p>
    <w:sectPr w:rsidRPr="00D506A0" w:rsidR="00D506A0">
      <w:headerReference w:type="default" r:id="rId73"/>
      <w:pgSz w:w="11906" w:h="16838" w:orient="portrait"/>
      <w:pgMar w:top="1440" w:right="1440" w:bottom="1440" w:left="1440" w:header="708" w:footer="708" w:gutter="0"/>
      <w:cols w:space="708"/>
      <w:docGrid w:linePitch="360"/>
      <w:footerReference w:type="default" r:id="R6f8811fe3bbc493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623C8" w:rsidP="00D506A0" w:rsidRDefault="005623C8" w14:paraId="1AB1ABAB" w14:textId="77777777">
      <w:pPr>
        <w:spacing w:after="0" w:line="240" w:lineRule="auto"/>
      </w:pPr>
      <w:r>
        <w:separator/>
      </w:r>
    </w:p>
  </w:endnote>
  <w:endnote w:type="continuationSeparator" w:id="0">
    <w:p w:rsidR="005623C8" w:rsidP="00D506A0" w:rsidRDefault="005623C8" w14:paraId="5DC42D6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338E615" w:rsidTr="5338E615" w14:paraId="11A3F64F">
      <w:trPr>
        <w:trHeight w:val="300"/>
      </w:trPr>
      <w:tc>
        <w:tcPr>
          <w:tcW w:w="3005" w:type="dxa"/>
          <w:tcMar/>
        </w:tcPr>
        <w:p w:rsidR="5338E615" w:rsidP="5338E615" w:rsidRDefault="5338E615" w14:paraId="2F2B0780" w14:textId="05A547FD">
          <w:pPr>
            <w:pStyle w:val="Header"/>
            <w:bidi w:val="0"/>
            <w:ind w:left="-115"/>
            <w:jc w:val="left"/>
          </w:pPr>
        </w:p>
      </w:tc>
      <w:tc>
        <w:tcPr>
          <w:tcW w:w="3005" w:type="dxa"/>
          <w:tcMar/>
        </w:tcPr>
        <w:p w:rsidR="5338E615" w:rsidP="5338E615" w:rsidRDefault="5338E615" w14:paraId="40225E56" w14:textId="63A939B8">
          <w:pPr>
            <w:pStyle w:val="Header"/>
            <w:bidi w:val="0"/>
            <w:jc w:val="center"/>
          </w:pPr>
        </w:p>
      </w:tc>
      <w:tc>
        <w:tcPr>
          <w:tcW w:w="3005" w:type="dxa"/>
          <w:tcMar/>
        </w:tcPr>
        <w:p w:rsidR="5338E615" w:rsidP="5338E615" w:rsidRDefault="5338E615" w14:paraId="4D918BBB" w14:textId="1F2A148E">
          <w:pPr>
            <w:pStyle w:val="Header"/>
            <w:bidi w:val="0"/>
            <w:ind w:right="-115"/>
            <w:jc w:val="right"/>
          </w:pPr>
        </w:p>
      </w:tc>
    </w:tr>
  </w:tbl>
  <w:p w:rsidR="5338E615" w:rsidP="5338E615" w:rsidRDefault="5338E615" w14:paraId="2440011B" w14:textId="6C268867">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623C8" w:rsidP="00D506A0" w:rsidRDefault="005623C8" w14:paraId="5CFB700A" w14:textId="77777777">
      <w:pPr>
        <w:spacing w:after="0" w:line="240" w:lineRule="auto"/>
      </w:pPr>
      <w:r>
        <w:separator/>
      </w:r>
    </w:p>
  </w:footnote>
  <w:footnote w:type="continuationSeparator" w:id="0">
    <w:p w:rsidR="005623C8" w:rsidP="00D506A0" w:rsidRDefault="005623C8" w14:paraId="433EBD4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506A0" w:rsidRDefault="00D506A0" w14:paraId="099A0A38" w14:textId="7DDB3D96">
    <w:pPr>
      <w:pStyle w:val="Header"/>
    </w:pPr>
    <w:r>
      <w:t>Katie Pointer-Carlyle 2103163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D2D20"/>
    <w:multiLevelType w:val="multilevel"/>
    <w:tmpl w:val="A62C5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A93BEF"/>
    <w:multiLevelType w:val="multilevel"/>
    <w:tmpl w:val="0FB039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677286"/>
    <w:multiLevelType w:val="multilevel"/>
    <w:tmpl w:val="81785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AB2BE5"/>
    <w:multiLevelType w:val="multilevel"/>
    <w:tmpl w:val="6EF8A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C4505F"/>
    <w:multiLevelType w:val="multilevel"/>
    <w:tmpl w:val="3418F7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2A1303"/>
    <w:multiLevelType w:val="multilevel"/>
    <w:tmpl w:val="1BE21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6B254A"/>
    <w:multiLevelType w:val="multilevel"/>
    <w:tmpl w:val="76923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5516B1"/>
    <w:multiLevelType w:val="multilevel"/>
    <w:tmpl w:val="641A9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E83555"/>
    <w:multiLevelType w:val="multilevel"/>
    <w:tmpl w:val="8F96D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F846920"/>
    <w:multiLevelType w:val="multilevel"/>
    <w:tmpl w:val="8E803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F9501DF"/>
    <w:multiLevelType w:val="multilevel"/>
    <w:tmpl w:val="F3968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2032654"/>
    <w:multiLevelType w:val="multilevel"/>
    <w:tmpl w:val="30D4A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CE36484"/>
    <w:multiLevelType w:val="multilevel"/>
    <w:tmpl w:val="F6468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141EA5"/>
    <w:multiLevelType w:val="hybridMultilevel"/>
    <w:tmpl w:val="8B8E38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3737003">
    <w:abstractNumId w:val="1"/>
  </w:num>
  <w:num w:numId="2" w16cid:durableId="148450653">
    <w:abstractNumId w:val="13"/>
  </w:num>
  <w:num w:numId="3" w16cid:durableId="325204876">
    <w:abstractNumId w:val="2"/>
  </w:num>
  <w:num w:numId="4" w16cid:durableId="527179847">
    <w:abstractNumId w:val="3"/>
  </w:num>
  <w:num w:numId="5" w16cid:durableId="568879208">
    <w:abstractNumId w:val="0"/>
  </w:num>
  <w:num w:numId="6" w16cid:durableId="1924146391">
    <w:abstractNumId w:val="8"/>
  </w:num>
  <w:num w:numId="7" w16cid:durableId="1806006691">
    <w:abstractNumId w:val="10"/>
  </w:num>
  <w:num w:numId="8" w16cid:durableId="1825930513">
    <w:abstractNumId w:val="9"/>
  </w:num>
  <w:num w:numId="9" w16cid:durableId="552042042">
    <w:abstractNumId w:val="6"/>
  </w:num>
  <w:num w:numId="10" w16cid:durableId="313872334">
    <w:abstractNumId w:val="11"/>
  </w:num>
  <w:num w:numId="11" w16cid:durableId="207766779">
    <w:abstractNumId w:val="7"/>
  </w:num>
  <w:num w:numId="12" w16cid:durableId="1642029179">
    <w:abstractNumId w:val="5"/>
  </w:num>
  <w:num w:numId="13" w16cid:durableId="392655217">
    <w:abstractNumId w:val="4"/>
  </w:num>
  <w:num w:numId="14" w16cid:durableId="3488017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DA9"/>
    <w:rsid w:val="000C2CB5"/>
    <w:rsid w:val="000E2B54"/>
    <w:rsid w:val="000F34A4"/>
    <w:rsid w:val="002956C9"/>
    <w:rsid w:val="003647BB"/>
    <w:rsid w:val="003B2456"/>
    <w:rsid w:val="00534CCC"/>
    <w:rsid w:val="0055C03E"/>
    <w:rsid w:val="005623C8"/>
    <w:rsid w:val="00616DA9"/>
    <w:rsid w:val="006342C4"/>
    <w:rsid w:val="0074CCCA"/>
    <w:rsid w:val="008C136F"/>
    <w:rsid w:val="008E5F83"/>
    <w:rsid w:val="00B17BF2"/>
    <w:rsid w:val="00B36BF2"/>
    <w:rsid w:val="00BF2B5E"/>
    <w:rsid w:val="00CA1C07"/>
    <w:rsid w:val="00CC8FF4"/>
    <w:rsid w:val="00CFF790"/>
    <w:rsid w:val="00D1B981"/>
    <w:rsid w:val="00D506A0"/>
    <w:rsid w:val="00DFE3F8"/>
    <w:rsid w:val="00F8D37C"/>
    <w:rsid w:val="0140736E"/>
    <w:rsid w:val="01E20932"/>
    <w:rsid w:val="0223A950"/>
    <w:rsid w:val="02392014"/>
    <w:rsid w:val="023AD284"/>
    <w:rsid w:val="0258F9F5"/>
    <w:rsid w:val="02948E79"/>
    <w:rsid w:val="02AF25EB"/>
    <w:rsid w:val="0341CFBF"/>
    <w:rsid w:val="03517462"/>
    <w:rsid w:val="035693F7"/>
    <w:rsid w:val="03AE6813"/>
    <w:rsid w:val="03C28758"/>
    <w:rsid w:val="03DE626B"/>
    <w:rsid w:val="03E77C1D"/>
    <w:rsid w:val="0407B0A9"/>
    <w:rsid w:val="04410586"/>
    <w:rsid w:val="044D5FC1"/>
    <w:rsid w:val="04721669"/>
    <w:rsid w:val="04FC242D"/>
    <w:rsid w:val="0504310B"/>
    <w:rsid w:val="0569DF35"/>
    <w:rsid w:val="0582EC5C"/>
    <w:rsid w:val="05F17797"/>
    <w:rsid w:val="06BF370E"/>
    <w:rsid w:val="06DAF71B"/>
    <w:rsid w:val="06E7F6EF"/>
    <w:rsid w:val="07038D0E"/>
    <w:rsid w:val="074CE97D"/>
    <w:rsid w:val="07696D1E"/>
    <w:rsid w:val="079CC30B"/>
    <w:rsid w:val="07FD4A89"/>
    <w:rsid w:val="0818583A"/>
    <w:rsid w:val="08860BBB"/>
    <w:rsid w:val="08981F92"/>
    <w:rsid w:val="08E4CCE0"/>
    <w:rsid w:val="08EF660A"/>
    <w:rsid w:val="08F29709"/>
    <w:rsid w:val="09050A45"/>
    <w:rsid w:val="0908A1BB"/>
    <w:rsid w:val="091F8556"/>
    <w:rsid w:val="0934B4C1"/>
    <w:rsid w:val="09374017"/>
    <w:rsid w:val="095689C7"/>
    <w:rsid w:val="096E7F82"/>
    <w:rsid w:val="09AD93C6"/>
    <w:rsid w:val="09BAD3CC"/>
    <w:rsid w:val="09BE926F"/>
    <w:rsid w:val="0A0AB1BE"/>
    <w:rsid w:val="0A116151"/>
    <w:rsid w:val="0A1DA626"/>
    <w:rsid w:val="0A22B058"/>
    <w:rsid w:val="0A4DDC21"/>
    <w:rsid w:val="0ABCF1AE"/>
    <w:rsid w:val="0AC6D0D2"/>
    <w:rsid w:val="0AD14965"/>
    <w:rsid w:val="0AF3B24D"/>
    <w:rsid w:val="0B090DBB"/>
    <w:rsid w:val="0B261C49"/>
    <w:rsid w:val="0B42DA05"/>
    <w:rsid w:val="0B633C18"/>
    <w:rsid w:val="0B9BEB84"/>
    <w:rsid w:val="0BB7B16F"/>
    <w:rsid w:val="0C14ADA4"/>
    <w:rsid w:val="0C33072C"/>
    <w:rsid w:val="0C4E3029"/>
    <w:rsid w:val="0C53B33B"/>
    <w:rsid w:val="0CB95D06"/>
    <w:rsid w:val="0CCAA6ED"/>
    <w:rsid w:val="0CF96067"/>
    <w:rsid w:val="0D79454B"/>
    <w:rsid w:val="0DB2E61C"/>
    <w:rsid w:val="0DD0B7BC"/>
    <w:rsid w:val="0DFC1007"/>
    <w:rsid w:val="0E2578F6"/>
    <w:rsid w:val="0E301649"/>
    <w:rsid w:val="0E5DDA5F"/>
    <w:rsid w:val="0E60495F"/>
    <w:rsid w:val="0E711E30"/>
    <w:rsid w:val="0E8FAFD4"/>
    <w:rsid w:val="0E9C5950"/>
    <w:rsid w:val="0EAA0BBE"/>
    <w:rsid w:val="0ECA59D0"/>
    <w:rsid w:val="0F0D1449"/>
    <w:rsid w:val="0F178A0D"/>
    <w:rsid w:val="0F24EA9A"/>
    <w:rsid w:val="0F4C5136"/>
    <w:rsid w:val="0F70FF59"/>
    <w:rsid w:val="0F9F6B8C"/>
    <w:rsid w:val="0FBD9C23"/>
    <w:rsid w:val="101F7CB0"/>
    <w:rsid w:val="1024BB66"/>
    <w:rsid w:val="105874AB"/>
    <w:rsid w:val="1061CE51"/>
    <w:rsid w:val="1070FBAD"/>
    <w:rsid w:val="1096A244"/>
    <w:rsid w:val="1097B277"/>
    <w:rsid w:val="10DBA16C"/>
    <w:rsid w:val="11026965"/>
    <w:rsid w:val="11166EC4"/>
    <w:rsid w:val="115042CE"/>
    <w:rsid w:val="11637B88"/>
    <w:rsid w:val="11A6F416"/>
    <w:rsid w:val="11E47928"/>
    <w:rsid w:val="1200C10A"/>
    <w:rsid w:val="12361B65"/>
    <w:rsid w:val="1281C2B7"/>
    <w:rsid w:val="12EE5E85"/>
    <w:rsid w:val="12F5693B"/>
    <w:rsid w:val="12F618B2"/>
    <w:rsid w:val="13043FBB"/>
    <w:rsid w:val="13049F1F"/>
    <w:rsid w:val="13202EB7"/>
    <w:rsid w:val="13FCC2A0"/>
    <w:rsid w:val="141EFE22"/>
    <w:rsid w:val="142BFB17"/>
    <w:rsid w:val="14DE35DF"/>
    <w:rsid w:val="14FE1787"/>
    <w:rsid w:val="14FF5037"/>
    <w:rsid w:val="158047CB"/>
    <w:rsid w:val="159D6421"/>
    <w:rsid w:val="159E03F4"/>
    <w:rsid w:val="15A756B1"/>
    <w:rsid w:val="16168427"/>
    <w:rsid w:val="165CC7CE"/>
    <w:rsid w:val="16604D4F"/>
    <w:rsid w:val="16872832"/>
    <w:rsid w:val="1692C8F7"/>
    <w:rsid w:val="16E2A396"/>
    <w:rsid w:val="16E3FF10"/>
    <w:rsid w:val="17333B66"/>
    <w:rsid w:val="174FB664"/>
    <w:rsid w:val="17623ABD"/>
    <w:rsid w:val="1773D705"/>
    <w:rsid w:val="179AECBC"/>
    <w:rsid w:val="17C0C148"/>
    <w:rsid w:val="188025B3"/>
    <w:rsid w:val="189C33D9"/>
    <w:rsid w:val="18C794B2"/>
    <w:rsid w:val="18E243D2"/>
    <w:rsid w:val="19077648"/>
    <w:rsid w:val="19318DE4"/>
    <w:rsid w:val="19601D1F"/>
    <w:rsid w:val="1963F098"/>
    <w:rsid w:val="19C163D4"/>
    <w:rsid w:val="19C7CAC2"/>
    <w:rsid w:val="19FBB1A4"/>
    <w:rsid w:val="19FD0A75"/>
    <w:rsid w:val="1A10060D"/>
    <w:rsid w:val="1A4EC5BA"/>
    <w:rsid w:val="1A60035D"/>
    <w:rsid w:val="1AA46BE7"/>
    <w:rsid w:val="1AB876F6"/>
    <w:rsid w:val="1AE0F6D4"/>
    <w:rsid w:val="1B1460D9"/>
    <w:rsid w:val="1B17F3C0"/>
    <w:rsid w:val="1B8A0B92"/>
    <w:rsid w:val="1BA66D63"/>
    <w:rsid w:val="1BE29C8C"/>
    <w:rsid w:val="1C045EB0"/>
    <w:rsid w:val="1C1A9D80"/>
    <w:rsid w:val="1C3179E1"/>
    <w:rsid w:val="1CD2B94B"/>
    <w:rsid w:val="1D91C20F"/>
    <w:rsid w:val="1DA350FB"/>
    <w:rsid w:val="1E8952F5"/>
    <w:rsid w:val="1EB9C3A0"/>
    <w:rsid w:val="1ED38400"/>
    <w:rsid w:val="1ED44C6B"/>
    <w:rsid w:val="1EDA4FED"/>
    <w:rsid w:val="1F0E1DAF"/>
    <w:rsid w:val="1F206CE4"/>
    <w:rsid w:val="1F32C624"/>
    <w:rsid w:val="1F78BE17"/>
    <w:rsid w:val="1FB3326D"/>
    <w:rsid w:val="1FBFC0DF"/>
    <w:rsid w:val="2014E22E"/>
    <w:rsid w:val="2014EA85"/>
    <w:rsid w:val="204981A7"/>
    <w:rsid w:val="208B5003"/>
    <w:rsid w:val="20A545D4"/>
    <w:rsid w:val="20DD6432"/>
    <w:rsid w:val="21AB98D3"/>
    <w:rsid w:val="22342EFB"/>
    <w:rsid w:val="2257CDD3"/>
    <w:rsid w:val="225CCDAC"/>
    <w:rsid w:val="227B64E3"/>
    <w:rsid w:val="22B630F7"/>
    <w:rsid w:val="22C38AE3"/>
    <w:rsid w:val="22CD38E9"/>
    <w:rsid w:val="22D46EA9"/>
    <w:rsid w:val="23036BF1"/>
    <w:rsid w:val="231B5DDF"/>
    <w:rsid w:val="232315C9"/>
    <w:rsid w:val="232E4945"/>
    <w:rsid w:val="23B6CFF9"/>
    <w:rsid w:val="245E851B"/>
    <w:rsid w:val="24712876"/>
    <w:rsid w:val="24A9B20D"/>
    <w:rsid w:val="24F7B090"/>
    <w:rsid w:val="24FEEB70"/>
    <w:rsid w:val="25331AF5"/>
    <w:rsid w:val="2561DF4C"/>
    <w:rsid w:val="25B41DFC"/>
    <w:rsid w:val="261F4081"/>
    <w:rsid w:val="26580738"/>
    <w:rsid w:val="2664828E"/>
    <w:rsid w:val="266EE744"/>
    <w:rsid w:val="26A613A1"/>
    <w:rsid w:val="26B8B4A8"/>
    <w:rsid w:val="26BD6FFB"/>
    <w:rsid w:val="26D797D8"/>
    <w:rsid w:val="272152D5"/>
    <w:rsid w:val="272B8D9C"/>
    <w:rsid w:val="27486D2E"/>
    <w:rsid w:val="276FB7D9"/>
    <w:rsid w:val="278010BE"/>
    <w:rsid w:val="27BF3D63"/>
    <w:rsid w:val="27DF70B8"/>
    <w:rsid w:val="2822720F"/>
    <w:rsid w:val="283A282B"/>
    <w:rsid w:val="289837E0"/>
    <w:rsid w:val="28AFFB21"/>
    <w:rsid w:val="29240148"/>
    <w:rsid w:val="292592DC"/>
    <w:rsid w:val="2943B4DD"/>
    <w:rsid w:val="296FE856"/>
    <w:rsid w:val="297CD7F2"/>
    <w:rsid w:val="29B22552"/>
    <w:rsid w:val="29D7A7AF"/>
    <w:rsid w:val="29FA7A73"/>
    <w:rsid w:val="2A03C910"/>
    <w:rsid w:val="2A50BC3C"/>
    <w:rsid w:val="2B014360"/>
    <w:rsid w:val="2B3C4A20"/>
    <w:rsid w:val="2B89D5E3"/>
    <w:rsid w:val="2BC5EBDF"/>
    <w:rsid w:val="2BCBB282"/>
    <w:rsid w:val="2BD37DF9"/>
    <w:rsid w:val="2C299C58"/>
    <w:rsid w:val="2C4BD313"/>
    <w:rsid w:val="2C5D8B2B"/>
    <w:rsid w:val="2CDB3842"/>
    <w:rsid w:val="2D43D82C"/>
    <w:rsid w:val="2D67D8A3"/>
    <w:rsid w:val="2D91449F"/>
    <w:rsid w:val="2D93E133"/>
    <w:rsid w:val="2DB564B5"/>
    <w:rsid w:val="2DDF22D9"/>
    <w:rsid w:val="2DFEC4A7"/>
    <w:rsid w:val="2E8C79C0"/>
    <w:rsid w:val="2EA96490"/>
    <w:rsid w:val="2F0DFF03"/>
    <w:rsid w:val="2F378750"/>
    <w:rsid w:val="2F620E59"/>
    <w:rsid w:val="2F68130C"/>
    <w:rsid w:val="2FA5E04E"/>
    <w:rsid w:val="2FBD40D7"/>
    <w:rsid w:val="300EA6E8"/>
    <w:rsid w:val="3028BCDE"/>
    <w:rsid w:val="3052615C"/>
    <w:rsid w:val="3087C263"/>
    <w:rsid w:val="30976AC9"/>
    <w:rsid w:val="30AA903F"/>
    <w:rsid w:val="30B6250E"/>
    <w:rsid w:val="30CB00BA"/>
    <w:rsid w:val="30D133C4"/>
    <w:rsid w:val="30D9BC1D"/>
    <w:rsid w:val="3108C6FC"/>
    <w:rsid w:val="3112EE95"/>
    <w:rsid w:val="311E94CC"/>
    <w:rsid w:val="312AD80F"/>
    <w:rsid w:val="313E8FE7"/>
    <w:rsid w:val="314F14CA"/>
    <w:rsid w:val="315430EF"/>
    <w:rsid w:val="3154368D"/>
    <w:rsid w:val="3165033F"/>
    <w:rsid w:val="317FF916"/>
    <w:rsid w:val="31878729"/>
    <w:rsid w:val="31884D16"/>
    <w:rsid w:val="318AB207"/>
    <w:rsid w:val="31A86150"/>
    <w:rsid w:val="31B7DA91"/>
    <w:rsid w:val="31B9E70E"/>
    <w:rsid w:val="31E6C208"/>
    <w:rsid w:val="31EC6CF1"/>
    <w:rsid w:val="31F4E2AC"/>
    <w:rsid w:val="3200FB5B"/>
    <w:rsid w:val="32353D1E"/>
    <w:rsid w:val="327B50B1"/>
    <w:rsid w:val="327C8939"/>
    <w:rsid w:val="32C3E543"/>
    <w:rsid w:val="32D3D16E"/>
    <w:rsid w:val="3316CE45"/>
    <w:rsid w:val="33221E63"/>
    <w:rsid w:val="33227070"/>
    <w:rsid w:val="33630927"/>
    <w:rsid w:val="33868D4E"/>
    <w:rsid w:val="340D786F"/>
    <w:rsid w:val="341144FC"/>
    <w:rsid w:val="3413539F"/>
    <w:rsid w:val="34202C41"/>
    <w:rsid w:val="343F08BE"/>
    <w:rsid w:val="344EB4F7"/>
    <w:rsid w:val="345B98DE"/>
    <w:rsid w:val="3482CEC7"/>
    <w:rsid w:val="34A288A4"/>
    <w:rsid w:val="34BB6971"/>
    <w:rsid w:val="350403DC"/>
    <w:rsid w:val="3532D8FD"/>
    <w:rsid w:val="354C6327"/>
    <w:rsid w:val="35943F71"/>
    <w:rsid w:val="35A34352"/>
    <w:rsid w:val="3600E26C"/>
    <w:rsid w:val="364E5291"/>
    <w:rsid w:val="3663B188"/>
    <w:rsid w:val="36C6C08B"/>
    <w:rsid w:val="36FA2D37"/>
    <w:rsid w:val="370B7520"/>
    <w:rsid w:val="370C9269"/>
    <w:rsid w:val="37152227"/>
    <w:rsid w:val="372D1B43"/>
    <w:rsid w:val="3732E5E5"/>
    <w:rsid w:val="3766F610"/>
    <w:rsid w:val="37729863"/>
    <w:rsid w:val="37924469"/>
    <w:rsid w:val="37B6E0ED"/>
    <w:rsid w:val="37BC6F9C"/>
    <w:rsid w:val="37E08D3D"/>
    <w:rsid w:val="381DA09E"/>
    <w:rsid w:val="3834B7F5"/>
    <w:rsid w:val="3845F191"/>
    <w:rsid w:val="3873A07D"/>
    <w:rsid w:val="3960A175"/>
    <w:rsid w:val="39674D45"/>
    <w:rsid w:val="39A67079"/>
    <w:rsid w:val="39F8D5E7"/>
    <w:rsid w:val="3A16B6ED"/>
    <w:rsid w:val="3AA8CCB6"/>
    <w:rsid w:val="3AB7297E"/>
    <w:rsid w:val="3B05446D"/>
    <w:rsid w:val="3B1179C9"/>
    <w:rsid w:val="3B30FD29"/>
    <w:rsid w:val="3B5D849C"/>
    <w:rsid w:val="3B7EC804"/>
    <w:rsid w:val="3BA8FD71"/>
    <w:rsid w:val="3BAD9601"/>
    <w:rsid w:val="3BC8D7D7"/>
    <w:rsid w:val="3C01C4A5"/>
    <w:rsid w:val="3C44B15A"/>
    <w:rsid w:val="3C493674"/>
    <w:rsid w:val="3C7B6B1F"/>
    <w:rsid w:val="3C8F0E06"/>
    <w:rsid w:val="3C91887F"/>
    <w:rsid w:val="3CAB424C"/>
    <w:rsid w:val="3CB4DAA9"/>
    <w:rsid w:val="3CD53246"/>
    <w:rsid w:val="3CFD83CA"/>
    <w:rsid w:val="3D32933E"/>
    <w:rsid w:val="3DFB951B"/>
    <w:rsid w:val="3E238739"/>
    <w:rsid w:val="3E2DCA2A"/>
    <w:rsid w:val="3E42C2EE"/>
    <w:rsid w:val="3E61A4F8"/>
    <w:rsid w:val="3E7B2697"/>
    <w:rsid w:val="3EAB09CE"/>
    <w:rsid w:val="3EF2CE47"/>
    <w:rsid w:val="3F3A0898"/>
    <w:rsid w:val="3F88BC07"/>
    <w:rsid w:val="3F966F69"/>
    <w:rsid w:val="3FBED368"/>
    <w:rsid w:val="3FE9FF26"/>
    <w:rsid w:val="3FF27578"/>
    <w:rsid w:val="401D7333"/>
    <w:rsid w:val="40292B80"/>
    <w:rsid w:val="40299D71"/>
    <w:rsid w:val="404942C0"/>
    <w:rsid w:val="404E18E3"/>
    <w:rsid w:val="404EDC94"/>
    <w:rsid w:val="4093D250"/>
    <w:rsid w:val="40B77F5F"/>
    <w:rsid w:val="40CAAF41"/>
    <w:rsid w:val="40DA5209"/>
    <w:rsid w:val="412C1FE8"/>
    <w:rsid w:val="418ADBC6"/>
    <w:rsid w:val="4198AF31"/>
    <w:rsid w:val="41AAA4F8"/>
    <w:rsid w:val="421FC50F"/>
    <w:rsid w:val="42787A2E"/>
    <w:rsid w:val="42914196"/>
    <w:rsid w:val="42A01E7F"/>
    <w:rsid w:val="42B5D23E"/>
    <w:rsid w:val="42EB3470"/>
    <w:rsid w:val="431155A1"/>
    <w:rsid w:val="432B9550"/>
    <w:rsid w:val="43313A62"/>
    <w:rsid w:val="4368D509"/>
    <w:rsid w:val="436A658B"/>
    <w:rsid w:val="4373FCEA"/>
    <w:rsid w:val="437DD549"/>
    <w:rsid w:val="4382D71C"/>
    <w:rsid w:val="439F330A"/>
    <w:rsid w:val="43C737B5"/>
    <w:rsid w:val="43E087B7"/>
    <w:rsid w:val="43ED4EFE"/>
    <w:rsid w:val="43F2E2CC"/>
    <w:rsid w:val="43FB6F8D"/>
    <w:rsid w:val="43FEE66E"/>
    <w:rsid w:val="440DF953"/>
    <w:rsid w:val="441C39DC"/>
    <w:rsid w:val="448F9797"/>
    <w:rsid w:val="44BAB155"/>
    <w:rsid w:val="44D43CF9"/>
    <w:rsid w:val="4539B6D2"/>
    <w:rsid w:val="454FD73A"/>
    <w:rsid w:val="457BB2E5"/>
    <w:rsid w:val="459070C3"/>
    <w:rsid w:val="45C0080A"/>
    <w:rsid w:val="46176710"/>
    <w:rsid w:val="461AB77B"/>
    <w:rsid w:val="46385FE1"/>
    <w:rsid w:val="46399990"/>
    <w:rsid w:val="465CBB33"/>
    <w:rsid w:val="469F0DFF"/>
    <w:rsid w:val="46ABE9FD"/>
    <w:rsid w:val="46B56039"/>
    <w:rsid w:val="46D8F837"/>
    <w:rsid w:val="46E88C25"/>
    <w:rsid w:val="46FAC475"/>
    <w:rsid w:val="477C7F04"/>
    <w:rsid w:val="478FFDCC"/>
    <w:rsid w:val="47AAAC89"/>
    <w:rsid w:val="47B38FA9"/>
    <w:rsid w:val="47E901A0"/>
    <w:rsid w:val="4885D377"/>
    <w:rsid w:val="48CAEEFC"/>
    <w:rsid w:val="48F75CA6"/>
    <w:rsid w:val="490664E6"/>
    <w:rsid w:val="4915A3D0"/>
    <w:rsid w:val="493FE9BE"/>
    <w:rsid w:val="4940E052"/>
    <w:rsid w:val="4A019647"/>
    <w:rsid w:val="4A0DBB4F"/>
    <w:rsid w:val="4A2145A0"/>
    <w:rsid w:val="4A2ACC48"/>
    <w:rsid w:val="4AA4214E"/>
    <w:rsid w:val="4AA82F0C"/>
    <w:rsid w:val="4AB47672"/>
    <w:rsid w:val="4AF63627"/>
    <w:rsid w:val="4B15BA93"/>
    <w:rsid w:val="4B304F0C"/>
    <w:rsid w:val="4B64F8E9"/>
    <w:rsid w:val="4BC6479B"/>
    <w:rsid w:val="4C588C8E"/>
    <w:rsid w:val="4C6D0A28"/>
    <w:rsid w:val="4C849636"/>
    <w:rsid w:val="4CC033DA"/>
    <w:rsid w:val="4CC9A4F2"/>
    <w:rsid w:val="4CFF3D8B"/>
    <w:rsid w:val="4D285A10"/>
    <w:rsid w:val="4D4D1117"/>
    <w:rsid w:val="4D98CDF1"/>
    <w:rsid w:val="4D9A555F"/>
    <w:rsid w:val="4DA9971F"/>
    <w:rsid w:val="4DC49643"/>
    <w:rsid w:val="4E276056"/>
    <w:rsid w:val="4E757AB7"/>
    <w:rsid w:val="4E959E9D"/>
    <w:rsid w:val="4EF2DCD8"/>
    <w:rsid w:val="4F2DF7A9"/>
    <w:rsid w:val="4F408739"/>
    <w:rsid w:val="4F880528"/>
    <w:rsid w:val="4FD7E8CA"/>
    <w:rsid w:val="5023F420"/>
    <w:rsid w:val="502582D8"/>
    <w:rsid w:val="50824FDE"/>
    <w:rsid w:val="50879491"/>
    <w:rsid w:val="50BD4B0C"/>
    <w:rsid w:val="512AAC05"/>
    <w:rsid w:val="514F5EF5"/>
    <w:rsid w:val="516B4498"/>
    <w:rsid w:val="51E99428"/>
    <w:rsid w:val="51FAD1B8"/>
    <w:rsid w:val="51FECE02"/>
    <w:rsid w:val="521664EC"/>
    <w:rsid w:val="52869576"/>
    <w:rsid w:val="52AD5B82"/>
    <w:rsid w:val="52B37039"/>
    <w:rsid w:val="52D2EE7E"/>
    <w:rsid w:val="5338E615"/>
    <w:rsid w:val="53528CED"/>
    <w:rsid w:val="5371A8FC"/>
    <w:rsid w:val="537358CD"/>
    <w:rsid w:val="53749DE2"/>
    <w:rsid w:val="5383F664"/>
    <w:rsid w:val="53A72918"/>
    <w:rsid w:val="53AAB7CD"/>
    <w:rsid w:val="53D0AAA2"/>
    <w:rsid w:val="540C361E"/>
    <w:rsid w:val="542DB55A"/>
    <w:rsid w:val="543C7896"/>
    <w:rsid w:val="544A6B8B"/>
    <w:rsid w:val="5452102F"/>
    <w:rsid w:val="546B8DF6"/>
    <w:rsid w:val="549C2ED9"/>
    <w:rsid w:val="54D735A8"/>
    <w:rsid w:val="55246DD2"/>
    <w:rsid w:val="552A0543"/>
    <w:rsid w:val="55342BA9"/>
    <w:rsid w:val="55433F5D"/>
    <w:rsid w:val="558D46A2"/>
    <w:rsid w:val="55DF3DFD"/>
    <w:rsid w:val="562DE7D9"/>
    <w:rsid w:val="56324B6D"/>
    <w:rsid w:val="564FACB8"/>
    <w:rsid w:val="5690A1BC"/>
    <w:rsid w:val="5697A489"/>
    <w:rsid w:val="56A009B0"/>
    <w:rsid w:val="56E3D536"/>
    <w:rsid w:val="56F6B23A"/>
    <w:rsid w:val="574A7316"/>
    <w:rsid w:val="578A6B56"/>
    <w:rsid w:val="578B436D"/>
    <w:rsid w:val="57C7CC7F"/>
    <w:rsid w:val="57FDB0CC"/>
    <w:rsid w:val="57FDE937"/>
    <w:rsid w:val="580512DE"/>
    <w:rsid w:val="584DE678"/>
    <w:rsid w:val="58516E89"/>
    <w:rsid w:val="585F8967"/>
    <w:rsid w:val="58899D3B"/>
    <w:rsid w:val="58C10E64"/>
    <w:rsid w:val="590EC9C4"/>
    <w:rsid w:val="591EB92D"/>
    <w:rsid w:val="59380A60"/>
    <w:rsid w:val="59394FC0"/>
    <w:rsid w:val="59706D15"/>
    <w:rsid w:val="59A71CF5"/>
    <w:rsid w:val="59F1C495"/>
    <w:rsid w:val="59F6D62D"/>
    <w:rsid w:val="5A20166F"/>
    <w:rsid w:val="5AA6232E"/>
    <w:rsid w:val="5AB989DD"/>
    <w:rsid w:val="5ADBC170"/>
    <w:rsid w:val="5AF3D714"/>
    <w:rsid w:val="5B0BA9AD"/>
    <w:rsid w:val="5B4C057E"/>
    <w:rsid w:val="5B4E76D0"/>
    <w:rsid w:val="5BB19FAC"/>
    <w:rsid w:val="5C492576"/>
    <w:rsid w:val="5C556953"/>
    <w:rsid w:val="5C7103F5"/>
    <w:rsid w:val="5C74AAE7"/>
    <w:rsid w:val="5CAEC7DD"/>
    <w:rsid w:val="5CBE1B03"/>
    <w:rsid w:val="5D5E158E"/>
    <w:rsid w:val="5D6E9D66"/>
    <w:rsid w:val="5DD72D6A"/>
    <w:rsid w:val="5E0D9CBE"/>
    <w:rsid w:val="5E4BBCD3"/>
    <w:rsid w:val="5E5EF3B8"/>
    <w:rsid w:val="5E82213F"/>
    <w:rsid w:val="5E8F07BC"/>
    <w:rsid w:val="5EA045DC"/>
    <w:rsid w:val="5EA52274"/>
    <w:rsid w:val="5ECA69F0"/>
    <w:rsid w:val="5F85C607"/>
    <w:rsid w:val="5F8F812B"/>
    <w:rsid w:val="5F92D266"/>
    <w:rsid w:val="603266C6"/>
    <w:rsid w:val="604494F5"/>
    <w:rsid w:val="60534E31"/>
    <w:rsid w:val="607F0A10"/>
    <w:rsid w:val="608BBCAC"/>
    <w:rsid w:val="60E831EA"/>
    <w:rsid w:val="614C76EB"/>
    <w:rsid w:val="61AAC487"/>
    <w:rsid w:val="61F7259D"/>
    <w:rsid w:val="628E12F7"/>
    <w:rsid w:val="62AD6DA1"/>
    <w:rsid w:val="62B366B4"/>
    <w:rsid w:val="62E26512"/>
    <w:rsid w:val="6319E358"/>
    <w:rsid w:val="63280414"/>
    <w:rsid w:val="6342CCD3"/>
    <w:rsid w:val="63650122"/>
    <w:rsid w:val="638D6352"/>
    <w:rsid w:val="63B17D15"/>
    <w:rsid w:val="63F17E77"/>
    <w:rsid w:val="63F21304"/>
    <w:rsid w:val="643860EB"/>
    <w:rsid w:val="6453FD14"/>
    <w:rsid w:val="6497D825"/>
    <w:rsid w:val="649DC3BE"/>
    <w:rsid w:val="64B904E4"/>
    <w:rsid w:val="64C26568"/>
    <w:rsid w:val="65144246"/>
    <w:rsid w:val="652588C3"/>
    <w:rsid w:val="656E5E21"/>
    <w:rsid w:val="657478CB"/>
    <w:rsid w:val="65848B55"/>
    <w:rsid w:val="659620DF"/>
    <w:rsid w:val="661C47B0"/>
    <w:rsid w:val="6648141D"/>
    <w:rsid w:val="6697EA16"/>
    <w:rsid w:val="66A53F12"/>
    <w:rsid w:val="66D7BD2A"/>
    <w:rsid w:val="66DBEFDB"/>
    <w:rsid w:val="67664C84"/>
    <w:rsid w:val="6783A62E"/>
    <w:rsid w:val="67A1828E"/>
    <w:rsid w:val="67A34240"/>
    <w:rsid w:val="68395B67"/>
    <w:rsid w:val="68CE9CBE"/>
    <w:rsid w:val="68DFF069"/>
    <w:rsid w:val="68E85721"/>
    <w:rsid w:val="68E8AB95"/>
    <w:rsid w:val="692C7664"/>
    <w:rsid w:val="693D37E2"/>
    <w:rsid w:val="6965E94F"/>
    <w:rsid w:val="6979A4BF"/>
    <w:rsid w:val="6A241C22"/>
    <w:rsid w:val="6A24F1F4"/>
    <w:rsid w:val="6A3431CB"/>
    <w:rsid w:val="6A380765"/>
    <w:rsid w:val="6A40ABB2"/>
    <w:rsid w:val="6AC27D11"/>
    <w:rsid w:val="6AFFBBAE"/>
    <w:rsid w:val="6B018F84"/>
    <w:rsid w:val="6B2FDB09"/>
    <w:rsid w:val="6B43F546"/>
    <w:rsid w:val="6B9B49F9"/>
    <w:rsid w:val="6BA1917A"/>
    <w:rsid w:val="6BBD158D"/>
    <w:rsid w:val="6BC48AC8"/>
    <w:rsid w:val="6BDC9A88"/>
    <w:rsid w:val="6C0CE54F"/>
    <w:rsid w:val="6C1148CC"/>
    <w:rsid w:val="6C12C9C7"/>
    <w:rsid w:val="6C2EA7E2"/>
    <w:rsid w:val="6C50872D"/>
    <w:rsid w:val="6C6FE039"/>
    <w:rsid w:val="6C712B40"/>
    <w:rsid w:val="6C7B162B"/>
    <w:rsid w:val="6C7D8DF7"/>
    <w:rsid w:val="6C8C4673"/>
    <w:rsid w:val="6D4C6D71"/>
    <w:rsid w:val="6E5305AF"/>
    <w:rsid w:val="6EBDF686"/>
    <w:rsid w:val="6EBE4662"/>
    <w:rsid w:val="6EC27DB4"/>
    <w:rsid w:val="6EC5769A"/>
    <w:rsid w:val="6F43A656"/>
    <w:rsid w:val="6F8A1C9F"/>
    <w:rsid w:val="6FBE92EA"/>
    <w:rsid w:val="704BECF0"/>
    <w:rsid w:val="705096B8"/>
    <w:rsid w:val="707E34C5"/>
    <w:rsid w:val="70905883"/>
    <w:rsid w:val="709142ED"/>
    <w:rsid w:val="70B8A193"/>
    <w:rsid w:val="70BB623E"/>
    <w:rsid w:val="70BE6E4A"/>
    <w:rsid w:val="70BE7B13"/>
    <w:rsid w:val="70F5D3E9"/>
    <w:rsid w:val="712359D3"/>
    <w:rsid w:val="714526A3"/>
    <w:rsid w:val="7145F3E5"/>
    <w:rsid w:val="714D639A"/>
    <w:rsid w:val="719330DC"/>
    <w:rsid w:val="7194C126"/>
    <w:rsid w:val="719E0B41"/>
    <w:rsid w:val="720F7618"/>
    <w:rsid w:val="722C0E79"/>
    <w:rsid w:val="72B7AD9C"/>
    <w:rsid w:val="72D1ACAC"/>
    <w:rsid w:val="7327BA7D"/>
    <w:rsid w:val="732E7B87"/>
    <w:rsid w:val="736B53DF"/>
    <w:rsid w:val="736FB176"/>
    <w:rsid w:val="7376F5A2"/>
    <w:rsid w:val="7378F57F"/>
    <w:rsid w:val="737BC956"/>
    <w:rsid w:val="738E1F08"/>
    <w:rsid w:val="73A25CF4"/>
    <w:rsid w:val="73E5FB03"/>
    <w:rsid w:val="73E60AF1"/>
    <w:rsid w:val="74109E8F"/>
    <w:rsid w:val="74205355"/>
    <w:rsid w:val="7436C66F"/>
    <w:rsid w:val="7453CFAE"/>
    <w:rsid w:val="7497E09B"/>
    <w:rsid w:val="74B3C59A"/>
    <w:rsid w:val="74DF9E8B"/>
    <w:rsid w:val="751493FB"/>
    <w:rsid w:val="756C4501"/>
    <w:rsid w:val="7583CCDA"/>
    <w:rsid w:val="75A6DA98"/>
    <w:rsid w:val="75B7BFB9"/>
    <w:rsid w:val="75EDE2BE"/>
    <w:rsid w:val="76310088"/>
    <w:rsid w:val="76314E8B"/>
    <w:rsid w:val="763BDF69"/>
    <w:rsid w:val="765BBD7E"/>
    <w:rsid w:val="76603A6E"/>
    <w:rsid w:val="767D9DC5"/>
    <w:rsid w:val="767ECA3F"/>
    <w:rsid w:val="768F0DF4"/>
    <w:rsid w:val="76A9C46B"/>
    <w:rsid w:val="76F330B6"/>
    <w:rsid w:val="76FF7834"/>
    <w:rsid w:val="77FD4D1B"/>
    <w:rsid w:val="780FEEEE"/>
    <w:rsid w:val="781FE10D"/>
    <w:rsid w:val="7840B085"/>
    <w:rsid w:val="7873DFD0"/>
    <w:rsid w:val="78A522C0"/>
    <w:rsid w:val="78C3AA42"/>
    <w:rsid w:val="78F3CBE8"/>
    <w:rsid w:val="79048569"/>
    <w:rsid w:val="79277190"/>
    <w:rsid w:val="794EE1A4"/>
    <w:rsid w:val="799D582B"/>
    <w:rsid w:val="79B93D1B"/>
    <w:rsid w:val="79DD6EBA"/>
    <w:rsid w:val="79E98C5D"/>
    <w:rsid w:val="7A25EE71"/>
    <w:rsid w:val="7A610C09"/>
    <w:rsid w:val="7A6EF9E8"/>
    <w:rsid w:val="7AAF8D7A"/>
    <w:rsid w:val="7AB3C901"/>
    <w:rsid w:val="7ADA05C8"/>
    <w:rsid w:val="7B0198C8"/>
    <w:rsid w:val="7B0BD9B1"/>
    <w:rsid w:val="7B15C15F"/>
    <w:rsid w:val="7B196507"/>
    <w:rsid w:val="7B2AAAC4"/>
    <w:rsid w:val="7B38F7C6"/>
    <w:rsid w:val="7B3BE657"/>
    <w:rsid w:val="7B69C3E5"/>
    <w:rsid w:val="7B8B2BBE"/>
    <w:rsid w:val="7BD8D889"/>
    <w:rsid w:val="7BFF5C26"/>
    <w:rsid w:val="7C266F69"/>
    <w:rsid w:val="7C543553"/>
    <w:rsid w:val="7C583029"/>
    <w:rsid w:val="7C71DE3C"/>
    <w:rsid w:val="7C7F65F7"/>
    <w:rsid w:val="7C95C7F2"/>
    <w:rsid w:val="7CECE276"/>
    <w:rsid w:val="7CFA7826"/>
    <w:rsid w:val="7D624615"/>
    <w:rsid w:val="7E04362B"/>
    <w:rsid w:val="7E16E81A"/>
    <w:rsid w:val="7E9EC68A"/>
    <w:rsid w:val="7EA5FE30"/>
    <w:rsid w:val="7EC0797A"/>
    <w:rsid w:val="7F0A2585"/>
    <w:rsid w:val="7FAB978D"/>
    <w:rsid w:val="7FDE243A"/>
    <w:rsid w:val="7FFA2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F90BA"/>
  <w15:chartTrackingRefBased/>
  <w15:docId w15:val="{D5174093-8F9B-4E51-BE31-6D2E2DDB7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16DA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6DA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6D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6D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6D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6D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D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D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DA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16DA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16DA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16DA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16DA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16DA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16DA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16DA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16DA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16DA9"/>
    <w:rPr>
      <w:rFonts w:eastAsiaTheme="majorEastAsia" w:cstheme="majorBidi"/>
      <w:color w:val="272727" w:themeColor="text1" w:themeTint="D8"/>
    </w:rPr>
  </w:style>
  <w:style w:type="paragraph" w:styleId="Title">
    <w:name w:val="Title"/>
    <w:basedOn w:val="Normal"/>
    <w:next w:val="Normal"/>
    <w:link w:val="TitleChar"/>
    <w:uiPriority w:val="10"/>
    <w:qFormat/>
    <w:rsid w:val="00616DA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16DA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16DA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16D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6DA9"/>
    <w:pPr>
      <w:spacing w:before="160"/>
      <w:jc w:val="center"/>
    </w:pPr>
    <w:rPr>
      <w:i/>
      <w:iCs/>
      <w:color w:val="404040" w:themeColor="text1" w:themeTint="BF"/>
    </w:rPr>
  </w:style>
  <w:style w:type="character" w:styleId="QuoteChar" w:customStyle="1">
    <w:name w:val="Quote Char"/>
    <w:basedOn w:val="DefaultParagraphFont"/>
    <w:link w:val="Quote"/>
    <w:uiPriority w:val="29"/>
    <w:rsid w:val="00616DA9"/>
    <w:rPr>
      <w:i/>
      <w:iCs/>
      <w:color w:val="404040" w:themeColor="text1" w:themeTint="BF"/>
    </w:rPr>
  </w:style>
  <w:style w:type="paragraph" w:styleId="ListParagraph">
    <w:name w:val="List Paragraph"/>
    <w:basedOn w:val="Normal"/>
    <w:uiPriority w:val="34"/>
    <w:qFormat/>
    <w:rsid w:val="00616DA9"/>
    <w:pPr>
      <w:ind w:left="720"/>
      <w:contextualSpacing/>
    </w:pPr>
  </w:style>
  <w:style w:type="character" w:styleId="IntenseEmphasis">
    <w:name w:val="Intense Emphasis"/>
    <w:basedOn w:val="DefaultParagraphFont"/>
    <w:uiPriority w:val="21"/>
    <w:qFormat/>
    <w:rsid w:val="00616DA9"/>
    <w:rPr>
      <w:i/>
      <w:iCs/>
      <w:color w:val="0F4761" w:themeColor="accent1" w:themeShade="BF"/>
    </w:rPr>
  </w:style>
  <w:style w:type="paragraph" w:styleId="IntenseQuote">
    <w:name w:val="Intense Quote"/>
    <w:basedOn w:val="Normal"/>
    <w:next w:val="Normal"/>
    <w:link w:val="IntenseQuoteChar"/>
    <w:uiPriority w:val="30"/>
    <w:qFormat/>
    <w:rsid w:val="00616DA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16DA9"/>
    <w:rPr>
      <w:i/>
      <w:iCs/>
      <w:color w:val="0F4761" w:themeColor="accent1" w:themeShade="BF"/>
    </w:rPr>
  </w:style>
  <w:style w:type="character" w:styleId="IntenseReference">
    <w:name w:val="Intense Reference"/>
    <w:basedOn w:val="DefaultParagraphFont"/>
    <w:uiPriority w:val="32"/>
    <w:qFormat/>
    <w:rsid w:val="00616DA9"/>
    <w:rPr>
      <w:b/>
      <w:bCs/>
      <w:smallCaps/>
      <w:color w:val="0F4761" w:themeColor="accent1" w:themeShade="BF"/>
      <w:spacing w:val="5"/>
    </w:rPr>
  </w:style>
  <w:style w:type="character" w:styleId="Hyperlink">
    <w:name w:val="Hyperlink"/>
    <w:basedOn w:val="DefaultParagraphFont"/>
    <w:uiPriority w:val="99"/>
    <w:unhideWhenUsed/>
    <w:rsid w:val="00D506A0"/>
    <w:rPr>
      <w:color w:val="467886" w:themeColor="hyperlink"/>
      <w:u w:val="single"/>
    </w:rPr>
  </w:style>
  <w:style w:type="character" w:styleId="UnresolvedMention">
    <w:name w:val="Unresolved Mention"/>
    <w:basedOn w:val="DefaultParagraphFont"/>
    <w:uiPriority w:val="99"/>
    <w:semiHidden/>
    <w:unhideWhenUsed/>
    <w:rsid w:val="00D506A0"/>
    <w:rPr>
      <w:color w:val="605E5C"/>
      <w:shd w:val="clear" w:color="auto" w:fill="E1DFDD"/>
    </w:rPr>
  </w:style>
  <w:style w:type="character" w:styleId="FollowedHyperlink">
    <w:name w:val="FollowedHyperlink"/>
    <w:basedOn w:val="DefaultParagraphFont"/>
    <w:uiPriority w:val="99"/>
    <w:semiHidden/>
    <w:unhideWhenUsed/>
    <w:rsid w:val="00D506A0"/>
    <w:rPr>
      <w:color w:val="96607D" w:themeColor="followedHyperlink"/>
      <w:u w:val="single"/>
    </w:rPr>
  </w:style>
  <w:style w:type="paragraph" w:styleId="Header">
    <w:name w:val="header"/>
    <w:basedOn w:val="Normal"/>
    <w:link w:val="HeaderChar"/>
    <w:uiPriority w:val="99"/>
    <w:unhideWhenUsed/>
    <w:rsid w:val="00D506A0"/>
    <w:pPr>
      <w:tabs>
        <w:tab w:val="center" w:pos="4513"/>
        <w:tab w:val="right" w:pos="9026"/>
      </w:tabs>
      <w:spacing w:after="0" w:line="240" w:lineRule="auto"/>
    </w:pPr>
  </w:style>
  <w:style w:type="character" w:styleId="HeaderChar" w:customStyle="1">
    <w:name w:val="Header Char"/>
    <w:basedOn w:val="DefaultParagraphFont"/>
    <w:link w:val="Header"/>
    <w:uiPriority w:val="99"/>
    <w:rsid w:val="00D506A0"/>
  </w:style>
  <w:style w:type="paragraph" w:styleId="Footer">
    <w:name w:val="footer"/>
    <w:basedOn w:val="Normal"/>
    <w:link w:val="FooterChar"/>
    <w:uiPriority w:val="99"/>
    <w:unhideWhenUsed/>
    <w:rsid w:val="00D506A0"/>
    <w:pPr>
      <w:tabs>
        <w:tab w:val="center" w:pos="4513"/>
        <w:tab w:val="right" w:pos="9026"/>
      </w:tabs>
      <w:spacing w:after="0" w:line="240" w:lineRule="auto"/>
    </w:pPr>
  </w:style>
  <w:style w:type="character" w:styleId="FooterChar" w:customStyle="1">
    <w:name w:val="Footer Char"/>
    <w:basedOn w:val="DefaultParagraphFont"/>
    <w:link w:val="Footer"/>
    <w:uiPriority w:val="99"/>
    <w:rsid w:val="00D506A0"/>
  </w:style>
  <w:style w:type="character" w:styleId="HTMLCite">
    <w:name w:val="HTML Cite"/>
    <w:basedOn w:val="DefaultParagraphFont"/>
    <w:uiPriority w:val="99"/>
    <w:semiHidden/>
    <w:unhideWhenUsed/>
    <w:rsid w:val="00D506A0"/>
    <w:rPr>
      <w:i/>
      <w:iCs/>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2" /><Relationship Type="http://schemas.openxmlformats.org/officeDocument/2006/relationships/fontTable" Target="fontTable.xml" Id="rId74" /><Relationship Type="http://schemas.openxmlformats.org/officeDocument/2006/relationships/footnotes" Target="footnotes.xml" Id="rId5" /><Relationship Type="http://schemas.openxmlformats.org/officeDocument/2006/relationships/settings" Target="settings.xml" Id="rId3" /><Relationship Type="http://schemas.openxmlformats.org/officeDocument/2006/relationships/theme" Target="theme/theme1.xml" Id="rId75"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1.xml" Id="rId73" /><Relationship Type="http://schemas.openxmlformats.org/officeDocument/2006/relationships/webSettings" Target="webSettings.xml" Id="rId4" /><Relationship Type="http://schemas.openxmlformats.org/officeDocument/2006/relationships/hyperlink" Target="https://digitalcommons.du.edu/capstone_masters/364/" TargetMode="External" Id="Rf4a7193a4a934b51" /><Relationship Type="http://schemas.openxmlformats.org/officeDocument/2006/relationships/hyperlink" Target="https://doi.org/10.9734/ajarr/2025/v19i61057" TargetMode="External" Id="R12c072e705334499" /><Relationship Type="http://schemas.openxmlformats.org/officeDocument/2006/relationships/hyperlink" Target="https://publications.aap.org/pediatrics/article-abstract/125/4/e778/73159/Adolescent-Violence-Perpetration-Associations-With" TargetMode="External" Id="R843f01b1cecc452d" /><Relationship Type="http://schemas.openxmlformats.org/officeDocument/2006/relationships/hyperlink" Target="https://doi.org/10.1037/amp0001451" TargetMode="External" Id="Rea84d7b5e6be4f62" /><Relationship Type="http://schemas.openxmlformats.org/officeDocument/2006/relationships/hyperlink" Target="https://doi.org/10.1176/appi.ps.53.8.1001" TargetMode="External" Id="Rc1feb2ad3dc0426a" /><Relationship Type="http://schemas.openxmlformats.org/officeDocument/2006/relationships/hyperlink" Target="https://doi.org/10.1002/capr.12280" TargetMode="External" Id="R20ae961d5dd84e56" /><Relationship Type="http://schemas.openxmlformats.org/officeDocument/2006/relationships/hyperlink" Target="https://doi.org/10.1111/j.1475-3588.2006.00428.x" TargetMode="External" Id="Re8618ade09294c7e" /><Relationship Type="http://schemas.openxmlformats.org/officeDocument/2006/relationships/hyperlink" Target="https://doi.org/10.1186/1741-7015-12-72" TargetMode="External" Id="R7b95610691314e47" /><Relationship Type="http://schemas.openxmlformats.org/officeDocument/2006/relationships/hyperlink" Target="https://doi.org/10.1080/01933922.2016.1232322" TargetMode="External" Id="R6580b533bacc47bf" /><Relationship Type="http://schemas.openxmlformats.org/officeDocument/2006/relationships/hyperlink" Target="https://doi.org/10.1080/15401383.2013.844656" TargetMode="External" Id="R174816c5007d438c" /><Relationship Type="http://schemas.openxmlformats.org/officeDocument/2006/relationships/hyperlink" Target="https://doi.org/10.1186/1471-2458-10-20" TargetMode="External" Id="R4f9f5c69d1fd44c6" /><Relationship Type="http://schemas.openxmlformats.org/officeDocument/2006/relationships/hyperlink" Target="https://doi.org/10.1002/jgc4.1539" TargetMode="External" Id="Rec9e2f5673074c91" /><Relationship Type="http://schemas.openxmlformats.org/officeDocument/2006/relationships/hyperlink" Target="https://doi.org/10.3390/ijerph16132365" TargetMode="External" Id="Ra1178ec037484573" /><Relationship Type="http://schemas.openxmlformats.org/officeDocument/2006/relationships/hyperlink" Target="https://dera.ioe.ac.uk/id/eprint/39062/1/Evaluation_of_ASF_first_follow_up_survey.pdf" TargetMode="External" Id="R8ebbaef7dfa843a9" /><Relationship Type="http://schemas.openxmlformats.org/officeDocument/2006/relationships/hyperlink" Target="https://doi.org/10.1016/j.ijpsycho.2008.03.013" TargetMode="External" Id="R50fba7e82e084e9f" /><Relationship Type="http://schemas.openxmlformats.org/officeDocument/2006/relationships/hyperlink" Target="https://doi.org/10.1016/j.ijpsycho.2008.03.013" TargetMode="External" Id="Rd1861d0f99dd4030" /><Relationship Type="http://schemas.openxmlformats.org/officeDocument/2006/relationships/hyperlink" Target="https://carelearning.org.uk/qualifications/level-3-playwork/l3cd-pw5-wellbeing/4-2-explain-the-meaning-of-adverse-childhood-experiences-aces-and-how-this-may-influence-children-throughout-their-lives/" TargetMode="External" Id="R0b1d7c08579643c5" /><Relationship Type="http://schemas.openxmlformats.org/officeDocument/2006/relationships/hyperlink" Target="https://ncsacw.acf.hhs.gov/userfiles/files/SAMHSA_Trauma.pdf" TargetMode="External" Id="R820ce030d2884c2c" /><Relationship Type="http://schemas.openxmlformats.org/officeDocument/2006/relationships/hyperlink" Target="https://doi.org/10.1016/j.jad.2003.12.013" TargetMode="External" Id="Re5757dd26d7745cf" /><Relationship Type="http://schemas.openxmlformats.org/officeDocument/2006/relationships/hyperlink" Target="https://doi.org/10.1159/000069325" TargetMode="External" Id="Rad42dac4bfe44051" /><Relationship Type="http://schemas.openxmlformats.org/officeDocument/2006/relationships/hyperlink" Target="https://my.clevelandclinic.org/health/body/limbic-system" TargetMode="External" Id="Rd50064d117594c62" /><Relationship Type="http://schemas.openxmlformats.org/officeDocument/2006/relationships/hyperlink" Target="https://doi.org/10.1007/s12671-020-01425-3" TargetMode="External" Id="R6a4ce0e931df4385" /><Relationship Type="http://schemas.openxmlformats.org/officeDocument/2006/relationships/hyperlink" Target="https://psycnet.apa.org/record/2009-21674-014" TargetMode="External" Id="Rea5cc8fa9f9d49c6" /><Relationship Type="http://schemas.openxmlformats.org/officeDocument/2006/relationships/hyperlink" Target="https://doi.org/10.1016/j.psychres.2009.03.008" TargetMode="External" Id="R079476f8608e45a8" /><Relationship Type="http://schemas.openxmlformats.org/officeDocument/2006/relationships/hyperlink" Target="https://doi.org/10.1016/j.chc.2014.01.002" TargetMode="External" Id="R941d27443f6c42f4" /><Relationship Type="http://schemas.openxmlformats.org/officeDocument/2006/relationships/hyperlink" Target="https://doi.org/10.1016/j.paid.2007.11.018" TargetMode="External" Id="R32f345019a0f419d" /><Relationship Type="http://schemas.openxmlformats.org/officeDocument/2006/relationships/hyperlink" Target="https://doi.org/10.1038/nrn2345" TargetMode="External" Id="Rc86707ad1b36460d" /><Relationship Type="http://schemas.openxmlformats.org/officeDocument/2006/relationships/hyperlink" Target="https://doi.org/10.1161/01.cir.0000143074.54995.7f" TargetMode="External" Id="R5dcfad82128d4196" /><Relationship Type="http://schemas.openxmlformats.org/officeDocument/2006/relationships/hyperlink" Target="https://ravenpsychology.com/2025/04/13/impact-of-childhood-trauma-on-brain-development/" TargetMode="External" Id="Rbcb29067046343c1" /><Relationship Type="http://schemas.openxmlformats.org/officeDocument/2006/relationships/hyperlink" Target="https://doi.org/10.1001/jama.286.24.3089" TargetMode="External" Id="Ree81e664f2c74578" /><Relationship Type="http://schemas.openxmlformats.org/officeDocument/2006/relationships/hyperlink" Target="https://doi.org/10.1176/appi.ajp.160.8.1453" TargetMode="External" Id="Re4cfb3dad98c464c" /><Relationship Type="http://schemas.openxmlformats.org/officeDocument/2006/relationships/hyperlink" Target="https://doi.org/10.1037/a0017151" TargetMode="External" Id="R205c1c36e6cc47b1" /><Relationship Type="http://schemas.openxmlformats.org/officeDocument/2006/relationships/hyperlink" Target="https://doi.org/10.1016/j.amepre.2019.04.001" TargetMode="External" Id="Rb3e69488fa9b4407" /><Relationship Type="http://schemas.openxmlformats.org/officeDocument/2006/relationships/hyperlink" Target="https://doi.org/10.1007/s12671-013-0240-8" TargetMode="External" Id="R63870da6bd424b19" /><Relationship Type="http://schemas.openxmlformats.org/officeDocument/2006/relationships/hyperlink" Target="https://doi.org/10.1007/978-3-030-45627-6" TargetMode="External" Id="Re3e75661c96b47a2" /><Relationship Type="http://schemas.openxmlformats.org/officeDocument/2006/relationships/hyperlink" Target="https://doi.org/10.1007/978-3-030-45627-6" TargetMode="External" Id="R063aecfc968c4ab9" /><Relationship Type="http://schemas.openxmlformats.org/officeDocument/2006/relationships/hyperlink" Target="https://doi.org/10.1542/peds.2011-2662" TargetMode="External" Id="Rcf638e743d604933" /><Relationship Type="http://schemas.openxmlformats.org/officeDocument/2006/relationships/hyperlink" Target="https://doi.org/10.1016/j.amepre.2014.09.006" TargetMode="External" Id="R55a816500c9245f1" /><Relationship Type="http://schemas.openxmlformats.org/officeDocument/2006/relationships/hyperlink" Target="https://doi.org/10.1038/nrn2897" TargetMode="External" Id="R42a870daf5a04697" /><Relationship Type="http://schemas.openxmlformats.org/officeDocument/2006/relationships/hyperlink" Target="https://doi.org/10.15288/jsad.2008.69.291" TargetMode="External" Id="Reb1fd605b7474699" /><Relationship Type="http://schemas.openxmlformats.org/officeDocument/2006/relationships/hyperlink" Target="https://doi.org/10.1037/pst0000189" TargetMode="External" Id="R5b1f9799a05844ab" /><Relationship Type="http://schemas.openxmlformats.org/officeDocument/2006/relationships/hyperlink" Target="https://scienceinsights.org/how-childhood-trauma-changes-the-brain/" TargetMode="External" Id="Re7ca00222c684bfc" /><Relationship Type="http://schemas.openxmlformats.org/officeDocument/2006/relationships/hyperlink" Target="https://doi.org/10.4135/9781483346502.n32" TargetMode="External" Id="Rcd0672401df7499f" /><Relationship Type="http://schemas.openxmlformats.org/officeDocument/2006/relationships/hyperlink" Target="https://doi.org/10.1177/0308575915610943" TargetMode="External" Id="R3c10bfd389b84933" /><Relationship Type="http://schemas.openxmlformats.org/officeDocument/2006/relationships/hyperlink" Target="https://ddpnetwork.org/library/healing-relational-trauma-with-attachment-focused-interventions/" TargetMode="External" Id="R390f56b9fc954ad1" /><Relationship Type="http://schemas.openxmlformats.org/officeDocument/2006/relationships/hyperlink" Target="https://doi.org/10.47067/ramss.v7i4.399" TargetMode="External" Id="Rc0da83fad5e244fd" /><Relationship Type="http://schemas.openxmlformats.org/officeDocument/2006/relationships/hyperlink" Target="https://doi.org/10.1542/peds.2012-0469" TargetMode="External" Id="R5825849cec3d48f7" /><Relationship Type="http://schemas.openxmlformats.org/officeDocument/2006/relationships/hyperlink" Target="https://doi.org/10.1038/s41390-021-01635-y" TargetMode="External" Id="Rcfee25afb9264465" /><Relationship Type="http://schemas.openxmlformats.org/officeDocument/2006/relationships/hyperlink" Target="https://doi.org/10.1017/s1474746419000101" TargetMode="External" Id="R0a3f74882cce4f85" /><Relationship Type="http://schemas.openxmlformats.org/officeDocument/2006/relationships/hyperlink" Target="https://doi.org/10.1007/s10995-017-2365-1" TargetMode="External" Id="Rfe8ae23984864104" /><Relationship Type="http://schemas.openxmlformats.org/officeDocument/2006/relationships/hyperlink" Target="https://doi.org/10.1080/10852352.2012.707439" TargetMode="External" Id="R0881a29d7fd646d2" /><Relationship Type="http://schemas.openxmlformats.org/officeDocument/2006/relationships/hyperlink" Target="https://doi.org/10.1007/s10560-018-0532-x" TargetMode="External" Id="R9438e2321ac94e9f" /><Relationship Type="http://schemas.openxmlformats.org/officeDocument/2006/relationships/hyperlink" Target="https://doi.org/10.1111/j.1751-7893.2011.00336.x" TargetMode="External" Id="Raa62c7637a304b86" /><Relationship Type="http://schemas.openxmlformats.org/officeDocument/2006/relationships/hyperlink" Target="https://doi.org/10.1016/j.chiabu.2017.03.016" TargetMode="External" Id="R6c47067d944a4438" /><Relationship Type="http://schemas.openxmlformats.org/officeDocument/2006/relationships/hyperlink" Target="https://doi.org/10.1007/s11031-007-9076-7" TargetMode="External" Id="R647e8102836341fc" /><Relationship Type="http://schemas.openxmlformats.org/officeDocument/2006/relationships/hyperlink" Target="https://www.youtube.com/watch?v=YiMjTzCnbNQ" TargetMode="External" Id="R95926ee37348472e" /><Relationship Type="http://schemas.openxmlformats.org/officeDocument/2006/relationships/hyperlink" Target="https://www.scirp.org/reference/referencespapers?referenceid=2988852" TargetMode="External" Id="R86a9b8db75f54905" /><Relationship Type="http://schemas.openxmlformats.org/officeDocument/2006/relationships/hyperlink" Target="https://doi.org/10.1093/scan/nsm034" TargetMode="External" Id="Ra27226f3cb2a4d5a" /><Relationship Type="http://schemas.openxmlformats.org/officeDocument/2006/relationships/hyperlink" Target="https://pmc.ncbi.nlm.nih.gov/articles/PMC6697064/" TargetMode="External" Id="R88b1f7424cff4722" /><Relationship Type="http://schemas.openxmlformats.org/officeDocument/2006/relationships/hyperlink" Target="https://doi.org/10.1136/bmjopen-2020-041339" TargetMode="External" Id="Rd2c10aa8653e4828" /><Relationship Type="http://schemas.openxmlformats.org/officeDocument/2006/relationships/hyperlink" Target="https://doi.org/10.20467/1091-5710.24.1.59" TargetMode="External" Id="R377371d21b194d50" /><Relationship Type="http://schemas.openxmlformats.org/officeDocument/2006/relationships/hyperlink" Target="https://doi.org/10.1016/j.genhosppsych.2023.11.012" TargetMode="External" Id="R73d316d2295c4772" /><Relationship Type="http://schemas.openxmlformats.org/officeDocument/2006/relationships/hyperlink" Target="https://doi.org/10.1016/j.genhosppsych.2023.11.012" TargetMode="External" Id="R2f55e24b66ec4b40" /><Relationship Type="http://schemas.openxmlformats.org/officeDocument/2006/relationships/footer" Target="footer.xml" Id="R6f8811fe3bbc493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Carlyle</dc:creator>
  <keywords/>
  <dc:description/>
  <lastModifiedBy>Katie Pointer-Carlyle (2103163)</lastModifiedBy>
  <revision>4</revision>
  <dcterms:created xsi:type="dcterms:W3CDTF">2025-11-24T20:01:00.0000000Z</dcterms:created>
  <dcterms:modified xsi:type="dcterms:W3CDTF">2025-12-09T21:03:00.8884174Z</dcterms:modified>
</coreProperties>
</file>