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rPr>
          <w:rFonts w:ascii="Helvetica" w:cs="Helvetica" w:hAnsi="Helvetica" w:eastAsia="Helvetica"/>
        </w:rPr>
      </w:pPr>
    </w:p>
    <w:p>
      <w:pPr>
        <w:pStyle w:val="Body A"/>
        <w:rPr>
          <w:rFonts w:ascii="Helvetica" w:cs="Helvetica" w:hAnsi="Helvetica" w:eastAsia="Helvetica"/>
        </w:rPr>
      </w:pPr>
    </w:p>
    <w:p>
      <w:pPr>
        <w:pStyle w:val="Body A"/>
        <w:jc w:val="center"/>
        <w:rPr>
          <w:rFonts w:ascii="Helvetica" w:cs="Helvetica" w:hAnsi="Helvetica" w:eastAsia="Helvetica"/>
          <w:sz w:val="42"/>
          <w:szCs w:val="42"/>
        </w:rPr>
      </w:pPr>
    </w:p>
    <w:tbl>
      <w:tblPr>
        <w:tblW w:w="9632"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816"/>
        <w:gridCol w:w="4816"/>
      </w:tblGrid>
      <w:tr>
        <w:tblPrEx>
          <w:shd w:val="clear" w:color="auto" w:fill="cadfff"/>
        </w:tblPrEx>
        <w:trPr>
          <w:trHeight w:val="613" w:hRule="atLeast"/>
        </w:trPr>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sz w:val="28"/>
                <w:szCs w:val="28"/>
                <w:rtl w:val="0"/>
                <w:lang w:val="en-US"/>
              </w:rPr>
              <w:t>Targed 1</w:t>
            </w:r>
          </w:p>
        </w:tc>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sz w:val="24"/>
                <w:szCs w:val="24"/>
                <w:rtl w:val="0"/>
                <w:lang w:val="en-US"/>
              </w:rPr>
              <w:t>Parhau i syntheseiddio ymchwil er mwyn cefnogi pwyntiau allweddol.</w:t>
            </w:r>
          </w:p>
        </w:tc>
      </w:tr>
      <w:tr>
        <w:tblPrEx>
          <w:shd w:val="clear" w:color="auto" w:fill="cadfff"/>
        </w:tblPrEx>
        <w:trPr>
          <w:trHeight w:val="372" w:hRule="atLeast"/>
        </w:trPr>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sz w:val="28"/>
                <w:szCs w:val="28"/>
                <w:rtl w:val="0"/>
                <w:lang w:val="en-US"/>
              </w:rPr>
              <w:t>Targed 2</w:t>
            </w:r>
          </w:p>
        </w:tc>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sz w:val="24"/>
                <w:szCs w:val="24"/>
                <w:rtl w:val="0"/>
                <w:lang w:val="en-US"/>
              </w:rPr>
              <w:t>Parhau i ddatblygu agwedd feirniadol.</w:t>
            </w:r>
          </w:p>
        </w:tc>
      </w:tr>
      <w:tr>
        <w:tblPrEx>
          <w:shd w:val="clear" w:color="auto" w:fill="cadfff"/>
        </w:tblPrEx>
        <w:trPr>
          <w:trHeight w:val="372" w:hRule="atLeast"/>
        </w:trPr>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sz w:val="28"/>
                <w:szCs w:val="28"/>
                <w:rtl w:val="0"/>
                <w:lang w:val="en-US"/>
              </w:rPr>
              <w:t>Targed 3</w:t>
            </w:r>
          </w:p>
        </w:tc>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sz w:val="24"/>
                <w:szCs w:val="24"/>
                <w:rtl w:val="0"/>
                <w:lang w:val="en-US"/>
              </w:rPr>
              <w:t>Parhau i fireinio ar sgiliau cyfeirnodi.</w:t>
            </w:r>
          </w:p>
        </w:tc>
      </w:tr>
    </w:tbl>
    <w:p>
      <w:pPr>
        <w:pStyle w:val="Body A"/>
        <w:widowControl w:val="0"/>
        <w:ind w:left="108" w:hanging="108"/>
        <w:jc w:val="center"/>
        <w:rPr>
          <w:rFonts w:ascii="Helvetica" w:cs="Helvetica" w:hAnsi="Helvetica" w:eastAsia="Helvetica"/>
          <w:sz w:val="42"/>
          <w:szCs w:val="42"/>
        </w:rPr>
      </w:pPr>
    </w:p>
    <w:p>
      <w:pPr>
        <w:pStyle w:val="Default"/>
        <w:spacing w:after="240" w:line="740" w:lineRule="atLeast"/>
        <w:jc w:val="center"/>
        <w:rPr>
          <w:rFonts w:ascii="Helvetica" w:cs="Helvetica" w:hAnsi="Helvetica" w:eastAsia="Helvetica"/>
          <w:b w:val="1"/>
          <w:bCs w:val="1"/>
          <w:sz w:val="42"/>
          <w:szCs w:val="42"/>
        </w:rPr>
      </w:pPr>
    </w:p>
    <w:p>
      <w:pPr>
        <w:pStyle w:val="Default"/>
        <w:spacing w:after="240" w:line="740" w:lineRule="atLeast"/>
        <w:jc w:val="center"/>
        <w:rPr>
          <w:rFonts w:ascii="Helvetica" w:cs="Helvetica" w:hAnsi="Helvetica" w:eastAsia="Helvetica"/>
          <w:b w:val="1"/>
          <w:bCs w:val="1"/>
          <w:sz w:val="36"/>
          <w:szCs w:val="36"/>
          <w:u w:val="single"/>
        </w:rPr>
      </w:pPr>
      <w:r>
        <w:rPr>
          <w:rFonts w:ascii="Helvetica" w:hAnsi="Helvetica"/>
          <w:b w:val="1"/>
          <w:bCs w:val="1"/>
          <w:sz w:val="36"/>
          <w:szCs w:val="36"/>
          <w:u w:val="single"/>
          <w:rtl w:val="0"/>
          <w:lang w:val="en-US"/>
        </w:rPr>
        <w:t>Teitl y modwl: Astudiaethau Proffesiynol ac Addysgegol: Arwain y Dysgu: beth, sut a pham ydw i</w:t>
      </w:r>
      <w:r>
        <w:rPr>
          <w:rFonts w:ascii="Helvetica" w:hAnsi="Helvetica" w:hint="default"/>
          <w:b w:val="1"/>
          <w:bCs w:val="1"/>
          <w:sz w:val="36"/>
          <w:szCs w:val="36"/>
          <w:u w:val="single"/>
          <w:rtl w:val="0"/>
        </w:rPr>
        <w:t>’</w:t>
      </w:r>
      <w:r>
        <w:rPr>
          <w:rFonts w:ascii="Helvetica" w:hAnsi="Helvetica"/>
          <w:b w:val="1"/>
          <w:bCs w:val="1"/>
          <w:sz w:val="36"/>
          <w:szCs w:val="36"/>
          <w:u w:val="single"/>
          <w:rtl w:val="0"/>
          <w:lang w:val="en-US"/>
        </w:rPr>
        <w:t xml:space="preserve">n addysgu? </w:t>
      </w:r>
    </w:p>
    <w:p>
      <w:pPr>
        <w:pStyle w:val="Default"/>
        <w:spacing w:after="240" w:line="740" w:lineRule="atLeast"/>
        <w:jc w:val="center"/>
        <w:rPr>
          <w:rFonts w:ascii="Helvetica" w:cs="Helvetica" w:hAnsi="Helvetica" w:eastAsia="Helvetica"/>
          <w:b w:val="1"/>
          <w:bCs w:val="1"/>
          <w:sz w:val="36"/>
          <w:szCs w:val="36"/>
          <w:u w:val="single"/>
        </w:rPr>
      </w:pPr>
    </w:p>
    <w:p>
      <w:pPr>
        <w:pStyle w:val="Body"/>
        <w:spacing w:after="160" w:line="259" w:lineRule="auto"/>
        <w:jc w:val="center"/>
        <w:rPr>
          <w:rFonts w:ascii="Calibri" w:cs="Calibri" w:hAnsi="Calibri" w:eastAsia="Calibri"/>
          <w:sz w:val="32"/>
          <w:szCs w:val="32"/>
        </w:rPr>
      </w:pPr>
      <w:r>
        <w:rPr>
          <w:rFonts w:ascii="Calibri" w:cs="Calibri" w:hAnsi="Calibri" w:eastAsia="Calibri"/>
          <w:sz w:val="32"/>
          <w:szCs w:val="32"/>
          <w:rtl w:val="0"/>
          <w:lang w:val="de-DE"/>
        </w:rPr>
        <w:t>Aseiniad ECAD6008: Rhan 1</w:t>
      </w:r>
    </w:p>
    <w:tbl>
      <w:tblPr>
        <w:tblW w:w="901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689"/>
        <w:gridCol w:w="6327"/>
      </w:tblGrid>
      <w:tr>
        <w:tblPrEx>
          <w:shd w:val="clear" w:color="auto" w:fill="d0ddef"/>
        </w:tblPrEx>
        <w:trPr>
          <w:trHeight w:val="86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keepLines w:val="1"/>
              <w:bidi w:val="0"/>
              <w:spacing w:before="40" w:line="360" w:lineRule="auto"/>
              <w:ind w:left="0" w:right="0" w:firstLine="0"/>
              <w:jc w:val="center"/>
              <w:outlineLvl w:val="0"/>
              <w:rPr>
                <w:rtl w:val="0"/>
              </w:rPr>
            </w:pPr>
            <w:r>
              <w:rPr>
                <w:rFonts w:ascii="Calibri Light" w:cs="Calibri Light" w:hAnsi="Calibri Light" w:eastAsia="Calibri Light"/>
                <w:color w:val="1f4e79"/>
                <w:sz w:val="28"/>
                <w:szCs w:val="28"/>
                <w:u w:color="1f4e79"/>
                <w:rtl w:val="0"/>
              </w:rPr>
              <w:t>Templed Profiad Proffesiynol 1:</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Diweddglo gwers Cydraddoldeb Rhyw</w:t>
            </w:r>
          </w:p>
        </w:tc>
      </w:tr>
      <w:tr>
        <w:tblPrEx>
          <w:shd w:val="clear" w:color="auto" w:fill="d0ddef"/>
        </w:tblPrEx>
        <w:trPr>
          <w:trHeight w:val="35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keepLines w:val="1"/>
              <w:bidi w:val="0"/>
              <w:spacing w:before="40" w:line="360" w:lineRule="auto"/>
              <w:ind w:left="0" w:right="0" w:firstLine="0"/>
              <w:jc w:val="center"/>
              <w:outlineLvl w:val="0"/>
              <w:rPr>
                <w:rtl w:val="0"/>
              </w:rPr>
            </w:pPr>
            <w:r>
              <w:rPr>
                <w:rFonts w:ascii="Calibri Light" w:cs="Calibri Light" w:hAnsi="Calibri Light" w:eastAsia="Calibri Light"/>
                <w:color w:val="1f4e79"/>
                <w:sz w:val="28"/>
                <w:szCs w:val="28"/>
                <w:u w:color="1f4e79"/>
                <w:rtl w:val="0"/>
                <w:lang w:val="de-DE"/>
              </w:rPr>
              <w:t>Safon Addysgeg</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color w:val="2e74b5"/>
                <w:sz w:val="28"/>
                <w:szCs w:val="28"/>
                <w:u w:color="2e74b5"/>
                <w:rtl w:val="0"/>
              </w:rPr>
              <w:t>Asesu ar gyfer dysgu</w:t>
            </w:r>
          </w:p>
        </w:tc>
      </w:tr>
      <w:tr>
        <w:tblPrEx>
          <w:shd w:val="clear" w:color="auto" w:fill="d0ddef"/>
        </w:tblPrEx>
        <w:trPr>
          <w:trHeight w:val="265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rPr>
              <w:t>Beth wnaethoch chi a pham?</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Defnyddir byrddau gwyn bach yn aml fel dull asesu ar gyfer dysgu (AAGD). Gyda dysgwyr blwyddyn 5 a 6 pan yn cyflwyno geirfa allweddol yn cydfynd a thema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wers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Cydraddoldeb rhyw</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defnyddir y byrddau gwyn bach i brofi eu dealltwriaeth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eirfa cyn symud ymlaen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dasg nesaf. Defnyddir y dull yma er mwyn asesu dealltwriaeth a chynnydd myfyrwyr; trwy ddefnyddio byrddau gwyn bach, roeddwn yn gallu gweld ymateb y dosbarth cyfan o fewn eiliadau.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Mae byrddau gwyn bach yn offeryn asesu ffurfiannol a oedd yn fy nghalluogi i ymgysylltu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â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meddwl, dealltwriaeth a chynnydd pob myfyriwr ar unwaith.</w:t>
            </w:r>
          </w:p>
        </w:tc>
      </w:tr>
      <w:tr>
        <w:tblPrEx>
          <w:shd w:val="clear" w:color="auto" w:fill="d0ddef"/>
        </w:tblPrEx>
        <w:trPr>
          <w:trHeight w:val="64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rPr>
              <w:t>Beth rydych chi wedi</w:t>
            </w:r>
            <w:r>
              <w:rPr>
                <w:rFonts w:ascii="Calibri Light" w:cs="Calibri Light" w:hAnsi="Calibri Light" w:eastAsia="Calibri Light"/>
                <w:b w:val="1"/>
                <w:bCs w:val="1"/>
                <w:color w:val="1f4d78"/>
                <w:spacing w:val="0"/>
                <w:sz w:val="24"/>
                <w:szCs w:val="24"/>
                <w:u w:color="1f4d78"/>
                <w:rtl w:val="0"/>
              </w:rPr>
              <w:t>’</w:t>
            </w:r>
            <w:r>
              <w:rPr>
                <w:rFonts w:ascii="Calibri Light" w:cs="Calibri Light" w:hAnsi="Calibri Light" w:eastAsia="Calibri Light"/>
                <w:b w:val="1"/>
                <w:bCs w:val="1"/>
                <w:color w:val="1f4d78"/>
                <w:spacing w:val="0"/>
                <w:sz w:val="24"/>
                <w:szCs w:val="24"/>
                <w:u w:color="1f4d78"/>
                <w:rtl w:val="0"/>
              </w:rPr>
              <w:t>i ddysgu?</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Ar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ô</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l defnyddio byrddau gwyn bach ar sawl achlysur dysgais sut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w ddefnyddio fel arf Asesu ar gyfer dysgu effeithiol. Drwy gynllunio cwestiynau cyfredol ymlaen llaw a safoni fformat ymateb, hynny yw ,os oeddwn yn disgwyl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i lenwi'r bwrdd, ysgrifennu llythyren neu 2-3 gair- drwy wneud hyn roeddwn yn gallu rhoi terfyn amser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dysgwyr yn ddibynnol ar y cwestiwn er mwyn wir asesu dealltwriaeth bob person. Ar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ô</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l defnyddio byrddau gwyn bach ar sawl achlysur fe wnes i safoni fformat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dangoswch i mi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3-2-1 dangoswch i mi!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neu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ysgrifennwch-cuddio-dangoswch i mi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Drwy wneud hyn roedd dysgwyr yn llai debygol o gop</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ï</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o ymatebion eraill gan fod pawb yn ddisgwyliedig i ddangos eu ymateb ar unwaith.Yn ogystal roedd fy lleoliad yn yr ystafell ddosbarth yn holl bwysig pan yn defnyddio byrddau gwyn bach, teimlaf gwneir y mwyaf o b</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ŵ</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er byrddau gwyn bach pan oeddwn yn si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ŵ</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fy mod wedi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i lleoli mewn man canolog, er mwyn sganio a darllen byrddau</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myfyrwyr yn gyflym ac yn effeithiol gan sicrhau bod pawb wedi ceisio ateb y cwestiwn.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Roedd defnyddio byrddau gwyn bach yn fy nghalluogi i rhoi adborth amser go iawn i dysgwyr drwy gywiro'r rhan fwyaf o gamgymeriadau neu gamddealltwriaeth yn syth yn y dosbarth ac gofyn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rhai a ateboddyn iawn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sut wnaethoch chi ei weithio allan?</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-Yna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rhai a oedd ychydig yn anghywir: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beth wnaeth i chi feddwl am hynny</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roedd y defnydd yma o gwestiynnu wedi brofi i fod effeithiol iawn mewn gwersi mathamateg gan roeddwn yn gallu gofyn i ddysgwyr i gerdded mi drwy eu ymatebion ar y bwrdd gwyn mawr. </w:t>
            </w:r>
          </w:p>
        </w:tc>
      </w:tr>
      <w:tr>
        <w:tblPrEx>
          <w:shd w:val="clear" w:color="auto" w:fill="d0ddef"/>
        </w:tblPrEx>
        <w:trPr>
          <w:trHeight w:val="72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lang w:val="en-US"/>
              </w:rPr>
              <w:t>Beth nesaf?</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rFonts w:ascii="Helvetica" w:hAnsi="Helvetica"/>
                <w:sz w:val="24"/>
                <w:szCs w:val="24"/>
                <w:rtl w:val="0"/>
              </w:rPr>
              <w:t>Er waethaf effeithlonrwydd y byrddau gwyn bach o ran cyflawni rai tasgau, deallaf bod gwendidau gan y dull hon. Er enghraifft; os oes gan ddysgwr anhawsterau prosesu, mae</w:t>
            </w:r>
            <w:r>
              <w:rPr>
                <w:rFonts w:ascii="Helvetica" w:hAnsi="Helvetica" w:hint="default"/>
                <w:sz w:val="24"/>
                <w:szCs w:val="24"/>
                <w:rtl w:val="0"/>
              </w:rPr>
              <w:t>’</w:t>
            </w:r>
            <w:r>
              <w:rPr>
                <w:rFonts w:ascii="Helvetica" w:hAnsi="Helvetica"/>
                <w:sz w:val="24"/>
                <w:szCs w:val="24"/>
                <w:rtl w:val="0"/>
              </w:rPr>
              <w:t>r terfyn amser byr i ysgrifennu ateb yn mynd i</w:t>
            </w:r>
            <w:r>
              <w:rPr>
                <w:rFonts w:ascii="Helvetica" w:hAnsi="Helvetica" w:hint="default"/>
                <w:sz w:val="24"/>
                <w:szCs w:val="24"/>
                <w:rtl w:val="0"/>
              </w:rPr>
              <w:t>’</w:t>
            </w:r>
            <w:r>
              <w:rPr>
                <w:rFonts w:ascii="Helvetica" w:hAnsi="Helvetica"/>
                <w:sz w:val="24"/>
                <w:szCs w:val="24"/>
                <w:rtl w:val="0"/>
              </w:rPr>
              <w:t>w drysu; yn yr un modd, efallai bod gan ddysgwr anhawsterau clyw ac felly heb glywed y cwestwin yn hollol glir, felly yn methu ateb y cwestiwn o gwbl. Deallaf felly mai ond ar rai adegau penodol byddai defnyddio y byrddau gwyn bach yn briodol. Yn amlwg, mae llu o stratagaethau AAGD gwahanol gallaf arbrofi gyda nhw er enghraifft, marcio cyfoedion. Os yn gwneud prawf sillafu neu dasg ysgrifinedig fyr, gallaf roi</w:t>
            </w:r>
            <w:r>
              <w:rPr>
                <w:rFonts w:ascii="Helvetica" w:hAnsi="Helvetica" w:hint="default"/>
                <w:sz w:val="24"/>
                <w:szCs w:val="24"/>
                <w:rtl w:val="0"/>
              </w:rPr>
              <w:t>’</w:t>
            </w:r>
            <w:r>
              <w:rPr>
                <w:rFonts w:ascii="Helvetica" w:hAnsi="Helvetica"/>
                <w:sz w:val="24"/>
                <w:szCs w:val="24"/>
                <w:rtl w:val="0"/>
              </w:rPr>
              <w:t>r cyfle i ddysgwyr farcio gwaith ei gilydd. Trwr roi cyfrifoldeb i ddysgwyr fod yn feirniadol o waith ei gilydd a roi</w:t>
            </w:r>
            <w:r>
              <w:rPr>
                <w:rFonts w:ascii="Helvetica" w:hAnsi="Helvetica" w:hint="default"/>
                <w:sz w:val="24"/>
                <w:szCs w:val="24"/>
                <w:rtl w:val="0"/>
              </w:rPr>
              <w:t>’</w:t>
            </w:r>
            <w:r>
              <w:rPr>
                <w:rFonts w:ascii="Helvetica" w:hAnsi="Helvetica"/>
                <w:sz w:val="24"/>
                <w:szCs w:val="24"/>
                <w:rtl w:val="0"/>
              </w:rPr>
              <w:t>r cyfle iddynt ddefnyddio beiro neu phensil lliw gwahanol, byddai hi yn gallu annog dysgwyr i fod yn mwy wyliadwrus tra yn cyflawni eu Gwaith oherwydd mae eu cyfoedion sydd yn gyfrifol am farcio. Os dwi am ddefnyddio y strategaeth hon, byddaf yn sicr o ddangos Meini Prawf Llwyddiant clir a chadarn i</w:t>
            </w:r>
            <w:r>
              <w:rPr>
                <w:rFonts w:ascii="Helvetica" w:hAnsi="Helvetica" w:hint="default"/>
                <w:sz w:val="24"/>
                <w:szCs w:val="24"/>
                <w:rtl w:val="0"/>
              </w:rPr>
              <w:t>’</w:t>
            </w:r>
            <w:r>
              <w:rPr>
                <w:rFonts w:ascii="Helvetica" w:hAnsi="Helvetica"/>
                <w:sz w:val="24"/>
                <w:szCs w:val="24"/>
                <w:rtl w:val="0"/>
              </w:rPr>
              <w:t>r dysgwyr er mwyn eu bod nhw yn deall beth maent yn marcio. Yn ychwanegol, roddi her i</w:t>
            </w:r>
            <w:r>
              <w:rPr>
                <w:rFonts w:ascii="Helvetica" w:hAnsi="Helvetica" w:hint="default"/>
                <w:sz w:val="24"/>
                <w:szCs w:val="24"/>
                <w:rtl w:val="0"/>
              </w:rPr>
              <w:t>’</w:t>
            </w:r>
            <w:r>
              <w:rPr>
                <w:rFonts w:ascii="Helvetica" w:hAnsi="Helvetica"/>
                <w:sz w:val="24"/>
                <w:szCs w:val="24"/>
                <w:rtl w:val="0"/>
              </w:rPr>
              <w:t>r dysgywr osod targed ar ddiwedd y darn o waith er mwyn sicrhau bod dysgwyr yn gweld sut i wella r gyfer y tro nesaf. Nid yn unig ydyw hyn yn fodd i annog dysgwyr i feddwl yn feirniadol ond hefyd yn roddi cyfrifoldeb iddynt ag ellir ei ystyried yn bwysig.</w:t>
            </w:r>
          </w:p>
        </w:tc>
      </w:tr>
    </w:tbl>
    <w:p>
      <w:pPr>
        <w:pStyle w:val="Body"/>
        <w:spacing w:after="160"/>
        <w:jc w:val="center"/>
        <w:rPr>
          <w:rFonts w:ascii="Calibri" w:cs="Calibri" w:hAnsi="Calibri" w:eastAsia="Calibri"/>
          <w:sz w:val="32"/>
          <w:szCs w:val="32"/>
        </w:rPr>
      </w:pPr>
    </w:p>
    <w:tbl>
      <w:tblPr>
        <w:tblW w:w="901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689"/>
        <w:gridCol w:w="6327"/>
      </w:tblGrid>
      <w:tr>
        <w:tblPrEx>
          <w:shd w:val="clear" w:color="auto" w:fill="d0ddef"/>
        </w:tblPrEx>
        <w:trPr>
          <w:trHeight w:val="86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keepLines w:val="1"/>
              <w:bidi w:val="0"/>
              <w:spacing w:before="40" w:line="360" w:lineRule="auto"/>
              <w:ind w:left="0" w:right="0" w:firstLine="0"/>
              <w:jc w:val="center"/>
              <w:outlineLvl w:val="0"/>
              <w:rPr>
                <w:rtl w:val="0"/>
              </w:rPr>
            </w:pPr>
            <w:r>
              <w:rPr>
                <w:rFonts w:ascii="Calibri Light" w:cs="Calibri Light" w:hAnsi="Calibri Light" w:eastAsia="Calibri Light"/>
                <w:color w:val="1f4e79"/>
                <w:sz w:val="28"/>
                <w:szCs w:val="28"/>
                <w:u w:color="1f4e79"/>
                <w:rtl w:val="0"/>
              </w:rPr>
              <w:t>Templed Profiad Proffesiynol 2:</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Gwers Billy Broga</w:t>
            </w:r>
          </w:p>
        </w:tc>
      </w:tr>
      <w:tr>
        <w:tblPrEx>
          <w:shd w:val="clear" w:color="auto" w:fill="d0ddef"/>
        </w:tblPrEx>
        <w:trPr>
          <w:trHeight w:val="6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keepLines w:val="1"/>
              <w:bidi w:val="0"/>
              <w:spacing w:before="40" w:line="360" w:lineRule="auto"/>
              <w:ind w:left="0" w:right="0" w:firstLine="0"/>
              <w:jc w:val="center"/>
              <w:outlineLvl w:val="0"/>
              <w:rPr>
                <w:rtl w:val="0"/>
              </w:rPr>
            </w:pPr>
            <w:r>
              <w:rPr>
                <w:rFonts w:ascii="Calibri Light" w:cs="Calibri Light" w:hAnsi="Calibri Light" w:eastAsia="Calibri Light"/>
                <w:color w:val="1f4e79"/>
                <w:sz w:val="28"/>
                <w:szCs w:val="28"/>
                <w:u w:color="1f4e79"/>
                <w:rtl w:val="0"/>
                <w:lang w:val="de-DE"/>
              </w:rPr>
              <w:t>Safon Addysgeg</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Light" w:cs="Calibri Light" w:hAnsi="Calibri Light" w:eastAsia="Calibri Light"/>
                <w:b w:val="1"/>
                <w:bCs w:val="1"/>
                <w:color w:val="2e74b5"/>
                <w:sz w:val="28"/>
                <w:szCs w:val="28"/>
                <w:u w:color="2e74b5"/>
                <w:rtl w:val="0"/>
              </w:rPr>
              <w:t>Profiadau dysgu cyfunol</w:t>
            </w:r>
          </w:p>
        </w:tc>
      </w:tr>
      <w:tr>
        <w:tblPrEx>
          <w:shd w:val="clear" w:color="auto" w:fill="d0ddef"/>
        </w:tblPrEx>
        <w:trPr>
          <w:trHeight w:val="52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rPr>
              <w:t>Beth wnaethoch chi a pham?</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Pan yn dysgu gwers Billy Broga i ddysgwyr dosbarth derbyn defnyddir tasgau cyfunnol i gyflwyno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stori. Defnyddir rhain er mwyn hwyluso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dysgu a sicrhau ymglymiad y dysgwyr i gynnwys y stori. Yn gyntaf darllenyr y stori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yna fe gafodd pob dysgwr, rhai yn unigol a rhai mewn grwpiau i adrodd rhan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stori, fe gafodd y dysgwyr gyfle i ffilmio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u cyfoedion gyda cymorth oedolyn a chreu c</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ô</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d QR i gyfateb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â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phob tudalen. Argraffwyd y codiau QR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u gludo i ddarn o garden. Crewyd wal stori a rhain er mwyn galluogi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i gael mynediad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w stori nhw pan oedd hi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n amser darllen/chwarae. Drwy galluogi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i gael y rhyddid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phrofiad newydd yma roeddynt wedi dysgu llawer mwy am gynnwys y stori nac oeddynt ar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ô</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l darllen y stori ar y carped fel arfer.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Seiliwyd y model dysgu cyfunnol ar y syniad bod dysgwyr yn dysgu orau pan gyflwynir cyfarwyddyd trwy gyfuniad hyblyg o ddwy neu fwy o gydrannau dysgu. Mae'n ddamcaniaeth sy'n seiliedig ar broses yn hytrach na ffocws ar gynnwys pwnc neu safonau,fe wnaeth y dysgwyr ddysgu sawl sgil gwahanol drwy</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broses yma megis adrodd yn unigol/ar y cyd, defnyddio iPad i ffilmio a chreu c</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ô</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d QR ar J2Blast.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tc>
      </w:tr>
      <w:tr>
        <w:tblPrEx>
          <w:shd w:val="clear" w:color="auto" w:fill="d0ddef"/>
        </w:tblPrEx>
        <w:trPr>
          <w:trHeight w:val="217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rPr>
              <w:t>Beth rydych chi wedi</w:t>
            </w:r>
            <w:r>
              <w:rPr>
                <w:rFonts w:ascii="Calibri Light" w:cs="Calibri Light" w:hAnsi="Calibri Light" w:eastAsia="Calibri Light"/>
                <w:b w:val="1"/>
                <w:bCs w:val="1"/>
                <w:color w:val="1f4d78"/>
                <w:spacing w:val="0"/>
                <w:sz w:val="24"/>
                <w:szCs w:val="24"/>
                <w:u w:color="1f4d78"/>
                <w:rtl w:val="0"/>
              </w:rPr>
              <w:t>’</w:t>
            </w:r>
            <w:r>
              <w:rPr>
                <w:rFonts w:ascii="Calibri Light" w:cs="Calibri Light" w:hAnsi="Calibri Light" w:eastAsia="Calibri Light"/>
                <w:b w:val="1"/>
                <w:bCs w:val="1"/>
                <w:color w:val="1f4d78"/>
                <w:spacing w:val="0"/>
                <w:sz w:val="24"/>
                <w:szCs w:val="24"/>
                <w:u w:color="1f4d78"/>
                <w:rtl w:val="0"/>
              </w:rPr>
              <w:t>i ddysgu?</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Un o fanteision amlwg y model hwn yw'r syniad, pan fydd dysgwyr yn gyfrifol am eu proses ddysgu, eu bod yn aml yn fwy tebygol o gwblhau'r gweithgaredd gydag ymdrech ac ymgysylltiad llawn. Mae dysgwyr hefyd yn dysgu i fyfyrio ar eu proses ddysgu, penderfynu beth weithiodd a beth i'w osgoi yn y gweithgaredd nesaf. Mae gwahaniaethu yn allweddol mewn addysg ac mae'r model hwn yn galluogi dysgwyr i weithio ar eu cyflymder a'u lefel eu hunain, ac felly mae gwahaniaethu'n haws ei gyflawni.</w:t>
            </w:r>
          </w:p>
        </w:tc>
      </w:tr>
      <w:tr>
        <w:tblPrEx>
          <w:shd w:val="clear" w:color="auto" w:fill="d0ddef"/>
        </w:tblPrEx>
        <w:trPr>
          <w:trHeight w:val="6003"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lang w:val="en-US"/>
              </w:rPr>
              <w:t>Beth nesaf?</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Yn sgil y Cwricwlwm i Gymru, deallaf bwysigrwydd datblygu cymhwysedd ddigidol dysgwyr ac felly dwi am sicrhau fy mod yn parhau i ddatblygu ac arbrofi gyda phrofiadau dysgu cyfunol.</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Er gwaethaf hyn, mae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n holl bwysig cydnabod bod rai gwendidau yn gysylltiedig gydag dysgu cyfnol. Er enghraifft,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da-DK"/>
              </w:rPr>
              <w:t>pryder am</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sgiliau llafar e.e.. ynganu a siarad. Y mae hyn yn bryder cyffredinol yngl</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ŷ</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n</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â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t>dysgu cyfunol a dysgu mwy digidol. Felly, er mwyn lleddfu</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r fath bryder rhaid, wrth ymgorffori dysgu cyfunol, fod gan athro ddigon o gymhwysedd digidol i fedru rhoddi adborth llafar drwy recordiadau llais/ fideo ar y gwaith a gyflwynwyd. Modd arall ydyw, cal disgyblion i ymateb i drafodaeth neu gyflwyno dadl drwy bostio fideo gan ddefnyddio</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nl-NL"/>
              </w:rPr>
              <w:t>Flipgrid</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neu os yw dysgwyr yn uwchlwytho gwaith i safle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Google Classroom</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bod athro yn gallu ymateb trwy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Mote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Deallaf bod ysgolion uwchradd yn defnyddio y fath raglenni ac felly trwy eu hymgorffori yn y cynradd, gallai</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r broses o bontio sgiliau ddigidol fod yn haws.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Credaf byddai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Mote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yn raglen hynod ddiddorol i</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w harbrofi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â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oherwydd mae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n galluogi i athro roi adborth lafar wedi</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recordio; byddai hyn yn golygu bod dysgywr yn medru gwrando ar yr adborth sawl gwaith, boed yn yr Ysgol neu yn y cartref; ond hefyd, gall rieni neu warchodwr wrando ar yr adborth ac felly yn medru cael mewnwelediad i safon eu plentyn nhw.</w:t>
            </w:r>
          </w:p>
        </w:tc>
      </w:tr>
    </w:tbl>
    <w:p>
      <w:pPr>
        <w:pStyle w:val="Body"/>
        <w:widowControl w:val="0"/>
        <w:spacing w:after="160"/>
        <w:jc w:val="center"/>
        <w:rPr>
          <w:rFonts w:ascii="Calibri" w:cs="Calibri" w:hAnsi="Calibri" w:eastAsia="Calibri"/>
          <w:sz w:val="32"/>
          <w:szCs w:val="32"/>
        </w:rPr>
      </w:pPr>
    </w:p>
    <w:p>
      <w:pPr>
        <w:pStyle w:val="Body"/>
        <w:spacing w:after="160" w:line="259" w:lineRule="auto"/>
        <w:rPr>
          <w:rFonts w:ascii="Calibri" w:cs="Calibri" w:hAnsi="Calibri" w:eastAsia="Calibri"/>
          <w:sz w:val="22"/>
          <w:szCs w:val="22"/>
        </w:rPr>
      </w:pPr>
    </w:p>
    <w:p>
      <w:pPr>
        <w:pStyle w:val="Body"/>
        <w:spacing w:after="160" w:line="259" w:lineRule="auto"/>
        <w:rPr>
          <w:rFonts w:ascii="Calibri" w:cs="Calibri" w:hAnsi="Calibri" w:eastAsia="Calibri"/>
          <w:sz w:val="22"/>
          <w:szCs w:val="22"/>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689"/>
        <w:gridCol w:w="6327"/>
      </w:tblGrid>
      <w:tr>
        <w:tblPrEx>
          <w:shd w:val="clear" w:color="auto" w:fill="d0ddef"/>
        </w:tblPrEx>
        <w:trPr>
          <w:trHeight w:val="86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keepLines w:val="1"/>
              <w:bidi w:val="0"/>
              <w:spacing w:before="40" w:line="360" w:lineRule="auto"/>
              <w:ind w:left="0" w:right="0" w:firstLine="0"/>
              <w:jc w:val="center"/>
              <w:outlineLvl w:val="0"/>
              <w:rPr>
                <w:rtl w:val="0"/>
              </w:rPr>
            </w:pPr>
            <w:r>
              <w:rPr>
                <w:rFonts w:ascii="Calibri Light" w:cs="Calibri Light" w:hAnsi="Calibri Light" w:eastAsia="Calibri Light"/>
                <w:color w:val="1f4e79"/>
                <w:sz w:val="28"/>
                <w:szCs w:val="28"/>
                <w:u w:color="1f4e79"/>
                <w:rtl w:val="0"/>
              </w:rPr>
              <w:t>Templed Profiad Proffesiynol 3</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Gwers cynhwysedd hylif</w:t>
            </w:r>
          </w:p>
        </w:tc>
      </w:tr>
      <w:tr>
        <w:tblPrEx>
          <w:shd w:val="clear" w:color="auto" w:fill="d0ddef"/>
        </w:tblPrEx>
        <w:trPr>
          <w:trHeight w:val="5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keepLines w:val="1"/>
              <w:bidi w:val="0"/>
              <w:spacing w:before="40" w:line="360" w:lineRule="auto"/>
              <w:ind w:left="0" w:right="0" w:firstLine="0"/>
              <w:jc w:val="center"/>
              <w:outlineLvl w:val="0"/>
              <w:rPr>
                <w:rtl w:val="0"/>
              </w:rPr>
            </w:pPr>
            <w:r>
              <w:rPr>
                <w:rFonts w:ascii="Calibri Light" w:cs="Calibri Light" w:hAnsi="Calibri Light" w:eastAsia="Calibri Light"/>
                <w:color w:val="1f4e79"/>
                <w:sz w:val="28"/>
                <w:szCs w:val="28"/>
                <w:u w:color="1f4e79"/>
                <w:rtl w:val="0"/>
                <w:lang w:val="de-DE"/>
              </w:rPr>
              <w:t>Safon Addysgeg</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Light" w:cs="Calibri Light" w:hAnsi="Calibri Light" w:eastAsia="Calibri Light"/>
                <w:b w:val="1"/>
                <w:bCs w:val="1"/>
                <w:color w:val="2e74b5"/>
                <w:sz w:val="28"/>
                <w:szCs w:val="28"/>
                <w:u w:color="2e74b5"/>
                <w:rtl w:val="0"/>
              </w:rPr>
              <w:t>Cyd-destunau dilys bywyd go iawn</w:t>
            </w:r>
          </w:p>
        </w:tc>
      </w:tr>
      <w:tr>
        <w:tblPrEx>
          <w:shd w:val="clear" w:color="auto" w:fill="d0ddef"/>
        </w:tblPrEx>
        <w:trPr>
          <w:trHeight w:val="52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rPr>
              <w:t>Beth wnaethoch chi a pham?</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Ar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ô</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l cyflwyno gawith cynhwysedd hylif (mililitrau a litrau) i ddysgwyr blwyddyn 5 a 6 a chyflawni sawl tasg roeddwn am rhoi cyd-destun bywyd go iawn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er mwyn hybu eu dealltwriaeth. Gosodwyd waith catref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lle gofynnais iddynt ddod a unrhwyw boteli gwag oedd ganddynt yn y t</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ŷ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ysgol. Fe gasglon tua 40 botel, fe wnesi dynnu bob label i ffwrdd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boteli a rhoi sticr a rhif ar bob botel ac yna dosbarthu</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i grwpiau o 3. Yn gyntaf roedd rhaid i un aelod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gr</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ŵ</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p fynd i gasglu tua 4 botel ar gyfer y gr</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ŵ</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p ac yna yn eu grwpiau eu tasg nhw oedd i amcangyfrif cynhwysedd y boteli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u rhoi i mewn i dabl. Yn nesaf roedd y dysgwyr i ddefnyddio jygiau mesur a d</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ŵ</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i gyfrifo cyfaint y boteli, nodi y canlyniadau yn eu tabl ac yna cyfnewid boteli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â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grwp arall.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Mae dysgu cyd-destunol yn archwilio sut y gall dod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â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dysgu yn ei gyd-destun wneud y profiad yn fwy ystyrlon i ddysgwyr. Fel rhan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broses o archwilio cynnwys ar draws gwahanol gyd-destunau a gweld sut mae</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n berthnasol, mae profiad dysgu cyd-destunol yn paratoi dysgwyr ar gyfer bywyd y tu allan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ystafell ddosbarth. Mae</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n galluogi dysgwyr i ddechrau cysyniadoli sut mae'r wybodaeth a gawsant yn ystod eu hastudiaethau yn berthnasol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w bywyd go iawn.</w:t>
            </w:r>
          </w:p>
        </w:tc>
      </w:tr>
      <w:tr>
        <w:tblPrEx>
          <w:shd w:val="clear" w:color="auto" w:fill="d0ddef"/>
        </w:tblPrEx>
        <w:trPr>
          <w:trHeight w:val="433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rPr>
              <w:t>Beth rydych chi wedi</w:t>
            </w:r>
            <w:r>
              <w:rPr>
                <w:rFonts w:ascii="Calibri Light" w:cs="Calibri Light" w:hAnsi="Calibri Light" w:eastAsia="Calibri Light"/>
                <w:b w:val="1"/>
                <w:bCs w:val="1"/>
                <w:color w:val="1f4d78"/>
                <w:spacing w:val="0"/>
                <w:sz w:val="24"/>
                <w:szCs w:val="24"/>
                <w:u w:color="1f4d78"/>
                <w:rtl w:val="0"/>
              </w:rPr>
              <w:t>’</w:t>
            </w:r>
            <w:r>
              <w:rPr>
                <w:rFonts w:ascii="Calibri Light" w:cs="Calibri Light" w:hAnsi="Calibri Light" w:eastAsia="Calibri Light"/>
                <w:b w:val="1"/>
                <w:bCs w:val="1"/>
                <w:color w:val="1f4d78"/>
                <w:spacing w:val="0"/>
                <w:sz w:val="24"/>
                <w:szCs w:val="24"/>
                <w:u w:color="1f4d78"/>
                <w:rtl w:val="0"/>
              </w:rPr>
              <w:t>i ddysgu?</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Dangosir y profiad yma bwsyigrwydd cyd-destun mewn addysgu gan er bod y dysgwyr wedi cyflawnni gwaith o safon i ymwneud a cynhwysedd hylif nid oedd ganddynt lawer o ddealltwriaeth pan ddaw i gyd-destun bywyd dydd i ddydd.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Gall gosod dysgu yn ei gyd-destun wneud y profiad dysgu yn fwy diddorol ac ysgogol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 Gall hyn yn ei dro gysylltu</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profiad dysgu yn agosach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â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bywyd y tu allan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ystafell ddosbarth, gan ei wneud yn berthnasol a chofiadwy a lleihau anhawster wrth gymhwyso cysyniadau newydd i sefyllfaoedd anghyfarwydd.Pan mae'r fframwaith dysgu yn tynnu ar dasgau, sefyllfaoedd a phroblemau'r byd go iawn mae dealltwriaeth y dysgwyr yn cynyddu. Wrth wneud hwn, gall dysgu ac asesu adlewyrchu</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byd go iawn yn ddilys a dangos sut y gellir disgwyl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i drosglwyddo eu gwybodaeth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u sgiliau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byd tu allan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ystafell ddosbarth tra hefyd yn cynyddu ar eu dealltwriawth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gwaith a gwbwlheir yn y dosbarth. </w:t>
            </w:r>
          </w:p>
        </w:tc>
      </w:tr>
      <w:tr>
        <w:tblPrEx>
          <w:shd w:val="clear" w:color="auto" w:fill="d0ddef"/>
        </w:tblPrEx>
        <w:trPr>
          <w:trHeight w:val="28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lang w:val="en-US"/>
              </w:rPr>
              <w:t>Beth nesaf?</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Yn symud ymlaen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profiad yma dymunaf ymgorffori mwy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cyd-destunau dilys bywyd go iawn yn fy ngwersi oherwydd mae hi wir yn galluogi i ddysgwyr gael blas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byd tu allan i furiau yr ysgol. Efallai, byddaf yn medru gwneud cysylltiad gyda rhywun yn y gymuned leol e.e milfeddyg neu perchenog busnes a gofyn iddynt i ddod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Ysgol i drafod ei gwaith nhw. Gallwn gynnal sesiwn holi ac ateb a gallai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dod i ddeall sut mae</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gwaith maent yn gwneud yn yr Ysgol yn mynd i fod o fudd neu yn werthfawr iddynt pan yn edrych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byd gwaith. Byddai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fath brofiad yn medru bod yn agoriad llygaid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wrth iddynt dod i ddeall mwy am eu cymuned leol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bobl sydd yn rhan ohoni.</w:t>
            </w:r>
          </w:p>
        </w:tc>
      </w:tr>
    </w:tbl>
    <w:p>
      <w:pPr>
        <w:pStyle w:val="Body"/>
        <w:widowControl w:val="0"/>
        <w:spacing w:after="160"/>
        <w:rPr>
          <w:rFonts w:ascii="Calibri" w:cs="Calibri" w:hAnsi="Calibri" w:eastAsia="Calibri"/>
          <w:sz w:val="22"/>
          <w:szCs w:val="22"/>
        </w:rPr>
      </w:pPr>
    </w:p>
    <w:p>
      <w:pPr>
        <w:pStyle w:val="Body"/>
        <w:spacing w:after="160" w:line="259" w:lineRule="auto"/>
        <w:rPr>
          <w:rFonts w:ascii="Calibri" w:cs="Calibri" w:hAnsi="Calibri" w:eastAsia="Calibri"/>
          <w:sz w:val="22"/>
          <w:szCs w:val="22"/>
        </w:rPr>
      </w:pPr>
    </w:p>
    <w:p>
      <w:pPr>
        <w:pStyle w:val="Body"/>
        <w:spacing w:after="160" w:line="259" w:lineRule="auto"/>
        <w:rPr>
          <w:rFonts w:ascii="Calibri" w:cs="Calibri" w:hAnsi="Calibri" w:eastAsia="Calibri"/>
          <w:sz w:val="22"/>
          <w:szCs w:val="22"/>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689"/>
        <w:gridCol w:w="6327"/>
      </w:tblGrid>
      <w:tr>
        <w:tblPrEx>
          <w:shd w:val="clear" w:color="auto" w:fill="d0ddef"/>
        </w:tblPrEx>
        <w:trPr>
          <w:trHeight w:val="86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keepLines w:val="1"/>
              <w:bidi w:val="0"/>
              <w:spacing w:before="40" w:line="360" w:lineRule="auto"/>
              <w:ind w:left="0" w:right="0" w:firstLine="0"/>
              <w:jc w:val="center"/>
              <w:outlineLvl w:val="0"/>
              <w:rPr>
                <w:rtl w:val="0"/>
              </w:rPr>
            </w:pPr>
            <w:r>
              <w:rPr>
                <w:rFonts w:ascii="Calibri Light" w:cs="Calibri Light" w:hAnsi="Calibri Light" w:eastAsia="Calibri Light"/>
                <w:color w:val="1f4e79"/>
                <w:sz w:val="28"/>
                <w:szCs w:val="28"/>
                <w:u w:color="1f4e79"/>
                <w:rtl w:val="0"/>
              </w:rPr>
              <w:t>Templed Profiad Proffesiynol 4</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Heriau Cydraddoldeb Rhyw</w:t>
            </w:r>
          </w:p>
        </w:tc>
      </w:tr>
      <w:tr>
        <w:tblPrEx>
          <w:shd w:val="clear" w:color="auto" w:fill="d0ddef"/>
        </w:tblPrEx>
        <w:trPr>
          <w:trHeight w:val="5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2"/>
              <w:keepLines w:val="1"/>
              <w:bidi w:val="0"/>
              <w:spacing w:before="40" w:line="360" w:lineRule="auto"/>
              <w:ind w:left="0" w:right="0" w:firstLine="0"/>
              <w:jc w:val="center"/>
              <w:outlineLvl w:val="0"/>
              <w:rPr>
                <w:rtl w:val="0"/>
              </w:rPr>
            </w:pPr>
            <w:r>
              <w:rPr>
                <w:rFonts w:ascii="Calibri Light" w:cs="Calibri Light" w:hAnsi="Calibri Light" w:eastAsia="Calibri Light"/>
                <w:color w:val="1f4e79"/>
                <w:sz w:val="28"/>
                <w:szCs w:val="28"/>
                <w:u w:color="1f4e79"/>
                <w:rtl w:val="0"/>
                <w:lang w:val="de-DE"/>
              </w:rPr>
              <w:t>Safon Addysgeg</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Light" w:cs="Calibri Light" w:hAnsi="Calibri Light" w:eastAsia="Calibri Light"/>
                <w:b w:val="1"/>
                <w:bCs w:val="1"/>
                <w:color w:val="2e74b5"/>
                <w:sz w:val="28"/>
                <w:szCs w:val="28"/>
                <w:u w:color="2e74b5"/>
                <w:rtl w:val="0"/>
                <w:lang w:val="de-DE"/>
              </w:rPr>
              <w:t>Them</w:t>
            </w:r>
            <w:r>
              <w:rPr>
                <w:rFonts w:ascii="Calibri Light" w:cs="Calibri Light" w:hAnsi="Calibri Light" w:eastAsia="Calibri Light"/>
                <w:b w:val="1"/>
                <w:bCs w:val="1"/>
                <w:color w:val="2e74b5"/>
                <w:sz w:val="28"/>
                <w:szCs w:val="28"/>
                <w:u w:color="2e74b5"/>
                <w:rtl w:val="0"/>
              </w:rPr>
              <w:t>â</w:t>
            </w:r>
            <w:r>
              <w:rPr>
                <w:rFonts w:ascii="Calibri Light" w:cs="Calibri Light" w:hAnsi="Calibri Light" w:eastAsia="Calibri Light"/>
                <w:b w:val="1"/>
                <w:bCs w:val="1"/>
                <w:color w:val="2e74b5"/>
                <w:sz w:val="28"/>
                <w:szCs w:val="28"/>
                <w:u w:color="2e74b5"/>
                <w:rtl w:val="0"/>
                <w:lang w:val="en-US"/>
              </w:rPr>
              <w:t>u traws-gwricwlaidd</w:t>
            </w:r>
          </w:p>
        </w:tc>
      </w:tr>
      <w:tr>
        <w:tblPrEx>
          <w:shd w:val="clear" w:color="auto" w:fill="d0ddef"/>
        </w:tblPrEx>
        <w:trPr>
          <w:trHeight w:val="529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rPr>
              <w:t>Beth wnaethoch chi a pham?</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Ar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ô</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l cyflwyno gwaith Cydraddoldeb rhyw i ddysgwyr blwyddyn 5 a 6 fe wnes i osod 4 her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i ymwneud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gwaith a ddysgwyd: Her maes mentro llythrennedd lle ofynnir iddynt greu diagram venn a dosbarthu geirfa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diagram venn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is-deitlau Merch a Bachgen. Her Maes Mentro rhifedd lle oedd rhaid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ddarllen ffeithluniau gwahanol i ymwneud a t</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â</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l menywod a dynion ac yna cyfrifo ac ateb y cwestiynau oedd yn dilyn. Her Maes Mentro creadigol lle roedd rhaid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ymchwilio i wahanol arlunwyr a dewis un gwryw ac un benyw ac yna i ddewis eu hoff un a chreu darlun wedi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i ysbrydoli gan eu hoff arlunydd. Her Maes Mentro Digidol- lle roedd rhaid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 dysgwyr ymchwilio i 10 person mwyaf cyfoethog y byd,creu cyflwyniad ar rhaglen o</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u dewis ac yna trafod y cymhareb rhwng dynion a menywod. Roedd bob bwrdd yn dechrau ar her gwahanol ac yna roedd rhaid i bob un ohnynt weithio mewn dilyniant i gwbwlhau bob tasg.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Defnyddir dysgu trawsgwricwlaidd i sefydlu patrymau gwybodaeth rhwng gwahanol bynciau academaidd. Mae</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n cy ffordd greadigol o ddatblygu gwybodaeth, dealltwriaeth a sgiliau ymarferol trwy astudiaeth o bynciau cydgysylltiedig.</w:t>
            </w:r>
          </w:p>
        </w:tc>
      </w:tr>
      <w:tr>
        <w:tblPrEx>
          <w:shd w:val="clear" w:color="auto" w:fill="d0ddef"/>
        </w:tblPrEx>
        <w:trPr>
          <w:trHeight w:val="3850"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rPr>
              <w:t>Beth rydych chi wedi</w:t>
            </w:r>
            <w:r>
              <w:rPr>
                <w:rFonts w:ascii="Calibri Light" w:cs="Calibri Light" w:hAnsi="Calibri Light" w:eastAsia="Calibri Light"/>
                <w:b w:val="1"/>
                <w:bCs w:val="1"/>
                <w:color w:val="1f4d78"/>
                <w:spacing w:val="0"/>
                <w:sz w:val="24"/>
                <w:szCs w:val="24"/>
                <w:u w:color="1f4d78"/>
                <w:rtl w:val="0"/>
              </w:rPr>
              <w:t>’</w:t>
            </w:r>
            <w:r>
              <w:rPr>
                <w:rFonts w:ascii="Calibri Light" w:cs="Calibri Light" w:hAnsi="Calibri Light" w:eastAsia="Calibri Light"/>
                <w:b w:val="1"/>
                <w:bCs w:val="1"/>
                <w:color w:val="1f4d78"/>
                <w:spacing w:val="0"/>
                <w:sz w:val="24"/>
                <w:szCs w:val="24"/>
                <w:u w:color="1f4d78"/>
                <w:rtl w:val="0"/>
              </w:rPr>
              <w:t>i ddysgu?</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Cynnigir gwaith trawsgwricwlaidd  ffordd greadigol o ddatblygu gwybodaeth, sgiliau a dealltwriaeth plant wrth eu hysgogi i ddysgu trwy bynciau ysgogol, rhyng-gysylltiedig. Mae astudiaeth sy'n croesi ffiniau pwnc yn caniat</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á</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u ar gyfer ymchwiliadau sy'n ennyn dychymyg y dysgwyr. Fe waneth hefyd rhoi cyfle i mi  annog ymholi gweithredol, cymryd yr awenau, a thrafodaeth a dadlau gan y dysgwyr. Pan yn cynllunio ar gyfer y wers yma roedd angen sicrhau bod y cysylltiadau rhwng y MDaPh yn real, nid yn rhai dirdynnol. Dewiswyd feysydd lle mae cysylltiadau gwirioneddol rhwng pynciau yn digwydd yn naturiol. Roedd rhaid sicrhau bod y cysylltiadau yn gwneud synnwyr i</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dysgwyr.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Yn ogystal i hyn roedd yn holl bwysig trafod gynllun tymor hir yr ysgol a</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r mentor dosbarth er mwyn edrych am unrhyw gysylltiadau amlwg rhwng pynciau a meysydd.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p>
        </w:tc>
      </w:tr>
      <w:tr>
        <w:tblPrEx>
          <w:shd w:val="clear" w:color="auto" w:fill="d0ddef"/>
        </w:tblPrEx>
        <w:trPr>
          <w:trHeight w:val="5043" w:hRule="atLeast"/>
        </w:trPr>
        <w:tc>
          <w:tcPr>
            <w:tcW w:type="dxa" w:w="26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Heading 3"/>
              <w:keepLines w:val="1"/>
              <w:pBdr>
                <w:top w:val="nil"/>
                <w:left w:val="nil"/>
                <w:bottom w:val="nil"/>
                <w:right w:val="nil"/>
              </w:pBdr>
              <w:bidi w:val="0"/>
              <w:spacing w:before="120" w:after="0" w:line="360" w:lineRule="auto"/>
              <w:ind w:left="0" w:right="0" w:firstLine="0"/>
              <w:jc w:val="center"/>
              <w:outlineLvl w:val="0"/>
              <w:rPr>
                <w:rtl w:val="0"/>
              </w:rPr>
            </w:pPr>
            <w:r>
              <w:rPr>
                <w:rFonts w:ascii="Calibri Light" w:cs="Calibri Light" w:hAnsi="Calibri Light" w:eastAsia="Calibri Light"/>
                <w:b w:val="1"/>
                <w:bCs w:val="1"/>
                <w:color w:val="1f4d78"/>
                <w:spacing w:val="0"/>
                <w:sz w:val="24"/>
                <w:szCs w:val="24"/>
                <w:u w:color="1f4d78"/>
                <w:rtl w:val="0"/>
                <w:lang w:val="en-US"/>
              </w:rPr>
              <w:t>Beth nesaf?</w:t>
            </w:r>
          </w:p>
        </w:tc>
        <w:tc>
          <w:tcPr>
            <w:tcW w:type="dxa" w:w="63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Gwelais wir gwerth mewn defnyddio sgiliau trawsgwriclwiadd ond yn y dyfodol hoffwn ffocysu ar sgiliau llythrennedd ac yn benodol dwyieithrwydd.</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Fel pwysleisia'r Cwricwlwm i Gymru, mae datblygu sgiliau dwyieithrwydd pobl ifanc Cymru yn hanfodol er mwyn sicrhau dyfodol ein hiaith a llwyddiant ein cenedl. Mae addysg ddwyieithog yn sicrhau dealltwriaeth bellach, trwy ddefnyddio holl sgiliau ieithyddol myfyrwyr er mwyn ymafael </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â </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thestun yn gadarn, mae</w:t>
            </w:r>
            <w:r>
              <w:rPr>
                <w:rFonts w:ascii="Calibri" w:cs="Calibri" w:hAnsi="Calibri"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r ddealltwriaeth yn cael ei gadarnhau ac felly yn galluogi ymdriniaeth hyderus a rhugl. Credaf yn gryf iawn yn natblygu sgiliau dwyieithog a dwi yn hynod awyddus i ymgorffori'r fath agwedd yn yr ystafell ddosbarth ac ym mywyd ysgol gyffredinol.</w:t>
            </w: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p>
          <w:p>
            <w:pPr>
              <w:pStyle w:val="Default"/>
              <w:jc w:val="left"/>
            </w:pPr>
            <w:r>
              <w:rPr>
                <w:rFonts w:ascii="Arial" w:hAnsi="Arial"/>
                <w:color w:val="161616"/>
                <w:rtl w:val="0"/>
                <w:lang w:val="en-US"/>
              </w:rPr>
              <w:t>B</w:t>
            </w:r>
            <w:r>
              <w:rPr>
                <w:rFonts w:ascii="Arial" w:hAnsi="Arial"/>
                <w:color w:val="161616"/>
                <w:rtl w:val="0"/>
                <w:lang w:val="en-US"/>
              </w:rPr>
              <w:t>yddaf yn awyddus iawn i ymgorffori trawsieithu i mewn i fy ngwersi a hyd yn oed ar draws yr ysgol gyfan yn sgil ei gynnwys yn llinnyn llythrennedd y Cwricwlwm newydd.</w:t>
            </w:r>
            <w:r>
              <w:rPr>
                <w:rFonts w:ascii="Arial" w:hAnsi="Arial" w:hint="default"/>
                <w:color w:val="161616"/>
                <w:rtl w:val="0"/>
              </w:rPr>
              <w:t> </w:t>
            </w:r>
            <w:r>
              <w:rPr>
                <w:rFonts w:ascii="Arial" w:hAnsi="Arial"/>
                <w:color w:val="161616"/>
                <w:rtl w:val="0"/>
                <w:lang w:val="en-US"/>
              </w:rPr>
              <w:t>Arfer addysgeg yw trawsieithu sy'n golygu symud rhwng dwy iaith ar gyfer mewnbwn ac allbwn yn yr un gweithgaredd. Mae'r dysgwr yn derbyn gwybodaeth mewn un iaith ac yn gweithio gyda'r wybodaeth honno mewn iaith arall.</w:t>
            </w:r>
          </w:p>
        </w:tc>
      </w:tr>
    </w:tbl>
    <w:p>
      <w:pPr>
        <w:pStyle w:val="Body"/>
        <w:widowControl w:val="0"/>
        <w:spacing w:after="160"/>
        <w:rPr>
          <w:rFonts w:ascii="Calibri" w:cs="Calibri" w:hAnsi="Calibri" w:eastAsia="Calibri"/>
          <w:sz w:val="22"/>
          <w:szCs w:val="22"/>
        </w:rPr>
      </w:pPr>
    </w:p>
    <w:p>
      <w:pPr>
        <w:pStyle w:val="Body"/>
        <w:spacing w:after="160" w:line="259" w:lineRule="auto"/>
        <w:rPr>
          <w:rFonts w:ascii="Calibri" w:cs="Calibri" w:hAnsi="Calibri" w:eastAsia="Calibri"/>
          <w:sz w:val="22"/>
          <w:szCs w:val="22"/>
        </w:rPr>
      </w:pPr>
    </w:p>
    <w:p>
      <w:pPr>
        <w:pStyle w:val="Body"/>
        <w:spacing w:after="160" w:line="259" w:lineRule="auto"/>
        <w:rPr>
          <w:rFonts w:ascii="Calibri" w:cs="Calibri" w:hAnsi="Calibri" w:eastAsia="Calibri"/>
          <w:sz w:val="24"/>
          <w:szCs w:val="24"/>
        </w:rPr>
      </w:pPr>
      <w:r>
        <w:rPr>
          <w:rFonts w:ascii="Calibri" w:cs="Calibri" w:hAnsi="Calibri" w:eastAsia="Calibri"/>
          <w:sz w:val="22"/>
          <w:szCs w:val="22"/>
          <w:rtl w:val="0"/>
          <w:lang w:val="es-ES_tradnl"/>
        </w:rPr>
        <w:t>Nifer y geiriau: Tua 2,000</w:t>
      </w:r>
    </w:p>
    <w:p>
      <w:pPr>
        <w:pStyle w:val="Default"/>
        <w:spacing w:after="240" w:line="740" w:lineRule="atLeast"/>
        <w:jc w:val="center"/>
        <w:rPr>
          <w:rFonts w:ascii="Helvetica" w:cs="Helvetica" w:hAnsi="Helvetica" w:eastAsia="Helvetica"/>
          <w:b w:val="0"/>
          <w:bCs w:val="0"/>
          <w:sz w:val="24"/>
          <w:szCs w:val="24"/>
          <w:u w:val="single"/>
        </w:rPr>
      </w:pPr>
    </w:p>
    <w:p>
      <w:pPr>
        <w:pStyle w:val="Body"/>
        <w:spacing w:after="160" w:line="259" w:lineRule="auto"/>
        <w:jc w:val="center"/>
        <w:rPr>
          <w:rFonts w:ascii="Calibri" w:cs="Calibri" w:hAnsi="Calibri" w:eastAsia="Calibri"/>
          <w:sz w:val="22"/>
          <w:szCs w:val="22"/>
        </w:rPr>
      </w:pPr>
    </w:p>
    <w:p>
      <w:pPr>
        <w:pStyle w:val="Body"/>
        <w:spacing w:after="160" w:line="360" w:lineRule="auto"/>
        <w:jc w:val="center"/>
        <w:rPr>
          <w:rFonts w:ascii="Calibri" w:cs="Calibri" w:hAnsi="Calibri" w:eastAsia="Calibri"/>
          <w:sz w:val="32"/>
          <w:szCs w:val="32"/>
        </w:rPr>
      </w:pPr>
      <w:r>
        <w:rPr>
          <w:rFonts w:ascii="Calibri" w:cs="Calibri" w:hAnsi="Calibri" w:eastAsia="Calibri"/>
          <w:sz w:val="32"/>
          <w:szCs w:val="32"/>
          <w:rtl w:val="0"/>
          <w:lang w:val="de-DE"/>
        </w:rPr>
        <w:t xml:space="preserve">Aseiniad ECAD6008: Rhan </w:t>
      </w:r>
      <w:r>
        <w:rPr>
          <w:rFonts w:ascii="Calibri" w:cs="Calibri" w:hAnsi="Calibri" w:eastAsia="Calibri"/>
          <w:sz w:val="32"/>
          <w:szCs w:val="32"/>
          <w:rtl w:val="0"/>
        </w:rPr>
        <w:t>2</w:t>
      </w:r>
    </w:p>
    <w:p>
      <w:pPr>
        <w:pStyle w:val="Body"/>
        <w:spacing w:after="160" w:line="360" w:lineRule="auto"/>
        <w:jc w:val="center"/>
        <w:rPr>
          <w:rFonts w:ascii="Calibri" w:cs="Calibri" w:hAnsi="Calibri" w:eastAsia="Calibri"/>
          <w:sz w:val="32"/>
          <w:szCs w:val="32"/>
        </w:rPr>
      </w:pPr>
    </w:p>
    <w:p>
      <w:pPr>
        <w:pStyle w:val="Body"/>
        <w:spacing w:line="480" w:lineRule="auto"/>
        <w:rPr>
          <w:rFonts w:ascii="Calibri" w:cs="Calibri" w:hAnsi="Calibri" w:eastAsia="Calibri"/>
        </w:rPr>
      </w:pPr>
      <w:r>
        <w:rPr>
          <w:rFonts w:ascii="Calibri" w:cs="Calibri" w:hAnsi="Calibri" w:eastAsia="Calibri"/>
          <w:rtl w:val="0"/>
        </w:rPr>
        <w:t>Yn yr aseiniad yma byddaf yn canolbwyntio ar ddau agwedd addysgeg sef Asesu ar Gyfer Dysgu a Dysgu Cyfunol. Bwriad yr aseiniad yw trafod ac archwilio</w:t>
      </w:r>
      <w:r>
        <w:rPr>
          <w:rFonts w:ascii="Calibri" w:cs="Calibri" w:hAnsi="Calibri" w:eastAsia="Calibri" w:hint="default"/>
          <w:rtl w:val="0"/>
          <w:lang w:val="en-US"/>
        </w:rPr>
        <w:t>’</w:t>
      </w:r>
      <w:r>
        <w:rPr>
          <w:rFonts w:ascii="Calibri" w:cs="Calibri" w:hAnsi="Calibri" w:eastAsia="Calibri"/>
          <w:rtl w:val="0"/>
          <w:lang w:val="en-US"/>
        </w:rPr>
        <w:t>r agweddau yma drwy gyfeirio at lenyddiaeth ac edrych yn gritigol a</w:t>
      </w:r>
      <w:r>
        <w:rPr>
          <w:rFonts w:ascii="Calibri" w:cs="Calibri" w:hAnsi="Calibri" w:eastAsia="Calibri" w:hint="default"/>
          <w:rtl w:val="0"/>
          <w:lang w:val="en-US"/>
        </w:rPr>
        <w:t>’</w:t>
      </w:r>
      <w:r>
        <w:rPr>
          <w:rFonts w:ascii="Calibri" w:cs="Calibri" w:hAnsi="Calibri" w:eastAsia="Calibri"/>
          <w:rtl w:val="0"/>
        </w:rPr>
        <w:t xml:space="preserve">r agweddau a ddewiswyd. Fe fydd yr ymchwil yma yn hynod ddefnyddiol i mi wrth symud ymlaen gyda fy ngyrfa ar </w:t>
      </w:r>
      <w:r>
        <w:rPr>
          <w:rFonts w:ascii="Calibri" w:cs="Calibri" w:hAnsi="Calibri" w:eastAsia="Calibri" w:hint="default"/>
          <w:rtl w:val="0"/>
          <w:lang w:val="en-US"/>
        </w:rPr>
        <w:t>ô</w:t>
      </w:r>
      <w:r>
        <w:rPr>
          <w:rFonts w:ascii="Calibri" w:cs="Calibri" w:hAnsi="Calibri" w:eastAsia="Calibri"/>
          <w:rtl w:val="0"/>
        </w:rPr>
        <w:t xml:space="preserve">l cwblhau fy mhrofiad PAP olaf ym mis Mawrth. Byddaf yn cyfeirio yn </w:t>
      </w:r>
      <w:r>
        <w:rPr>
          <w:rFonts w:ascii="Calibri" w:cs="Calibri" w:hAnsi="Calibri" w:eastAsia="Calibri" w:hint="default"/>
          <w:rtl w:val="0"/>
          <w:lang w:val="en-US"/>
        </w:rPr>
        <w:t>ô</w:t>
      </w:r>
      <w:r>
        <w:rPr>
          <w:rFonts w:ascii="Calibri" w:cs="Calibri" w:hAnsi="Calibri" w:eastAsia="Calibri"/>
          <w:rtl w:val="0"/>
        </w:rPr>
        <w:t>l i ran 1 lle cwblheir pedwar profiad proffesiynol addysgeg. Dewiswyd canolbwyntio ar yr agweddau penodol yma oherwydd  credaf fod  y wybodaeth a gasglwyd nid yn unig  yn fy nghynorthwyo i ddeall  pam maent yn bwysig ym myd addysg ond hefyd fy ngalluogi i ddatblygu ar y sgiliau a enwyd o fy mhrofiadau addysgu.</w:t>
      </w:r>
    </w:p>
    <w:p>
      <w:pPr>
        <w:pStyle w:val="Body"/>
        <w:spacing w:line="480" w:lineRule="auto"/>
        <w:rPr>
          <w:rFonts w:ascii="Calibri" w:cs="Calibri" w:hAnsi="Calibri" w:eastAsia="Calibri"/>
          <w:sz w:val="22"/>
          <w:szCs w:val="22"/>
        </w:rPr>
      </w:pPr>
    </w:p>
    <w:p>
      <w:pPr>
        <w:pStyle w:val="Body"/>
        <w:spacing w:line="480" w:lineRule="auto"/>
        <w:rPr>
          <w:rFonts w:ascii="Calibri" w:cs="Calibri" w:hAnsi="Calibri" w:eastAsia="Calibri"/>
        </w:rPr>
      </w:pPr>
    </w:p>
    <w:p>
      <w:pPr>
        <w:pStyle w:val="Body"/>
        <w:spacing w:line="480" w:lineRule="auto"/>
        <w:rPr>
          <w:rFonts w:ascii="Calibri" w:cs="Calibri" w:hAnsi="Calibri" w:eastAsia="Calibri"/>
          <w:b w:val="1"/>
          <w:bCs w:val="1"/>
          <w:u w:val="single"/>
        </w:rPr>
      </w:pPr>
      <w:r>
        <w:rPr>
          <w:rFonts w:ascii="Calibri" w:cs="Calibri" w:hAnsi="Calibri" w:eastAsia="Calibri"/>
          <w:b w:val="1"/>
          <w:bCs w:val="1"/>
          <w:u w:val="single"/>
          <w:rtl w:val="0"/>
        </w:rPr>
        <w:t>Asesu ar gyfer dysgu</w:t>
      </w:r>
    </w:p>
    <w:p>
      <w:pPr>
        <w:pStyle w:val="Body"/>
        <w:spacing w:line="480" w:lineRule="auto"/>
        <w:rPr>
          <w:rFonts w:ascii="Calibri" w:cs="Calibri" w:hAnsi="Calibri" w:eastAsia="Calibri"/>
          <w:b w:val="1"/>
          <w:bCs w:val="1"/>
          <w:u w:val="single"/>
        </w:rPr>
      </w:pPr>
    </w:p>
    <w:p>
      <w:pPr>
        <w:pStyle w:val="Body"/>
        <w:spacing w:line="480" w:lineRule="auto"/>
        <w:rPr>
          <w:rFonts w:ascii="Calibri" w:cs="Calibri" w:hAnsi="Calibri" w:eastAsia="Calibri"/>
        </w:rPr>
      </w:pPr>
      <w:r>
        <w:rPr>
          <w:rFonts w:ascii="Calibri" w:cs="Calibri" w:hAnsi="Calibri" w:eastAsia="Calibri"/>
          <w:rtl w:val="0"/>
          <w:lang w:val="en-US"/>
        </w:rPr>
        <w:t>Mae asesu ar gyfer dysgu (AAGD) yn canolbwyntio ar fonitro ansawdd y broses ddysgu ac ar ddarparu adborth parhaus i arwain dysgu ac addysgu, a all ddylanwadu'n gadarnhaol ar brosesau dysgu. Yn y tymor hir, gall asesu ar gyfer dysgu gyfrannu at ddatblygu sgiliau meta wybyddol a theimlad o berchnogaeth. Diffinnir Black a William AAGD fel y graddau y mae tystiolaeth am gyflawniad dysgwyr yn cael ei chasglu, ei dehongli, a</w:t>
      </w:r>
      <w:r>
        <w:rPr>
          <w:rFonts w:ascii="Calibri" w:cs="Calibri" w:hAnsi="Calibri" w:eastAsia="Calibri" w:hint="default"/>
          <w:rtl w:val="0"/>
          <w:lang w:val="en-US"/>
        </w:rPr>
        <w:t>’</w:t>
      </w:r>
      <w:r>
        <w:rPr>
          <w:rFonts w:ascii="Calibri" w:cs="Calibri" w:hAnsi="Calibri" w:eastAsia="Calibri"/>
          <w:rtl w:val="0"/>
        </w:rPr>
        <w:t>i defnyddio gan athrawon a dysgwyr i wneud penderfyniadau am y camau nesaf mewn addysgu sy</w:t>
      </w:r>
      <w:r>
        <w:rPr>
          <w:rFonts w:ascii="Calibri" w:cs="Calibri" w:hAnsi="Calibri" w:eastAsia="Calibri" w:hint="default"/>
          <w:rtl w:val="0"/>
          <w:lang w:val="en-US"/>
        </w:rPr>
        <w:t>’</w:t>
      </w:r>
      <w:r>
        <w:rPr>
          <w:rFonts w:ascii="Calibri" w:cs="Calibri" w:hAnsi="Calibri" w:eastAsia="Calibri"/>
          <w:rtl w:val="0"/>
          <w:lang w:val="en-US"/>
        </w:rPr>
        <w:t>n debygol o fod yn well, neu</w:t>
      </w:r>
      <w:r>
        <w:rPr>
          <w:rFonts w:ascii="Calibri" w:cs="Calibri" w:hAnsi="Calibri" w:eastAsia="Calibri" w:hint="default"/>
          <w:rtl w:val="0"/>
          <w:lang w:val="en-US"/>
        </w:rPr>
        <w:t>’</w:t>
      </w:r>
      <w:r>
        <w:rPr>
          <w:rFonts w:ascii="Calibri" w:cs="Calibri" w:hAnsi="Calibri" w:eastAsia="Calibri"/>
          <w:rtl w:val="0"/>
          <w:lang w:val="nl-NL"/>
        </w:rPr>
        <w:t>n seiliedig ar well sail, na</w:t>
      </w:r>
      <w:r>
        <w:rPr>
          <w:rFonts w:ascii="Calibri" w:cs="Calibri" w:hAnsi="Calibri" w:eastAsia="Calibri" w:hint="default"/>
          <w:rtl w:val="0"/>
          <w:lang w:val="en-US"/>
        </w:rPr>
        <w:t>’</w:t>
      </w:r>
      <w:r>
        <w:rPr>
          <w:rFonts w:ascii="Calibri" w:cs="Calibri" w:hAnsi="Calibri" w:eastAsia="Calibri"/>
          <w:rtl w:val="0"/>
          <w:lang w:val="en-US"/>
        </w:rPr>
        <w:t>r penderfyniadau y byddent wedi</w:t>
      </w:r>
      <w:r>
        <w:rPr>
          <w:rFonts w:ascii="Calibri" w:cs="Calibri" w:hAnsi="Calibri" w:eastAsia="Calibri" w:hint="default"/>
          <w:rtl w:val="0"/>
          <w:lang w:val="en-US"/>
        </w:rPr>
        <w:t>’</w:t>
      </w:r>
      <w:r>
        <w:rPr>
          <w:rFonts w:ascii="Calibri" w:cs="Calibri" w:hAnsi="Calibri" w:eastAsia="Calibri"/>
          <w:rtl w:val="0"/>
        </w:rPr>
        <w:t>u gwneud yn absenoldeb y dystiolaeth a gasglwyd (2009). Er mwyn gwneud AAGD yn effeithiol dylid gwneud nodau a meini prawf llwyddiant yn glir gan sicrhau nid yw</w:t>
      </w:r>
      <w:r>
        <w:rPr>
          <w:rFonts w:ascii="Calibri" w:cs="Calibri" w:hAnsi="Calibri" w:eastAsia="Calibri" w:hint="default"/>
          <w:rtl w:val="0"/>
          <w:lang w:val="en-US"/>
        </w:rPr>
        <w:t>’</w:t>
      </w:r>
      <w:r>
        <w:rPr>
          <w:rFonts w:ascii="Calibri" w:cs="Calibri" w:hAnsi="Calibri" w:eastAsia="Calibri"/>
          <w:rtl w:val="0"/>
        </w:rPr>
        <w:t xml:space="preserve">r dysgwyr yn ofni gwneud </w:t>
      </w:r>
      <w:r>
        <w:rPr>
          <w:rFonts w:ascii="Calibri" w:cs="Calibri" w:hAnsi="Calibri" w:eastAsia="Calibri" w:hint="default"/>
          <w:rtl w:val="0"/>
          <w:lang w:val="en-US"/>
        </w:rPr>
        <w:t>‘</w:t>
      </w:r>
      <w:r>
        <w:rPr>
          <w:rFonts w:ascii="Calibri" w:cs="Calibri" w:hAnsi="Calibri" w:eastAsia="Calibri"/>
          <w:rtl w:val="0"/>
        </w:rPr>
        <w:t>camgymeriadau</w:t>
      </w:r>
      <w:r>
        <w:rPr>
          <w:rFonts w:ascii="Calibri" w:cs="Calibri" w:hAnsi="Calibri" w:eastAsia="Calibri" w:hint="default"/>
          <w:rtl w:val="0"/>
          <w:lang w:val="en-US"/>
        </w:rPr>
        <w:t>’</w:t>
      </w:r>
      <w:r>
        <w:rPr>
          <w:rFonts w:ascii="Calibri" w:cs="Calibri" w:hAnsi="Calibri" w:eastAsia="Calibri"/>
          <w:rtl w:val="0"/>
          <w:lang w:val="en-US"/>
        </w:rPr>
        <w:t>, dylai adborth fod ar unwaith, yn seiliedig ar ddadansoddiad cadarn o</w:t>
      </w:r>
      <w:r>
        <w:rPr>
          <w:rFonts w:ascii="Calibri" w:cs="Calibri" w:hAnsi="Calibri" w:eastAsia="Calibri" w:hint="default"/>
          <w:rtl w:val="0"/>
          <w:lang w:val="en-US"/>
        </w:rPr>
        <w:t>’</w:t>
      </w:r>
      <w:r>
        <w:rPr>
          <w:rFonts w:ascii="Calibri" w:cs="Calibri" w:hAnsi="Calibri" w:eastAsia="Calibri"/>
          <w:rtl w:val="0"/>
        </w:rPr>
        <w:t xml:space="preserve">r </w:t>
      </w:r>
      <w:r>
        <w:rPr>
          <w:rFonts w:ascii="Calibri" w:cs="Calibri" w:hAnsi="Calibri" w:eastAsia="Calibri" w:hint="default"/>
          <w:rtl w:val="0"/>
          <w:lang w:val="en-US"/>
        </w:rPr>
        <w:t>‘</w:t>
      </w:r>
      <w:r>
        <w:rPr>
          <w:rFonts w:ascii="Calibri" w:cs="Calibri" w:hAnsi="Calibri" w:eastAsia="Calibri"/>
          <w:rtl w:val="0"/>
        </w:rPr>
        <w:t>dystiolaeth</w:t>
      </w:r>
      <w:r>
        <w:rPr>
          <w:rFonts w:ascii="Calibri" w:cs="Calibri" w:hAnsi="Calibri" w:eastAsia="Calibri" w:hint="default"/>
          <w:rtl w:val="0"/>
          <w:lang w:val="en-US"/>
        </w:rPr>
        <w:t xml:space="preserve">’ </w:t>
      </w:r>
      <w:r>
        <w:rPr>
          <w:rFonts w:ascii="Calibri" w:cs="Calibri" w:hAnsi="Calibri" w:eastAsia="Calibri"/>
          <w:rtl w:val="0"/>
        </w:rPr>
        <w:t>(Cowie et al., 2018; Luna, 2018).  Yng nghyd-destun addysg wyddonol, mae asesu ar gyfer dysgu wedi canolbwyntio'n bennaf ar ffyrdd o fonitro dealltwriaeth gysyniadol, gan fod cysyniadau gwyddonol yn aml yn gymhleth ac yn wrthreddfol. Mae Ruiz-Primo a Furtak (2006) yn gwahaniaethu rhwng asesu ar gyfer dysgu ffurfiol ac anffurfiol. Nid yw gweithgareddau asesu ar gyfer dysgu anffurfiol yn cynnwys set o gwestiynau asesu wedi'u cynllunio ymlaen llaw.</w:t>
      </w:r>
    </w:p>
    <w:p>
      <w:pPr>
        <w:pStyle w:val="Body"/>
        <w:spacing w:line="480" w:lineRule="auto"/>
        <w:rPr>
          <w:rFonts w:ascii="Calibri" w:cs="Calibri" w:hAnsi="Calibri" w:eastAsia="Calibri"/>
          <w:b w:val="1"/>
          <w:bCs w:val="1"/>
          <w:u w:val="single"/>
        </w:rPr>
      </w:pPr>
    </w:p>
    <w:p>
      <w:pPr>
        <w:pStyle w:val="Body"/>
        <w:spacing w:line="480" w:lineRule="auto"/>
        <w:rPr>
          <w:rFonts w:ascii="Calibri" w:cs="Calibri" w:hAnsi="Calibri" w:eastAsia="Calibri"/>
        </w:rPr>
      </w:pPr>
      <w:r>
        <w:rPr>
          <w:rFonts w:ascii="Calibri" w:cs="Calibri" w:hAnsi="Calibri" w:eastAsia="Calibri"/>
          <w:rtl w:val="0"/>
        </w:rPr>
        <w:t xml:space="preserve">Honnwyd fod gan yr athro dasg heriol pan ddaw i greu cyfleoedd ar gyfer asesu ar gyfer dysgu anffurfiol pan ddaw i  wneud diagnosis digonol o ddealltwriaeth. Pwysleisia Cowie et al. (2018) a Luna (2018) ar bwysigrwydd sylwi gan yr athro yn y broses hon: mae'r athro'n cydnabod mewn deialog </w:t>
      </w:r>
      <w:r>
        <w:rPr>
          <w:rFonts w:ascii="Calibri" w:cs="Calibri" w:hAnsi="Calibri" w:eastAsia="Calibri" w:hint="default"/>
          <w:rtl w:val="0"/>
          <w:lang w:val="en-US"/>
        </w:rPr>
        <w:t xml:space="preserve">â </w:t>
      </w:r>
      <w:r>
        <w:rPr>
          <w:rFonts w:ascii="Calibri" w:cs="Calibri" w:hAnsi="Calibri" w:eastAsia="Calibri"/>
          <w:rtl w:val="0"/>
        </w:rPr>
        <w:t>dysgwyr beth yw eu syniadau ac yn ymateb er mwyn eu helpu i adeiladu'r syniadau a dderbynnir yn wyddonol. Dengys eu hastudiaethau, fodd bynnag, ei bod braidd yn heriol ynddo</w:t>
      </w:r>
      <w:r>
        <w:rPr>
          <w:rFonts w:ascii="Calibri" w:cs="Calibri" w:hAnsi="Calibri" w:eastAsia="Calibri" w:hint="default"/>
          <w:rtl w:val="0"/>
          <w:lang w:val="en-US"/>
        </w:rPr>
        <w:t>’</w:t>
      </w:r>
      <w:r>
        <w:rPr>
          <w:rFonts w:ascii="Calibri" w:cs="Calibri" w:hAnsi="Calibri" w:eastAsia="Calibri"/>
          <w:rtl w:val="0"/>
        </w:rPr>
        <w:t>i hun i ennyn yn ddigonol ymatebion pob myfyriwr, a dehongli ac adnabod syniadau sylfaenol, er mwyn darparu adborth digonol (Furtak &amp; Heredia, 2014).</w:t>
      </w: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r>
        <w:rPr>
          <w:rFonts w:ascii="Calibri" w:cs="Calibri" w:hAnsi="Calibri" w:eastAsia="Calibri"/>
          <w:rtl w:val="0"/>
          <w:lang w:val="de-DE"/>
        </w:rPr>
        <w:t>Enghraifft o AAGD anffurfiol yw</w:t>
      </w:r>
      <w:r>
        <w:rPr>
          <w:rFonts w:ascii="Calibri" w:cs="Calibri" w:hAnsi="Calibri" w:eastAsia="Calibri" w:hint="default"/>
          <w:rtl w:val="0"/>
          <w:lang w:val="en-US"/>
        </w:rPr>
        <w:t>’</w:t>
      </w:r>
      <w:r>
        <w:rPr>
          <w:rFonts w:ascii="Calibri" w:cs="Calibri" w:hAnsi="Calibri" w:eastAsia="Calibri"/>
          <w:rtl w:val="0"/>
        </w:rPr>
        <w:t xml:space="preserve">r defnydd o fyrddau gwyn bach. Gwelir y defnydd o fyrddau gwyn bach i fod yn ddull AAGD holl effeithiol am ei fod yn bosib defnyddio'r wybodaeth a gasglwyd gan y dysgwyr i roi adborth cyflym sydd yn ac arwain at gwestiynau dilynol. Yn ogystal </w:t>
      </w:r>
      <w:r>
        <w:rPr>
          <w:rFonts w:ascii="Calibri" w:cs="Calibri" w:hAnsi="Calibri" w:eastAsia="Calibri" w:hint="default"/>
          <w:rtl w:val="0"/>
          <w:lang w:val="en-US"/>
        </w:rPr>
        <w:t xml:space="preserve">â </w:t>
      </w:r>
      <w:r>
        <w:rPr>
          <w:rFonts w:ascii="Calibri" w:cs="Calibri" w:hAnsi="Calibri" w:eastAsia="Calibri"/>
          <w:rtl w:val="0"/>
        </w:rPr>
        <w:t xml:space="preserve">rhoi cyfle ddysgwyr i gyfiawnhau atebion cywir, er enghraifft gofyn, </w:t>
      </w:r>
      <w:r>
        <w:rPr>
          <w:rFonts w:ascii="Calibri" w:cs="Calibri" w:hAnsi="Calibri" w:eastAsia="Calibri" w:hint="default"/>
          <w:rtl w:val="0"/>
          <w:lang w:val="en-US"/>
        </w:rPr>
        <w:t>‘</w:t>
      </w:r>
      <w:r>
        <w:rPr>
          <w:rFonts w:ascii="Calibri" w:cs="Calibri" w:hAnsi="Calibri" w:eastAsia="Calibri"/>
          <w:rtl w:val="0"/>
          <w:lang w:val="en-US"/>
        </w:rPr>
        <w:t>Sut gawsoch yr ateb yna?</w:t>
      </w:r>
      <w:r>
        <w:rPr>
          <w:rFonts w:ascii="Calibri" w:cs="Calibri" w:hAnsi="Calibri" w:eastAsia="Calibri" w:hint="default"/>
          <w:rtl w:val="0"/>
          <w:lang w:val="en-US"/>
        </w:rPr>
        <w:t xml:space="preserve">’ </w:t>
      </w:r>
      <w:r>
        <w:rPr>
          <w:rFonts w:ascii="Calibri" w:cs="Calibri" w:hAnsi="Calibri" w:eastAsia="Calibri"/>
          <w:rtl w:val="0"/>
        </w:rPr>
        <w:t xml:space="preserve">a, </w:t>
      </w:r>
      <w:r>
        <w:rPr>
          <w:rFonts w:ascii="Calibri" w:cs="Calibri" w:hAnsi="Calibri" w:eastAsia="Calibri" w:hint="default"/>
          <w:rtl w:val="0"/>
          <w:lang w:val="en-US"/>
        </w:rPr>
        <w:t>‘</w:t>
      </w:r>
      <w:r>
        <w:rPr>
          <w:rFonts w:ascii="Calibri" w:cs="Calibri" w:hAnsi="Calibri" w:eastAsia="Calibri"/>
          <w:rtl w:val="0"/>
          <w:lang w:val="en-US"/>
        </w:rPr>
        <w:t>Beth oedd eich proses o  feddwl?</w:t>
      </w:r>
      <w:r>
        <w:rPr>
          <w:rFonts w:ascii="Calibri" w:cs="Calibri" w:hAnsi="Calibri" w:eastAsia="Calibri" w:hint="default"/>
          <w:rtl w:val="0"/>
          <w:lang w:val="en-US"/>
        </w:rPr>
        <w:t xml:space="preserve">’ </w:t>
      </w:r>
      <w:r>
        <w:rPr>
          <w:rFonts w:ascii="Calibri" w:cs="Calibri" w:hAnsi="Calibri" w:eastAsia="Calibri"/>
          <w:rtl w:val="0"/>
        </w:rPr>
        <w:t xml:space="preserve">a chywiro unrhyw atebion anghywir, er enghraifft trwy ofyn, </w:t>
      </w:r>
      <w:r>
        <w:rPr>
          <w:rFonts w:ascii="Calibri" w:cs="Calibri" w:hAnsi="Calibri" w:eastAsia="Calibri" w:hint="default"/>
          <w:rtl w:val="0"/>
          <w:lang w:val="en-US"/>
        </w:rPr>
        <w:t>‘</w:t>
      </w:r>
      <w:r>
        <w:rPr>
          <w:rFonts w:ascii="Calibri" w:cs="Calibri" w:hAnsi="Calibri" w:eastAsia="Calibri"/>
          <w:rtl w:val="0"/>
          <w:lang w:val="it-IT"/>
        </w:rPr>
        <w:t>Allwch chi esbonio ble aethoch chi o</w:t>
      </w:r>
      <w:r>
        <w:rPr>
          <w:rFonts w:ascii="Calibri" w:cs="Calibri" w:hAnsi="Calibri" w:eastAsia="Calibri" w:hint="default"/>
          <w:rtl w:val="0"/>
          <w:lang w:val="en-US"/>
        </w:rPr>
        <w:t>’</w:t>
      </w:r>
      <w:r>
        <w:rPr>
          <w:rFonts w:ascii="Calibri" w:cs="Calibri" w:hAnsi="Calibri" w:eastAsia="Calibri"/>
          <w:rtl w:val="0"/>
        </w:rPr>
        <w:t>i le?</w:t>
      </w:r>
      <w:r>
        <w:rPr>
          <w:rFonts w:ascii="Calibri" w:cs="Calibri" w:hAnsi="Calibri" w:eastAsia="Calibri" w:hint="default"/>
          <w:rtl w:val="0"/>
          <w:lang w:val="en-US"/>
        </w:rPr>
        <w:t>’</w:t>
      </w:r>
      <w:r>
        <w:rPr>
          <w:rFonts w:ascii="Calibri" w:cs="Calibri" w:hAnsi="Calibri" w:eastAsia="Calibri"/>
          <w:rtl w:val="0"/>
          <w:lang w:val="en-US"/>
        </w:rPr>
        <w:t>. Gall y fath yma o asesu ffurfiannol helpu i hyrwyddo adborth fel sgwrs yn hytrach na monolog (Luna,2018), gan alluogi dysgwyr ac addysgwyr i ddeall yn well beth sydd wedi gweithio a beth sydd heb weithio a gwneud newidiadau angenrheidiol.</w:t>
      </w: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r>
        <w:rPr>
          <w:rFonts w:ascii="Calibri" w:cs="Calibri" w:hAnsi="Calibri" w:eastAsia="Calibri"/>
          <w:rtl w:val="0"/>
          <w:lang w:val="en-US"/>
        </w:rPr>
        <w:t xml:space="preserve">Fel y nodir yn rhan 1 fe ddefnyddir byrddau gwyn bach fel arf effeithiol yn fy mhrofiad addysgu, yn y cyd-destun yma fe ddefnyddir i brofi dealltwriaeth dysgwyr o eirfa newydd. Ar </w:t>
      </w:r>
      <w:r>
        <w:rPr>
          <w:rFonts w:ascii="Calibri" w:cs="Calibri" w:hAnsi="Calibri" w:eastAsia="Calibri" w:hint="default"/>
          <w:rtl w:val="0"/>
          <w:lang w:val="en-US"/>
        </w:rPr>
        <w:t>ô</w:t>
      </w:r>
      <w:r>
        <w:rPr>
          <w:rFonts w:ascii="Calibri" w:cs="Calibri" w:hAnsi="Calibri" w:eastAsia="Calibri"/>
          <w:rtl w:val="0"/>
        </w:rPr>
        <w:t xml:space="preserve">l cyflwyno'r topig </w:t>
      </w:r>
      <w:r>
        <w:rPr>
          <w:rFonts w:ascii="Calibri" w:cs="Calibri" w:hAnsi="Calibri" w:eastAsia="Calibri" w:hint="default"/>
          <w:rtl w:val="0"/>
          <w:lang w:val="en-US"/>
        </w:rPr>
        <w:t>‘</w:t>
      </w:r>
      <w:r>
        <w:rPr>
          <w:rFonts w:ascii="Calibri" w:cs="Calibri" w:hAnsi="Calibri" w:eastAsia="Calibri"/>
          <w:rtl w:val="0"/>
          <w:lang w:val="it-IT"/>
        </w:rPr>
        <w:t>Cydraddoldeb rhyw</w:t>
      </w:r>
      <w:r>
        <w:rPr>
          <w:rFonts w:ascii="Calibri" w:cs="Calibri" w:hAnsi="Calibri" w:eastAsia="Calibri" w:hint="default"/>
          <w:rtl w:val="0"/>
          <w:lang w:val="en-US"/>
        </w:rPr>
        <w:t xml:space="preserve">’ </w:t>
      </w:r>
      <w:r>
        <w:rPr>
          <w:rFonts w:ascii="Calibri" w:cs="Calibri" w:hAnsi="Calibri" w:eastAsia="Calibri"/>
          <w:rtl w:val="0"/>
        </w:rPr>
        <w:t>a chyflwyno ystod o eirfa anghyfarwydd i</w:t>
      </w:r>
      <w:r>
        <w:rPr>
          <w:rFonts w:ascii="Calibri" w:cs="Calibri" w:hAnsi="Calibri" w:eastAsia="Calibri" w:hint="default"/>
          <w:rtl w:val="0"/>
          <w:lang w:val="en-US"/>
        </w:rPr>
        <w:t>’</w:t>
      </w:r>
      <w:r>
        <w:rPr>
          <w:rFonts w:ascii="Calibri" w:cs="Calibri" w:hAnsi="Calibri" w:eastAsia="Calibri"/>
          <w:rtl w:val="0"/>
          <w:lang w:val="en-US"/>
        </w:rPr>
        <w:t>r dysgwyr roeddwn am asesu eu dealltwriaeth cyn symud ymlaen i</w:t>
      </w:r>
      <w:r>
        <w:rPr>
          <w:rFonts w:ascii="Calibri" w:cs="Calibri" w:hAnsi="Calibri" w:eastAsia="Calibri" w:hint="default"/>
          <w:rtl w:val="0"/>
          <w:lang w:val="en-US"/>
        </w:rPr>
        <w:t>’</w:t>
      </w:r>
      <w:r>
        <w:rPr>
          <w:rFonts w:ascii="Calibri" w:cs="Calibri" w:hAnsi="Calibri" w:eastAsia="Calibri"/>
          <w:rtl w:val="0"/>
        </w:rPr>
        <w:t xml:space="preserve">r dasg nesaf. Yn ystod cyflwyniad y wers fe wnes i ailadrodd a chwestiynu diffiniadau'r geiriau yma yn ogystal </w:t>
      </w:r>
      <w:r>
        <w:rPr>
          <w:rFonts w:ascii="Calibri" w:cs="Calibri" w:hAnsi="Calibri" w:eastAsia="Calibri" w:hint="default"/>
          <w:rtl w:val="0"/>
          <w:lang w:val="en-US"/>
        </w:rPr>
        <w:t xml:space="preserve">â </w:t>
      </w:r>
      <w:r>
        <w:rPr>
          <w:rFonts w:ascii="Calibri" w:cs="Calibri" w:hAnsi="Calibri" w:eastAsia="Calibri"/>
          <w:rtl w:val="0"/>
          <w:lang w:val="en-US"/>
        </w:rPr>
        <w:t>gadel yr eirfa newydd a</w:t>
      </w:r>
      <w:r>
        <w:rPr>
          <w:rFonts w:ascii="Calibri" w:cs="Calibri" w:hAnsi="Calibri" w:eastAsia="Calibri" w:hint="default"/>
          <w:rtl w:val="0"/>
          <w:lang w:val="en-US"/>
        </w:rPr>
        <w:t>’</w:t>
      </w:r>
      <w:r>
        <w:rPr>
          <w:rFonts w:ascii="Calibri" w:cs="Calibri" w:hAnsi="Calibri" w:eastAsia="Calibri"/>
          <w:rtl w:val="0"/>
        </w:rPr>
        <w:t>u diffiniadau ar y bwrdd gwyn rhyngweithiol er mwyn atgyfnerthu nid ond pwysigrwydd yr eirfa ond hefyd i atgoffa y dysgwyr o ystyr geirfa a chysyniadau newydd.</w:t>
      </w: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r>
        <w:rPr>
          <w:rFonts w:ascii="Calibri" w:cs="Calibri" w:hAnsi="Calibri" w:eastAsia="Calibri"/>
          <w:rtl w:val="0"/>
        </w:rPr>
        <w:t>Er yn debyg i dechnegau AAGD ffurfiol sydd yn fwy cyfarwyddol yn yr ystyr bod ysgogiadau wedi'u cynllunio ymlaen llaw i wneud dealltwriaeth gysyniadol eglur (Black a William,1998), fe wnes i baratoi pa gwestiynau byddaf yn gofyn i</w:t>
      </w:r>
      <w:r>
        <w:rPr>
          <w:rFonts w:ascii="Calibri" w:cs="Calibri" w:hAnsi="Calibri" w:eastAsia="Calibri" w:hint="default"/>
          <w:rtl w:val="0"/>
          <w:lang w:val="en-US"/>
        </w:rPr>
        <w:t>’</w:t>
      </w:r>
      <w:r>
        <w:rPr>
          <w:rFonts w:ascii="Calibri" w:cs="Calibri" w:hAnsi="Calibri" w:eastAsia="Calibri"/>
          <w:rtl w:val="0"/>
          <w:lang w:val="it-IT"/>
        </w:rPr>
        <w:t xml:space="preserve">r dysgwyr o flaen llaw. Serch hynny,  roedd y broses o asesu eu hymatebion yn anffurfiol yn y modd roedd yr  ysgogiadau asesu wedi cael eu cynllunio i gasglu lefelau gwahanol posibl o ddealltwriaeth gysyniadol . Yn </w:t>
      </w:r>
      <w:r>
        <w:rPr>
          <w:rFonts w:ascii="Calibri" w:cs="Calibri" w:hAnsi="Calibri" w:eastAsia="Calibri" w:hint="default"/>
          <w:rtl w:val="0"/>
          <w:lang w:val="en-US"/>
        </w:rPr>
        <w:t>ô</w:t>
      </w:r>
      <w:r>
        <w:rPr>
          <w:rFonts w:ascii="Calibri" w:cs="Calibri" w:hAnsi="Calibri" w:eastAsia="Calibri"/>
          <w:rtl w:val="0"/>
          <w:lang w:val="en-US"/>
        </w:rPr>
        <w:t>l Furtak (2008) dylid rhagweld ystod o ymatebion posibl gan ddysgwyr, gan fod y rhain yn dystiolaeth o wahanol lefelau o ddealltwriaeth a allai fod yn bresennol mewn ystafell ddosbarth. Nid oes amheuaeth bod hyn yn dod i</w:t>
      </w:r>
      <w:r>
        <w:rPr>
          <w:rFonts w:ascii="Calibri" w:cs="Calibri" w:hAnsi="Calibri" w:eastAsia="Calibri" w:hint="default"/>
          <w:rtl w:val="0"/>
          <w:lang w:val="en-US"/>
        </w:rPr>
        <w:t>’</w:t>
      </w:r>
      <w:r>
        <w:rPr>
          <w:rFonts w:ascii="Calibri" w:cs="Calibri" w:hAnsi="Calibri" w:eastAsia="Calibri"/>
          <w:rtl w:val="0"/>
          <w:lang w:val="en-US"/>
        </w:rPr>
        <w:t xml:space="preserve">r amlwg yn ystod y broses o ddefnyddio byrddau gwyn i asesu geirfa'r dysgwyr gan roedd, fel ym mhob ystafell ddosbarth, ystod o allu eang ac felly ystod o ddealltwriaeth. Fe wnaeth y broses nid ond fy ngalluogi i ail-edrych a rhoi adborth i ddysgwyr yn syth ond hefyd fy ngalluogi i gynllunio gwaith gwahaniaethol i ddysgwyr yn </w:t>
      </w:r>
      <w:r>
        <w:rPr>
          <w:rFonts w:ascii="Calibri" w:cs="Calibri" w:hAnsi="Calibri" w:eastAsia="Calibri" w:hint="default"/>
          <w:rtl w:val="0"/>
          <w:lang w:val="en-US"/>
        </w:rPr>
        <w:t>ô</w:t>
      </w:r>
      <w:r>
        <w:rPr>
          <w:rFonts w:ascii="Calibri" w:cs="Calibri" w:hAnsi="Calibri" w:eastAsia="Calibri"/>
          <w:rtl w:val="0"/>
          <w:lang w:val="de-DE"/>
        </w:rPr>
        <w:t>l eu dealltwriaeth.</w:t>
      </w: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r>
        <w:rPr>
          <w:rFonts w:ascii="Calibri" w:cs="Calibri" w:hAnsi="Calibri" w:eastAsia="Calibri"/>
          <w:rtl w:val="0"/>
        </w:rPr>
        <w:t>Mae</w:t>
      </w:r>
      <w:r>
        <w:rPr>
          <w:rFonts w:ascii="Calibri" w:cs="Calibri" w:hAnsi="Calibri" w:eastAsia="Calibri" w:hint="default"/>
          <w:rtl w:val="0"/>
          <w:lang w:val="en-US"/>
        </w:rPr>
        <w:t>’</w:t>
      </w:r>
      <w:r>
        <w:rPr>
          <w:rFonts w:ascii="Calibri" w:cs="Calibri" w:hAnsi="Calibri" w:eastAsia="Calibri"/>
          <w:rtl w:val="0"/>
          <w:lang w:val="it-IT"/>
        </w:rPr>
        <w:t xml:space="preserve">r defnydd o AAGD yn galluogi addysgwyr i wahaniaethu yn briodol yn </w:t>
      </w:r>
      <w:r>
        <w:rPr>
          <w:rFonts w:ascii="Calibri" w:cs="Calibri" w:hAnsi="Calibri" w:eastAsia="Calibri" w:hint="default"/>
          <w:rtl w:val="0"/>
          <w:lang w:val="en-US"/>
        </w:rPr>
        <w:t>ô</w:t>
      </w:r>
      <w:r>
        <w:rPr>
          <w:rFonts w:ascii="Calibri" w:cs="Calibri" w:hAnsi="Calibri" w:eastAsia="Calibri"/>
          <w:rtl w:val="0"/>
          <w:lang w:val="es-ES_tradnl"/>
        </w:rPr>
        <w:t>l y canlyniadau a gasglwyd o</w:t>
      </w:r>
      <w:r>
        <w:rPr>
          <w:rFonts w:ascii="Calibri" w:cs="Calibri" w:hAnsi="Calibri" w:eastAsia="Calibri" w:hint="default"/>
          <w:rtl w:val="0"/>
          <w:lang w:val="en-US"/>
        </w:rPr>
        <w:t>’</w:t>
      </w:r>
      <w:r>
        <w:rPr>
          <w:rFonts w:ascii="Calibri" w:cs="Calibri" w:hAnsi="Calibri" w:eastAsia="Calibri"/>
          <w:rtl w:val="0"/>
          <w:lang w:val="en-US"/>
        </w:rPr>
        <w:t xml:space="preserve">r broses. Arweinia at fewnwelediadau i wahaniaethau rhwng dysgwyr ar sawl ffurf (Tomlinson et al., 2003). Ymagwedd wahaniaethol yw gadael i fyfyrwyr weithio ar dasgau </w:t>
      </w:r>
      <w:r>
        <w:rPr>
          <w:rFonts w:ascii="Calibri" w:cs="Calibri" w:hAnsi="Calibri" w:eastAsia="Calibri" w:hint="default"/>
          <w:rtl w:val="0"/>
          <w:lang w:val="en-US"/>
        </w:rPr>
        <w:t>‘</w:t>
      </w:r>
      <w:r>
        <w:rPr>
          <w:rFonts w:ascii="Calibri" w:cs="Calibri" w:hAnsi="Calibri" w:eastAsia="Calibri"/>
          <w:rtl w:val="0"/>
        </w:rPr>
        <w:t>cyfan</w:t>
      </w:r>
      <w:r>
        <w:rPr>
          <w:rFonts w:ascii="Calibri" w:cs="Calibri" w:hAnsi="Calibri" w:eastAsia="Calibri" w:hint="default"/>
          <w:rtl w:val="0"/>
          <w:lang w:val="en-US"/>
        </w:rPr>
        <w:t xml:space="preserve">’ </w:t>
      </w:r>
      <w:r>
        <w:rPr>
          <w:rFonts w:ascii="Calibri" w:cs="Calibri" w:hAnsi="Calibri" w:eastAsia="Calibri"/>
          <w:rtl w:val="0"/>
        </w:rPr>
        <w:t>cyffredin, cymhleth gyda nodau cyffredin, ond i deilwra y cymorth sydd yn cael ei gynnig. Rhaid ei fod yn cyfateb  i anghenion y dysgwyr. Mae</w:t>
      </w:r>
      <w:r>
        <w:rPr>
          <w:rFonts w:ascii="Calibri" w:cs="Calibri" w:hAnsi="Calibri" w:eastAsia="Calibri" w:hint="default"/>
          <w:rtl w:val="0"/>
          <w:lang w:val="en-US"/>
        </w:rPr>
        <w:t>’</w:t>
      </w:r>
      <w:r>
        <w:rPr>
          <w:rFonts w:ascii="Calibri" w:cs="Calibri" w:hAnsi="Calibri" w:eastAsia="Calibri"/>
          <w:rtl w:val="0"/>
          <w:lang w:val="es-ES_tradnl"/>
        </w:rPr>
        <w:t xml:space="preserve">r hyn y mae dysgwyr </w:t>
      </w:r>
      <w:r>
        <w:rPr>
          <w:rFonts w:ascii="Calibri" w:cs="Calibri" w:hAnsi="Calibri" w:eastAsia="Calibri" w:hint="default"/>
          <w:rtl w:val="0"/>
          <w:lang w:val="en-US"/>
        </w:rPr>
        <w:t>‘</w:t>
      </w:r>
      <w:r>
        <w:rPr>
          <w:rFonts w:ascii="Calibri" w:cs="Calibri" w:hAnsi="Calibri" w:eastAsia="Calibri"/>
          <w:rtl w:val="0"/>
          <w:lang w:val="fr-FR"/>
        </w:rPr>
        <w:t>eu hangen</w:t>
      </w:r>
      <w:r>
        <w:rPr>
          <w:rFonts w:ascii="Calibri" w:cs="Calibri" w:hAnsi="Calibri" w:eastAsia="Calibri" w:hint="default"/>
          <w:rtl w:val="0"/>
          <w:lang w:val="en-US"/>
        </w:rPr>
        <w:t>’</w:t>
      </w:r>
      <w:r>
        <w:rPr>
          <w:rFonts w:ascii="Calibri" w:cs="Calibri" w:hAnsi="Calibri" w:eastAsia="Calibri"/>
          <w:rtl w:val="0"/>
          <w:lang w:val="en-US"/>
        </w:rPr>
        <w:t xml:space="preserve"> yn amrywio. Bydd angen esboniad trylwyr o'r gwaith ar rai dysgwyr  cyn teimlo'n ddigon hyderus i gychwyn ar dasg , gall eraill reoli eu hunain gydag ychydig o awgrymiadau a gwerslyfr neu daflen waith i</w:t>
      </w:r>
      <w:r>
        <w:rPr>
          <w:rFonts w:ascii="Calibri" w:cs="Calibri" w:hAnsi="Calibri" w:eastAsia="Calibri" w:hint="default"/>
          <w:rtl w:val="0"/>
          <w:lang w:val="en-US"/>
        </w:rPr>
        <w:t>’</w:t>
      </w:r>
      <w:r>
        <w:rPr>
          <w:rFonts w:ascii="Calibri" w:cs="Calibri" w:hAnsi="Calibri" w:eastAsia="Calibri"/>
          <w:rtl w:val="0"/>
        </w:rPr>
        <w:t>w cynorthwyo. (Corno, 2008).</w:t>
      </w:r>
    </w:p>
    <w:p>
      <w:pPr>
        <w:pStyle w:val="Body"/>
        <w:spacing w:line="480" w:lineRule="auto"/>
        <w:rPr>
          <w:rFonts w:ascii="Calibri" w:cs="Calibri" w:hAnsi="Calibri" w:eastAsia="Calibri"/>
        </w:rPr>
      </w:pPr>
    </w:p>
    <w:p>
      <w:pPr>
        <w:pStyle w:val="Body"/>
        <w:spacing w:line="480" w:lineRule="auto"/>
        <w:rPr>
          <w:rFonts w:ascii="Calibri" w:cs="Calibri" w:hAnsi="Calibri" w:eastAsia="Calibri"/>
        </w:rPr>
      </w:pPr>
      <w:r>
        <w:rPr>
          <w:rFonts w:ascii="Calibri" w:cs="Calibri" w:hAnsi="Calibri" w:eastAsia="Calibri"/>
          <w:rtl w:val="0"/>
          <w:lang w:val="en-US"/>
        </w:rPr>
        <w:t>Yn ddelfrydol, dylid cynnig cymorth i bob myfyriwr ar yr union lefel sy'n ei alluogi ef neu hi i gwblhau'r dasg. Wrth gynllunio ar gyfer anghenion y dysgwyr mae athrawon yn wynebu o leiaf ddwy broblem ymarferol: sut i sicrhau bod pob dysgwr  yn gallu dewis y cymorth sydd ei angen arnynt?, a: Sut i sicrhau bod pob dysgwr yn cael y cymorth ar yr adeg gywir? Ar ben hynny, mae dylunio tasgau cyfan a llwybrau dysgu gwahanol yn ymdrech hynod heriol a llafurus ynddo'i hun. Enwedig wrth ystyried pwyslais y camau cynnydd ac agwedd holistaidd y Cwrcilwm i Gymru i bersonoli addysgu fe all cymorth AAGD hwyluso</w:t>
      </w:r>
      <w:r>
        <w:rPr>
          <w:rFonts w:ascii="Calibri" w:cs="Calibri" w:hAnsi="Calibri" w:eastAsia="Calibri" w:hint="default"/>
          <w:rtl w:val="0"/>
          <w:lang w:val="en-US"/>
        </w:rPr>
        <w:t>’</w:t>
      </w:r>
      <w:r>
        <w:rPr>
          <w:rFonts w:ascii="Calibri" w:cs="Calibri" w:hAnsi="Calibri" w:eastAsia="Calibri"/>
          <w:rtl w:val="0"/>
        </w:rPr>
        <w:t>r broses (Llywodraeth Cymru,2020)</w:t>
      </w:r>
    </w:p>
    <w:p>
      <w:pPr>
        <w:pStyle w:val="Body"/>
        <w:spacing w:line="48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r>
        <w:rPr>
          <w:rFonts w:ascii="Calibri" w:cs="Calibri" w:hAnsi="Calibri" w:eastAsia="Calibri"/>
          <w:rtl w:val="0"/>
        </w:rPr>
        <w:t xml:space="preserve">Yn </w:t>
      </w:r>
      <w:r>
        <w:rPr>
          <w:rFonts w:ascii="Calibri" w:cs="Calibri" w:hAnsi="Calibri" w:eastAsia="Calibri" w:hint="default"/>
          <w:rtl w:val="0"/>
          <w:lang w:val="en-US"/>
        </w:rPr>
        <w:t>ô</w:t>
      </w:r>
      <w:r>
        <w:rPr>
          <w:rFonts w:ascii="Calibri" w:cs="Calibri" w:hAnsi="Calibri" w:eastAsia="Calibri"/>
          <w:rtl w:val="0"/>
        </w:rPr>
        <w:t xml:space="preserve">l erthygl </w:t>
      </w:r>
      <w:r>
        <w:rPr>
          <w:rFonts w:ascii="Calibri" w:cs="Calibri" w:hAnsi="Calibri" w:eastAsia="Calibri" w:hint="default"/>
          <w:rtl w:val="0"/>
          <w:lang w:val="en-US"/>
        </w:rPr>
        <w:t>‘</w:t>
      </w:r>
      <w:r>
        <w:rPr>
          <w:rFonts w:ascii="Calibri" w:cs="Calibri" w:hAnsi="Calibri" w:eastAsia="Calibri"/>
          <w:rtl w:val="0"/>
          <w:lang w:val="en-US"/>
        </w:rPr>
        <w:t>Inside the Black Box</w:t>
      </w:r>
      <w:r>
        <w:rPr>
          <w:rFonts w:ascii="Calibri" w:cs="Calibri" w:hAnsi="Calibri" w:eastAsia="Calibri" w:hint="default"/>
          <w:rtl w:val="0"/>
          <w:lang w:val="en-US"/>
        </w:rPr>
        <w:t>’ ‘</w:t>
      </w:r>
      <w:r>
        <w:rPr>
          <w:rFonts w:ascii="Calibri" w:cs="Calibri" w:hAnsi="Calibri" w:eastAsia="Calibri"/>
          <w:rtl w:val="0"/>
          <w:lang w:val="en-US"/>
        </w:rPr>
        <w:t>the ultimate user of assessment information</w:t>
      </w:r>
      <w:r>
        <w:rPr>
          <w:rFonts w:ascii="Calibri" w:cs="Calibri" w:hAnsi="Calibri" w:eastAsia="Calibri" w:hint="default"/>
          <w:rtl w:val="0"/>
          <w:lang w:val="en-US"/>
        </w:rPr>
        <w:t xml:space="preserve">’ </w:t>
      </w:r>
      <w:r>
        <w:rPr>
          <w:rFonts w:ascii="Calibri" w:cs="Calibri" w:hAnsi="Calibri" w:eastAsia="Calibri"/>
          <w:rtl w:val="0"/>
        </w:rPr>
        <w:t>ydyw</w:t>
      </w:r>
      <w:r>
        <w:rPr>
          <w:rFonts w:ascii="Calibri" w:cs="Calibri" w:hAnsi="Calibri" w:eastAsia="Calibri" w:hint="default"/>
          <w:rtl w:val="0"/>
          <w:lang w:val="en-US"/>
        </w:rPr>
        <w:t>’</w:t>
      </w:r>
      <w:r>
        <w:rPr>
          <w:rFonts w:ascii="Calibri" w:cs="Calibri" w:hAnsi="Calibri" w:eastAsia="Calibri"/>
          <w:rtl w:val="0"/>
          <w:lang w:val="en-US"/>
        </w:rPr>
        <w:t>r dysgwr (Black a William,1998). Er hyn, bydd rhai yn honni bod y fath yma o asesu ffurfiannol, sydd yn arwain at  adborth llafar o flaen y dosbarth cyfan, yn gallu gwneud ambell blentyn i deimlo yn israddol. Efallai fe all arwain at ddiffyg hyder am nad ydynt yn teimlo mor ddeallus  a</w:t>
      </w:r>
      <w:r>
        <w:rPr>
          <w:rFonts w:ascii="Calibri" w:cs="Calibri" w:hAnsi="Calibri" w:eastAsia="Calibri" w:hint="default"/>
          <w:rtl w:val="0"/>
          <w:lang w:val="en-US"/>
        </w:rPr>
        <w:t>’</w:t>
      </w:r>
      <w:r>
        <w:rPr>
          <w:rFonts w:ascii="Calibri" w:cs="Calibri" w:hAnsi="Calibri" w:eastAsia="Calibri"/>
          <w:rtl w:val="0"/>
        </w:rPr>
        <w:t>u cyfoedio. Fe all hyn arwain at rai dysgwyr ddweud eu bod yn deall yr adborth a rhoddir er mwyn osgoi teimlo cywilydd o flaen eraill. Er mwyn osgoi sefyllfa o</w:t>
      </w:r>
      <w:r>
        <w:rPr>
          <w:rFonts w:ascii="Calibri" w:cs="Calibri" w:hAnsi="Calibri" w:eastAsia="Calibri" w:hint="default"/>
          <w:rtl w:val="0"/>
          <w:lang w:val="en-US"/>
        </w:rPr>
        <w:t>’</w:t>
      </w:r>
      <w:r>
        <w:rPr>
          <w:rFonts w:ascii="Calibri" w:cs="Calibri" w:hAnsi="Calibri" w:eastAsia="Calibri"/>
          <w:rtl w:val="0"/>
          <w:lang w:val="en-US"/>
        </w:rPr>
        <w:t>r fath rhaid sicrhau bod unrhyw adborth sydd yn cael ei roi i ddysgwyr,boed yn gyhoeddus neu beidio, yn trafod y cryfderau yn ogystal a gwendidau.</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spacing w:after="160" w:line="480" w:lineRule="auto"/>
        <w:rPr>
          <w:rFonts w:ascii="Calibri" w:cs="Calibri" w:hAnsi="Calibri" w:eastAsia="Calibri"/>
        </w:rPr>
      </w:pPr>
      <w:r>
        <w:rPr>
          <w:rFonts w:ascii="Calibri" w:cs="Calibri" w:hAnsi="Calibri" w:eastAsia="Calibri"/>
          <w:rtl w:val="0"/>
        </w:rPr>
        <w:t>I gloi, er gwaethaf rhai gwendidau sydd yn gysylltiedig ag Asesu ar Gyfer Dysgu, dwi yn awyddus iawn i arbrofi ag amryw o strategaethau. Wrth edrych ymlaen at y dyfodol, fy mlaenoriaethau yw sicrhau rheolaeth effeithiol o</w:t>
      </w:r>
      <w:r>
        <w:rPr>
          <w:rFonts w:ascii="Calibri" w:cs="Calibri" w:hAnsi="Calibri" w:eastAsia="Calibri" w:hint="default"/>
          <w:rtl w:val="0"/>
          <w:lang w:val="en-US"/>
        </w:rPr>
        <w:t>’</w:t>
      </w:r>
      <w:r>
        <w:rPr>
          <w:rFonts w:ascii="Calibri" w:cs="Calibri" w:hAnsi="Calibri" w:eastAsia="Calibri"/>
          <w:rtl w:val="0"/>
        </w:rPr>
        <w:t>r asesu ar gyfer dysgu er mwyn gwarantu y buddiannau  i</w:t>
      </w:r>
      <w:r>
        <w:rPr>
          <w:rFonts w:ascii="Calibri" w:cs="Calibri" w:hAnsi="Calibri" w:eastAsia="Calibri" w:hint="default"/>
          <w:rtl w:val="0"/>
          <w:lang w:val="en-US"/>
        </w:rPr>
        <w:t>’</w:t>
      </w:r>
      <w:r>
        <w:rPr>
          <w:rFonts w:ascii="Calibri" w:cs="Calibri" w:hAnsi="Calibri" w:eastAsia="Calibri"/>
          <w:rtl w:val="0"/>
        </w:rPr>
        <w:t>r dysgwyr. Er enghraifft, mae'n hanfodol  sefydlu</w:t>
      </w:r>
      <w:r>
        <w:rPr>
          <w:rFonts w:ascii="Calibri" w:cs="Calibri" w:hAnsi="Calibri" w:eastAsia="Calibri" w:hint="default"/>
          <w:rtl w:val="0"/>
          <w:lang w:val="en-US"/>
        </w:rPr>
        <w:t>’</w:t>
      </w:r>
      <w:r>
        <w:rPr>
          <w:rFonts w:ascii="Calibri" w:cs="Calibri" w:hAnsi="Calibri" w:eastAsia="Calibri"/>
          <w:rtl w:val="0"/>
        </w:rPr>
        <w:t xml:space="preserve">r math cywir o awyrgylch a naws  yn yr ystafell ddosbarth er mwyn sicrhau bod y profiadau a geir yn gydnaws </w:t>
      </w:r>
      <w:r>
        <w:rPr>
          <w:rFonts w:ascii="Calibri" w:cs="Calibri" w:hAnsi="Calibri" w:eastAsia="Calibri" w:hint="default"/>
          <w:rtl w:val="0"/>
          <w:lang w:val="en-US"/>
        </w:rPr>
        <w:t xml:space="preserve">â </w:t>
      </w:r>
      <w:r>
        <w:rPr>
          <w:rFonts w:ascii="Calibri" w:cs="Calibri" w:hAnsi="Calibri" w:eastAsia="Calibri"/>
          <w:rtl w:val="0"/>
          <w:lang w:val="en-US"/>
        </w:rPr>
        <w:t>dysgu. Rhaid hyfforddi dysgwyr o</w:t>
      </w:r>
      <w:r>
        <w:rPr>
          <w:rFonts w:ascii="Calibri" w:cs="Calibri" w:hAnsi="Calibri" w:eastAsia="Calibri" w:hint="default"/>
          <w:rtl w:val="0"/>
          <w:lang w:val="en-US"/>
        </w:rPr>
        <w:t>’</w:t>
      </w:r>
      <w:r>
        <w:rPr>
          <w:rFonts w:ascii="Calibri" w:cs="Calibri" w:hAnsi="Calibri" w:eastAsia="Calibri"/>
          <w:rtl w:val="0"/>
        </w:rPr>
        <w:t>r hyn sydd yn ddisgwyliedig o ran eu hymddygiad (a</w:t>
      </w:r>
      <w:r>
        <w:rPr>
          <w:rFonts w:ascii="Calibri" w:cs="Calibri" w:hAnsi="Calibri" w:eastAsia="Calibri" w:hint="default"/>
          <w:rtl w:val="0"/>
          <w:lang w:val="en-US"/>
        </w:rPr>
        <w:t>’</w:t>
      </w:r>
      <w:r>
        <w:rPr>
          <w:rFonts w:ascii="Calibri" w:cs="Calibri" w:hAnsi="Calibri" w:eastAsia="Calibri"/>
          <w:rtl w:val="0"/>
        </w:rPr>
        <w:t>u hatgoffa o hynny</w:t>
      </w:r>
      <w:r>
        <w:rPr>
          <w:rFonts w:ascii="Calibri" w:cs="Calibri" w:hAnsi="Calibri" w:eastAsia="Calibri" w:hint="default"/>
          <w:rtl w:val="0"/>
          <w:lang w:val="en-US"/>
        </w:rPr>
        <w:t>’</w:t>
      </w:r>
      <w:r>
        <w:rPr>
          <w:rFonts w:ascii="Calibri" w:cs="Calibri" w:hAnsi="Calibri" w:eastAsia="Calibri"/>
          <w:rtl w:val="0"/>
          <w:lang w:val="es-ES_tradnl"/>
        </w:rPr>
        <w:t>n aml), a bydd angen cytuno o flaen llaw ar reolau sylfaenol. Os nad yw</w:t>
      </w:r>
      <w:r>
        <w:rPr>
          <w:rFonts w:ascii="Calibri" w:cs="Calibri" w:hAnsi="Calibri" w:eastAsia="Calibri" w:hint="default"/>
          <w:rtl w:val="0"/>
          <w:lang w:val="en-US"/>
        </w:rPr>
        <w:t>’</w:t>
      </w:r>
      <w:r>
        <w:rPr>
          <w:rFonts w:ascii="Calibri" w:cs="Calibri" w:hAnsi="Calibri" w:eastAsia="Calibri"/>
          <w:rtl w:val="0"/>
        </w:rPr>
        <w:t>r dysgwyr yn ymwybodol o</w:t>
      </w:r>
      <w:r>
        <w:rPr>
          <w:rFonts w:ascii="Calibri" w:cs="Calibri" w:hAnsi="Calibri" w:eastAsia="Calibri" w:hint="default"/>
          <w:rtl w:val="0"/>
          <w:lang w:val="en-US"/>
        </w:rPr>
        <w:t>’</w:t>
      </w:r>
      <w:r>
        <w:rPr>
          <w:rFonts w:ascii="Calibri" w:cs="Calibri" w:hAnsi="Calibri" w:eastAsia="Calibri"/>
          <w:rtl w:val="0"/>
          <w:lang w:val="it-IT"/>
        </w:rPr>
        <w:t>r disgwyliadau ac yn barod i gyd-ymffurio  mae</w:t>
      </w:r>
      <w:r>
        <w:rPr>
          <w:rFonts w:ascii="Calibri" w:cs="Calibri" w:hAnsi="Calibri" w:eastAsia="Calibri" w:hint="default"/>
          <w:rtl w:val="0"/>
          <w:lang w:val="en-US"/>
        </w:rPr>
        <w:t>’</w:t>
      </w:r>
      <w:r>
        <w:rPr>
          <w:rFonts w:ascii="Calibri" w:cs="Calibri" w:hAnsi="Calibri" w:eastAsia="Calibri"/>
          <w:rtl w:val="0"/>
        </w:rPr>
        <w:t>r gwaith yn ddibwrpas. Heb os mae cael y cyfle i arsylwi  amryw o athrawon profiadol sydd yn defnyddio strategaethau Asesu ar Gyfer Dysgu yn gallu fy nghynorthwyo a chyfoethogi fy sgiliau. Edrychaf ymlaen at gamau nesaf fy ngyrfa, yn enwedig yn sgil dyfodiad y Cwricwlwm Newydd, oherwydd fy mod yn medru ymgorffori, arbrofi a gwerthuso ystod o strategaethau gwahanol a fydd yn y pendraw yn fy ngwella fel athrawes.</w:t>
      </w:r>
    </w:p>
    <w:p>
      <w:pPr>
        <w:pStyle w:val="Body"/>
        <w:spacing w:after="160" w:line="480" w:lineRule="auto"/>
        <w:rPr>
          <w:rFonts w:ascii="Calibri" w:cs="Calibri" w:hAnsi="Calibri" w:eastAsia="Calibri"/>
        </w:rPr>
      </w:pPr>
      <w:r>
        <w:rPr>
          <w:rFonts w:ascii="Calibri" w:cs="Calibri" w:hAnsi="Calibri" w:eastAsia="Calibri"/>
          <w:rtl w:val="0"/>
        </w:rPr>
        <w:t xml:space="preserve"> </w:t>
      </w:r>
    </w:p>
    <w:p>
      <w:pPr>
        <w:pStyle w:val="Body"/>
        <w:spacing w:after="160" w:line="480" w:lineRule="auto"/>
        <w:rPr>
          <w:rFonts w:ascii="Calibri" w:cs="Calibri" w:hAnsi="Calibri" w:eastAsia="Calibri"/>
          <w:u w:val="single"/>
        </w:rPr>
      </w:pPr>
      <w:r>
        <w:rPr>
          <w:rFonts w:ascii="Calibri" w:cs="Calibri" w:hAnsi="Calibri" w:eastAsia="Calibri"/>
          <w:u w:val="single"/>
          <w:rtl w:val="0"/>
          <w:lang w:val="da-DK"/>
        </w:rPr>
        <w:t>Dysgu Cyfunol</w:t>
      </w:r>
    </w:p>
    <w:p>
      <w:pPr>
        <w:pStyle w:val="Body"/>
        <w:spacing w:after="160" w:line="480" w:lineRule="auto"/>
        <w:rPr>
          <w:rFonts w:ascii="Calibri" w:cs="Calibri" w:hAnsi="Calibri" w:eastAsia="Calibri"/>
        </w:rPr>
      </w:pPr>
      <w:r>
        <w:rPr>
          <w:rFonts w:ascii="Calibri" w:cs="Calibri" w:hAnsi="Calibri" w:eastAsia="Calibri"/>
          <w:rtl w:val="0"/>
        </w:rPr>
        <w:t xml:space="preserve">Ar </w:t>
      </w:r>
      <w:r>
        <w:rPr>
          <w:rFonts w:ascii="Calibri" w:cs="Calibri" w:hAnsi="Calibri" w:eastAsia="Calibri" w:hint="default"/>
          <w:rtl w:val="0"/>
          <w:lang w:val="en-US"/>
        </w:rPr>
        <w:t>ô</w:t>
      </w:r>
      <w:r>
        <w:rPr>
          <w:rFonts w:ascii="Calibri" w:cs="Calibri" w:hAnsi="Calibri" w:eastAsia="Calibri"/>
          <w:rtl w:val="0"/>
        </w:rPr>
        <w:t>l byw mewn byd o bellhau cymdeithasol, hunan-ynysu a gorchuddion wyneb o ganlyniad i COVID-19 y mae r</w:t>
      </w:r>
      <w:r>
        <w:rPr>
          <w:rFonts w:ascii="Calibri" w:cs="Calibri" w:hAnsi="Calibri" w:eastAsia="Calibri" w:hint="default"/>
          <w:rtl w:val="0"/>
          <w:lang w:val="en-US"/>
        </w:rPr>
        <w:t>ô</w:t>
      </w:r>
      <w:r>
        <w:rPr>
          <w:rFonts w:ascii="Calibri" w:cs="Calibri" w:hAnsi="Calibri" w:eastAsia="Calibri"/>
          <w:rtl w:val="0"/>
        </w:rPr>
        <w:t>l technoleg a</w:t>
      </w:r>
      <w:r>
        <w:rPr>
          <w:rFonts w:ascii="Calibri" w:cs="Calibri" w:hAnsi="Calibri" w:eastAsia="Calibri" w:hint="default"/>
          <w:rtl w:val="0"/>
          <w:lang w:val="en-US"/>
        </w:rPr>
        <w:t>’</w:t>
      </w:r>
      <w:r>
        <w:rPr>
          <w:rFonts w:ascii="Calibri" w:cs="Calibri" w:hAnsi="Calibri" w:eastAsia="Calibri"/>
          <w:rtl w:val="0"/>
        </w:rPr>
        <w:t>r rhyngrwyd wedi dod yn fwyfwy blaenllaw ym myd addysg. Yn sgil hyn, y mae dysgu cyfunol wedi dod i</w:t>
      </w:r>
      <w:r>
        <w:rPr>
          <w:rFonts w:ascii="Calibri" w:cs="Calibri" w:hAnsi="Calibri" w:eastAsia="Calibri" w:hint="default"/>
          <w:rtl w:val="0"/>
          <w:lang w:val="en-US"/>
        </w:rPr>
        <w:t>’</w:t>
      </w:r>
      <w:r>
        <w:rPr>
          <w:rFonts w:ascii="Calibri" w:cs="Calibri" w:hAnsi="Calibri" w:eastAsia="Calibri"/>
          <w:rtl w:val="0"/>
        </w:rPr>
        <w:t>r amlwg fel modd defnyddiol i athrawon fedru addysgu drwy sgrin neu yn rhithiol. Un adeg, ystyr dysgu cyfunol, yn syml, oedd cyfuniad o ddysgu ar-lein a darpariaeth wyneb yn wyneb, ond o ganlyniad i ddatblygiadau technolegol a dulliau addysgeg newydd, ceir dealltwriaeth ehangach o</w:t>
      </w:r>
      <w:r>
        <w:rPr>
          <w:rFonts w:ascii="Calibri" w:cs="Calibri" w:hAnsi="Calibri" w:eastAsia="Calibri" w:hint="default"/>
          <w:rtl w:val="0"/>
          <w:lang w:val="en-US"/>
        </w:rPr>
        <w:t>’</w:t>
      </w:r>
      <w:r>
        <w:rPr>
          <w:rFonts w:ascii="Calibri" w:cs="Calibri" w:hAnsi="Calibri" w:eastAsia="Calibri"/>
          <w:rtl w:val="0"/>
        </w:rPr>
        <w:t>r cysyniad (Alexander a Boud, 2001). Caiff ei ddadlau ei fod yn heriol i ddod o hyd i ddiffiniad cyffredinol o ddysgu cyfunol ac y mae hi hyd yn oed yn anoddach canfod llenyddiaeth sydd yn manylu methodoleg ohoni. Yn gyffredinol, caiff dysgu cyfunol ei ystyried yn fodd o ddysgu sydd yn cyfuno elfennau o ddysgu wyneb yn wyneb a dysgu yn llwyr ar lein (Hanson a Clem, 2006).</w:t>
      </w:r>
    </w:p>
    <w:p>
      <w:pPr>
        <w:pStyle w:val="Body"/>
        <w:spacing w:after="160" w:line="480" w:lineRule="auto"/>
        <w:rPr>
          <w:rFonts w:ascii="Calibri" w:cs="Calibri" w:hAnsi="Calibri" w:eastAsia="Calibri"/>
        </w:rPr>
      </w:pPr>
      <w:r>
        <w:rPr>
          <w:rFonts w:ascii="Calibri" w:cs="Calibri" w:hAnsi="Calibri" w:eastAsia="Calibri"/>
          <w:rtl w:val="0"/>
          <w:lang w:val="en-US"/>
        </w:rPr>
        <w:t>Mewn adroddiad a gyflwynwyd gan Gyngor y Gweithlu Addysg (2019), honna fod 'cyfuniad dysgu proffesiynol' yn gyfuniad o sawl math o brofiadau dysgu gan gynnwys rhai ffurfiol ac anffurfiol, unigol a gr</w:t>
      </w:r>
      <w:r>
        <w:rPr>
          <w:rFonts w:ascii="Calibri" w:cs="Calibri" w:hAnsi="Calibri" w:eastAsia="Calibri" w:hint="default"/>
          <w:rtl w:val="0"/>
          <w:lang w:val="en-US"/>
        </w:rPr>
        <w:t>ŵ</w:t>
      </w:r>
      <w:r>
        <w:rPr>
          <w:rFonts w:ascii="Calibri" w:cs="Calibri" w:hAnsi="Calibri" w:eastAsia="Calibri"/>
          <w:rtl w:val="0"/>
        </w:rPr>
        <w:t>p, yn y gweithle ac wedi'u lleoli mewn mannau proffesiynol personol, wyneb yn wyneb ac ar-lein, cydamserol ac anghydamserol. (Cyngor y Gweithlu Addysg 2019). Mae</w:t>
      </w:r>
      <w:r>
        <w:rPr>
          <w:rFonts w:ascii="Calibri" w:cs="Calibri" w:hAnsi="Calibri" w:eastAsia="Calibri" w:hint="default"/>
          <w:rtl w:val="0"/>
          <w:lang w:val="en-US"/>
        </w:rPr>
        <w:t>’</w:t>
      </w:r>
      <w:r>
        <w:rPr>
          <w:rFonts w:ascii="Calibri" w:cs="Calibri" w:hAnsi="Calibri" w:eastAsia="Calibri"/>
          <w:rtl w:val="0"/>
        </w:rPr>
        <w:t xml:space="preserve">r adroddiad hefyd yn awgrymu moddion gwahanol o ddysgu cyfunol: darpariaeth ar-lein; myfyrio ac ymholi unigol; ymgysylltu </w:t>
      </w:r>
      <w:r>
        <w:rPr>
          <w:rFonts w:ascii="Calibri" w:cs="Calibri" w:hAnsi="Calibri" w:eastAsia="Calibri" w:hint="default"/>
          <w:rtl w:val="0"/>
          <w:lang w:val="en-US"/>
        </w:rPr>
        <w:t xml:space="preserve">â </w:t>
      </w:r>
      <w:r>
        <w:rPr>
          <w:rFonts w:ascii="Calibri" w:cs="Calibri" w:hAnsi="Calibri" w:eastAsia="Calibri"/>
          <w:rtl w:val="0"/>
          <w:lang w:val="en-US"/>
        </w:rPr>
        <w:t xml:space="preserve">rhwydweithiau dysgu proffesiynol; arsylwi ar ddysgu ac addysgu mewn amgylcheddau ystafell ddosbarth eraill; mentora a hyfforddi; a dysgu am yr arferion gorau drwy ymweliadau lleol, cenedlaethol a rhyngwladol. </w:t>
      </w:r>
      <w:r>
        <w:rPr>
          <w:rFonts w:ascii="Calibri" w:cs="Calibri" w:hAnsi="Calibri" w:eastAsia="Calibri" w:hint="default"/>
          <w:rtl w:val="0"/>
          <w:lang w:val="en-US"/>
        </w:rPr>
        <w:t>‘…</w:t>
      </w:r>
      <w:r>
        <w:rPr>
          <w:rFonts w:ascii="Calibri" w:cs="Calibri" w:hAnsi="Calibri" w:eastAsia="Calibri"/>
          <w:rtl w:val="0"/>
          <w:lang w:val="de-DE"/>
        </w:rPr>
        <w:t>cymysgedd o brofiadau dysgu proffesiynol, sydd weithiau wedi</w:t>
      </w:r>
      <w:r>
        <w:rPr>
          <w:rFonts w:ascii="Calibri" w:cs="Calibri" w:hAnsi="Calibri" w:eastAsia="Calibri" w:hint="default"/>
          <w:rtl w:val="0"/>
          <w:lang w:val="en-US"/>
        </w:rPr>
        <w:t>’</w:t>
      </w:r>
      <w:r>
        <w:rPr>
          <w:rFonts w:ascii="Calibri" w:cs="Calibri" w:hAnsi="Calibri" w:eastAsia="Calibri"/>
          <w:rtl w:val="0"/>
          <w:lang w:val="de-DE"/>
        </w:rPr>
        <w:t>u cyfuno fel cawl llyfn, ac weithiau</w:t>
      </w:r>
      <w:r>
        <w:rPr>
          <w:rFonts w:ascii="Calibri" w:cs="Calibri" w:hAnsi="Calibri" w:eastAsia="Calibri" w:hint="default"/>
          <w:rtl w:val="0"/>
          <w:lang w:val="en-US"/>
        </w:rPr>
        <w:t>’</w:t>
      </w:r>
      <w:r>
        <w:rPr>
          <w:rFonts w:ascii="Calibri" w:cs="Calibri" w:hAnsi="Calibri" w:eastAsia="Calibri"/>
          <w:rtl w:val="0"/>
        </w:rPr>
        <w:t xml:space="preserve">n cyd-fynd </w:t>
      </w:r>
      <w:r>
        <w:rPr>
          <w:rFonts w:ascii="Calibri" w:cs="Calibri" w:hAnsi="Calibri" w:eastAsia="Calibri" w:hint="default"/>
          <w:rtl w:val="0"/>
          <w:lang w:val="en-US"/>
        </w:rPr>
        <w:t>â’</w:t>
      </w:r>
      <w:r>
        <w:rPr>
          <w:rFonts w:ascii="Calibri" w:cs="Calibri" w:hAnsi="Calibri" w:eastAsia="Calibri"/>
          <w:rtl w:val="0"/>
          <w:lang w:val="en-US"/>
        </w:rPr>
        <w:t>i gilydd fel cynhwysion mewn cawl traddodiadol Cymreig.' (Jones et al, 2018).</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r>
        <w:rPr>
          <w:rFonts w:ascii="Calibri" w:cs="Calibri" w:hAnsi="Calibri" w:eastAsia="Calibri"/>
          <w:rtl w:val="0"/>
          <w:lang w:val="es-ES_tradnl"/>
        </w:rPr>
        <w:t xml:space="preserve">Yn sgil y cydweddiad y pandemig, nid yw hi bob amser yn brofiad </w:t>
      </w:r>
      <w:r>
        <w:rPr>
          <w:rFonts w:ascii="Calibri" w:cs="Calibri" w:hAnsi="Calibri" w:eastAsia="Calibri" w:hint="default"/>
          <w:rtl w:val="0"/>
          <w:lang w:val="en-US"/>
        </w:rPr>
        <w:t>‘</w:t>
      </w:r>
      <w:r>
        <w:rPr>
          <w:rFonts w:ascii="Calibri" w:cs="Calibri" w:hAnsi="Calibri" w:eastAsia="Calibri"/>
          <w:rtl w:val="0"/>
        </w:rPr>
        <w:t>llyfn</w:t>
      </w:r>
      <w:r>
        <w:rPr>
          <w:rFonts w:ascii="Calibri" w:cs="Calibri" w:hAnsi="Calibri" w:eastAsia="Calibri" w:hint="default"/>
          <w:rtl w:val="0"/>
          <w:lang w:val="en-US"/>
        </w:rPr>
        <w:t xml:space="preserve">’ </w:t>
      </w:r>
      <w:r>
        <w:rPr>
          <w:rFonts w:ascii="Calibri" w:cs="Calibri" w:hAnsi="Calibri" w:eastAsia="Calibri"/>
          <w:rtl w:val="0"/>
        </w:rPr>
        <w:t>pan ddaw at gymhwyso dysgu cyfunol mewn ysgolion. Er o dan amodau COVID-19, y roedd dysgu cyfunol yn cael ei ystyried yn fesur diogelwch, yn amlwg y mae hi yn ddisgwyliedig i ddysgwyr barhau i dderbyn addysg o</w:t>
      </w:r>
      <w:r>
        <w:rPr>
          <w:rFonts w:ascii="Calibri" w:cs="Calibri" w:hAnsi="Calibri" w:eastAsia="Calibri" w:hint="default"/>
          <w:rtl w:val="0"/>
          <w:lang w:val="en-US"/>
        </w:rPr>
        <w:t>’</w:t>
      </w:r>
      <w:r>
        <w:rPr>
          <w:rFonts w:ascii="Calibri" w:cs="Calibri" w:hAnsi="Calibri" w:eastAsia="Calibri"/>
          <w:rtl w:val="0"/>
        </w:rPr>
        <w:t>r safon uchaf (NAWSUT 2020). Gall hyn godi amryw o faterion i athrawon ac arweinwyr oherwydd y prinder tystiolaeth am ei heffeithlonrwydd o dan yr amodau presennol. Mae hyn felly wedi dod yn bwysau ychwanegol i athrawon oherwydd y gofyn iddynt orfod arbrofi a defnyddio eu beirniadaeth broffesiynol er mwyn dod o hyd i strategaethau addas a fydd yn briodol ar gyfer eu hamryw o ddosbarthiadau ac felly amryw eang o alluoedd, aeddfedrwydd a chymhwysedd digidol (NASWUT 2020)</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spacing w:after="160" w:line="480" w:lineRule="auto"/>
        <w:rPr>
          <w:rFonts w:ascii="Calibri" w:cs="Calibri" w:hAnsi="Calibri" w:eastAsia="Calibri"/>
        </w:rPr>
      </w:pPr>
      <w:r>
        <w:rPr>
          <w:rFonts w:ascii="Calibri" w:cs="Calibri" w:hAnsi="Calibri" w:eastAsia="Calibri"/>
          <w:rtl w:val="0"/>
          <w:lang w:val="en-US"/>
        </w:rPr>
        <w:t>Dywed Fenstermacher (1990), "Education is not something we do to people; education is something people do for themselves</w:t>
      </w:r>
      <w:r>
        <w:rPr>
          <w:rFonts w:ascii="Calibri" w:cs="Calibri" w:hAnsi="Calibri" w:eastAsia="Calibri" w:hint="default"/>
          <w:rtl w:val="0"/>
          <w:lang w:val="en-US"/>
        </w:rPr>
        <w:t>—</w:t>
      </w:r>
      <w:r>
        <w:rPr>
          <w:rFonts w:ascii="Calibri" w:cs="Calibri" w:hAnsi="Calibri" w:eastAsia="Calibri"/>
          <w:rtl w:val="0"/>
          <w:lang w:val="en-US"/>
        </w:rPr>
        <w:t>assisted we hope by the efforts of teachers". Y cam cyntaf wrth ddiwallu anghenion dysgwyr yw deall sut maen nhw'n dysgu , chwilio am wybodaeth fanwl, datrys problemau a chymryd risg yn ymddygiad dysgu naturiol i bob dysgwr. Y nesaf yw cael dysgwyr i ddeall beth y gallant wneud i batrymau dysgu unigryw weithio iddyn nhw (Goleman,1995).</w:t>
      </w:r>
    </w:p>
    <w:p>
      <w:pPr>
        <w:pStyle w:val="Body"/>
        <w:spacing w:after="160" w:line="480" w:lineRule="auto"/>
        <w:rPr>
          <w:rFonts w:ascii="Calibri" w:cs="Calibri" w:hAnsi="Calibri" w:eastAsia="Calibri"/>
        </w:rPr>
      </w:pPr>
      <w:r>
        <w:rPr>
          <w:rFonts w:ascii="Calibri" w:cs="Calibri" w:hAnsi="Calibri" w:eastAsia="Calibri"/>
          <w:rtl w:val="0"/>
        </w:rPr>
        <w:t>Mae deall patrymau dysgu rhyngweithiol dysgwyr yn arf pwerus i athrawon lunio amgylchedd dysgu croesawgar. Pan fydd athrawon yn cyfeirio eu hymdrechion at sut mae plant yn dysgu, bydd y broses addysg yn llwyddo. Mae gennym yr offer i ddeall sut man plant yn dysgu; y cyfan sydd angen i ni ei wneud yw eu defnyddio (Dziuban et al., 2018).</w:t>
      </w:r>
    </w:p>
    <w:p>
      <w:pPr>
        <w:pStyle w:val="Body"/>
        <w:spacing w:after="160" w:line="480" w:lineRule="auto"/>
        <w:rPr>
          <w:rFonts w:ascii="Calibri" w:cs="Calibri" w:hAnsi="Calibri" w:eastAsia="Calibri"/>
        </w:rPr>
      </w:pPr>
      <w:r>
        <w:rPr>
          <w:rFonts w:ascii="Calibri" w:cs="Calibri" w:hAnsi="Calibri" w:eastAsia="Calibri"/>
          <w:rtl w:val="0"/>
          <w:lang w:val="en-US"/>
        </w:rPr>
        <w:t>Drwy ddysgu cyfunnol pan fydd dysgwyr yn gyfrifol am eu proses dysgu, yn aml fe fyddynt yn  fwy tebygol o gwblhau'r gweithgaredd gydag ymdrech ac ymgysylltiad llawn. Mae dysgwyr hefyd yn dysgu i fyfyrio ar eu proses ddysgu, penderfynu beth weithiodd a beth i'w osgoi yn y weithgaredd nesaf (Dziuban et al., 2018). Mae gwahaniaethu yn allweddol mewn addysg ac mae'r model hwn yn galluogi dysgwyr i weithio ar eu cyflymder a'u lefel eu hunain, ac felly mae gwahaniaethu'n haws i gyflawni (Dziuban et al., 2018).</w:t>
      </w:r>
    </w:p>
    <w:p>
      <w:pPr>
        <w:pStyle w:val="Body"/>
        <w:spacing w:after="160" w:line="480" w:lineRule="auto"/>
        <w:rPr>
          <w:rFonts w:ascii="Calibri" w:cs="Calibri" w:hAnsi="Calibri" w:eastAsia="Calibri"/>
        </w:rPr>
      </w:pPr>
      <w:r>
        <w:rPr>
          <w:rFonts w:ascii="Calibri" w:cs="Calibri" w:hAnsi="Calibri" w:eastAsia="Calibri"/>
          <w:rtl w:val="0"/>
        </w:rPr>
        <w:t>Yn aml, rydyn ni'n paratoi dysgwyr gyda llyfrau clyfar ond nid ydym yn eu haddysgu i ddadansoddi digwyddiadau'r byd, craffu ar gyfryngau newyddion, na chwestiynu'r hyn a ddywedir wrthynt am bynciau llosg yn effeithiol. Heb y sgiliau hyn, gall dysgwyr aros yn na</w:t>
      </w:r>
      <w:r>
        <w:rPr>
          <w:rFonts w:ascii="Calibri" w:cs="Calibri" w:hAnsi="Calibri" w:eastAsia="Calibri" w:hint="default"/>
          <w:rtl w:val="0"/>
          <w:lang w:val="en-US"/>
        </w:rPr>
        <w:t>ï</w:t>
      </w:r>
      <w:r>
        <w:rPr>
          <w:rFonts w:ascii="Calibri" w:cs="Calibri" w:hAnsi="Calibri" w:eastAsia="Calibri"/>
          <w:rtl w:val="0"/>
          <w:lang w:val="en-US"/>
        </w:rPr>
        <w:t>f am yr hyn y mae eraill yn ei ddweud wrthynt (Hance,2021) . Mae</w:t>
      </w:r>
      <w:r>
        <w:rPr>
          <w:rFonts w:ascii="Calibri" w:cs="Calibri" w:hAnsi="Calibri" w:eastAsia="Calibri" w:hint="default"/>
          <w:rtl w:val="0"/>
          <w:lang w:val="en-US"/>
        </w:rPr>
        <w:t>’</w:t>
      </w:r>
      <w:r>
        <w:rPr>
          <w:rFonts w:ascii="Calibri" w:cs="Calibri" w:hAnsi="Calibri" w:eastAsia="Calibri"/>
          <w:rtl w:val="0"/>
        </w:rPr>
        <w:t>r Model Dysgu Cyfunol yn eu helpu i ddatblygu eu dealltwriaeth eu hunain, chwilio am wybodaeth, ac ymchwilio i ffeithiau yn hytrach na dibynnu ar farn yn y byd go iawn.Er mwyn defnyddio Dysgu Cyfunol yn llwyddiannus yn yr ystafell ddosbarth, bydd angen i athrawon gyfuno dwy neu dair o'r cydrannau i roi arweiniad i fyfyrwyr ar sut i drefnu a chasglu eu gwybodaeth (Zhao et al.,2005). Er enghraifft, gallai cyfuniad gynnwys strategaeth ddysgu (dysgu seiliedig ar brosiect), problem neu her (seiberfwlio), a gweithred wybyddol (eglurwch yr arwyddoc</w:t>
      </w:r>
      <w:r>
        <w:rPr>
          <w:rFonts w:ascii="Calibri" w:cs="Calibri" w:hAnsi="Calibri" w:eastAsia="Calibri" w:hint="default"/>
          <w:rtl w:val="0"/>
          <w:lang w:val="en-US"/>
        </w:rPr>
        <w:t>â</w:t>
      </w:r>
      <w:r>
        <w:rPr>
          <w:rFonts w:ascii="Calibri" w:cs="Calibri" w:hAnsi="Calibri" w:eastAsia="Calibri"/>
          <w:rtl w:val="0"/>
        </w:rPr>
        <w:t>d). Byddai dysgwyr wedyn yn gweithio fel gr</w:t>
      </w:r>
      <w:r>
        <w:rPr>
          <w:rFonts w:ascii="Calibri" w:cs="Calibri" w:hAnsi="Calibri" w:eastAsia="Calibri" w:hint="default"/>
          <w:rtl w:val="0"/>
          <w:lang w:val="en-US"/>
        </w:rPr>
        <w:t>ŵ</w:t>
      </w:r>
      <w:r>
        <w:rPr>
          <w:rFonts w:ascii="Calibri" w:cs="Calibri" w:hAnsi="Calibri" w:eastAsia="Calibri"/>
          <w:rtl w:val="0"/>
        </w:rPr>
        <w:t>p bach i greu hysbyseb 90 eiliad i egluro arwyddoc</w:t>
      </w:r>
      <w:r>
        <w:rPr>
          <w:rFonts w:ascii="Calibri" w:cs="Calibri" w:hAnsi="Calibri" w:eastAsia="Calibri" w:hint="default"/>
          <w:rtl w:val="0"/>
          <w:lang w:val="en-US"/>
        </w:rPr>
        <w:t>â</w:t>
      </w:r>
      <w:r>
        <w:rPr>
          <w:rFonts w:ascii="Calibri" w:cs="Calibri" w:hAnsi="Calibri" w:eastAsia="Calibri"/>
          <w:rtl w:val="0"/>
          <w:lang w:val="de-DE"/>
        </w:rPr>
        <w:t>d seiberfwlio. Y dysgwyr fyddai'n gyfrifol am gasglu eu gwybodaeth eu hunain a chreu hysbyseb sy'n gywir ac yn tynnu sylw (Hance,2021).</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spacing w:after="160" w:line="480" w:lineRule="auto"/>
        <w:rPr>
          <w:rFonts w:ascii="Calibri" w:cs="Calibri" w:hAnsi="Calibri" w:eastAsia="Calibri"/>
        </w:rPr>
      </w:pPr>
      <w:r>
        <w:rPr>
          <w:rFonts w:ascii="Calibri" w:cs="Calibri" w:hAnsi="Calibri" w:eastAsia="Calibri"/>
          <w:rtl w:val="0"/>
          <w:lang w:val="it-IT"/>
        </w:rPr>
        <w:t>Dangosir Model Dysgu Cyfunol  (Johnston, 1996)</w:t>
      </w:r>
      <w:r>
        <w:rPr>
          <w:rFonts w:ascii="Calibri" w:cs="Calibri" w:hAnsi="Calibri" w:eastAsia="Calibri" w:hint="default"/>
          <w:rtl w:val="0"/>
          <w:lang w:val="en-US"/>
        </w:rPr>
        <w:t>—</w:t>
      </w:r>
      <w:r>
        <w:rPr>
          <w:rFonts w:ascii="Calibri" w:cs="Calibri" w:hAnsi="Calibri" w:eastAsia="Calibri"/>
          <w:rtl w:val="0"/>
        </w:rPr>
        <w:t>sut rydym yn prosesu gwybodaeth (gwybyddiaeth)- cyflawni tasgau dysgu, a datblygu ymdeimlad o</w:t>
      </w:r>
      <w:r>
        <w:rPr>
          <w:rFonts w:ascii="Calibri" w:cs="Calibri" w:hAnsi="Calibri" w:eastAsia="Calibri" w:hint="default"/>
          <w:rtl w:val="0"/>
          <w:lang w:val="en-US"/>
        </w:rPr>
        <w:t>’</w:t>
      </w:r>
      <w:r>
        <w:rPr>
          <w:rFonts w:ascii="Calibri" w:cs="Calibri" w:hAnsi="Calibri" w:eastAsia="Calibri"/>
          <w:rtl w:val="0"/>
          <w:lang w:val="en-US"/>
        </w:rPr>
        <w:t xml:space="preserve">r hunan wrth ymgymryd </w:t>
      </w:r>
      <w:r>
        <w:rPr>
          <w:rFonts w:ascii="Calibri" w:cs="Calibri" w:hAnsi="Calibri" w:eastAsia="Calibri" w:hint="default"/>
          <w:rtl w:val="0"/>
          <w:lang w:val="en-US"/>
        </w:rPr>
        <w:t xml:space="preserve">â </w:t>
      </w:r>
      <w:r>
        <w:rPr>
          <w:rFonts w:ascii="Calibri" w:cs="Calibri" w:hAnsi="Calibri" w:eastAsia="Calibri"/>
          <w:rtl w:val="0"/>
          <w:lang w:val="en-US"/>
        </w:rPr>
        <w:t xml:space="preserve">thasgau dysgu nad ydynt bob amser yn dod yn naturiol (amhariad - yn gysylltiedig ag effaith). At hynny, mae pawb yn ymdrin </w:t>
      </w:r>
      <w:r>
        <w:rPr>
          <w:rFonts w:ascii="Calibri" w:cs="Calibri" w:hAnsi="Calibri" w:eastAsia="Calibri" w:hint="default"/>
          <w:rtl w:val="0"/>
          <w:lang w:val="en-US"/>
        </w:rPr>
        <w:t xml:space="preserve">â </w:t>
      </w:r>
      <w:r>
        <w:rPr>
          <w:rFonts w:ascii="Calibri" w:cs="Calibri" w:hAnsi="Calibri" w:eastAsia="Calibri"/>
          <w:rtl w:val="0"/>
        </w:rPr>
        <w:t>thasgau dysgu gyda gwahanol raddau o ddilyniant, manwl gywirdeb, rhesymu technegol, a chydlifiad (syniadau unigryw). Mae'r patrymau hyn yn dylanwadu'n gryf ar allu dysgwyr i ymateb i weithgareddau dysgu yn yr ystafell ddosbarth. Beth bynnag mae ysgolion yn ei ddarparu, beth bynnag mae athrawon yn ei wneud, yn y pen draw, y dysgwr sy'n gorfod defnyddio'r adnoddau i ennu sgiliau a gwybodaeth (Levin 1995).Deall a derbyn gwybodaeth am gyfuniad dysgwyr o batrymau dysgu yw</w:t>
      </w:r>
      <w:r>
        <w:rPr>
          <w:rFonts w:ascii="Calibri" w:cs="Calibri" w:hAnsi="Calibri" w:eastAsia="Calibri" w:hint="default"/>
          <w:rtl w:val="0"/>
          <w:lang w:val="en-US"/>
        </w:rPr>
        <w:t>’</w:t>
      </w:r>
      <w:r>
        <w:rPr>
          <w:rFonts w:ascii="Calibri" w:cs="Calibri" w:hAnsi="Calibri" w:eastAsia="Calibri"/>
          <w:rtl w:val="0"/>
        </w:rPr>
        <w:t>r lle i ddechrau deall sut mae plentyn yn dysgu.</w:t>
      </w:r>
    </w:p>
    <w:p>
      <w:pPr>
        <w:pStyle w:val="Body"/>
        <w:spacing w:after="160" w:line="480" w:lineRule="auto"/>
        <w:rPr>
          <w:rFonts w:ascii="Calibri" w:cs="Calibri" w:hAnsi="Calibri" w:eastAsia="Calibri"/>
        </w:rPr>
      </w:pPr>
      <w:r>
        <w:rPr>
          <w:rFonts w:ascii="Calibri" w:cs="Calibri" w:hAnsi="Calibri" w:eastAsia="Calibri"/>
          <w:rtl w:val="0"/>
        </w:rPr>
        <w:t>Cynlluniwyd Dysgu Cyfunol i ddiwallu anghenion unrhyw oedran a maes cwricwlwm. Fodd bynnag, bydd angen mwy o arweiniad a hyfforddiant i fyfyrwyr iau ei ddefnyddio'n effeithiol. Gall dysgwyr mwy aeddfed addasu'n hawdd i'r amgylchedd dysgu hunangyfeiried, ond bydd yn cymryd amser a modelu (Levin 1995). Yng nghyd-destun yr aseiniad yma lle ddefnyddir dysgu cyfunol fel dull addysgu yn y dosbarth derbyn daw</w:t>
      </w:r>
      <w:r>
        <w:rPr>
          <w:rFonts w:ascii="Calibri" w:cs="Calibri" w:hAnsi="Calibri" w:eastAsia="Calibri" w:hint="default"/>
          <w:rtl w:val="0"/>
          <w:lang w:val="en-US"/>
        </w:rPr>
        <w:t>’</w:t>
      </w:r>
      <w:r>
        <w:rPr>
          <w:rFonts w:ascii="Calibri" w:cs="Calibri" w:hAnsi="Calibri" w:eastAsia="Calibri"/>
          <w:rtl w:val="0"/>
          <w:lang w:val="es-ES_tradnl"/>
        </w:rPr>
        <w:t>r hyn a nodir yn llenyddiaeth i</w:t>
      </w:r>
      <w:r>
        <w:rPr>
          <w:rFonts w:ascii="Calibri" w:cs="Calibri" w:hAnsi="Calibri" w:eastAsia="Calibri" w:hint="default"/>
          <w:rtl w:val="0"/>
          <w:lang w:val="en-US"/>
        </w:rPr>
        <w:t>’</w:t>
      </w:r>
      <w:r>
        <w:rPr>
          <w:rFonts w:ascii="Calibri" w:cs="Calibri" w:hAnsi="Calibri" w:eastAsia="Calibri"/>
          <w:rtl w:val="0"/>
          <w:lang w:val="de-DE"/>
        </w:rPr>
        <w:t>r amlwg, defnyddir TGCh fel arf yn enwedig yng nghyfnod 2021 pan fe wnaeth ddysgwyr dechrau dychwelyd i n</w:t>
      </w:r>
      <w:r>
        <w:rPr>
          <w:rFonts w:ascii="Calibri" w:cs="Calibri" w:hAnsi="Calibri" w:eastAsia="Calibri" w:hint="default"/>
          <w:rtl w:val="0"/>
          <w:lang w:val="en-US"/>
        </w:rPr>
        <w:t>ô</w:t>
      </w:r>
      <w:r>
        <w:rPr>
          <w:rFonts w:ascii="Calibri" w:cs="Calibri" w:hAnsi="Calibri" w:eastAsia="Calibri"/>
          <w:rtl w:val="0"/>
        </w:rPr>
        <w:t>l i</w:t>
      </w:r>
      <w:r>
        <w:rPr>
          <w:rFonts w:ascii="Calibri" w:cs="Calibri" w:hAnsi="Calibri" w:eastAsia="Calibri" w:hint="default"/>
          <w:rtl w:val="0"/>
          <w:lang w:val="en-US"/>
        </w:rPr>
        <w:t>’</w:t>
      </w:r>
      <w:r>
        <w:rPr>
          <w:rFonts w:ascii="Calibri" w:cs="Calibri" w:hAnsi="Calibri" w:eastAsia="Calibri"/>
          <w:rtl w:val="0"/>
        </w:rPr>
        <w:t xml:space="preserve">r ysgol ar </w:t>
      </w:r>
      <w:r>
        <w:rPr>
          <w:rFonts w:ascii="Calibri" w:cs="Calibri" w:hAnsi="Calibri" w:eastAsia="Calibri" w:hint="default"/>
          <w:rtl w:val="0"/>
          <w:lang w:val="en-US"/>
        </w:rPr>
        <w:t>ô</w:t>
      </w:r>
      <w:r>
        <w:rPr>
          <w:rFonts w:ascii="Calibri" w:cs="Calibri" w:hAnsi="Calibri" w:eastAsia="Calibri"/>
          <w:rtl w:val="0"/>
          <w:lang w:val="es-ES_tradnl"/>
        </w:rPr>
        <w:t>l y cyfnod clo.</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r>
        <w:rPr>
          <w:rFonts w:ascii="Calibri" w:cs="Calibri" w:hAnsi="Calibri" w:eastAsia="Calibri"/>
          <w:rtl w:val="0"/>
        </w:rPr>
        <w:t xml:space="preserve">Roedd gwaith a oedd un tro yn syml nawr yn fwy cymhleth o ganlyniad i fwy o broblemau cymdeithasol, gwybyddol ac ymddygiadol, yn ogystal </w:t>
      </w:r>
      <w:r>
        <w:rPr>
          <w:rFonts w:ascii="Calibri" w:cs="Calibri" w:hAnsi="Calibri" w:eastAsia="Calibri" w:hint="default"/>
          <w:rtl w:val="0"/>
          <w:lang w:val="en-US"/>
        </w:rPr>
        <w:t xml:space="preserve">â </w:t>
      </w:r>
      <w:r>
        <w:rPr>
          <w:rFonts w:ascii="Calibri" w:cs="Calibri" w:hAnsi="Calibri" w:eastAsia="Calibri"/>
          <w:rtl w:val="0"/>
          <w:lang w:val="pt-PT"/>
        </w:rPr>
        <w:t>llawer o ddysgwyr a oedd a diffyg sgiliau o ganlyniad i</w:t>
      </w:r>
      <w:r>
        <w:rPr>
          <w:rFonts w:ascii="Calibri" w:cs="Calibri" w:hAnsi="Calibri" w:eastAsia="Calibri" w:hint="default"/>
          <w:rtl w:val="0"/>
          <w:lang w:val="en-US"/>
        </w:rPr>
        <w:t>’</w:t>
      </w:r>
      <w:r>
        <w:rPr>
          <w:rFonts w:ascii="Calibri" w:cs="Calibri" w:hAnsi="Calibri" w:eastAsia="Calibri"/>
          <w:rtl w:val="0"/>
          <w:lang w:val="en-US"/>
        </w:rPr>
        <w:t>r pandemic. Fe wnaeth y wers dan sylw sicrhau bod pob un dysgwr wedi dysgu neu ddefnyddio un sgil a oedd yna yn hybu perchenogaeth a balchder i</w:t>
      </w:r>
      <w:r>
        <w:rPr>
          <w:rFonts w:ascii="Calibri" w:cs="Calibri" w:hAnsi="Calibri" w:eastAsia="Calibri" w:hint="default"/>
          <w:rtl w:val="0"/>
          <w:lang w:val="en-US"/>
        </w:rPr>
        <w:t>’</w:t>
      </w:r>
      <w:r>
        <w:rPr>
          <w:rFonts w:ascii="Calibri" w:cs="Calibri" w:hAnsi="Calibri" w:eastAsia="Calibri"/>
          <w:rtl w:val="0"/>
          <w:lang w:val="en-US"/>
        </w:rPr>
        <w:t>r gwaith a gr</w:t>
      </w:r>
      <w:r>
        <w:rPr>
          <w:rFonts w:ascii="Calibri" w:cs="Calibri" w:hAnsi="Calibri" w:eastAsia="Calibri" w:hint="default"/>
          <w:rtl w:val="0"/>
          <w:lang w:val="en-US"/>
        </w:rPr>
        <w:t>ë</w:t>
      </w:r>
      <w:r>
        <w:rPr>
          <w:rFonts w:ascii="Calibri" w:cs="Calibri" w:hAnsi="Calibri" w:eastAsia="Calibri"/>
          <w:rtl w:val="0"/>
        </w:rPr>
        <w:t>wyd.</w:t>
      </w:r>
      <w:r>
        <w:rPr>
          <w:rFonts w:ascii="Calibri" w:cs="Calibri" w:hAnsi="Calibri" w:eastAsia="Calibri"/>
          <w:rtl w:val="0"/>
        </w:rPr>
        <w:t xml:space="preserve"> </w:t>
      </w:r>
      <w:r>
        <w:rPr>
          <w:rFonts w:ascii="Calibri" w:cs="Calibri" w:hAnsi="Calibri" w:eastAsia="Calibri"/>
          <w:rtl w:val="0"/>
          <w:lang w:val="en-US"/>
        </w:rPr>
        <w:t>Nid yw dysgu cyfunol yn gofyn am adnoddau digidol cymhleth na chwaith am sgiliau arbennig gan athrawon na ddisgyblion: yr unig beth efallai bydd angen byddai hyfforddiant er mwyn sicrhau fod athrawon yn medru creu adnoddau a</w:t>
      </w:r>
      <w:r>
        <w:rPr>
          <w:rFonts w:ascii="Calibri" w:cs="Calibri" w:hAnsi="Calibri" w:eastAsia="Calibri" w:hint="default"/>
          <w:rtl w:val="0"/>
          <w:lang w:val="en-US"/>
        </w:rPr>
        <w:t>’</w:t>
      </w:r>
      <w:r>
        <w:rPr>
          <w:rFonts w:ascii="Calibri" w:cs="Calibri" w:hAnsi="Calibri" w:eastAsia="Calibri"/>
          <w:rtl w:val="0"/>
          <w:lang w:val="en-US"/>
        </w:rPr>
        <w:t>u huwchlwytho yn effeithiol a hefyd hyfforddi</w:t>
      </w:r>
      <w:r>
        <w:rPr>
          <w:rFonts w:ascii="Calibri" w:cs="Calibri" w:hAnsi="Calibri" w:eastAsia="Calibri" w:hint="default"/>
          <w:rtl w:val="0"/>
          <w:lang w:val="en-US"/>
        </w:rPr>
        <w:t>’</w:t>
      </w:r>
      <w:r>
        <w:rPr>
          <w:rFonts w:ascii="Calibri" w:cs="Calibri" w:hAnsi="Calibri" w:eastAsia="Calibri"/>
          <w:rtl w:val="0"/>
        </w:rPr>
        <w:t>r disgyblion ar sut i gyrchu a chwblhau</w:t>
      </w:r>
      <w:r>
        <w:rPr>
          <w:rFonts w:ascii="Calibri" w:cs="Calibri" w:hAnsi="Calibri" w:eastAsia="Calibri" w:hint="default"/>
          <w:rtl w:val="0"/>
          <w:lang w:val="en-US"/>
        </w:rPr>
        <w:t>’</w:t>
      </w:r>
      <w:r>
        <w:rPr>
          <w:rFonts w:ascii="Calibri" w:cs="Calibri" w:hAnsi="Calibri" w:eastAsia="Calibri"/>
          <w:rtl w:val="0"/>
        </w:rPr>
        <w:t>r gwaith.</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r>
        <w:rPr>
          <w:rFonts w:ascii="Calibri" w:cs="Calibri" w:hAnsi="Calibri" w:eastAsia="Calibri"/>
          <w:rtl w:val="0"/>
          <w:lang w:val="en-US"/>
        </w:rPr>
        <w:t>Dylai fod gan addysgwyr a disgyblion amser i ddod o hyd i foddau cyfunol sydd fwyaf effeithiol ar eu cyfer; yn amlwg nid yw bob un dull yn mynd i fod yn addas ar gyfer bob dosbarth neu bob athro felly rhaid arbrofi yn gyntaf. Trwy ddod o hyd i ddulliau addas, gellid gwella safonau dysgu ac addysgu ac arbed amser yn hytrach na achosi straen. Y mae sawl ysgol wedi dechrau defnyddio dysgu cyfunol yn barod o ganlyniad i amgylchiadau COVID ond credaf yn gryf dylai fod y defnydd hwn yn datblygu yn organig fel ymateb i broblemau penodol addysgeg a pheidio anghofio ffurfiau mwy traddodiadol sydd yn gweithio yn effeithiol.</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r>
        <w:rPr>
          <w:rFonts w:ascii="Calibri" w:cs="Calibri" w:hAnsi="Calibri" w:eastAsia="Calibri"/>
          <w:rtl w:val="0"/>
          <w:lang w:val="en-US"/>
        </w:rPr>
        <w:t>I grynhoi'r adran yma, credaf yn gryf bod dysgu cyfunol, er gwaethaf rhai anfanteision, yn fodd hynod effeithiol o ddysgu ac addysgu.  Er ein bod yn ddibynnol ar bapur a llenyddiaeth yn yr ystafell ddosbarth traddodiadol, y mae hi</w:t>
      </w:r>
      <w:r>
        <w:rPr>
          <w:rFonts w:ascii="Calibri" w:cs="Calibri" w:hAnsi="Calibri" w:eastAsia="Calibri" w:hint="default"/>
          <w:rtl w:val="0"/>
          <w:lang w:val="en-US"/>
        </w:rPr>
        <w:t>’</w:t>
      </w:r>
      <w:r>
        <w:rPr>
          <w:rFonts w:ascii="Calibri" w:cs="Calibri" w:hAnsi="Calibri" w:eastAsia="Calibri"/>
          <w:rtl w:val="0"/>
          <w:lang w:val="nl-NL"/>
        </w:rPr>
        <w:t>n bosib ei gwneud hi yn ddigidol, heb golli'r elfennau craidd chwaith.  Deallaf mai ond cychwyn fy ngyrfa ydwyf ac felly edrychaf ymlaen at arbrofi ag ystod o stratagaethau ddigidol yn y dyfodol.</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48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r>
        <w:rPr>
          <w:rFonts w:ascii="Calibri" w:cs="Calibri" w:hAnsi="Calibri" w:eastAsia="Calibri"/>
          <w:rtl w:val="0"/>
        </w:rPr>
        <w:t>Cyfrif geiriau: 2735</w:t>
      </w: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Calibri" w:cs="Calibri" w:hAnsi="Calibri" w:eastAsia="Calibri"/>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rPr>
        <w:t>Rhestr Cyfeirnodi</w:t>
      </w:r>
    </w:p>
    <w:p>
      <w:pPr>
        <w:pStyle w:val="Default"/>
        <w:jc w:val="both"/>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Black, P., &amp; Wiliam, D. (1998). Assessment and classroom learning. </w:t>
      </w:r>
      <w:r>
        <w:rPr>
          <w:rFonts w:ascii="Times New Roman" w:hAnsi="Times New Roman"/>
          <w:i w:val="1"/>
          <w:iCs w:val="1"/>
          <w:sz w:val="24"/>
          <w:szCs w:val="24"/>
          <w:rtl w:val="0"/>
          <w:lang w:val="en-US"/>
        </w:rPr>
        <w:t>Assessment in Education: Principles, Policy &amp; Practice</w:t>
      </w:r>
      <w:r>
        <w:rPr>
          <w:rFonts w:ascii="Times New Roman" w:hAnsi="Times New Roman"/>
          <w:sz w:val="24"/>
          <w:szCs w:val="24"/>
          <w:rtl w:val="0"/>
        </w:rPr>
        <w:t xml:space="preserve">, </w:t>
      </w:r>
      <w:r>
        <w:rPr>
          <w:rFonts w:ascii="Times New Roman" w:hAnsi="Times New Roman"/>
          <w:i w:val="1"/>
          <w:iCs w:val="1"/>
          <w:sz w:val="24"/>
          <w:szCs w:val="24"/>
          <w:rtl w:val="0"/>
        </w:rPr>
        <w:t>5</w:t>
      </w:r>
      <w:r>
        <w:rPr>
          <w:rFonts w:ascii="Times New Roman" w:hAnsi="Times New Roman"/>
          <w:sz w:val="24"/>
          <w:szCs w:val="24"/>
          <w:rtl w:val="0"/>
        </w:rPr>
        <w:t>(1), 7</w:t>
      </w:r>
      <w:r>
        <w:rPr>
          <w:rFonts w:ascii="Times New Roman" w:hAnsi="Times New Roman" w:hint="default"/>
          <w:sz w:val="24"/>
          <w:szCs w:val="24"/>
          <w:rtl w:val="0"/>
        </w:rPr>
        <w:t>–</w:t>
      </w:r>
      <w:r>
        <w:rPr>
          <w:rFonts w:ascii="Times New Roman" w:hAnsi="Times New Roman"/>
          <w:sz w:val="24"/>
          <w:szCs w:val="24"/>
          <w:rtl w:val="0"/>
          <w:lang w:val="ru-RU"/>
        </w:rPr>
        <w:t>74</w:t>
      </w:r>
    </w:p>
    <w:p>
      <w:pPr>
        <w:pStyle w:val="Default"/>
        <w:jc w:val="both"/>
        <w:rPr>
          <w:rFonts w:ascii="Times New Roman" w:cs="Times New Roman" w:hAnsi="Times New Roman" w:eastAsia="Times New Roman"/>
          <w:sz w:val="24"/>
          <w:szCs w:val="24"/>
        </w:rPr>
      </w:pPr>
    </w:p>
    <w:p>
      <w:pPr>
        <w:pStyle w:val="Default"/>
        <w:rPr>
          <w:rFonts w:ascii="Times New Roman" w:cs="Times New Roman" w:hAnsi="Times New Roman" w:eastAsia="Times New Roman"/>
          <w:color w:val="333333"/>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Black, P. J., &amp; Wiliam, D. (2009). Developing the theory of formative assessment. </w:t>
      </w:r>
      <w:r>
        <w:rPr>
          <w:rFonts w:ascii="Times New Roman" w:hAnsi="Times New Roman"/>
          <w:i w:val="1"/>
          <w:iCs w:val="1"/>
          <w:sz w:val="24"/>
          <w:szCs w:val="24"/>
          <w:rtl w:val="0"/>
          <w:lang w:val="en-US"/>
        </w:rPr>
        <w:t>Educational Assessment, Evaluation and Accountability</w:t>
      </w:r>
      <w:r>
        <w:rPr>
          <w:rFonts w:ascii="Times New Roman" w:hAnsi="Times New Roman"/>
          <w:sz w:val="24"/>
          <w:szCs w:val="24"/>
          <w:rtl w:val="0"/>
        </w:rPr>
        <w:t xml:space="preserve">, </w:t>
      </w:r>
      <w:r>
        <w:rPr>
          <w:rFonts w:ascii="Times New Roman" w:hAnsi="Times New Roman"/>
          <w:i w:val="1"/>
          <w:iCs w:val="1"/>
          <w:sz w:val="24"/>
          <w:szCs w:val="24"/>
          <w:rtl w:val="0"/>
        </w:rPr>
        <w:t>21</w:t>
      </w:r>
      <w:r>
        <w:rPr>
          <w:rFonts w:ascii="Times New Roman" w:hAnsi="Times New Roman"/>
          <w:sz w:val="24"/>
          <w:szCs w:val="24"/>
          <w:rtl w:val="0"/>
        </w:rPr>
        <w:t>(1), 5</w:t>
      </w:r>
      <w:r>
        <w:rPr>
          <w:rFonts w:ascii="Times New Roman" w:hAnsi="Times New Roman" w:hint="default"/>
          <w:sz w:val="24"/>
          <w:szCs w:val="24"/>
          <w:rtl w:val="0"/>
        </w:rPr>
        <w:t>–</w:t>
      </w:r>
      <w:r>
        <w:rPr>
          <w:rFonts w:ascii="Times New Roman" w:hAnsi="Times New Roman"/>
          <w:sz w:val="24"/>
          <w:szCs w:val="24"/>
          <w:rtl w:val="0"/>
        </w:rPr>
        <w:t>3</w:t>
      </w:r>
    </w:p>
    <w:p>
      <w:pPr>
        <w:pStyle w:val="Default"/>
        <w:jc w:val="both"/>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Corno, L. (2008). On teaching adaptively. </w:t>
      </w:r>
      <w:r>
        <w:rPr>
          <w:rFonts w:ascii="Times New Roman" w:hAnsi="Times New Roman"/>
          <w:i w:val="1"/>
          <w:iCs w:val="1"/>
          <w:sz w:val="24"/>
          <w:szCs w:val="24"/>
          <w:rtl w:val="0"/>
          <w:lang w:val="en-US"/>
        </w:rPr>
        <w:t>Educational Psychologist</w:t>
      </w:r>
      <w:r>
        <w:rPr>
          <w:rFonts w:ascii="Times New Roman" w:hAnsi="Times New Roman"/>
          <w:sz w:val="24"/>
          <w:szCs w:val="24"/>
          <w:rtl w:val="0"/>
        </w:rPr>
        <w:t xml:space="preserve">, </w:t>
      </w:r>
      <w:r>
        <w:rPr>
          <w:rFonts w:ascii="Times New Roman" w:hAnsi="Times New Roman"/>
          <w:i w:val="1"/>
          <w:iCs w:val="1"/>
          <w:sz w:val="24"/>
          <w:szCs w:val="24"/>
          <w:rtl w:val="0"/>
        </w:rPr>
        <w:t>43</w:t>
      </w:r>
      <w:r>
        <w:rPr>
          <w:rFonts w:ascii="Times New Roman" w:hAnsi="Times New Roman"/>
          <w:sz w:val="24"/>
          <w:szCs w:val="24"/>
          <w:rtl w:val="0"/>
        </w:rPr>
        <w:t>(3), 161</w:t>
      </w:r>
      <w:r>
        <w:rPr>
          <w:rFonts w:ascii="Times New Roman" w:hAnsi="Times New Roman" w:hint="default"/>
          <w:sz w:val="24"/>
          <w:szCs w:val="24"/>
          <w:rtl w:val="0"/>
        </w:rPr>
        <w:t>–</w:t>
      </w:r>
      <w:r>
        <w:rPr>
          <w:rFonts w:ascii="Times New Roman" w:hAnsi="Times New Roman"/>
          <w:sz w:val="24"/>
          <w:szCs w:val="24"/>
          <w:rtl w:val="0"/>
        </w:rPr>
        <w:t xml:space="preserve">173. </w:t>
      </w:r>
    </w:p>
    <w:p>
      <w:pPr>
        <w:pStyle w:val="Default"/>
        <w:jc w:val="both"/>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Cowie, B., Harrison, C., &amp; Willis, J. (2018). Supporting teacher responsiveness in assessment for learning through disciplined noticing. </w:t>
      </w:r>
      <w:r>
        <w:rPr>
          <w:rFonts w:ascii="Times New Roman" w:hAnsi="Times New Roman"/>
          <w:i w:val="1"/>
          <w:iCs w:val="1"/>
          <w:sz w:val="24"/>
          <w:szCs w:val="24"/>
          <w:rtl w:val="0"/>
          <w:lang w:val="en-US"/>
        </w:rPr>
        <w:t>The Curriculum Journal</w:t>
      </w:r>
      <w:r>
        <w:rPr>
          <w:rFonts w:ascii="Times New Roman" w:hAnsi="Times New Roman"/>
          <w:sz w:val="24"/>
          <w:szCs w:val="24"/>
          <w:rtl w:val="0"/>
        </w:rPr>
        <w:t xml:space="preserve">, </w:t>
      </w:r>
      <w:r>
        <w:rPr>
          <w:rFonts w:ascii="Times New Roman" w:hAnsi="Times New Roman"/>
          <w:i w:val="1"/>
          <w:iCs w:val="1"/>
          <w:sz w:val="24"/>
          <w:szCs w:val="24"/>
          <w:rtl w:val="0"/>
        </w:rPr>
        <w:t>29</w:t>
      </w:r>
      <w:r>
        <w:rPr>
          <w:rFonts w:ascii="Times New Roman" w:hAnsi="Times New Roman"/>
          <w:sz w:val="24"/>
          <w:szCs w:val="24"/>
          <w:rtl w:val="0"/>
        </w:rPr>
        <w:t>(4), 464</w:t>
      </w:r>
      <w:r>
        <w:rPr>
          <w:rFonts w:ascii="Times New Roman" w:hAnsi="Times New Roman" w:hint="default"/>
          <w:sz w:val="24"/>
          <w:szCs w:val="24"/>
          <w:rtl w:val="0"/>
        </w:rPr>
        <w:t>–</w:t>
      </w:r>
      <w:r>
        <w:rPr>
          <w:rFonts w:ascii="Times New Roman" w:hAnsi="Times New Roman"/>
          <w:sz w:val="24"/>
          <w:szCs w:val="24"/>
          <w:rtl w:val="0"/>
        </w:rPr>
        <w:t>478</w:t>
      </w:r>
    </w:p>
    <w:p>
      <w:pPr>
        <w:pStyle w:val="Default"/>
        <w:jc w:val="both"/>
        <w:rPr>
          <w:rFonts w:ascii="Times New Roman" w:cs="Times New Roman" w:hAnsi="Times New Roman" w:eastAsia="Times New Roma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 xml:space="preserve">Cyngor Gweithle Addysg (2019). Cyngor Gweithle Addysg ar gael yn: </w:t>
      </w:r>
      <w:r>
        <w:rPr>
          <w:rStyle w:val="Hyperlink.0"/>
          <w:rFonts w:ascii="Times New Roman" w:cs="Times New Roman" w:hAnsi="Times New Roman" w:eastAsia="Times New Roman"/>
          <w:color w:val="0000ff"/>
          <w:sz w:val="24"/>
          <w:szCs w:val="24"/>
          <w:u w:val="single" w:color="0000ff"/>
        </w:rPr>
        <w:fldChar w:fldCharType="begin" w:fldLock="0"/>
      </w:r>
      <w:r>
        <w:rPr>
          <w:rStyle w:val="Hyperlink.0"/>
          <w:rFonts w:ascii="Times New Roman" w:cs="Times New Roman" w:hAnsi="Times New Roman" w:eastAsia="Times New Roman"/>
          <w:color w:val="0000ff"/>
          <w:sz w:val="24"/>
          <w:szCs w:val="24"/>
          <w:u w:val="single" w:color="0000ff"/>
        </w:rPr>
        <w:instrText xml:space="preserve"> HYPERLINK "https://www.ewc.wales/site/index.php/cy"</w:instrText>
      </w:r>
      <w:r>
        <w:rPr>
          <w:rStyle w:val="Hyperlink.0"/>
          <w:rFonts w:ascii="Times New Roman" w:cs="Times New Roman" w:hAnsi="Times New Roman" w:eastAsia="Times New Roman"/>
          <w:color w:val="0000ff"/>
          <w:sz w:val="24"/>
          <w:szCs w:val="24"/>
          <w:u w:val="single" w:color="0000ff"/>
        </w:rPr>
        <w:fldChar w:fldCharType="separate" w:fldLock="0"/>
      </w:r>
      <w:r>
        <w:rPr>
          <w:rStyle w:val="Hyperlink.0"/>
          <w:rFonts w:ascii="Times New Roman" w:hAnsi="Times New Roman"/>
          <w:color w:val="0000ff"/>
          <w:sz w:val="24"/>
          <w:szCs w:val="24"/>
          <w:u w:val="single" w:color="0000ff"/>
          <w:rtl w:val="0"/>
        </w:rPr>
        <w:t>https://www.ewc.wales/site/index.php/cy</w:t>
      </w:r>
      <w:r>
        <w:rPr>
          <w:rFonts w:ascii="Times New Roman" w:cs="Times New Roman" w:hAnsi="Times New Roman" w:eastAsia="Times New Roman"/>
          <w:sz w:val="24"/>
          <w:szCs w:val="24"/>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Darllenwyd: 4/4/23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p>
    <w:p>
      <w:pPr>
        <w:pStyle w:val="Default"/>
        <w:rPr>
          <w:rFonts w:ascii="Times New Roman" w:cs="Times New Roman" w:hAnsi="Times New Roman" w:eastAsia="Times New Roman"/>
          <w:color w:val="333333"/>
          <w:sz w:val="24"/>
          <w:szCs w:val="24"/>
        </w:rPr>
      </w:pPr>
      <w:r>
        <w:rPr>
          <w:rFonts w:ascii="Times New Roman" w:hAnsi="Times New Roman"/>
          <w:color w:val="333333"/>
          <w:sz w:val="24"/>
          <w:szCs w:val="24"/>
          <w:rtl w:val="0"/>
        </w:rPr>
        <w:t xml:space="preserve">Dziuban, C., Graham, C.R., Moskal, P.D. </w:t>
      </w:r>
      <w:r>
        <w:rPr>
          <w:rFonts w:ascii="Times New Roman" w:hAnsi="Times New Roman"/>
          <w:i w:val="1"/>
          <w:iCs w:val="1"/>
          <w:color w:val="333333"/>
          <w:sz w:val="24"/>
          <w:szCs w:val="24"/>
          <w:rtl w:val="0"/>
        </w:rPr>
        <w:t>et al.</w:t>
      </w:r>
      <w:r>
        <w:rPr>
          <w:rFonts w:ascii="Times New Roman" w:hAnsi="Times New Roman"/>
          <w:color w:val="333333"/>
          <w:sz w:val="24"/>
          <w:szCs w:val="24"/>
          <w:rtl w:val="0"/>
          <w:lang w:val="en-US"/>
        </w:rPr>
        <w:t xml:space="preserve"> Blended learning: the new normal and emerging technologies. </w:t>
      </w:r>
      <w:r>
        <w:rPr>
          <w:rFonts w:ascii="Times New Roman" w:hAnsi="Times New Roman"/>
          <w:i w:val="1"/>
          <w:iCs w:val="1"/>
          <w:color w:val="333333"/>
          <w:sz w:val="24"/>
          <w:szCs w:val="24"/>
          <w:rtl w:val="0"/>
          <w:lang w:val="en-US"/>
        </w:rPr>
        <w:t>Int J Educ Technol High Educ</w:t>
      </w:r>
      <w:r>
        <w:rPr>
          <w:rFonts w:ascii="Times New Roman" w:hAnsi="Times New Roman"/>
          <w:color w:val="333333"/>
          <w:sz w:val="24"/>
          <w:szCs w:val="24"/>
          <w:rtl w:val="0"/>
        </w:rPr>
        <w:t xml:space="preserve"> </w:t>
      </w:r>
      <w:r>
        <w:rPr>
          <w:rFonts w:ascii="Times New Roman" w:hAnsi="Times New Roman"/>
          <w:b w:val="1"/>
          <w:bCs w:val="1"/>
          <w:color w:val="333333"/>
          <w:sz w:val="24"/>
          <w:szCs w:val="24"/>
          <w:rtl w:val="0"/>
        </w:rPr>
        <w:t>15</w:t>
      </w:r>
      <w:r>
        <w:rPr>
          <w:rFonts w:ascii="Times New Roman" w:hAnsi="Times New Roman"/>
          <w:color w:val="333333"/>
          <w:sz w:val="24"/>
          <w:szCs w:val="24"/>
          <w:rtl w:val="0"/>
        </w:rPr>
        <w:t xml:space="preserve">, 3 (2018). </w:t>
      </w:r>
      <w:r>
        <w:rPr>
          <w:rStyle w:val="Hyperlink.0"/>
          <w:rFonts w:ascii="Times New Roman" w:cs="Times New Roman" w:hAnsi="Times New Roman" w:eastAsia="Times New Roman"/>
          <w:color w:val="0000ff"/>
          <w:sz w:val="24"/>
          <w:szCs w:val="24"/>
          <w:u w:val="single" w:color="0000ff"/>
        </w:rPr>
        <w:fldChar w:fldCharType="begin" w:fldLock="0"/>
      </w:r>
      <w:r>
        <w:rPr>
          <w:rStyle w:val="Hyperlink.0"/>
          <w:rFonts w:ascii="Times New Roman" w:cs="Times New Roman" w:hAnsi="Times New Roman" w:eastAsia="Times New Roman"/>
          <w:color w:val="0000ff"/>
          <w:sz w:val="24"/>
          <w:szCs w:val="24"/>
          <w:u w:val="single" w:color="0000ff"/>
        </w:rPr>
        <w:instrText xml:space="preserve"> HYPERLINK "https://doi.org/10.1186/s41239-017-0087-5"</w:instrText>
      </w:r>
      <w:r>
        <w:rPr>
          <w:rStyle w:val="Hyperlink.0"/>
          <w:rFonts w:ascii="Times New Roman" w:cs="Times New Roman" w:hAnsi="Times New Roman" w:eastAsia="Times New Roman"/>
          <w:color w:val="0000ff"/>
          <w:sz w:val="24"/>
          <w:szCs w:val="24"/>
          <w:u w:val="single" w:color="0000ff"/>
        </w:rPr>
        <w:fldChar w:fldCharType="separate" w:fldLock="0"/>
      </w:r>
      <w:r>
        <w:rPr>
          <w:rStyle w:val="Hyperlink.0"/>
          <w:rFonts w:ascii="Times New Roman" w:hAnsi="Times New Roman"/>
          <w:color w:val="0000ff"/>
          <w:sz w:val="24"/>
          <w:szCs w:val="24"/>
          <w:u w:val="single" w:color="0000ff"/>
          <w:rtl w:val="0"/>
        </w:rPr>
        <w:t>https://doi.org/10.1186/s41239-017-0087-5</w:t>
      </w:r>
      <w:r>
        <w:rPr>
          <w:rFonts w:ascii="Times New Roman" w:cs="Times New Roman" w:hAnsi="Times New Roman" w:eastAsia="Times New Roman"/>
          <w:color w:val="333333"/>
          <w:sz w:val="24"/>
          <w:szCs w:val="24"/>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Darllenwyd: 6/4/23</w:t>
      </w:r>
    </w:p>
    <w:p>
      <w:pPr>
        <w:pStyle w:val="Default"/>
        <w:rPr>
          <w:rFonts w:ascii="Times New Roman" w:cs="Times New Roman" w:hAnsi="Times New Roman" w:eastAsia="Times New Roman"/>
          <w:color w:val="333333"/>
          <w:sz w:val="24"/>
          <w:szCs w:val="24"/>
        </w:rPr>
      </w:pPr>
    </w:p>
    <w:p>
      <w:pPr>
        <w:pStyle w:val="Default"/>
        <w:rPr>
          <w:rFonts w:ascii="Times New Roman" w:cs="Times New Roman" w:hAnsi="Times New Roman" w:eastAsia="Times New Roman"/>
          <w:sz w:val="24"/>
          <w:szCs w:val="24"/>
        </w:rPr>
      </w:pPr>
      <w:r>
        <w:rPr>
          <w:rFonts w:ascii="Times New Roman" w:hAnsi="Times New Roman"/>
          <w:sz w:val="24"/>
          <w:szCs w:val="24"/>
          <w:rtl w:val="0"/>
          <w:lang w:val="en-US"/>
        </w:rPr>
        <w:t xml:space="preserve">Fenstermacher, G. (1990). "Some Considerations on Teaching as a Moral Profession." In </w:t>
      </w:r>
      <w:r>
        <w:rPr>
          <w:rFonts w:ascii="Times New Roman" w:hAnsi="Times New Roman"/>
          <w:i w:val="1"/>
          <w:iCs w:val="1"/>
          <w:sz w:val="24"/>
          <w:szCs w:val="24"/>
          <w:rtl w:val="0"/>
          <w:lang w:val="en-US"/>
        </w:rPr>
        <w:t>The Moral Dimensions of Teaching</w:t>
      </w:r>
      <w:r>
        <w:rPr>
          <w:rFonts w:ascii="Times New Roman" w:hAnsi="Times New Roman"/>
          <w:sz w:val="24"/>
          <w:szCs w:val="24"/>
          <w:rtl w:val="0"/>
          <w:lang w:val="en-US"/>
        </w:rPr>
        <w:t>, edited by J. Goodlad, R. Soder, and K. Sirotnik. San Francisco: Jossey-Bass.</w:t>
      </w:r>
    </w:p>
    <w:p>
      <w:pPr>
        <w:pStyle w:val="Default"/>
        <w:rPr>
          <w:rFonts w:ascii="Times New Roman" w:cs="Times New Roman" w:hAnsi="Times New Roman" w:eastAsia="Times New Roman"/>
          <w:sz w:val="24"/>
          <w:szCs w:val="24"/>
        </w:rPr>
      </w:pPr>
      <w:r>
        <w:rPr>
          <w:rFonts w:ascii="Times New Roman" w:hAnsi="Times New Roman"/>
          <w:sz w:val="24"/>
          <w:szCs w:val="24"/>
          <w:rtl w:val="0"/>
        </w:rPr>
        <w:t xml:space="preserve">Johnston, C. (1996). </w:t>
      </w:r>
      <w:r>
        <w:rPr>
          <w:rFonts w:ascii="Times New Roman" w:hAnsi="Times New Roman"/>
          <w:i w:val="1"/>
          <w:iCs w:val="1"/>
          <w:sz w:val="24"/>
          <w:szCs w:val="24"/>
          <w:rtl w:val="0"/>
          <w:lang w:val="en-US"/>
        </w:rPr>
        <w:t>Unlocking the Will to Learn</w:t>
      </w:r>
      <w:r>
        <w:rPr>
          <w:rFonts w:ascii="Times New Roman" w:hAnsi="Times New Roman"/>
          <w:sz w:val="24"/>
          <w:szCs w:val="24"/>
          <w:rtl w:val="0"/>
          <w:lang w:val="en-US"/>
        </w:rPr>
        <w:t>. Thousand Oaks, Calif.: Corwin Press, Sage Publications.</w:t>
      </w:r>
    </w:p>
    <w:p>
      <w:pPr>
        <w:pStyle w:val="Default"/>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Furtak, E. M., &amp; Heredia, S. C. (2014). Exploring the influence of learning progressions in two teacher communities. </w:t>
      </w:r>
      <w:r>
        <w:rPr>
          <w:rFonts w:ascii="Times New Roman" w:hAnsi="Times New Roman"/>
          <w:i w:val="1"/>
          <w:iCs w:val="1"/>
          <w:sz w:val="24"/>
          <w:szCs w:val="24"/>
          <w:rtl w:val="0"/>
          <w:lang w:val="en-US"/>
        </w:rPr>
        <w:t>Journal of Research in Science Teaching</w:t>
      </w:r>
      <w:r>
        <w:rPr>
          <w:rFonts w:ascii="Times New Roman" w:hAnsi="Times New Roman"/>
          <w:sz w:val="24"/>
          <w:szCs w:val="24"/>
          <w:rtl w:val="0"/>
        </w:rPr>
        <w:t xml:space="preserve">, </w:t>
      </w:r>
      <w:r>
        <w:rPr>
          <w:rFonts w:ascii="Times New Roman" w:hAnsi="Times New Roman"/>
          <w:i w:val="1"/>
          <w:iCs w:val="1"/>
          <w:sz w:val="24"/>
          <w:szCs w:val="24"/>
          <w:rtl w:val="0"/>
        </w:rPr>
        <w:t>51</w:t>
      </w:r>
      <w:r>
        <w:rPr>
          <w:rFonts w:ascii="Times New Roman" w:hAnsi="Times New Roman"/>
          <w:sz w:val="24"/>
          <w:szCs w:val="24"/>
          <w:rtl w:val="0"/>
        </w:rPr>
        <w:t>(8), 982</w:t>
      </w:r>
      <w:r>
        <w:rPr>
          <w:rFonts w:ascii="Times New Roman" w:hAnsi="Times New Roman" w:hint="default"/>
          <w:sz w:val="24"/>
          <w:szCs w:val="24"/>
          <w:rtl w:val="0"/>
        </w:rPr>
        <w:t>–</w:t>
      </w:r>
      <w:r>
        <w:rPr>
          <w:rFonts w:ascii="Times New Roman" w:hAnsi="Times New Roman"/>
          <w:sz w:val="24"/>
          <w:szCs w:val="24"/>
          <w:rtl w:val="0"/>
        </w:rPr>
        <w:t>1020</w:t>
      </w:r>
    </w:p>
    <w:p>
      <w:pPr>
        <w:pStyle w:val="Default"/>
        <w:jc w:val="both"/>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Furtak, E. M., Ruiz-Primo, M. A., Shemwell, J. T., Ayala, C. C., Brandon, P., Shavelson, R. J., &amp; Yin, Y. (2008). On the fidelity of implementing embedded formative assessments and its relation to student learning. </w:t>
      </w:r>
      <w:r>
        <w:rPr>
          <w:rFonts w:ascii="Times New Roman" w:hAnsi="Times New Roman"/>
          <w:i w:val="1"/>
          <w:iCs w:val="1"/>
          <w:sz w:val="24"/>
          <w:szCs w:val="24"/>
          <w:rtl w:val="0"/>
          <w:lang w:val="en-US"/>
        </w:rPr>
        <w:t>Applied Measurement in Education</w:t>
      </w:r>
      <w:r>
        <w:rPr>
          <w:rFonts w:ascii="Times New Roman" w:hAnsi="Times New Roman"/>
          <w:sz w:val="24"/>
          <w:szCs w:val="24"/>
          <w:rtl w:val="0"/>
        </w:rPr>
        <w:t xml:space="preserve">, </w:t>
      </w:r>
      <w:r>
        <w:rPr>
          <w:rFonts w:ascii="Times New Roman" w:hAnsi="Times New Roman"/>
          <w:i w:val="1"/>
          <w:iCs w:val="1"/>
          <w:sz w:val="24"/>
          <w:szCs w:val="24"/>
          <w:rtl w:val="0"/>
        </w:rPr>
        <w:t>21</w:t>
      </w:r>
      <w:r>
        <w:rPr>
          <w:rFonts w:ascii="Times New Roman" w:hAnsi="Times New Roman"/>
          <w:sz w:val="24"/>
          <w:szCs w:val="24"/>
          <w:rtl w:val="0"/>
        </w:rPr>
        <w:t>(4), 360</w:t>
      </w:r>
      <w:r>
        <w:rPr>
          <w:rFonts w:ascii="Times New Roman" w:hAnsi="Times New Roman" w:hint="default"/>
          <w:sz w:val="24"/>
          <w:szCs w:val="24"/>
          <w:rtl w:val="0"/>
        </w:rPr>
        <w:t>–</w:t>
      </w:r>
      <w:r>
        <w:rPr>
          <w:rFonts w:ascii="Times New Roman" w:hAnsi="Times New Roman"/>
          <w:sz w:val="24"/>
          <w:szCs w:val="24"/>
          <w:rtl w:val="0"/>
        </w:rPr>
        <w:t>389.</w:t>
      </w:r>
    </w:p>
    <w:p>
      <w:pPr>
        <w:pStyle w:val="Default"/>
        <w:jc w:val="both"/>
        <w:rPr>
          <w:rFonts w:ascii="Times New Roman" w:cs="Times New Roman" w:hAnsi="Times New Roman" w:eastAsia="Times New Roman"/>
          <w:sz w:val="24"/>
          <w:szCs w:val="24"/>
        </w:rPr>
      </w:pPr>
    </w:p>
    <w:p>
      <w:pPr>
        <w:pStyle w:val="Default"/>
        <w:rPr>
          <w:rFonts w:ascii="Times New Roman" w:cs="Times New Roman" w:hAnsi="Times New Roman" w:eastAsia="Times New Roman"/>
          <w:sz w:val="24"/>
          <w:szCs w:val="24"/>
        </w:rPr>
      </w:pPr>
      <w:r>
        <w:rPr>
          <w:rFonts w:ascii="Times New Roman" w:hAnsi="Times New Roman"/>
          <w:sz w:val="24"/>
          <w:szCs w:val="24"/>
          <w:rtl w:val="0"/>
        </w:rPr>
        <w:t xml:space="preserve">Goleman, D. (1995). </w:t>
      </w:r>
      <w:r>
        <w:rPr>
          <w:rFonts w:ascii="Times New Roman" w:hAnsi="Times New Roman"/>
          <w:i w:val="1"/>
          <w:iCs w:val="1"/>
          <w:sz w:val="24"/>
          <w:szCs w:val="24"/>
          <w:rtl w:val="0"/>
          <w:lang w:val="fr-FR"/>
        </w:rPr>
        <w:t>Emotional Intelligence</w:t>
      </w:r>
      <w:r>
        <w:rPr>
          <w:rFonts w:ascii="Times New Roman" w:hAnsi="Times New Roman"/>
          <w:sz w:val="24"/>
          <w:szCs w:val="24"/>
          <w:rtl w:val="0"/>
          <w:lang w:val="en-US"/>
        </w:rPr>
        <w:t>. New York: Bantam Books.</w:t>
      </w:r>
    </w:p>
    <w:p>
      <w:pPr>
        <w:pStyle w:val="Default"/>
        <w:jc w:val="both"/>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rPr>
        <w:t xml:space="preserve">Hance, M (2021) </w:t>
      </w:r>
      <w:r>
        <w:rPr>
          <w:rFonts w:ascii="Times New Roman" w:hAnsi="Times New Roman"/>
          <w:sz w:val="24"/>
          <w:szCs w:val="24"/>
          <w:rtl w:val="0"/>
          <w:lang w:val="en-US"/>
        </w:rPr>
        <w:t>How to Utilize the Combination Learning Model</w:t>
      </w:r>
      <w:r>
        <w:rPr>
          <w:rFonts w:ascii="Times New Roman" w:hAnsi="Times New Roman"/>
          <w:sz w:val="24"/>
          <w:szCs w:val="24"/>
          <w:rtl w:val="0"/>
        </w:rPr>
        <w:t>. Ar gael yn:</w:t>
      </w:r>
      <w:r>
        <w:rPr>
          <w:rStyle w:val="Hyperlink.0"/>
          <w:rFonts w:ascii="Times New Roman" w:cs="Times New Roman" w:hAnsi="Times New Roman" w:eastAsia="Times New Roman"/>
          <w:color w:val="0000ff"/>
          <w:sz w:val="24"/>
          <w:szCs w:val="24"/>
          <w:u w:val="single" w:color="0000ff"/>
        </w:rPr>
        <w:fldChar w:fldCharType="begin" w:fldLock="0"/>
      </w:r>
      <w:r>
        <w:rPr>
          <w:rStyle w:val="Hyperlink.0"/>
          <w:rFonts w:ascii="Times New Roman" w:cs="Times New Roman" w:hAnsi="Times New Roman" w:eastAsia="Times New Roman"/>
          <w:color w:val="0000ff"/>
          <w:sz w:val="24"/>
          <w:szCs w:val="24"/>
          <w:u w:val="single" w:color="0000ff"/>
        </w:rPr>
        <w:instrText xml:space="preserve"> HYPERLINK "https://www.graduateprogram.org/2021/06/how-to-utilize-the-combination-learning-model/"</w:instrText>
      </w:r>
      <w:r>
        <w:rPr>
          <w:rStyle w:val="Hyperlink.0"/>
          <w:rFonts w:ascii="Times New Roman" w:cs="Times New Roman" w:hAnsi="Times New Roman" w:eastAsia="Times New Roman"/>
          <w:color w:val="0000ff"/>
          <w:sz w:val="24"/>
          <w:szCs w:val="24"/>
          <w:u w:val="single" w:color="0000ff"/>
        </w:rPr>
        <w:fldChar w:fldCharType="separate" w:fldLock="0"/>
      </w:r>
      <w:r>
        <w:rPr>
          <w:rStyle w:val="Hyperlink.0"/>
          <w:rFonts w:ascii="Times New Roman" w:hAnsi="Times New Roman"/>
          <w:color w:val="0000ff"/>
          <w:sz w:val="24"/>
          <w:szCs w:val="24"/>
          <w:u w:val="single" w:color="0000ff"/>
          <w:rtl w:val="0"/>
          <w:lang w:val="en-US"/>
        </w:rPr>
        <w:t>https://www.graduateprogram.org/2021/06/how-to-utilize-the-combination-learning-model/</w:t>
      </w:r>
      <w:r>
        <w:rPr>
          <w:rFonts w:ascii="Times New Roman" w:cs="Times New Roman" w:hAnsi="Times New Roman" w:eastAsia="Times New Roman"/>
          <w:sz w:val="24"/>
          <w:szCs w:val="24"/>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Darllenwyd: 6/4/23</w:t>
      </w:r>
    </w:p>
    <w:p>
      <w:pPr>
        <w:pStyle w:val="Default"/>
        <w:jc w:val="both"/>
        <w:rPr>
          <w:rFonts w:ascii="Times New Roman" w:cs="Times New Roman" w:hAnsi="Times New Roman" w:eastAsia="Times New Roman"/>
          <w:sz w:val="24"/>
          <w:szCs w:val="24"/>
        </w:rPr>
      </w:pPr>
    </w:p>
    <w:p>
      <w:pPr>
        <w:pStyle w:val="Default"/>
        <w:rPr>
          <w:rFonts w:ascii="Times New Roman" w:cs="Times New Roman" w:hAnsi="Times New Roman" w:eastAsia="Times New Roma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lang w:val="en-US"/>
        </w:rPr>
        <w:t>Hanson, K.S., and Clem, F.A. (2006) To Blend or Not to Blend: A Look at Community Development via Blended Learning Strategies. In Curtis J. Bonk and Charles R. Graham (eds.). The Handbook of Blended Learning: Global Perspectives, Local Designs. San Francisco, CA: Pfeiffer, 136-149.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lang w:val="en-US"/>
        </w:rPr>
        <w:t>Jones, K., Evans, K, Roles, M. (2018). Y Dull Cenedlaethol ar gyfer Dysgu Proffesiynol: adroddiad ymchwil Maes Gwaith 10: Y Cyfuniad Dysgu Proffesiynol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p>
    <w:p>
      <w:pPr>
        <w:pStyle w:val="Default"/>
        <w:rPr>
          <w:rFonts w:ascii="Times New Roman" w:cs="Times New Roman" w:hAnsi="Times New Roman" w:eastAsia="Times New Roman"/>
          <w:sz w:val="24"/>
          <w:szCs w:val="24"/>
        </w:rPr>
      </w:pPr>
      <w:r>
        <w:rPr>
          <w:rFonts w:ascii="Times New Roman" w:hAnsi="Times New Roman"/>
          <w:sz w:val="24"/>
          <w:szCs w:val="24"/>
          <w:rtl w:val="0"/>
        </w:rPr>
        <w:t>Levin, B. (199</w:t>
      </w:r>
      <w:r>
        <w:rPr>
          <w:rFonts w:ascii="Times New Roman" w:hAnsi="Times New Roman"/>
          <w:sz w:val="24"/>
          <w:szCs w:val="24"/>
          <w:rtl w:val="0"/>
        </w:rPr>
        <w:t>5</w:t>
      </w:r>
      <w:r>
        <w:rPr>
          <w:rFonts w:ascii="Times New Roman" w:hAnsi="Times New Roman"/>
          <w:sz w:val="24"/>
          <w:szCs w:val="24"/>
          <w:rtl w:val="0"/>
          <w:lang w:val="en-US"/>
        </w:rPr>
        <w:t xml:space="preserve">). "Putting Students at the Center." </w:t>
      </w:r>
      <w:r>
        <w:rPr>
          <w:rFonts w:ascii="Times New Roman" w:hAnsi="Times New Roman"/>
          <w:i w:val="1"/>
          <w:iCs w:val="1"/>
          <w:sz w:val="24"/>
          <w:szCs w:val="24"/>
          <w:rtl w:val="0"/>
          <w:lang w:val="it-IT"/>
        </w:rPr>
        <w:t>Phi Delta Kappan</w:t>
      </w:r>
      <w:r>
        <w:rPr>
          <w:rFonts w:ascii="Times New Roman" w:hAnsi="Times New Roman"/>
          <w:sz w:val="24"/>
          <w:szCs w:val="24"/>
          <w:rtl w:val="0"/>
        </w:rPr>
        <w:t xml:space="preserve"> 75, 10: 758-760.</w:t>
      </w:r>
    </w:p>
    <w:p>
      <w:pPr>
        <w:pStyle w:val="Default"/>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Luna, M. J. (2018). What does it mean to notice my students</w:t>
      </w:r>
      <w:r>
        <w:rPr>
          <w:rFonts w:ascii="Times New Roman" w:hAnsi="Times New Roman" w:hint="default"/>
          <w:sz w:val="24"/>
          <w:szCs w:val="24"/>
          <w:rtl w:val="0"/>
        </w:rPr>
        <w:t xml:space="preserve">’ </w:t>
      </w:r>
      <w:r>
        <w:rPr>
          <w:rFonts w:ascii="Times New Roman" w:hAnsi="Times New Roman"/>
          <w:sz w:val="24"/>
          <w:szCs w:val="24"/>
          <w:rtl w:val="0"/>
          <w:lang w:val="en-US"/>
        </w:rPr>
        <w:t>ideas in science today?: An investigation of elementary teachers</w:t>
      </w:r>
      <w:r>
        <w:rPr>
          <w:rFonts w:ascii="Times New Roman" w:hAnsi="Times New Roman" w:hint="default"/>
          <w:sz w:val="24"/>
          <w:szCs w:val="24"/>
          <w:rtl w:val="0"/>
        </w:rPr>
        <w:t xml:space="preserve">’ </w:t>
      </w:r>
      <w:r>
        <w:rPr>
          <w:rFonts w:ascii="Times New Roman" w:hAnsi="Times New Roman"/>
          <w:sz w:val="24"/>
          <w:szCs w:val="24"/>
          <w:rtl w:val="0"/>
          <w:lang w:val="en-US"/>
        </w:rPr>
        <w:t>practice of noticing their students</w:t>
      </w:r>
      <w:r>
        <w:rPr>
          <w:rFonts w:ascii="Times New Roman" w:hAnsi="Times New Roman" w:hint="default"/>
          <w:sz w:val="24"/>
          <w:szCs w:val="24"/>
          <w:rtl w:val="0"/>
        </w:rPr>
        <w:t xml:space="preserve">’ </w:t>
      </w:r>
      <w:r>
        <w:rPr>
          <w:rFonts w:ascii="Times New Roman" w:hAnsi="Times New Roman"/>
          <w:sz w:val="24"/>
          <w:szCs w:val="24"/>
          <w:rtl w:val="0"/>
          <w:lang w:val="en-US"/>
        </w:rPr>
        <w:t xml:space="preserve">thinking in science. </w:t>
      </w:r>
      <w:r>
        <w:rPr>
          <w:rFonts w:ascii="Times New Roman" w:hAnsi="Times New Roman"/>
          <w:i w:val="1"/>
          <w:iCs w:val="1"/>
          <w:sz w:val="24"/>
          <w:szCs w:val="24"/>
          <w:rtl w:val="0"/>
          <w:lang w:val="en-US"/>
        </w:rPr>
        <w:t>Cognition and Instruction</w:t>
      </w:r>
      <w:r>
        <w:rPr>
          <w:rFonts w:ascii="Times New Roman" w:hAnsi="Times New Roman"/>
          <w:sz w:val="24"/>
          <w:szCs w:val="24"/>
          <w:rtl w:val="0"/>
        </w:rPr>
        <w:t xml:space="preserve">, </w:t>
      </w:r>
      <w:r>
        <w:rPr>
          <w:rFonts w:ascii="Times New Roman" w:hAnsi="Times New Roman"/>
          <w:i w:val="1"/>
          <w:iCs w:val="1"/>
          <w:sz w:val="24"/>
          <w:szCs w:val="24"/>
          <w:rtl w:val="0"/>
        </w:rPr>
        <w:t>36</w:t>
      </w:r>
      <w:r>
        <w:rPr>
          <w:rFonts w:ascii="Times New Roman" w:hAnsi="Times New Roman"/>
          <w:sz w:val="24"/>
          <w:szCs w:val="24"/>
          <w:rtl w:val="0"/>
        </w:rPr>
        <w:t>(4), 297</w:t>
      </w:r>
      <w:r>
        <w:rPr>
          <w:rFonts w:ascii="Times New Roman" w:hAnsi="Times New Roman" w:hint="default"/>
          <w:sz w:val="24"/>
          <w:szCs w:val="24"/>
          <w:rtl w:val="0"/>
        </w:rPr>
        <w:t>–</w:t>
      </w:r>
      <w:r>
        <w:rPr>
          <w:rFonts w:ascii="Times New Roman" w:hAnsi="Times New Roman"/>
          <w:sz w:val="24"/>
          <w:szCs w:val="24"/>
          <w:rtl w:val="0"/>
        </w:rPr>
        <w:t>329.</w:t>
      </w:r>
    </w:p>
    <w:p>
      <w:pPr>
        <w:pStyle w:val="Default"/>
        <w:rPr>
          <w:rFonts w:ascii="Times New Roman" w:cs="Times New Roman" w:hAnsi="Times New Roman" w:eastAsia="Times New Roma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 xml:space="preserve">Llywodraeth Cymru (2020). Cwricilwm i Gymru. ar gael yn </w:t>
      </w:r>
      <w:r>
        <w:rPr>
          <w:rStyle w:val="Hyperlink.0"/>
          <w:rFonts w:ascii="Times New Roman" w:cs="Times New Roman" w:hAnsi="Times New Roman" w:eastAsia="Times New Roman"/>
          <w:color w:val="0000ff"/>
          <w:sz w:val="24"/>
          <w:szCs w:val="24"/>
          <w:u w:val="single" w:color="0000ff"/>
        </w:rPr>
        <w:fldChar w:fldCharType="begin" w:fldLock="0"/>
      </w:r>
      <w:r>
        <w:rPr>
          <w:rStyle w:val="Hyperlink.0"/>
          <w:rFonts w:ascii="Times New Roman" w:cs="Times New Roman" w:hAnsi="Times New Roman" w:eastAsia="Times New Roman"/>
          <w:color w:val="0000ff"/>
          <w:sz w:val="24"/>
          <w:szCs w:val="24"/>
          <w:u w:val="single" w:color="0000ff"/>
        </w:rPr>
        <w:instrText xml:space="preserve"> HYPERLINK "https://hwb.gov.wales/curriculum-for-wales"</w:instrText>
      </w:r>
      <w:r>
        <w:rPr>
          <w:rStyle w:val="Hyperlink.0"/>
          <w:rFonts w:ascii="Times New Roman" w:cs="Times New Roman" w:hAnsi="Times New Roman" w:eastAsia="Times New Roman"/>
          <w:color w:val="0000ff"/>
          <w:sz w:val="24"/>
          <w:szCs w:val="24"/>
          <w:u w:val="single" w:color="0000ff"/>
        </w:rPr>
        <w:fldChar w:fldCharType="separate" w:fldLock="0"/>
      </w:r>
      <w:r>
        <w:rPr>
          <w:rStyle w:val="Hyperlink.0"/>
          <w:rFonts w:ascii="Times New Roman" w:hAnsi="Times New Roman"/>
          <w:color w:val="0000ff"/>
          <w:sz w:val="24"/>
          <w:szCs w:val="24"/>
          <w:u w:val="single" w:color="0000ff"/>
          <w:rtl w:val="0"/>
          <w:lang w:val="en-US"/>
        </w:rPr>
        <w:t>https://hwb.gov.wales/curriculum-for-wales</w:t>
      </w:r>
      <w:r>
        <w:rPr>
          <w:rFonts w:ascii="Times New Roman" w:cs="Times New Roman" w:hAnsi="Times New Roman" w:eastAsia="Times New Roman"/>
          <w:sz w:val="24"/>
          <w:szCs w:val="24"/>
        </w:rPr>
        <w:fldChar w:fldCharType="end" w:fldLock="0"/>
      </w:r>
      <w:r>
        <w:rPr>
          <w:rFonts w:ascii="Times New Roman" w:hAnsi="Times New Roman"/>
          <w:sz w:val="24"/>
          <w:szCs w:val="24"/>
          <w:rtl w:val="0"/>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 xml:space="preserve">Darllenwyd: </w:t>
      </w:r>
      <w:r>
        <w:rPr>
          <w:rFonts w:ascii="Times New Roman" w:hAnsi="Times New Roman"/>
          <w:sz w:val="24"/>
          <w:szCs w:val="24"/>
          <w:rtl w:val="0"/>
        </w:rPr>
        <w:t>5</w:t>
      </w:r>
      <w:r>
        <w:rPr>
          <w:rFonts w:ascii="Times New Roman" w:hAnsi="Times New Roman"/>
          <w:sz w:val="24"/>
          <w:szCs w:val="24"/>
          <w:rtl w:val="0"/>
        </w:rPr>
        <w:t>/</w:t>
      </w:r>
      <w:r>
        <w:rPr>
          <w:rFonts w:ascii="Times New Roman" w:hAnsi="Times New Roman"/>
          <w:sz w:val="24"/>
          <w:szCs w:val="24"/>
          <w:rtl w:val="0"/>
        </w:rPr>
        <w:t>4</w:t>
      </w:r>
      <w:r>
        <w:rPr>
          <w:rFonts w:ascii="Times New Roman" w:hAnsi="Times New Roman"/>
          <w:sz w:val="24"/>
          <w:szCs w:val="24"/>
          <w:rtl w:val="0"/>
        </w:rPr>
        <w:t>/23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 xml:space="preserve">NAWSUT (2020). </w:t>
      </w:r>
      <w:r>
        <w:rPr>
          <w:rFonts w:ascii="Times New Roman" w:hAnsi="Times New Roman"/>
          <w:sz w:val="24"/>
          <w:szCs w:val="24"/>
          <w:rtl w:val="0"/>
          <w:lang w:val="en-US"/>
        </w:rPr>
        <w:t xml:space="preserve">REMOTE TEACHING AND LEARNING </w:t>
      </w:r>
      <w:r>
        <w:rPr>
          <w:rFonts w:ascii="Times New Roman" w:hAnsi="Times New Roman" w:hint="default"/>
          <w:sz w:val="24"/>
          <w:szCs w:val="24"/>
          <w:rtl w:val="0"/>
        </w:rPr>
        <w:t xml:space="preserve">– </w:t>
      </w:r>
      <w:r>
        <w:rPr>
          <w:rFonts w:ascii="Times New Roman" w:hAnsi="Times New Roman"/>
          <w:sz w:val="24"/>
          <w:szCs w:val="24"/>
          <w:rtl w:val="0"/>
        </w:rPr>
        <w:t>ARRANGEMENTS, ISSUES AND SUPPORT</w:t>
      </w:r>
      <w:r>
        <w:rPr>
          <w:rFonts w:ascii="Times New Roman" w:hAnsi="Times New Roman"/>
          <w:sz w:val="24"/>
          <w:szCs w:val="24"/>
          <w:rtl w:val="0"/>
        </w:rPr>
        <w:t xml:space="preserve">. ar gael yn: </w:t>
      </w:r>
      <w:r>
        <w:rPr>
          <w:rStyle w:val="Hyperlink.0"/>
          <w:rFonts w:ascii="Times New Roman" w:cs="Times New Roman" w:hAnsi="Times New Roman" w:eastAsia="Times New Roman"/>
          <w:color w:val="0000ff"/>
          <w:sz w:val="24"/>
          <w:szCs w:val="24"/>
          <w:u w:val="single" w:color="0000ff"/>
        </w:rPr>
        <w:fldChar w:fldCharType="begin" w:fldLock="0"/>
      </w:r>
      <w:r>
        <w:rPr>
          <w:rStyle w:val="Hyperlink.0"/>
          <w:rFonts w:ascii="Times New Roman" w:cs="Times New Roman" w:hAnsi="Times New Roman" w:eastAsia="Times New Roman"/>
          <w:color w:val="0000ff"/>
          <w:sz w:val="24"/>
          <w:szCs w:val="24"/>
          <w:u w:val="single" w:color="0000ff"/>
        </w:rPr>
        <w:instrText xml:space="preserve"> HYPERLINK "https://www.nasuwt.org.uk/static/uploaded/c4b2356b-c2c6-42b3-8eaa04653d7c2566.pdf"</w:instrText>
      </w:r>
      <w:r>
        <w:rPr>
          <w:rStyle w:val="Hyperlink.0"/>
          <w:rFonts w:ascii="Times New Roman" w:cs="Times New Roman" w:hAnsi="Times New Roman" w:eastAsia="Times New Roman"/>
          <w:color w:val="0000ff"/>
          <w:sz w:val="24"/>
          <w:szCs w:val="24"/>
          <w:u w:val="single" w:color="0000ff"/>
        </w:rPr>
        <w:fldChar w:fldCharType="separate" w:fldLock="0"/>
      </w:r>
      <w:r>
        <w:rPr>
          <w:rStyle w:val="Hyperlink.0"/>
          <w:rFonts w:ascii="Times New Roman" w:hAnsi="Times New Roman"/>
          <w:color w:val="0000ff"/>
          <w:sz w:val="24"/>
          <w:szCs w:val="24"/>
          <w:u w:val="single" w:color="0000ff"/>
          <w:rtl w:val="0"/>
        </w:rPr>
        <w:t>https://www.nasuwt.org.uk/static/uploaded/c4b2356b-c2c6-42b3-8eaa04653d7c2566.pdf</w:t>
      </w:r>
      <w:r>
        <w:rPr>
          <w:rFonts w:ascii="Times New Roman" w:cs="Times New Roman" w:hAnsi="Times New Roman" w:eastAsia="Times New Roman"/>
          <w:sz w:val="24"/>
          <w:szCs w:val="24"/>
        </w:rPr>
        <w:fldChar w:fldCharType="end" w:fldLock="0"/>
      </w:r>
      <w:r>
        <w:rPr>
          <w:rFonts w:ascii="Times New Roman" w:hAnsi="Times New Roman"/>
          <w:sz w:val="24"/>
          <w:szCs w:val="24"/>
          <w:rtl w:val="0"/>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 xml:space="preserve">Darllenwyd: </w:t>
      </w:r>
      <w:r>
        <w:rPr>
          <w:rFonts w:ascii="Times New Roman" w:hAnsi="Times New Roman"/>
          <w:sz w:val="24"/>
          <w:szCs w:val="24"/>
          <w:rtl w:val="0"/>
        </w:rPr>
        <w:t>5</w:t>
      </w:r>
      <w:r>
        <w:rPr>
          <w:rFonts w:ascii="Times New Roman" w:hAnsi="Times New Roman"/>
          <w:sz w:val="24"/>
          <w:szCs w:val="24"/>
          <w:rtl w:val="0"/>
        </w:rPr>
        <w:t>/</w:t>
      </w:r>
      <w:r>
        <w:rPr>
          <w:rFonts w:ascii="Times New Roman" w:hAnsi="Times New Roman"/>
          <w:sz w:val="24"/>
          <w:szCs w:val="24"/>
          <w:rtl w:val="0"/>
        </w:rPr>
        <w:t>4</w:t>
      </w:r>
      <w:r>
        <w:rPr>
          <w:rFonts w:ascii="Times New Roman" w:hAnsi="Times New Roman"/>
          <w:sz w:val="24"/>
          <w:szCs w:val="24"/>
          <w:rtl w:val="0"/>
        </w:rPr>
        <w:t>/23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Ruiz-Primo, M. A., &amp; Furtak, E. M. (2006). Informal formative assessment and scientific inquiry: Exploring teachers</w:t>
      </w:r>
      <w:r>
        <w:rPr>
          <w:rFonts w:ascii="Times New Roman" w:hAnsi="Times New Roman" w:hint="default"/>
          <w:sz w:val="24"/>
          <w:szCs w:val="24"/>
          <w:rtl w:val="0"/>
        </w:rPr>
        <w:t xml:space="preserve">’ </w:t>
      </w:r>
      <w:r>
        <w:rPr>
          <w:rFonts w:ascii="Times New Roman" w:hAnsi="Times New Roman"/>
          <w:sz w:val="24"/>
          <w:szCs w:val="24"/>
          <w:rtl w:val="0"/>
          <w:lang w:val="en-US"/>
        </w:rPr>
        <w:t xml:space="preserve">practices and student learning. </w:t>
      </w:r>
      <w:r>
        <w:rPr>
          <w:rFonts w:ascii="Times New Roman" w:hAnsi="Times New Roman"/>
          <w:i w:val="1"/>
          <w:iCs w:val="1"/>
          <w:sz w:val="24"/>
          <w:szCs w:val="24"/>
          <w:rtl w:val="0"/>
          <w:lang w:val="en-US"/>
        </w:rPr>
        <w:t>Educational Assessment</w:t>
      </w:r>
      <w:r>
        <w:rPr>
          <w:rFonts w:ascii="Times New Roman" w:hAnsi="Times New Roman"/>
          <w:sz w:val="24"/>
          <w:szCs w:val="24"/>
          <w:rtl w:val="0"/>
        </w:rPr>
        <w:t xml:space="preserve">, </w:t>
      </w:r>
      <w:r>
        <w:rPr>
          <w:rFonts w:ascii="Times New Roman" w:hAnsi="Times New Roman"/>
          <w:i w:val="1"/>
          <w:iCs w:val="1"/>
          <w:sz w:val="24"/>
          <w:szCs w:val="24"/>
          <w:rtl w:val="0"/>
        </w:rPr>
        <w:t>11</w:t>
      </w:r>
      <w:r>
        <w:rPr>
          <w:rFonts w:ascii="Times New Roman" w:hAnsi="Times New Roman"/>
          <w:sz w:val="24"/>
          <w:szCs w:val="24"/>
          <w:rtl w:val="0"/>
        </w:rPr>
        <w:t>(3-4), 205</w:t>
      </w:r>
      <w:r>
        <w:rPr>
          <w:rFonts w:ascii="Times New Roman" w:hAnsi="Times New Roman" w:hint="default"/>
          <w:sz w:val="24"/>
          <w:szCs w:val="24"/>
          <w:rtl w:val="0"/>
        </w:rPr>
        <w:t>–</w:t>
      </w:r>
      <w:r>
        <w:rPr>
          <w:rFonts w:ascii="Times New Roman" w:hAnsi="Times New Roman"/>
          <w:sz w:val="24"/>
          <w:szCs w:val="24"/>
          <w:rtl w:val="0"/>
        </w:rPr>
        <w:t>235.</w:t>
      </w:r>
    </w:p>
    <w:p>
      <w:pPr>
        <w:pStyle w:val="Default"/>
        <w:jc w:val="both"/>
        <w:rPr>
          <w:rFonts w:ascii="Times New Roman" w:cs="Times New Roman" w:hAnsi="Times New Roman" w:eastAsia="Times New Roman"/>
          <w:sz w:val="24"/>
          <w:szCs w:val="24"/>
        </w:rPr>
      </w:pPr>
    </w:p>
    <w:p>
      <w:pPr>
        <w:pStyle w:val="Default"/>
        <w:jc w:val="both"/>
        <w:rPr>
          <w:rFonts w:ascii="Times New Roman" w:cs="Times New Roman" w:hAnsi="Times New Roman" w:eastAsia="Times New Roman"/>
          <w:sz w:val="24"/>
          <w:szCs w:val="24"/>
        </w:rPr>
      </w:pPr>
      <w:r>
        <w:rPr>
          <w:rFonts w:ascii="Times New Roman" w:hAnsi="Times New Roman"/>
          <w:sz w:val="24"/>
          <w:szCs w:val="24"/>
          <w:rtl w:val="0"/>
          <w:lang w:val="en-US"/>
        </w:rPr>
        <w:t>Tomlinson, C. A., Brighton, C., Hertberg, H., Callahan, C. M., Moon, T. R., Brimijoin, K., Conover, L. A., &amp; Reynolds, T. (2003). Differentiating instruction in response to student readiness, interest, and learning profile in academically diverse</w:t>
      </w:r>
    </w:p>
    <w:p>
      <w:pPr>
        <w:pStyle w:val="Default"/>
        <w:jc w:val="both"/>
        <w:rPr>
          <w:rFonts w:ascii="Times New Roman" w:cs="Times New Roman" w:hAnsi="Times New Roman" w:eastAsia="Times New Roman"/>
          <w:sz w:val="24"/>
          <w:szCs w:val="24"/>
        </w:rPr>
      </w:pPr>
    </w:p>
    <w:p>
      <w:pPr>
        <w:pStyle w:val="Default"/>
        <w:rPr>
          <w:rFonts w:ascii="Times New Roman" w:cs="Times New Roman" w:hAnsi="Times New Roman" w:eastAsia="Times New Roman"/>
          <w:color w:val="333333"/>
          <w:sz w:val="24"/>
          <w:szCs w:val="24"/>
        </w:rPr>
      </w:pPr>
      <w:r>
        <w:rPr>
          <w:rFonts w:ascii="Times New Roman" w:hAnsi="Times New Roman"/>
          <w:color w:val="333333"/>
          <w:sz w:val="24"/>
          <w:szCs w:val="24"/>
          <w:rtl w:val="0"/>
          <w:lang w:val="en-US"/>
        </w:rPr>
        <w:t xml:space="preserve">Zhao, Y., Lei, J., Yan, B., Lai, C., &amp; Tan, H. S. (2005). What makes the difference? A practical analysis of research on the effectiveness of distance education. </w:t>
      </w:r>
      <w:r>
        <w:rPr>
          <w:rFonts w:ascii="Times New Roman" w:hAnsi="Times New Roman"/>
          <w:i w:val="1"/>
          <w:iCs w:val="1"/>
          <w:color w:val="333333"/>
          <w:sz w:val="24"/>
          <w:szCs w:val="24"/>
          <w:rtl w:val="0"/>
          <w:lang w:val="en-US"/>
        </w:rPr>
        <w:t>Teachers College Record</w:t>
      </w:r>
      <w:r>
        <w:rPr>
          <w:rFonts w:ascii="Times New Roman" w:hAnsi="Times New Roman"/>
          <w:color w:val="333333"/>
          <w:sz w:val="24"/>
          <w:szCs w:val="24"/>
          <w:rtl w:val="0"/>
        </w:rPr>
        <w:t xml:space="preserve">, </w:t>
      </w:r>
      <w:r>
        <w:rPr>
          <w:rFonts w:ascii="Times New Roman" w:hAnsi="Times New Roman"/>
          <w:i w:val="1"/>
          <w:iCs w:val="1"/>
          <w:color w:val="333333"/>
          <w:sz w:val="24"/>
          <w:szCs w:val="24"/>
          <w:rtl w:val="0"/>
        </w:rPr>
        <w:t>107</w:t>
      </w:r>
      <w:r>
        <w:rPr>
          <w:rFonts w:ascii="Times New Roman" w:hAnsi="Times New Roman"/>
          <w:color w:val="333333"/>
          <w:sz w:val="24"/>
          <w:szCs w:val="24"/>
          <w:rtl w:val="0"/>
        </w:rPr>
        <w:t>(8), 1836</w:t>
      </w:r>
      <w:r>
        <w:rPr>
          <w:rFonts w:ascii="Times New Roman" w:hAnsi="Times New Roman" w:hint="default"/>
          <w:color w:val="333333"/>
          <w:sz w:val="24"/>
          <w:szCs w:val="24"/>
          <w:rtl w:val="0"/>
        </w:rPr>
        <w:t>–</w:t>
      </w:r>
      <w:r>
        <w:rPr>
          <w:rFonts w:ascii="Times New Roman" w:hAnsi="Times New Roman"/>
          <w:color w:val="333333"/>
          <w:sz w:val="24"/>
          <w:szCs w:val="24"/>
          <w:rtl w:val="0"/>
        </w:rPr>
        <w:t xml:space="preserve">1884. </w:t>
      </w:r>
      <w:r>
        <w:rPr>
          <w:rStyle w:val="Hyperlink.1"/>
          <w:rFonts w:ascii="Times New Roman" w:cs="Times New Roman" w:hAnsi="Times New Roman" w:eastAsia="Times New Roman"/>
          <w:color w:val="004b83"/>
          <w:sz w:val="24"/>
          <w:szCs w:val="24"/>
          <w:u w:val="single" w:color="004b83"/>
        </w:rPr>
        <w:fldChar w:fldCharType="begin" w:fldLock="0"/>
      </w:r>
      <w:r>
        <w:rPr>
          <w:rStyle w:val="Hyperlink.1"/>
          <w:rFonts w:ascii="Times New Roman" w:cs="Times New Roman" w:hAnsi="Times New Roman" w:eastAsia="Times New Roman"/>
          <w:color w:val="004b83"/>
          <w:sz w:val="24"/>
          <w:szCs w:val="24"/>
          <w:u w:val="single" w:color="004b83"/>
        </w:rPr>
        <w:instrText xml:space="preserve"> HYPERLINK "https://doi.org/10.1111/j.1467-9620.2005.00544.x"</w:instrText>
      </w:r>
      <w:r>
        <w:rPr>
          <w:rStyle w:val="Hyperlink.1"/>
          <w:rFonts w:ascii="Times New Roman" w:cs="Times New Roman" w:hAnsi="Times New Roman" w:eastAsia="Times New Roman"/>
          <w:color w:val="004b83"/>
          <w:sz w:val="24"/>
          <w:szCs w:val="24"/>
          <w:u w:val="single" w:color="004b83"/>
        </w:rPr>
        <w:fldChar w:fldCharType="separate" w:fldLock="0"/>
      </w:r>
      <w:r>
        <w:rPr>
          <w:rStyle w:val="Hyperlink.1"/>
          <w:rFonts w:ascii="Times New Roman" w:hAnsi="Times New Roman"/>
          <w:color w:val="004b83"/>
          <w:sz w:val="24"/>
          <w:szCs w:val="24"/>
          <w:u w:val="single" w:color="004b83"/>
          <w:rtl w:val="0"/>
        </w:rPr>
        <w:t>https://doi.org/10.1111/j.1467-9620.2005.00544.x</w:t>
      </w:r>
      <w:r>
        <w:rPr>
          <w:rFonts w:ascii="Times New Roman" w:cs="Times New Roman" w:hAnsi="Times New Roman" w:eastAsia="Times New Roman"/>
          <w:color w:val="333333"/>
          <w:sz w:val="24"/>
          <w:szCs w:val="24"/>
        </w:rPr>
        <w:fldChar w:fldCharType="end" w:fldLock="0"/>
      </w:r>
      <w:r>
        <w:rPr>
          <w:rFonts w:ascii="Times New Roman" w:hAnsi="Times New Roman"/>
          <w:color w:val="333333"/>
          <w:sz w:val="24"/>
          <w:szCs w:val="24"/>
          <w:rtl w:val="0"/>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Times New Roman" w:cs="Times New Roman" w:hAnsi="Times New Roman" w:eastAsia="Times New Roman"/>
          <w:sz w:val="24"/>
          <w:szCs w:val="24"/>
        </w:rPr>
      </w:pPr>
      <w:r>
        <w:rPr>
          <w:rFonts w:ascii="Times New Roman" w:hAnsi="Times New Roman"/>
          <w:sz w:val="24"/>
          <w:szCs w:val="24"/>
          <w:rtl w:val="0"/>
        </w:rPr>
        <w:t xml:space="preserve">Darllenwyd: </w:t>
      </w:r>
      <w:r>
        <w:rPr>
          <w:rFonts w:ascii="Times New Roman" w:hAnsi="Times New Roman"/>
          <w:sz w:val="24"/>
          <w:szCs w:val="24"/>
          <w:rtl w:val="0"/>
        </w:rPr>
        <w:t>5</w:t>
      </w:r>
      <w:r>
        <w:rPr>
          <w:rFonts w:ascii="Times New Roman" w:hAnsi="Times New Roman"/>
          <w:sz w:val="24"/>
          <w:szCs w:val="24"/>
          <w:rtl w:val="0"/>
        </w:rPr>
        <w:t>/</w:t>
      </w:r>
      <w:r>
        <w:rPr>
          <w:rFonts w:ascii="Times New Roman" w:hAnsi="Times New Roman"/>
          <w:sz w:val="24"/>
          <w:szCs w:val="24"/>
          <w:rtl w:val="0"/>
        </w:rPr>
        <w:t>4</w:t>
      </w:r>
      <w:r>
        <w:rPr>
          <w:rFonts w:ascii="Times New Roman" w:hAnsi="Times New Roman"/>
          <w:sz w:val="24"/>
          <w:szCs w:val="24"/>
          <w:rtl w:val="0"/>
        </w:rPr>
        <w:t>/23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rPr>
          <w:rFonts w:ascii="Helvetica" w:cs="Helvetica" w:hAnsi="Helvetica" w:eastAsia="Helvetica"/>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pPr>
      <w:r>
        <w:rPr>
          <w:rStyle w:val="None"/>
          <w:rFonts w:ascii="Calibri" w:cs="Calibri" w:hAnsi="Calibri" w:eastAsia="Calibri"/>
          <w:sz w:val="24"/>
          <w:szCs w:val="24"/>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rPr>
        <w:rtl w:val="0"/>
      </w:rPr>
      <w:t>Rhif Myfyriwr:2003971                                                                                     ECAD60</w:t>
    </w:r>
    <w:r>
      <w:rPr>
        <w:rtl w:val="0"/>
      </w:rPr>
      <w:t>08C</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Cymraeg" w:val="‘“(〔[{〈《「『【⦅〘〖«〝︵︷︹︻︽︿﹁﹃﹇﹙﹛﹝｢"/>
  <w:noLineBreaksBefore w:lang="Cymraeg"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de-DE"/>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vertAlign w:val="baseline"/>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vertAlign w:val="baseline"/>
    </w:rPr>
  </w:style>
  <w:style w:type="character" w:styleId="Link">
    <w:name w:val="Link"/>
    <w:rPr>
      <w:color w:val="0000ff"/>
      <w:u w:val="single" w:color="0000ff"/>
    </w:rPr>
  </w:style>
  <w:style w:type="character" w:styleId="Hyperlink.0">
    <w:name w:val="Hyperlink.0"/>
    <w:basedOn w:val="Link"/>
    <w:next w:val="Hyperlink.0"/>
    <w:rPr/>
  </w:style>
  <w:style w:type="character" w:styleId="None">
    <w:name w:val="None"/>
  </w:style>
  <w:style w:type="character" w:styleId="Hyperlink.1">
    <w:name w:val="Hyperlink.1"/>
    <w:basedOn w:val="None"/>
    <w:next w:val="Hyperlink.1"/>
    <w:rPr>
      <w:color w:val="004b83"/>
      <w:u w:val="single" w:color="004b83"/>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