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908C60" w14:textId="09FECF33" w:rsidR="00590B1C" w:rsidRPr="00087620" w:rsidRDefault="006E6014">
      <w:pPr>
        <w:rPr>
          <w:rFonts w:ascii="Arial" w:hAnsi="Arial" w:cs="Arial"/>
          <w:sz w:val="24"/>
          <w:szCs w:val="24"/>
        </w:rPr>
      </w:pPr>
      <w:r w:rsidRPr="00087620">
        <w:rPr>
          <w:rFonts w:ascii="Arial" w:hAnsi="Arial" w:cs="Arial"/>
          <w:sz w:val="24"/>
          <w:szCs w:val="24"/>
        </w:rPr>
        <w:t>Name: Nikol</w:t>
      </w:r>
      <w:r w:rsidR="00697013" w:rsidRPr="00087620">
        <w:rPr>
          <w:rFonts w:ascii="Arial" w:hAnsi="Arial" w:cs="Arial"/>
          <w:sz w:val="24"/>
          <w:szCs w:val="24"/>
        </w:rPr>
        <w:t xml:space="preserve">a </w:t>
      </w:r>
      <w:proofErr w:type="spellStart"/>
      <w:r w:rsidR="00697013" w:rsidRPr="00087620">
        <w:rPr>
          <w:rFonts w:ascii="Arial" w:hAnsi="Arial" w:cs="Arial"/>
          <w:sz w:val="24"/>
          <w:szCs w:val="24"/>
        </w:rPr>
        <w:t>Balazova</w:t>
      </w:r>
      <w:proofErr w:type="spellEnd"/>
    </w:p>
    <w:p w14:paraId="7CC7665A" w14:textId="08AE7CBD" w:rsidR="00697013" w:rsidRPr="00087620" w:rsidRDefault="00697013" w:rsidP="00697013">
      <w:pPr>
        <w:spacing w:before="120" w:after="120"/>
        <w:rPr>
          <w:rFonts w:ascii="Arial" w:hAnsi="Arial" w:cs="Arial"/>
          <w:sz w:val="24"/>
          <w:szCs w:val="24"/>
        </w:rPr>
      </w:pPr>
      <w:r w:rsidRPr="00087620">
        <w:rPr>
          <w:rFonts w:ascii="Arial" w:hAnsi="Arial" w:cs="Arial"/>
          <w:sz w:val="24"/>
          <w:szCs w:val="24"/>
        </w:rPr>
        <w:t>Programme: Master of Business Administration</w:t>
      </w:r>
    </w:p>
    <w:p w14:paraId="132852DD" w14:textId="52CACB98" w:rsidR="00697013" w:rsidRPr="00087620" w:rsidRDefault="00697013" w:rsidP="00697013">
      <w:pPr>
        <w:spacing w:before="120" w:after="120"/>
        <w:rPr>
          <w:rFonts w:ascii="Arial" w:hAnsi="Arial" w:cs="Arial"/>
          <w:sz w:val="24"/>
          <w:szCs w:val="24"/>
        </w:rPr>
      </w:pPr>
      <w:r w:rsidRPr="00087620">
        <w:rPr>
          <w:rFonts w:ascii="Arial" w:hAnsi="Arial" w:cs="Arial"/>
          <w:sz w:val="24"/>
          <w:szCs w:val="24"/>
        </w:rPr>
        <w:t>Module: Human Capital Management</w:t>
      </w:r>
    </w:p>
    <w:p w14:paraId="20EC119C" w14:textId="376D2116" w:rsidR="00697013" w:rsidRPr="00087620" w:rsidRDefault="00697013" w:rsidP="00697013">
      <w:pPr>
        <w:spacing w:before="120" w:after="120"/>
        <w:rPr>
          <w:rFonts w:ascii="Arial" w:hAnsi="Arial" w:cs="Arial"/>
          <w:sz w:val="24"/>
          <w:szCs w:val="24"/>
        </w:rPr>
      </w:pPr>
      <w:r w:rsidRPr="00087620">
        <w:rPr>
          <w:rFonts w:ascii="Arial" w:hAnsi="Arial" w:cs="Arial"/>
          <w:sz w:val="24"/>
          <w:szCs w:val="24"/>
        </w:rPr>
        <w:t>Module code: LCMB7023</w:t>
      </w:r>
    </w:p>
    <w:p w14:paraId="4760186F" w14:textId="1E040F34" w:rsidR="00697013" w:rsidRPr="00087620" w:rsidRDefault="00697013" w:rsidP="00697013">
      <w:pPr>
        <w:spacing w:before="120" w:after="120"/>
        <w:rPr>
          <w:rFonts w:ascii="Arial" w:hAnsi="Arial" w:cs="Arial"/>
          <w:sz w:val="24"/>
          <w:szCs w:val="24"/>
        </w:rPr>
      </w:pPr>
      <w:r w:rsidRPr="00087620">
        <w:rPr>
          <w:rFonts w:ascii="Arial" w:hAnsi="Arial" w:cs="Arial"/>
          <w:sz w:val="24"/>
          <w:szCs w:val="24"/>
        </w:rPr>
        <w:t>Assignment Title: Assessment component 1: Individual report</w:t>
      </w:r>
    </w:p>
    <w:p w14:paraId="15D6AD91" w14:textId="04ABFD64" w:rsidR="00697013" w:rsidRPr="00087620" w:rsidRDefault="00697013" w:rsidP="00697013">
      <w:pPr>
        <w:spacing w:before="120" w:after="120"/>
        <w:rPr>
          <w:rFonts w:ascii="Arial" w:eastAsia="Cambria" w:hAnsi="Arial" w:cs="Arial"/>
          <w:sz w:val="24"/>
          <w:szCs w:val="24"/>
        </w:rPr>
      </w:pPr>
      <w:r w:rsidRPr="00087620">
        <w:rPr>
          <w:rFonts w:ascii="Arial" w:eastAsia="Cambria" w:hAnsi="Arial" w:cs="Arial"/>
          <w:sz w:val="24"/>
          <w:szCs w:val="24"/>
        </w:rPr>
        <w:t>Word count: 2,500 (± 10%)</w:t>
      </w:r>
    </w:p>
    <w:p w14:paraId="454761D7" w14:textId="0129A50B" w:rsidR="00697013" w:rsidRPr="00087620" w:rsidRDefault="00697013" w:rsidP="00697013">
      <w:pPr>
        <w:spacing w:before="120" w:after="120"/>
        <w:rPr>
          <w:rFonts w:ascii="Arial" w:hAnsi="Arial" w:cs="Arial"/>
          <w:color w:val="000000" w:themeColor="text1"/>
          <w:sz w:val="24"/>
          <w:szCs w:val="24"/>
        </w:rPr>
      </w:pPr>
      <w:r w:rsidRPr="00087620">
        <w:rPr>
          <w:rFonts w:ascii="Arial" w:hAnsi="Arial" w:cs="Arial"/>
          <w:sz w:val="24"/>
          <w:szCs w:val="24"/>
        </w:rPr>
        <w:t xml:space="preserve">Submission deadline: </w:t>
      </w:r>
      <w:r w:rsidRPr="00087620">
        <w:rPr>
          <w:rFonts w:ascii="Arial" w:hAnsi="Arial" w:cs="Arial"/>
          <w:color w:val="000000" w:themeColor="text1"/>
          <w:sz w:val="24"/>
          <w:szCs w:val="24"/>
        </w:rPr>
        <w:t>Week 6. Thursday 15</w:t>
      </w:r>
      <w:r w:rsidRPr="00087620">
        <w:rPr>
          <w:rFonts w:ascii="Arial" w:hAnsi="Arial" w:cs="Arial"/>
          <w:color w:val="000000" w:themeColor="text1"/>
          <w:sz w:val="24"/>
          <w:szCs w:val="24"/>
          <w:vertAlign w:val="superscript"/>
        </w:rPr>
        <w:t>th</w:t>
      </w:r>
      <w:r w:rsidRPr="00087620">
        <w:rPr>
          <w:rFonts w:ascii="Arial" w:hAnsi="Arial" w:cs="Arial"/>
          <w:color w:val="000000" w:themeColor="text1"/>
          <w:sz w:val="24"/>
          <w:szCs w:val="24"/>
        </w:rPr>
        <w:t xml:space="preserve"> October 2026. By 2 PM</w:t>
      </w:r>
    </w:p>
    <w:p w14:paraId="48A49C8D" w14:textId="01B35111" w:rsidR="00697013" w:rsidRPr="00087620" w:rsidRDefault="00697013" w:rsidP="00697013">
      <w:pPr>
        <w:spacing w:before="120" w:after="120"/>
        <w:rPr>
          <w:rFonts w:ascii="Arial" w:hAnsi="Arial" w:cs="Arial"/>
          <w:color w:val="000000" w:themeColor="text1"/>
          <w:sz w:val="24"/>
          <w:szCs w:val="24"/>
        </w:rPr>
      </w:pPr>
      <w:r w:rsidRPr="00087620">
        <w:rPr>
          <w:rFonts w:ascii="Arial" w:hAnsi="Arial" w:cs="Arial"/>
          <w:sz w:val="24"/>
          <w:szCs w:val="24"/>
        </w:rPr>
        <w:t xml:space="preserve">Lecturer: </w:t>
      </w:r>
      <w:r w:rsidRPr="00087620">
        <w:rPr>
          <w:rFonts w:ascii="Arial" w:hAnsi="Arial" w:cs="Arial"/>
          <w:color w:val="242130"/>
          <w:sz w:val="24"/>
          <w:szCs w:val="24"/>
          <w:shd w:val="clear" w:color="auto" w:fill="FFFFFF"/>
        </w:rPr>
        <w:t>Eno Maycock</w:t>
      </w:r>
    </w:p>
    <w:p w14:paraId="6AC34086" w14:textId="77777777" w:rsidR="00697013" w:rsidRPr="00087620" w:rsidRDefault="00697013" w:rsidP="00697013">
      <w:pPr>
        <w:spacing w:before="120" w:after="120"/>
        <w:rPr>
          <w:rFonts w:ascii="Arial" w:hAnsi="Arial" w:cs="Arial"/>
          <w:bCs/>
          <w:sz w:val="24"/>
          <w:szCs w:val="24"/>
        </w:rPr>
      </w:pPr>
    </w:p>
    <w:p w14:paraId="5E2B2521" w14:textId="77777777" w:rsidR="00697013" w:rsidRPr="00087620" w:rsidRDefault="00697013">
      <w:pPr>
        <w:rPr>
          <w:rFonts w:ascii="Arial" w:hAnsi="Arial" w:cs="Arial"/>
          <w:b/>
          <w:bCs/>
          <w:sz w:val="24"/>
          <w:szCs w:val="24"/>
        </w:rPr>
      </w:pPr>
    </w:p>
    <w:p w14:paraId="606332AA" w14:textId="77777777" w:rsidR="00697013" w:rsidRPr="00087620" w:rsidRDefault="00697013">
      <w:pPr>
        <w:rPr>
          <w:rFonts w:ascii="Arial" w:hAnsi="Arial" w:cs="Arial"/>
          <w:b/>
          <w:bCs/>
          <w:sz w:val="24"/>
          <w:szCs w:val="24"/>
        </w:rPr>
      </w:pPr>
    </w:p>
    <w:p w14:paraId="60F19F75" w14:textId="77777777" w:rsidR="00697013" w:rsidRPr="00087620" w:rsidRDefault="00697013">
      <w:pPr>
        <w:rPr>
          <w:rFonts w:ascii="Arial" w:hAnsi="Arial" w:cs="Arial"/>
          <w:b/>
          <w:bCs/>
          <w:sz w:val="24"/>
          <w:szCs w:val="24"/>
        </w:rPr>
      </w:pPr>
    </w:p>
    <w:p w14:paraId="7AA9877A" w14:textId="77777777" w:rsidR="00697013" w:rsidRPr="00087620" w:rsidRDefault="00697013" w:rsidP="00697013">
      <w:pPr>
        <w:spacing w:line="360" w:lineRule="auto"/>
        <w:ind w:left="426" w:right="248"/>
        <w:jc w:val="both"/>
        <w:rPr>
          <w:rFonts w:ascii="Arial" w:hAnsi="Arial" w:cs="Arial"/>
          <w:b/>
          <w:bCs/>
          <w:sz w:val="24"/>
          <w:szCs w:val="24"/>
        </w:rPr>
      </w:pPr>
      <w:r w:rsidRPr="00087620">
        <w:rPr>
          <w:rFonts w:ascii="Arial" w:hAnsi="Arial" w:cs="Arial"/>
          <w:b/>
          <w:bCs/>
          <w:sz w:val="24"/>
          <w:szCs w:val="24"/>
        </w:rPr>
        <w:t>Topic: Innovating New Working Practices and Breeding an Environment Where Talent May Grow</w:t>
      </w:r>
    </w:p>
    <w:p w14:paraId="1CB68561" w14:textId="77777777" w:rsidR="00697013" w:rsidRPr="00087620" w:rsidRDefault="00697013">
      <w:pPr>
        <w:rPr>
          <w:rFonts w:ascii="Arial" w:hAnsi="Arial" w:cs="Arial"/>
          <w:b/>
          <w:bCs/>
          <w:sz w:val="24"/>
          <w:szCs w:val="24"/>
        </w:rPr>
      </w:pPr>
    </w:p>
    <w:p w14:paraId="229C9F85" w14:textId="77777777" w:rsidR="00697013" w:rsidRPr="00087620" w:rsidRDefault="00697013">
      <w:pPr>
        <w:rPr>
          <w:rFonts w:ascii="Arial" w:hAnsi="Arial" w:cs="Arial"/>
          <w:b/>
          <w:bCs/>
          <w:sz w:val="24"/>
          <w:szCs w:val="24"/>
        </w:rPr>
      </w:pPr>
    </w:p>
    <w:p w14:paraId="4060EDB9" w14:textId="77777777" w:rsidR="00697013" w:rsidRPr="00087620" w:rsidRDefault="00697013">
      <w:pPr>
        <w:rPr>
          <w:rFonts w:ascii="Arial" w:hAnsi="Arial" w:cs="Arial"/>
          <w:b/>
          <w:bCs/>
          <w:sz w:val="24"/>
          <w:szCs w:val="24"/>
        </w:rPr>
      </w:pPr>
    </w:p>
    <w:p w14:paraId="6EAB0344" w14:textId="77777777" w:rsidR="00697013" w:rsidRPr="00087620" w:rsidRDefault="00697013">
      <w:pPr>
        <w:rPr>
          <w:rFonts w:ascii="Arial" w:hAnsi="Arial" w:cs="Arial"/>
          <w:b/>
          <w:bCs/>
          <w:sz w:val="24"/>
          <w:szCs w:val="24"/>
        </w:rPr>
      </w:pPr>
    </w:p>
    <w:p w14:paraId="46B11B99" w14:textId="77777777" w:rsidR="00697013" w:rsidRPr="00087620" w:rsidRDefault="00697013">
      <w:pPr>
        <w:rPr>
          <w:rFonts w:ascii="Arial" w:hAnsi="Arial" w:cs="Arial"/>
          <w:b/>
          <w:bCs/>
          <w:sz w:val="24"/>
          <w:szCs w:val="24"/>
        </w:rPr>
      </w:pPr>
    </w:p>
    <w:p w14:paraId="2BAC758A" w14:textId="77777777" w:rsidR="00697013" w:rsidRPr="00087620" w:rsidRDefault="00697013">
      <w:pPr>
        <w:rPr>
          <w:rFonts w:ascii="Arial" w:hAnsi="Arial" w:cs="Arial"/>
          <w:b/>
          <w:bCs/>
          <w:sz w:val="24"/>
          <w:szCs w:val="24"/>
        </w:rPr>
      </w:pPr>
    </w:p>
    <w:p w14:paraId="56F9B839" w14:textId="77777777" w:rsidR="00697013" w:rsidRPr="00087620" w:rsidRDefault="00697013">
      <w:pPr>
        <w:rPr>
          <w:rFonts w:ascii="Arial" w:hAnsi="Arial" w:cs="Arial"/>
          <w:b/>
          <w:bCs/>
          <w:sz w:val="24"/>
          <w:szCs w:val="24"/>
        </w:rPr>
      </w:pPr>
    </w:p>
    <w:p w14:paraId="11AACA5D" w14:textId="77777777" w:rsidR="00697013" w:rsidRPr="00087620" w:rsidRDefault="00697013">
      <w:pPr>
        <w:rPr>
          <w:rFonts w:ascii="Arial" w:hAnsi="Arial" w:cs="Arial"/>
          <w:b/>
          <w:bCs/>
          <w:sz w:val="24"/>
          <w:szCs w:val="24"/>
        </w:rPr>
      </w:pPr>
    </w:p>
    <w:p w14:paraId="17DCA2BA" w14:textId="77777777" w:rsidR="00697013" w:rsidRPr="00087620" w:rsidRDefault="00697013">
      <w:pPr>
        <w:rPr>
          <w:rFonts w:ascii="Arial" w:hAnsi="Arial" w:cs="Arial"/>
          <w:b/>
          <w:bCs/>
          <w:sz w:val="24"/>
          <w:szCs w:val="24"/>
        </w:rPr>
      </w:pPr>
    </w:p>
    <w:p w14:paraId="7BA72036" w14:textId="77777777" w:rsidR="00697013" w:rsidRPr="00087620" w:rsidRDefault="00697013">
      <w:pPr>
        <w:rPr>
          <w:rFonts w:ascii="Arial" w:hAnsi="Arial" w:cs="Arial"/>
          <w:b/>
          <w:bCs/>
          <w:sz w:val="24"/>
          <w:szCs w:val="24"/>
        </w:rPr>
      </w:pPr>
    </w:p>
    <w:p w14:paraId="69E17E96" w14:textId="77777777" w:rsidR="00697013" w:rsidRPr="00087620" w:rsidRDefault="00697013">
      <w:pPr>
        <w:rPr>
          <w:rFonts w:ascii="Arial" w:hAnsi="Arial" w:cs="Arial"/>
          <w:b/>
          <w:bCs/>
          <w:sz w:val="24"/>
          <w:szCs w:val="24"/>
        </w:rPr>
      </w:pPr>
    </w:p>
    <w:p w14:paraId="566CFE89" w14:textId="77777777" w:rsidR="00697013" w:rsidRPr="00087620" w:rsidRDefault="00697013">
      <w:pPr>
        <w:rPr>
          <w:rFonts w:ascii="Arial" w:hAnsi="Arial" w:cs="Arial"/>
          <w:b/>
          <w:bCs/>
          <w:sz w:val="24"/>
          <w:szCs w:val="24"/>
        </w:rPr>
      </w:pPr>
    </w:p>
    <w:p w14:paraId="43FF8C97" w14:textId="77777777" w:rsidR="00697013" w:rsidRPr="00087620" w:rsidRDefault="00697013">
      <w:pPr>
        <w:rPr>
          <w:rFonts w:ascii="Arial" w:hAnsi="Arial" w:cs="Arial"/>
          <w:b/>
          <w:bCs/>
          <w:sz w:val="24"/>
          <w:szCs w:val="24"/>
        </w:rPr>
      </w:pPr>
    </w:p>
    <w:p w14:paraId="3A397E17" w14:textId="77777777" w:rsidR="00697013" w:rsidRPr="00087620" w:rsidRDefault="00697013">
      <w:pPr>
        <w:rPr>
          <w:rFonts w:ascii="Arial" w:hAnsi="Arial" w:cs="Arial"/>
          <w:b/>
          <w:bCs/>
          <w:sz w:val="24"/>
          <w:szCs w:val="24"/>
        </w:rPr>
      </w:pPr>
    </w:p>
    <w:p w14:paraId="06973829" w14:textId="77777777" w:rsidR="00697013" w:rsidRPr="00087620" w:rsidRDefault="00697013">
      <w:pPr>
        <w:rPr>
          <w:rFonts w:ascii="Arial" w:hAnsi="Arial" w:cs="Arial"/>
          <w:b/>
          <w:bCs/>
          <w:sz w:val="24"/>
          <w:szCs w:val="24"/>
        </w:rPr>
      </w:pPr>
    </w:p>
    <w:p w14:paraId="53BDB936" w14:textId="77777777" w:rsidR="00697013" w:rsidRPr="00087620" w:rsidRDefault="00697013">
      <w:pPr>
        <w:rPr>
          <w:rFonts w:ascii="Arial" w:hAnsi="Arial" w:cs="Arial"/>
          <w:b/>
          <w:bCs/>
          <w:sz w:val="24"/>
          <w:szCs w:val="24"/>
        </w:rPr>
      </w:pPr>
    </w:p>
    <w:p w14:paraId="6894CAF2" w14:textId="77777777" w:rsidR="00697013" w:rsidRPr="00087620" w:rsidRDefault="00697013">
      <w:pPr>
        <w:rPr>
          <w:rFonts w:ascii="Arial" w:hAnsi="Arial" w:cs="Arial"/>
          <w:b/>
          <w:bCs/>
          <w:sz w:val="24"/>
          <w:szCs w:val="24"/>
        </w:rPr>
      </w:pPr>
    </w:p>
    <w:p w14:paraId="765A31B5" w14:textId="77777777" w:rsidR="00697013" w:rsidRPr="00087620" w:rsidRDefault="00697013">
      <w:pPr>
        <w:rPr>
          <w:rFonts w:ascii="Arial" w:hAnsi="Arial" w:cs="Arial"/>
          <w:b/>
          <w:bCs/>
          <w:sz w:val="24"/>
          <w:szCs w:val="24"/>
        </w:rPr>
      </w:pPr>
    </w:p>
    <w:p w14:paraId="415FF01F" w14:textId="19A3EE86" w:rsidR="00697013" w:rsidRPr="00087620" w:rsidRDefault="00697013" w:rsidP="00697013">
      <w:pPr>
        <w:pStyle w:val="Heading1"/>
        <w:rPr>
          <w:rFonts w:ascii="Arial" w:hAnsi="Arial" w:cs="Arial"/>
          <w:sz w:val="24"/>
          <w:szCs w:val="24"/>
        </w:rPr>
      </w:pPr>
      <w:r w:rsidRPr="00087620">
        <w:rPr>
          <w:rFonts w:ascii="Arial" w:hAnsi="Arial" w:cs="Arial"/>
          <w:sz w:val="24"/>
          <w:szCs w:val="24"/>
        </w:rPr>
        <w:t>TASK A: Designing Innovative Working Practices for NexSpace Health Systems (NHSX)</w:t>
      </w:r>
    </w:p>
    <w:p w14:paraId="36AE3C73" w14:textId="77777777" w:rsidR="00697013" w:rsidRPr="00087620" w:rsidRDefault="00697013" w:rsidP="00697013">
      <w:pPr>
        <w:rPr>
          <w:rFonts w:ascii="Arial" w:hAnsi="Arial" w:cs="Arial"/>
          <w:sz w:val="24"/>
          <w:szCs w:val="24"/>
        </w:rPr>
      </w:pPr>
    </w:p>
    <w:p w14:paraId="4796B674" w14:textId="77777777" w:rsidR="00697013" w:rsidRPr="00087620" w:rsidRDefault="00697013" w:rsidP="00697013">
      <w:pPr>
        <w:rPr>
          <w:rFonts w:ascii="Arial" w:hAnsi="Arial" w:cs="Arial"/>
          <w:sz w:val="24"/>
          <w:szCs w:val="24"/>
        </w:rPr>
      </w:pPr>
    </w:p>
    <w:p w14:paraId="4308DABD" w14:textId="5B6C2974" w:rsidR="00697013" w:rsidRPr="00087620" w:rsidRDefault="00087620" w:rsidP="00697013">
      <w:pPr>
        <w:pStyle w:val="Heading1"/>
        <w:rPr>
          <w:rFonts w:ascii="Arial" w:hAnsi="Arial" w:cs="Arial"/>
          <w:sz w:val="24"/>
          <w:szCs w:val="24"/>
        </w:rPr>
      </w:pPr>
      <w:r w:rsidRPr="00087620">
        <w:rPr>
          <w:rFonts w:ascii="Arial" w:hAnsi="Arial" w:cs="Arial"/>
          <w:sz w:val="24"/>
          <w:szCs w:val="24"/>
        </w:rPr>
        <w:t xml:space="preserve">Task A: </w:t>
      </w:r>
      <w:r w:rsidR="00697013" w:rsidRPr="00087620">
        <w:rPr>
          <w:rFonts w:ascii="Arial" w:hAnsi="Arial" w:cs="Arial"/>
          <w:sz w:val="24"/>
          <w:szCs w:val="24"/>
        </w:rPr>
        <w:t>Critical Evaluation: Traditional versus Innovative Working Practices</w:t>
      </w:r>
    </w:p>
    <w:p w14:paraId="45BC6864" w14:textId="77777777" w:rsidR="00697013" w:rsidRPr="00087620" w:rsidRDefault="00697013" w:rsidP="00697013">
      <w:pPr>
        <w:rPr>
          <w:rFonts w:ascii="Arial" w:hAnsi="Arial" w:cs="Arial"/>
          <w:sz w:val="24"/>
          <w:szCs w:val="24"/>
        </w:rPr>
      </w:pPr>
    </w:p>
    <w:p w14:paraId="7A9C2C2C" w14:textId="77777777" w:rsidR="00087620" w:rsidRPr="00087620" w:rsidRDefault="00697013" w:rsidP="00697013">
      <w:pPr>
        <w:rPr>
          <w:rFonts w:ascii="Arial" w:hAnsi="Arial" w:cs="Arial"/>
          <w:sz w:val="24"/>
          <w:szCs w:val="24"/>
        </w:rPr>
      </w:pPr>
      <w:r w:rsidRPr="00087620">
        <w:rPr>
          <w:rFonts w:ascii="Arial" w:hAnsi="Arial" w:cs="Arial"/>
          <w:sz w:val="24"/>
          <w:szCs w:val="24"/>
        </w:rPr>
        <w:t>Traditional hierarchical organisational structures—defined by centralised authority, compartmentalised functional units, vertical command mechanisms, and prescribed role parameters—have historically been regarded as advantageous for their provision of transparency, uniformity, and responsibility attribution (Galbraith, 2022). Nevertheless, within rapidly evolving, knowledge-dependent domains including digital health and artificial intelligence development, such configurations engender operational constraints: decision-making authority remains concentrated among senior management, procedural approval timelines extend considerably, and technical and clinical personnel at operational levels experience limited discretion to adapt expeditiously to shifts in market conditions or technological advancement (Mayo et al., 2023).</w:t>
      </w:r>
    </w:p>
    <w:p w14:paraId="3BE19211" w14:textId="6DA55433" w:rsidR="00697013" w:rsidRPr="00087620" w:rsidRDefault="00697013" w:rsidP="00697013">
      <w:pPr>
        <w:rPr>
          <w:rFonts w:ascii="Arial" w:hAnsi="Arial" w:cs="Arial"/>
          <w:sz w:val="24"/>
          <w:szCs w:val="24"/>
        </w:rPr>
      </w:pPr>
      <w:r w:rsidRPr="00087620">
        <w:rPr>
          <w:rFonts w:ascii="Arial" w:hAnsi="Arial" w:cs="Arial"/>
          <w:sz w:val="24"/>
          <w:szCs w:val="24"/>
        </w:rPr>
        <w:t xml:space="preserve"> Sociotechnical Systems Theory (SST) articulates the fundamental limitation: conventional frameworks position human actors as subordinate to organisational architecture rather than as equivalent partners with technological systems; when social and technical dimensions operate incongruently, both organisational effectiveness and creative capacity diminish (Trist, 2022). Within the NHSX context, this incongruence manifests through protracted development cycles, constrained innovative capacity, and fragmentation among geographically dispersed operational units.</w:t>
      </w:r>
    </w:p>
    <w:p w14:paraId="0DBB70ED" w14:textId="172CD258" w:rsidR="00697013" w:rsidRPr="00087620" w:rsidRDefault="00697013" w:rsidP="00697013">
      <w:pPr>
        <w:rPr>
          <w:rFonts w:ascii="Arial" w:hAnsi="Arial" w:cs="Arial"/>
          <w:sz w:val="24"/>
          <w:szCs w:val="24"/>
        </w:rPr>
      </w:pPr>
      <w:r w:rsidRPr="00087620">
        <w:rPr>
          <w:rFonts w:ascii="Arial" w:hAnsi="Arial" w:cs="Arial"/>
          <w:sz w:val="24"/>
          <w:szCs w:val="24"/>
        </w:rPr>
        <w:t>In contradistinction, High-Involvement Work Systems (HIWS) – representing the most empirically validated framework for knowledge-intensive organisations – distribute authority, information, rewards and development across the entire workforce rather than concentrating them within leadership echelons (Sparrow &amp; Makram, 2022). HIWS diverges fundamentally from High-Performance Work Systems (HPWS): whereas HPWS emphasises productivity and output metrics, HIWS foregrounds participation, voice and ownership, rendering it more appropriates for creative and innovative endeavours (Wood &amp;</w:t>
      </w:r>
      <w:r w:rsidRPr="00087620">
        <w:rPr>
          <w:rFonts w:ascii="Arial" w:hAnsi="Arial" w:cs="Arial"/>
          <w:b/>
          <w:bCs/>
          <w:sz w:val="24"/>
          <w:szCs w:val="24"/>
        </w:rPr>
        <w:t xml:space="preserve"> </w:t>
      </w:r>
      <w:r w:rsidRPr="00087620">
        <w:rPr>
          <w:rFonts w:ascii="Arial" w:hAnsi="Arial" w:cs="Arial"/>
          <w:sz w:val="24"/>
          <w:szCs w:val="24"/>
        </w:rPr>
        <w:t>Ogbonnaya, 2023). Supplementing this perspective, agile working supplants conventional planning</w:t>
      </w:r>
      <w:r w:rsidR="00087620" w:rsidRPr="00087620">
        <w:rPr>
          <w:rFonts w:ascii="Arial" w:hAnsi="Arial" w:cs="Arial"/>
          <w:sz w:val="24"/>
          <w:szCs w:val="24"/>
        </w:rPr>
        <w:t xml:space="preserve"> </w:t>
      </w:r>
      <w:r w:rsidRPr="00087620">
        <w:rPr>
          <w:rFonts w:ascii="Arial" w:hAnsi="Arial" w:cs="Arial"/>
          <w:sz w:val="24"/>
          <w:szCs w:val="24"/>
        </w:rPr>
        <w:t>methodologies with iterative, adaptive cycles; empirical evidence demonstrates that within tech and healthcare sectors, agile frameworks diminish decision latency by 40–60% and expedite time-to-market relative to conventional sequential methodologies (Rigby et al., 2023).</w:t>
      </w:r>
    </w:p>
    <w:p w14:paraId="42346276" w14:textId="6AE7EC4B" w:rsidR="00697013" w:rsidRPr="00087620" w:rsidRDefault="00697013" w:rsidP="00697013">
      <w:pPr>
        <w:rPr>
          <w:rFonts w:ascii="Arial" w:hAnsi="Arial" w:cs="Arial"/>
          <w:sz w:val="24"/>
          <w:szCs w:val="24"/>
        </w:rPr>
      </w:pPr>
      <w:r w:rsidRPr="00087620">
        <w:rPr>
          <w:rFonts w:ascii="Arial" w:hAnsi="Arial" w:cs="Arial"/>
          <w:sz w:val="24"/>
          <w:szCs w:val="24"/>
        </w:rPr>
        <w:t xml:space="preserve">Hybrid working, when implemented without deliberate structural consideration, has exacerbated inherent deficiencies in NHSX's organisational architecture: spatial </w:t>
      </w:r>
      <w:r w:rsidRPr="00087620">
        <w:rPr>
          <w:rFonts w:ascii="Arial" w:hAnsi="Arial" w:cs="Arial"/>
          <w:sz w:val="24"/>
          <w:szCs w:val="24"/>
        </w:rPr>
        <w:lastRenderedPageBreak/>
        <w:t>dispersion has reinforced departmental fragmentation rather than facilitating integration, as collaborative mechanisms were never systematically institutionalised – they depended upon physical proximity and informal networking (Stahl et al., 2023). Contemporary hybrid frameworks, conversely, transcend simplistic remote-versus-on-site dichotomies to constitute intentional spatial distribution: they engineer roles, meetings and workflows to guarantee accessibility irrespective of geographical location, leveraging digital infrastructure to establish collaborative environments rather than positioning remote personnel as tertiary stakeholders (Brewster et al., 2023). The subsequent framework operationalises these theoretical constructs to systematically address all five organisational challenges at NHSX.</w:t>
      </w:r>
    </w:p>
    <w:p w14:paraId="4C58C5CA" w14:textId="77777777" w:rsidR="00697013" w:rsidRPr="00087620" w:rsidRDefault="00697013" w:rsidP="00697013">
      <w:pPr>
        <w:rPr>
          <w:rFonts w:ascii="Arial" w:hAnsi="Arial" w:cs="Arial"/>
          <w:sz w:val="24"/>
          <w:szCs w:val="24"/>
        </w:rPr>
      </w:pPr>
    </w:p>
    <w:p w14:paraId="1204CB95" w14:textId="3651E7AB" w:rsidR="00087620" w:rsidRPr="00087620" w:rsidRDefault="00697013" w:rsidP="00087620">
      <w:pPr>
        <w:pStyle w:val="Heading1"/>
        <w:rPr>
          <w:rFonts w:ascii="Arial" w:hAnsi="Arial" w:cs="Arial"/>
          <w:sz w:val="24"/>
          <w:szCs w:val="24"/>
        </w:rPr>
      </w:pPr>
      <w:r w:rsidRPr="00087620">
        <w:rPr>
          <w:rFonts w:ascii="Arial" w:hAnsi="Arial" w:cs="Arial"/>
          <w:sz w:val="24"/>
          <w:szCs w:val="24"/>
        </w:rPr>
        <w:t>Recommended Innovative Working Practices: Integrated Framework</w:t>
      </w:r>
    </w:p>
    <w:p w14:paraId="108CA8E1" w14:textId="566AAA18" w:rsidR="00087620" w:rsidRPr="00087620" w:rsidRDefault="00087620" w:rsidP="00087620">
      <w:pPr>
        <w:rPr>
          <w:rFonts w:ascii="Arial" w:hAnsi="Arial" w:cs="Arial"/>
          <w:sz w:val="24"/>
          <w:szCs w:val="24"/>
        </w:rPr>
      </w:pPr>
      <w:r w:rsidRPr="00087620">
        <w:rPr>
          <w:rFonts w:ascii="Arial" w:hAnsi="Arial" w:cs="Arial"/>
          <w:sz w:val="24"/>
          <w:szCs w:val="24"/>
        </w:rPr>
        <w:t>This organizational framework restructures NHSX operations according to five interconnected practices, fostering innovation, collaborative engagement, employee wellbeing, and professional retention throughout operations spanning the United Kingdom, India, and the United Arab Emirates.</w:t>
      </w:r>
    </w:p>
    <w:p w14:paraId="0DB35200" w14:textId="0ECBF9A4" w:rsidR="00087620" w:rsidRPr="00087620" w:rsidRDefault="00087620" w:rsidP="00087620">
      <w:pPr>
        <w:rPr>
          <w:rFonts w:ascii="Arial" w:hAnsi="Arial" w:cs="Arial"/>
          <w:b/>
          <w:bCs/>
          <w:sz w:val="24"/>
          <w:szCs w:val="24"/>
        </w:rPr>
      </w:pPr>
      <w:r w:rsidRPr="00087620">
        <w:rPr>
          <w:rFonts w:ascii="Arial" w:hAnsi="Arial" w:cs="Arial"/>
          <w:b/>
          <w:bCs/>
          <w:sz w:val="24"/>
          <w:szCs w:val="24"/>
        </w:rPr>
        <w:t>Cross-Functional Collaboration: Pod &amp; Guild Structure</w:t>
      </w:r>
    </w:p>
    <w:p w14:paraId="3199ACEB" w14:textId="00F8587F" w:rsidR="00087620" w:rsidRPr="00087620" w:rsidRDefault="00087620" w:rsidP="00087620">
      <w:pPr>
        <w:rPr>
          <w:rFonts w:ascii="Arial" w:hAnsi="Arial" w:cs="Arial"/>
          <w:sz w:val="24"/>
          <w:szCs w:val="24"/>
        </w:rPr>
      </w:pPr>
      <w:r w:rsidRPr="00087620">
        <w:rPr>
          <w:rFonts w:ascii="Arial" w:hAnsi="Arial" w:cs="Arial"/>
          <w:sz w:val="24"/>
          <w:szCs w:val="24"/>
        </w:rPr>
        <w:t xml:space="preserve">Dismantle traditional departmental structures in </w:t>
      </w:r>
      <w:r w:rsidRPr="00087620">
        <w:rPr>
          <w:rFonts w:ascii="Arial" w:hAnsi="Arial" w:cs="Arial"/>
          <w:sz w:val="24"/>
          <w:szCs w:val="24"/>
        </w:rPr>
        <w:t>favour</w:t>
      </w:r>
      <w:r w:rsidRPr="00087620">
        <w:rPr>
          <w:rFonts w:ascii="Arial" w:hAnsi="Arial" w:cs="Arial"/>
          <w:sz w:val="24"/>
          <w:szCs w:val="24"/>
        </w:rPr>
        <w:t xml:space="preserve"> of delivery pods comprising 8–12 professionals representing diverse disciplinary backgrounds, structured around product development rather than functional specialization. Ensure representation from all three geographic regions within each pod.</w:t>
      </w:r>
    </w:p>
    <w:p w14:paraId="5379730B" w14:textId="22F55CAA" w:rsidR="00087620" w:rsidRPr="00087620" w:rsidRDefault="00087620" w:rsidP="00087620">
      <w:pPr>
        <w:rPr>
          <w:rFonts w:ascii="Arial" w:hAnsi="Arial" w:cs="Arial"/>
          <w:sz w:val="24"/>
          <w:szCs w:val="24"/>
        </w:rPr>
      </w:pPr>
      <w:r w:rsidRPr="00087620">
        <w:rPr>
          <w:rFonts w:ascii="Arial" w:hAnsi="Arial" w:cs="Arial"/>
          <w:sz w:val="24"/>
          <w:szCs w:val="24"/>
        </w:rPr>
        <w:t>Establish expertise guilds functioning as organization-wide communities dedicated to establishing consistent standards, facilitating knowledge dissemination, and advancing competency development across all operational pods.</w:t>
      </w:r>
    </w:p>
    <w:p w14:paraId="1A5BF116" w14:textId="5267AE11" w:rsidR="00087620" w:rsidRPr="00087620" w:rsidRDefault="00087620" w:rsidP="00087620">
      <w:pPr>
        <w:rPr>
          <w:rFonts w:ascii="Arial" w:hAnsi="Arial" w:cs="Arial"/>
          <w:b/>
          <w:bCs/>
          <w:sz w:val="24"/>
          <w:szCs w:val="24"/>
        </w:rPr>
      </w:pPr>
      <w:r w:rsidRPr="00087620">
        <w:rPr>
          <w:rFonts w:ascii="Arial" w:hAnsi="Arial" w:cs="Arial"/>
          <w:b/>
          <w:bCs/>
          <w:sz w:val="24"/>
          <w:szCs w:val="24"/>
        </w:rPr>
        <w:t>Justification</w:t>
      </w:r>
    </w:p>
    <w:p w14:paraId="32A92079" w14:textId="6A9602DF" w:rsidR="00087620" w:rsidRPr="00087620" w:rsidRDefault="00087620" w:rsidP="00087620">
      <w:pPr>
        <w:rPr>
          <w:rFonts w:ascii="Arial" w:hAnsi="Arial" w:cs="Arial"/>
          <w:sz w:val="24"/>
          <w:szCs w:val="24"/>
        </w:rPr>
      </w:pPr>
      <w:r w:rsidRPr="00087620">
        <w:rPr>
          <w:rFonts w:ascii="Arial" w:hAnsi="Arial" w:cs="Arial"/>
          <w:sz w:val="24"/>
          <w:szCs w:val="24"/>
        </w:rPr>
        <w:t xml:space="preserve">Integration of heterogeneous perspectives </w:t>
      </w:r>
      <w:r w:rsidRPr="00087620">
        <w:rPr>
          <w:rFonts w:ascii="Arial" w:hAnsi="Arial" w:cs="Arial"/>
          <w:sz w:val="24"/>
          <w:szCs w:val="24"/>
        </w:rPr>
        <w:t>daily</w:t>
      </w:r>
      <w:r w:rsidRPr="00087620">
        <w:rPr>
          <w:rFonts w:ascii="Arial" w:hAnsi="Arial" w:cs="Arial"/>
          <w:sz w:val="24"/>
          <w:szCs w:val="24"/>
        </w:rPr>
        <w:t xml:space="preserve"> facilitates expedited and enhanced decision-making processes (Lee et al., 2024).</w:t>
      </w:r>
    </w:p>
    <w:p w14:paraId="104707BC" w14:textId="17F924D8" w:rsidR="00087620" w:rsidRPr="00087620" w:rsidRDefault="00087620" w:rsidP="00087620">
      <w:pPr>
        <w:rPr>
          <w:rFonts w:ascii="Arial" w:hAnsi="Arial" w:cs="Arial"/>
          <w:sz w:val="24"/>
          <w:szCs w:val="24"/>
        </w:rPr>
      </w:pPr>
      <w:r w:rsidRPr="00087620">
        <w:rPr>
          <w:rFonts w:ascii="Arial" w:hAnsi="Arial" w:cs="Arial"/>
          <w:sz w:val="24"/>
          <w:szCs w:val="24"/>
        </w:rPr>
        <w:t>The dual-axis organizational model demonstrates a 52% enhancement in cross-border knowledge transfer mechanisms when compared to analogous organizations (Jonsen et al., 2023).</w:t>
      </w:r>
    </w:p>
    <w:p w14:paraId="0F6CDDBE" w14:textId="100079C3" w:rsidR="00697013" w:rsidRPr="00087620" w:rsidRDefault="00087620" w:rsidP="00087620">
      <w:pPr>
        <w:rPr>
          <w:rFonts w:ascii="Arial" w:hAnsi="Arial" w:cs="Arial"/>
          <w:sz w:val="24"/>
          <w:szCs w:val="24"/>
        </w:rPr>
      </w:pPr>
      <w:r w:rsidRPr="00087620">
        <w:rPr>
          <w:rFonts w:ascii="Arial" w:hAnsi="Arial" w:cs="Arial"/>
          <w:sz w:val="24"/>
          <w:szCs w:val="24"/>
        </w:rPr>
        <w:t>Specialized international expertise becomes directly embedded within operational workflows, circumventing traditional hierarchical filtration processes.</w:t>
      </w:r>
    </w:p>
    <w:p w14:paraId="48954E9B" w14:textId="77777777" w:rsidR="00087620" w:rsidRPr="00087620" w:rsidRDefault="00087620" w:rsidP="00087620">
      <w:pPr>
        <w:rPr>
          <w:rFonts w:ascii="Arial" w:hAnsi="Arial" w:cs="Arial"/>
          <w:sz w:val="24"/>
          <w:szCs w:val="24"/>
        </w:rPr>
      </w:pPr>
    </w:p>
    <w:p w14:paraId="38FE4CF8" w14:textId="215B7BF6" w:rsidR="00087620" w:rsidRPr="00087620" w:rsidRDefault="00087620" w:rsidP="00087620">
      <w:pPr>
        <w:rPr>
          <w:rFonts w:ascii="Arial" w:hAnsi="Arial" w:cs="Arial"/>
          <w:b/>
          <w:bCs/>
          <w:sz w:val="24"/>
          <w:szCs w:val="24"/>
        </w:rPr>
      </w:pPr>
      <w:r w:rsidRPr="00087620">
        <w:rPr>
          <w:rFonts w:ascii="Arial" w:hAnsi="Arial" w:cs="Arial"/>
          <w:b/>
          <w:bCs/>
          <w:sz w:val="24"/>
          <w:szCs w:val="24"/>
        </w:rPr>
        <w:t>Flexible Working: Location-Neutral Design</w:t>
      </w:r>
    </w:p>
    <w:p w14:paraId="1AB8C3D1" w14:textId="4DAF5605" w:rsidR="00087620" w:rsidRPr="00087620" w:rsidRDefault="00087620" w:rsidP="00087620">
      <w:pPr>
        <w:rPr>
          <w:rFonts w:ascii="Arial" w:hAnsi="Arial" w:cs="Arial"/>
          <w:sz w:val="24"/>
          <w:szCs w:val="24"/>
        </w:rPr>
      </w:pPr>
      <w:r w:rsidRPr="00087620">
        <w:rPr>
          <w:rFonts w:ascii="Arial" w:hAnsi="Arial" w:cs="Arial"/>
          <w:sz w:val="24"/>
          <w:szCs w:val="24"/>
        </w:rPr>
        <w:t>Implement "work from where you work best" as the foundational operational framework.</w:t>
      </w:r>
    </w:p>
    <w:p w14:paraId="664725E7" w14:textId="5A83ECDC" w:rsidR="00087620" w:rsidRPr="00087620" w:rsidRDefault="00087620" w:rsidP="00087620">
      <w:pPr>
        <w:rPr>
          <w:rFonts w:ascii="Arial" w:hAnsi="Arial" w:cs="Arial"/>
          <w:sz w:val="24"/>
          <w:szCs w:val="24"/>
        </w:rPr>
      </w:pPr>
      <w:r w:rsidRPr="00087620">
        <w:rPr>
          <w:rFonts w:ascii="Arial" w:hAnsi="Arial" w:cs="Arial"/>
          <w:b/>
          <w:bCs/>
          <w:sz w:val="24"/>
          <w:szCs w:val="24"/>
        </w:rPr>
        <w:t>Inclusive meeting structures:</w:t>
      </w:r>
      <w:r w:rsidRPr="00087620">
        <w:rPr>
          <w:rFonts w:ascii="Arial" w:hAnsi="Arial" w:cs="Arial"/>
          <w:sz w:val="24"/>
          <w:szCs w:val="24"/>
        </w:rPr>
        <w:t xml:space="preserve"> all sessions architected to facilitate equitable participation. Agendas and supporting materials distributed prior to convening. No participant experiences disadvantage attributable to geographic location.</w:t>
      </w:r>
    </w:p>
    <w:p w14:paraId="78C5EF0C" w14:textId="1222951B" w:rsidR="00087620" w:rsidRPr="00087620" w:rsidRDefault="00087620" w:rsidP="00087620">
      <w:pPr>
        <w:rPr>
          <w:rFonts w:ascii="Arial" w:hAnsi="Arial" w:cs="Arial"/>
          <w:sz w:val="24"/>
          <w:szCs w:val="24"/>
        </w:rPr>
      </w:pPr>
      <w:r w:rsidRPr="00087620">
        <w:rPr>
          <w:rFonts w:ascii="Arial" w:hAnsi="Arial" w:cs="Arial"/>
          <w:b/>
          <w:bCs/>
          <w:sz w:val="24"/>
          <w:szCs w:val="24"/>
        </w:rPr>
        <w:lastRenderedPageBreak/>
        <w:t>Designated collaboration interval:</w:t>
      </w:r>
      <w:r w:rsidRPr="00087620">
        <w:rPr>
          <w:rFonts w:ascii="Arial" w:hAnsi="Arial" w:cs="Arial"/>
          <w:sz w:val="24"/>
          <w:szCs w:val="24"/>
        </w:rPr>
        <w:t xml:space="preserve"> three synchronized hours daily spanning multiple time zones. All remaining hours remain entirely flexible.</w:t>
      </w:r>
    </w:p>
    <w:p w14:paraId="5C709898" w14:textId="60105B43" w:rsidR="00087620" w:rsidRPr="00087620" w:rsidRDefault="00087620" w:rsidP="00087620">
      <w:pPr>
        <w:rPr>
          <w:rFonts w:ascii="Arial" w:hAnsi="Arial" w:cs="Arial"/>
          <w:sz w:val="24"/>
          <w:szCs w:val="24"/>
        </w:rPr>
      </w:pPr>
      <w:r w:rsidRPr="00087620">
        <w:rPr>
          <w:rFonts w:ascii="Arial" w:hAnsi="Arial" w:cs="Arial"/>
          <w:b/>
          <w:bCs/>
          <w:sz w:val="24"/>
          <w:szCs w:val="24"/>
        </w:rPr>
        <w:t>Objective-</w:t>
      </w:r>
      <w:r w:rsidRPr="00087620">
        <w:rPr>
          <w:rFonts w:ascii="Arial" w:hAnsi="Arial" w:cs="Arial"/>
          <w:b/>
          <w:bCs/>
          <w:sz w:val="24"/>
          <w:szCs w:val="24"/>
        </w:rPr>
        <w:t>centred</w:t>
      </w:r>
      <w:r w:rsidRPr="00087620">
        <w:rPr>
          <w:rFonts w:ascii="Arial" w:hAnsi="Arial" w:cs="Arial"/>
          <w:b/>
          <w:bCs/>
          <w:sz w:val="24"/>
          <w:szCs w:val="24"/>
        </w:rPr>
        <w:t xml:space="preserve"> in-person engagement:</w:t>
      </w:r>
      <w:r w:rsidRPr="00087620">
        <w:rPr>
          <w:rFonts w:ascii="Arial" w:hAnsi="Arial" w:cs="Arial"/>
          <w:sz w:val="24"/>
          <w:szCs w:val="24"/>
        </w:rPr>
        <w:t xml:space="preserve"> physical gatherings convened exclusively for activities demonstrating substantive benefit from co-location—innovation sprints, team development initiatives, capability enhancement. Never for mere attendance verification.</w:t>
      </w:r>
    </w:p>
    <w:p w14:paraId="669AD529" w14:textId="77777777" w:rsidR="00087620" w:rsidRPr="00087620" w:rsidRDefault="00087620" w:rsidP="00087620">
      <w:pPr>
        <w:rPr>
          <w:rFonts w:ascii="Arial" w:hAnsi="Arial" w:cs="Arial"/>
          <w:sz w:val="24"/>
          <w:szCs w:val="24"/>
        </w:rPr>
      </w:pPr>
    </w:p>
    <w:p w14:paraId="0E8C8A57" w14:textId="6E8A0C47" w:rsidR="00087620" w:rsidRPr="00087620" w:rsidRDefault="00087620" w:rsidP="00087620">
      <w:pPr>
        <w:rPr>
          <w:rFonts w:ascii="Arial" w:hAnsi="Arial" w:cs="Arial"/>
          <w:sz w:val="24"/>
          <w:szCs w:val="24"/>
        </w:rPr>
      </w:pPr>
      <w:r w:rsidRPr="00087620">
        <w:rPr>
          <w:rFonts w:ascii="Arial" w:hAnsi="Arial" w:cs="Arial"/>
          <w:sz w:val="24"/>
          <w:szCs w:val="24"/>
        </w:rPr>
        <w:t>Performance evaluation grounded in deliverables, not location or temporal presence.</w:t>
      </w:r>
    </w:p>
    <w:p w14:paraId="6AC8CDC1" w14:textId="4105F20F" w:rsidR="00087620" w:rsidRPr="00087620" w:rsidRDefault="00087620" w:rsidP="00087620">
      <w:pPr>
        <w:rPr>
          <w:rFonts w:ascii="Arial" w:hAnsi="Arial" w:cs="Arial"/>
          <w:b/>
          <w:bCs/>
          <w:sz w:val="24"/>
          <w:szCs w:val="24"/>
        </w:rPr>
      </w:pPr>
      <w:r w:rsidRPr="00087620">
        <w:rPr>
          <w:rFonts w:ascii="Arial" w:hAnsi="Arial" w:cs="Arial"/>
          <w:b/>
          <w:bCs/>
          <w:sz w:val="24"/>
          <w:szCs w:val="24"/>
        </w:rPr>
        <w:t>Justification</w:t>
      </w:r>
    </w:p>
    <w:p w14:paraId="39E262D4" w14:textId="1C240371" w:rsidR="00087620" w:rsidRPr="00087620" w:rsidRDefault="00087620" w:rsidP="00087620">
      <w:pPr>
        <w:rPr>
          <w:rFonts w:ascii="Arial" w:hAnsi="Arial" w:cs="Arial"/>
          <w:sz w:val="24"/>
          <w:szCs w:val="24"/>
        </w:rPr>
      </w:pPr>
      <w:r w:rsidRPr="00087620">
        <w:rPr>
          <w:rFonts w:ascii="Arial" w:hAnsi="Arial" w:cs="Arial"/>
          <w:sz w:val="24"/>
          <w:szCs w:val="24"/>
        </w:rPr>
        <w:t>Inconsistently implemented flexible working arrangements have generated team fragmentation (</w:t>
      </w:r>
      <w:proofErr w:type="spellStart"/>
      <w:r w:rsidRPr="00087620">
        <w:rPr>
          <w:rFonts w:ascii="Arial" w:hAnsi="Arial" w:cs="Arial"/>
          <w:sz w:val="24"/>
          <w:szCs w:val="24"/>
        </w:rPr>
        <w:t>Budhwar</w:t>
      </w:r>
      <w:proofErr w:type="spellEnd"/>
      <w:r w:rsidRPr="00087620">
        <w:rPr>
          <w:rFonts w:ascii="Arial" w:hAnsi="Arial" w:cs="Arial"/>
          <w:sz w:val="24"/>
          <w:szCs w:val="24"/>
        </w:rPr>
        <w:t xml:space="preserve"> et al., 2023).</w:t>
      </w:r>
    </w:p>
    <w:p w14:paraId="4D771527" w14:textId="2CA4BF4C" w:rsidR="00087620" w:rsidRPr="00087620" w:rsidRDefault="00087620" w:rsidP="00087620">
      <w:pPr>
        <w:rPr>
          <w:rFonts w:ascii="Arial" w:hAnsi="Arial" w:cs="Arial"/>
          <w:sz w:val="24"/>
          <w:szCs w:val="24"/>
        </w:rPr>
      </w:pPr>
      <w:r w:rsidRPr="00087620">
        <w:rPr>
          <w:rFonts w:ascii="Arial" w:hAnsi="Arial" w:cs="Arial"/>
          <w:sz w:val="24"/>
          <w:szCs w:val="24"/>
        </w:rPr>
        <w:t>Systematic, location-neutral framework design eliminates geographic bias. Qualified professionals across all geographic regions can participate meaningfully and progress professionally without impediment.</w:t>
      </w:r>
    </w:p>
    <w:p w14:paraId="1EEB2969" w14:textId="474B97C2" w:rsidR="00087620" w:rsidRPr="00087620" w:rsidRDefault="00087620" w:rsidP="00087620">
      <w:pPr>
        <w:rPr>
          <w:rFonts w:ascii="Arial" w:hAnsi="Arial" w:cs="Arial"/>
          <w:sz w:val="24"/>
          <w:szCs w:val="24"/>
        </w:rPr>
      </w:pPr>
      <w:r w:rsidRPr="00087620">
        <w:rPr>
          <w:rFonts w:ascii="Arial" w:hAnsi="Arial" w:cs="Arial"/>
          <w:sz w:val="24"/>
          <w:szCs w:val="24"/>
        </w:rPr>
        <w:t>Flexible arrangements enhance employee wellbeing, mitigate occupational burnout, and expand the talent acquisition pool (Sparrow, 2024).</w:t>
      </w:r>
    </w:p>
    <w:p w14:paraId="29B2943A" w14:textId="3A09BC74" w:rsidR="00087620" w:rsidRPr="00087620" w:rsidRDefault="00087620" w:rsidP="00087620">
      <w:pPr>
        <w:rPr>
          <w:rFonts w:ascii="Arial" w:hAnsi="Arial" w:cs="Arial"/>
          <w:sz w:val="24"/>
          <w:szCs w:val="24"/>
        </w:rPr>
      </w:pPr>
      <w:r w:rsidRPr="00087620">
        <w:rPr>
          <w:rFonts w:ascii="Arial" w:hAnsi="Arial" w:cs="Arial"/>
          <w:sz w:val="24"/>
          <w:szCs w:val="24"/>
        </w:rPr>
        <w:t>This approach accommodates temporal zone variations, diverse personal circumstances, and contextual requirements across geographically dispersed regions.</w:t>
      </w:r>
    </w:p>
    <w:p w14:paraId="5EBA7E64" w14:textId="42ED36C8" w:rsidR="00087620" w:rsidRPr="00087620" w:rsidRDefault="00087620" w:rsidP="00087620">
      <w:pPr>
        <w:rPr>
          <w:rFonts w:ascii="Arial" w:hAnsi="Arial" w:cs="Arial"/>
          <w:sz w:val="24"/>
          <w:szCs w:val="24"/>
        </w:rPr>
      </w:pPr>
      <w:r w:rsidRPr="00087620">
        <w:rPr>
          <w:rFonts w:ascii="Arial" w:hAnsi="Arial" w:cs="Arial"/>
          <w:sz w:val="24"/>
          <w:szCs w:val="24"/>
        </w:rPr>
        <w:t>Organizational leaders obtain a transparent evaluative structure: assess personnel performance through outcomes achieved, not physical presence or hours logged.</w:t>
      </w:r>
    </w:p>
    <w:p w14:paraId="7435DE53" w14:textId="77777777" w:rsidR="00087620" w:rsidRPr="00087620" w:rsidRDefault="00087620" w:rsidP="00087620">
      <w:pPr>
        <w:rPr>
          <w:rFonts w:ascii="Arial" w:hAnsi="Arial" w:cs="Arial"/>
          <w:sz w:val="24"/>
          <w:szCs w:val="24"/>
        </w:rPr>
      </w:pPr>
    </w:p>
    <w:p w14:paraId="57AB21FA" w14:textId="77777777" w:rsidR="00087620" w:rsidRPr="00087620" w:rsidRDefault="00087620" w:rsidP="00087620">
      <w:pPr>
        <w:rPr>
          <w:rFonts w:ascii="Arial" w:hAnsi="Arial" w:cs="Arial"/>
          <w:b/>
          <w:bCs/>
          <w:sz w:val="24"/>
          <w:szCs w:val="24"/>
        </w:rPr>
      </w:pPr>
      <w:r w:rsidRPr="00087620">
        <w:rPr>
          <w:rFonts w:ascii="Arial" w:hAnsi="Arial" w:cs="Arial"/>
          <w:b/>
          <w:bCs/>
          <w:sz w:val="24"/>
          <w:szCs w:val="24"/>
        </w:rPr>
        <w:t>Employee Autonomy: Devolved Decisions &amp; Psychological Safety</w:t>
      </w:r>
    </w:p>
    <w:p w14:paraId="43E6D173" w14:textId="77777777" w:rsidR="00087620" w:rsidRPr="00087620" w:rsidRDefault="00087620" w:rsidP="00087620">
      <w:pPr>
        <w:rPr>
          <w:rFonts w:ascii="Arial" w:hAnsi="Arial" w:cs="Arial"/>
          <w:sz w:val="24"/>
          <w:szCs w:val="24"/>
        </w:rPr>
      </w:pPr>
      <w:r w:rsidRPr="00087620">
        <w:rPr>
          <w:rFonts w:ascii="Arial" w:hAnsi="Arial" w:cs="Arial"/>
          <w:sz w:val="24"/>
          <w:szCs w:val="24"/>
        </w:rPr>
        <w:t>Pod-level operational decisions encompassing product priorities, workflows, and modest financial allocations should be entirely delegated to individual teams.</w:t>
      </w:r>
    </w:p>
    <w:p w14:paraId="08FDFFD9" w14:textId="77777777" w:rsidR="00087620" w:rsidRPr="00087620" w:rsidRDefault="00087620" w:rsidP="00087620">
      <w:pPr>
        <w:rPr>
          <w:rFonts w:ascii="Arial" w:hAnsi="Arial" w:cs="Arial"/>
          <w:sz w:val="24"/>
          <w:szCs w:val="24"/>
        </w:rPr>
      </w:pPr>
      <w:r w:rsidRPr="00087620">
        <w:rPr>
          <w:rFonts w:ascii="Arial" w:hAnsi="Arial" w:cs="Arial"/>
          <w:sz w:val="24"/>
          <w:szCs w:val="24"/>
        </w:rPr>
        <w:t>Escalation protocols should restrict Board involvement to matters of substantial capital investment, strategic direction, or regulatory compliance.</w:t>
      </w:r>
    </w:p>
    <w:p w14:paraId="134CDDDC" w14:textId="77777777" w:rsidR="00087620" w:rsidRPr="00087620" w:rsidRDefault="00087620" w:rsidP="00087620">
      <w:pPr>
        <w:rPr>
          <w:rFonts w:ascii="Arial" w:hAnsi="Arial" w:cs="Arial"/>
          <w:sz w:val="24"/>
          <w:szCs w:val="24"/>
        </w:rPr>
      </w:pPr>
      <w:r w:rsidRPr="00087620">
        <w:rPr>
          <w:rFonts w:ascii="Arial" w:hAnsi="Arial" w:cs="Arial"/>
          <w:sz w:val="24"/>
          <w:szCs w:val="24"/>
        </w:rPr>
        <w:t>Psychological Safety Charter: Organizations must establish a culture wherein well-intentioned failures are not subject to punitive measures; instead, learning outcomes should be prioritized and valued.</w:t>
      </w:r>
    </w:p>
    <w:p w14:paraId="06E7F2FA" w14:textId="77777777" w:rsidR="00087620" w:rsidRPr="00087620" w:rsidRDefault="00087620" w:rsidP="00087620">
      <w:pPr>
        <w:rPr>
          <w:rFonts w:ascii="Arial" w:hAnsi="Arial" w:cs="Arial"/>
          <w:b/>
          <w:bCs/>
          <w:sz w:val="24"/>
          <w:szCs w:val="24"/>
        </w:rPr>
      </w:pPr>
      <w:r w:rsidRPr="00087620">
        <w:rPr>
          <w:rFonts w:ascii="Arial" w:hAnsi="Arial" w:cs="Arial"/>
          <w:b/>
          <w:bCs/>
          <w:sz w:val="24"/>
          <w:szCs w:val="24"/>
        </w:rPr>
        <w:t>Justification</w:t>
      </w:r>
    </w:p>
    <w:p w14:paraId="0B612130" w14:textId="77777777" w:rsidR="00087620" w:rsidRPr="00087620" w:rsidRDefault="00087620" w:rsidP="00087620">
      <w:pPr>
        <w:rPr>
          <w:rFonts w:ascii="Arial" w:hAnsi="Arial" w:cs="Arial"/>
          <w:sz w:val="24"/>
          <w:szCs w:val="24"/>
        </w:rPr>
      </w:pPr>
      <w:r w:rsidRPr="00087620">
        <w:rPr>
          <w:rFonts w:ascii="Arial" w:hAnsi="Arial" w:cs="Arial"/>
          <w:sz w:val="24"/>
          <w:szCs w:val="24"/>
        </w:rPr>
        <w:t>Empirical research demonstrates that autonomy substantially enhances employee effort, creative output, and organizational ownership (Wood &amp; Ogbonnaya, 2023).</w:t>
      </w:r>
    </w:p>
    <w:p w14:paraId="2842E30A" w14:textId="77777777" w:rsidR="00087620" w:rsidRPr="00087620" w:rsidRDefault="00087620" w:rsidP="00087620">
      <w:pPr>
        <w:rPr>
          <w:rFonts w:ascii="Arial" w:hAnsi="Arial" w:cs="Arial"/>
          <w:sz w:val="24"/>
          <w:szCs w:val="24"/>
        </w:rPr>
      </w:pPr>
      <w:r w:rsidRPr="00087620">
        <w:rPr>
          <w:rFonts w:ascii="Arial" w:hAnsi="Arial" w:cs="Arial"/>
          <w:sz w:val="24"/>
          <w:szCs w:val="24"/>
        </w:rPr>
        <w:t>Psychological safety has been identified as the most significant predictor of innovation within knowledge-intensive teams (Edmondson, 2023).</w:t>
      </w:r>
    </w:p>
    <w:p w14:paraId="290CBDBE" w14:textId="77777777" w:rsidR="00087620" w:rsidRPr="00087620" w:rsidRDefault="00087620" w:rsidP="00087620">
      <w:pPr>
        <w:rPr>
          <w:rFonts w:ascii="Arial" w:hAnsi="Arial" w:cs="Arial"/>
          <w:sz w:val="24"/>
          <w:szCs w:val="24"/>
        </w:rPr>
      </w:pPr>
      <w:r w:rsidRPr="00087620">
        <w:rPr>
          <w:rFonts w:ascii="Arial" w:hAnsi="Arial" w:cs="Arial"/>
          <w:sz w:val="24"/>
          <w:szCs w:val="24"/>
        </w:rPr>
        <w:t>Specialized professionals can iteratively test and refine conceptual frameworks without navigating protracted multi-tiered approval mechanisms.</w:t>
      </w:r>
    </w:p>
    <w:p w14:paraId="68D7E3F5" w14:textId="09A8DA5F" w:rsidR="00087620" w:rsidRPr="00087620" w:rsidRDefault="00087620" w:rsidP="00087620">
      <w:pPr>
        <w:rPr>
          <w:rFonts w:ascii="Arial" w:hAnsi="Arial" w:cs="Arial"/>
          <w:b/>
          <w:bCs/>
          <w:sz w:val="24"/>
          <w:szCs w:val="24"/>
        </w:rPr>
      </w:pPr>
      <w:r w:rsidRPr="00087620">
        <w:rPr>
          <w:rFonts w:ascii="Arial" w:hAnsi="Arial" w:cs="Arial"/>
          <w:b/>
          <w:bCs/>
          <w:sz w:val="24"/>
          <w:szCs w:val="24"/>
        </w:rPr>
        <w:lastRenderedPageBreak/>
        <w:t>Agile Project Teams: Iterative Delivery &amp; Growth Paths</w:t>
      </w:r>
    </w:p>
    <w:p w14:paraId="6D808345" w14:textId="77777777" w:rsidR="00087620" w:rsidRPr="00087620" w:rsidRDefault="00087620" w:rsidP="00087620">
      <w:pPr>
        <w:rPr>
          <w:rFonts w:ascii="Arial" w:hAnsi="Arial" w:cs="Arial"/>
          <w:sz w:val="24"/>
          <w:szCs w:val="24"/>
        </w:rPr>
      </w:pPr>
      <w:r w:rsidRPr="00087620">
        <w:rPr>
          <w:rFonts w:ascii="Arial" w:hAnsi="Arial" w:cs="Arial"/>
          <w:sz w:val="24"/>
          <w:szCs w:val="24"/>
        </w:rPr>
        <w:t>Implement two-week sprint cycles characterized by well-defined objectives, daily synchronization meetings, and periodic stakeholder engagement sessions.</w:t>
      </w:r>
    </w:p>
    <w:p w14:paraId="7638DE3B" w14:textId="77777777" w:rsidR="00087620" w:rsidRPr="00087620" w:rsidRDefault="00087620" w:rsidP="00087620">
      <w:pPr>
        <w:rPr>
          <w:rFonts w:ascii="Arial" w:hAnsi="Arial" w:cs="Arial"/>
          <w:sz w:val="24"/>
          <w:szCs w:val="24"/>
        </w:rPr>
      </w:pPr>
      <w:r w:rsidRPr="00087620">
        <w:rPr>
          <w:rFonts w:ascii="Arial" w:hAnsi="Arial" w:cs="Arial"/>
          <w:sz w:val="24"/>
          <w:szCs w:val="24"/>
        </w:rPr>
        <w:t>Retroactive analysis sessions should be mandated following each sprint cycle to facilitate systematic reflection and drive continuous organizational improvement.</w:t>
      </w:r>
    </w:p>
    <w:p w14:paraId="58A450F3" w14:textId="77777777" w:rsidR="00087620" w:rsidRPr="00087620" w:rsidRDefault="00087620" w:rsidP="00087620">
      <w:pPr>
        <w:rPr>
          <w:rFonts w:ascii="Arial" w:hAnsi="Arial" w:cs="Arial"/>
          <w:sz w:val="24"/>
          <w:szCs w:val="24"/>
        </w:rPr>
      </w:pPr>
    </w:p>
    <w:p w14:paraId="67DF0981" w14:textId="77777777" w:rsidR="00087620" w:rsidRPr="00087620" w:rsidRDefault="00087620" w:rsidP="00087620">
      <w:pPr>
        <w:rPr>
          <w:rFonts w:ascii="Arial" w:hAnsi="Arial" w:cs="Arial"/>
          <w:sz w:val="24"/>
          <w:szCs w:val="24"/>
        </w:rPr>
      </w:pPr>
    </w:p>
    <w:p w14:paraId="2CAEA3B5" w14:textId="77777777" w:rsidR="00087620" w:rsidRPr="00087620" w:rsidRDefault="00087620" w:rsidP="00087620">
      <w:pPr>
        <w:rPr>
          <w:rFonts w:ascii="Arial" w:hAnsi="Arial" w:cs="Arial"/>
          <w:sz w:val="24"/>
          <w:szCs w:val="24"/>
        </w:rPr>
      </w:pPr>
    </w:p>
    <w:p w14:paraId="0875C47F" w14:textId="77777777" w:rsidR="00087620" w:rsidRPr="00087620" w:rsidRDefault="00087620" w:rsidP="00087620">
      <w:pPr>
        <w:rPr>
          <w:rFonts w:ascii="Arial" w:hAnsi="Arial" w:cs="Arial"/>
          <w:sz w:val="24"/>
          <w:szCs w:val="24"/>
        </w:rPr>
      </w:pPr>
    </w:p>
    <w:p w14:paraId="7EB27A7C" w14:textId="77777777" w:rsidR="00087620" w:rsidRPr="00087620" w:rsidRDefault="00087620" w:rsidP="00087620">
      <w:pPr>
        <w:rPr>
          <w:rFonts w:ascii="Arial" w:hAnsi="Arial" w:cs="Arial"/>
          <w:b/>
          <w:bCs/>
          <w:sz w:val="24"/>
          <w:szCs w:val="24"/>
        </w:rPr>
      </w:pPr>
      <w:r w:rsidRPr="00087620">
        <w:rPr>
          <w:rFonts w:ascii="Arial" w:hAnsi="Arial" w:cs="Arial"/>
          <w:b/>
          <w:bCs/>
          <w:sz w:val="24"/>
          <w:szCs w:val="24"/>
        </w:rPr>
        <w:t>Dual career progression frameworks:</w:t>
      </w:r>
    </w:p>
    <w:p w14:paraId="2011ED65" w14:textId="77777777" w:rsidR="00087620" w:rsidRPr="00087620" w:rsidRDefault="00087620" w:rsidP="00087620">
      <w:pPr>
        <w:rPr>
          <w:rFonts w:ascii="Arial" w:hAnsi="Arial" w:cs="Arial"/>
          <w:sz w:val="24"/>
          <w:szCs w:val="24"/>
        </w:rPr>
      </w:pPr>
      <w:r w:rsidRPr="00087620">
        <w:rPr>
          <w:rFonts w:ascii="Arial" w:hAnsi="Arial" w:cs="Arial"/>
          <w:sz w:val="24"/>
          <w:szCs w:val="24"/>
        </w:rPr>
        <w:t>Expert Track: Professional advancement predicated upon the development of technical or clinical expertise—management responsibilities are not prerequisites.</w:t>
      </w:r>
    </w:p>
    <w:p w14:paraId="6ACD0964" w14:textId="77777777" w:rsidR="00087620" w:rsidRPr="00087620" w:rsidRDefault="00087620" w:rsidP="00087620">
      <w:pPr>
        <w:rPr>
          <w:rFonts w:ascii="Arial" w:hAnsi="Arial" w:cs="Arial"/>
          <w:sz w:val="24"/>
          <w:szCs w:val="24"/>
        </w:rPr>
      </w:pPr>
      <w:r w:rsidRPr="00087620">
        <w:rPr>
          <w:rFonts w:ascii="Arial" w:hAnsi="Arial" w:cs="Arial"/>
          <w:sz w:val="24"/>
          <w:szCs w:val="24"/>
        </w:rPr>
        <w:t>Leadership Track: Career progression contingent upon demonstrated capability in team coordination and organizational development.</w:t>
      </w:r>
    </w:p>
    <w:p w14:paraId="7F869576" w14:textId="0197B187" w:rsidR="00087620" w:rsidRPr="00087620" w:rsidRDefault="00087620" w:rsidP="00087620">
      <w:pPr>
        <w:rPr>
          <w:rFonts w:ascii="Arial" w:hAnsi="Arial" w:cs="Arial"/>
          <w:sz w:val="24"/>
          <w:szCs w:val="24"/>
        </w:rPr>
      </w:pPr>
      <w:r w:rsidRPr="00087620">
        <w:rPr>
          <w:rFonts w:ascii="Arial" w:hAnsi="Arial" w:cs="Arial"/>
          <w:sz w:val="24"/>
          <w:szCs w:val="24"/>
        </w:rPr>
        <w:t>Both pathways should maintain equivalent organizational status and compensation structures.</w:t>
      </w:r>
    </w:p>
    <w:p w14:paraId="27742082" w14:textId="77777777" w:rsidR="00087620" w:rsidRPr="00087620" w:rsidRDefault="00087620" w:rsidP="00087620">
      <w:pPr>
        <w:rPr>
          <w:rFonts w:ascii="Arial" w:hAnsi="Arial" w:cs="Arial"/>
          <w:sz w:val="24"/>
          <w:szCs w:val="24"/>
        </w:rPr>
      </w:pPr>
    </w:p>
    <w:p w14:paraId="7F118616" w14:textId="77777777" w:rsidR="00087620" w:rsidRPr="00087620" w:rsidRDefault="00087620" w:rsidP="00087620">
      <w:pPr>
        <w:rPr>
          <w:rFonts w:ascii="Arial" w:hAnsi="Arial" w:cs="Arial"/>
          <w:b/>
          <w:bCs/>
          <w:sz w:val="24"/>
          <w:szCs w:val="24"/>
        </w:rPr>
      </w:pPr>
      <w:r w:rsidRPr="00087620">
        <w:rPr>
          <w:rFonts w:ascii="Arial" w:hAnsi="Arial" w:cs="Arial"/>
          <w:b/>
          <w:bCs/>
          <w:sz w:val="24"/>
          <w:szCs w:val="24"/>
        </w:rPr>
        <w:t>Justification</w:t>
      </w:r>
    </w:p>
    <w:p w14:paraId="5E51F6BF" w14:textId="77777777" w:rsidR="00087620" w:rsidRPr="00087620" w:rsidRDefault="00087620" w:rsidP="00087620">
      <w:pPr>
        <w:rPr>
          <w:rFonts w:ascii="Arial" w:hAnsi="Arial" w:cs="Arial"/>
          <w:sz w:val="24"/>
          <w:szCs w:val="24"/>
        </w:rPr>
      </w:pPr>
      <w:r w:rsidRPr="00087620">
        <w:rPr>
          <w:rFonts w:ascii="Arial" w:hAnsi="Arial" w:cs="Arial"/>
          <w:sz w:val="24"/>
          <w:szCs w:val="24"/>
        </w:rPr>
        <w:t>Agile methodologies have demonstrated a 30% elevation in the generation of commercially viable innovations annually relative to traditional approaches (Rigby et al., 2023).</w:t>
      </w:r>
    </w:p>
    <w:p w14:paraId="0973E7DD" w14:textId="77777777" w:rsidR="00087620" w:rsidRPr="00087620" w:rsidRDefault="00087620" w:rsidP="00087620">
      <w:pPr>
        <w:rPr>
          <w:rFonts w:ascii="Arial" w:hAnsi="Arial" w:cs="Arial"/>
          <w:sz w:val="24"/>
          <w:szCs w:val="24"/>
        </w:rPr>
      </w:pPr>
      <w:r w:rsidRPr="00087620">
        <w:rPr>
          <w:rFonts w:ascii="Arial" w:hAnsi="Arial" w:cs="Arial"/>
          <w:sz w:val="24"/>
          <w:szCs w:val="24"/>
        </w:rPr>
        <w:t>Dual career pathways address talent retention challenges by establishing advancement mechanisms that extend beyond conventional managerial hierarchies (Ferraro et al., 2024).</w:t>
      </w:r>
    </w:p>
    <w:p w14:paraId="3E92C108" w14:textId="77777777" w:rsidR="00087620" w:rsidRPr="00087620" w:rsidRDefault="00087620" w:rsidP="00087620">
      <w:pPr>
        <w:rPr>
          <w:rFonts w:ascii="Arial" w:hAnsi="Arial" w:cs="Arial"/>
          <w:sz w:val="24"/>
          <w:szCs w:val="24"/>
        </w:rPr>
      </w:pPr>
      <w:r w:rsidRPr="00087620">
        <w:rPr>
          <w:rFonts w:ascii="Arial" w:hAnsi="Arial" w:cs="Arial"/>
          <w:sz w:val="24"/>
          <w:szCs w:val="24"/>
        </w:rPr>
        <w:t>This approach safeguards the domain-specific technical expertise that NHSX necessitates for sustained operational performance.</w:t>
      </w:r>
    </w:p>
    <w:p w14:paraId="445020D3" w14:textId="77777777" w:rsidR="00087620" w:rsidRPr="00087620" w:rsidRDefault="00087620" w:rsidP="00087620">
      <w:pPr>
        <w:rPr>
          <w:rFonts w:ascii="Arial" w:hAnsi="Arial" w:cs="Arial"/>
          <w:sz w:val="24"/>
          <w:szCs w:val="24"/>
        </w:rPr>
      </w:pPr>
    </w:p>
    <w:p w14:paraId="1F042F24" w14:textId="2D0FD88F" w:rsidR="00087620" w:rsidRPr="00087620" w:rsidRDefault="00087620" w:rsidP="00087620">
      <w:pPr>
        <w:rPr>
          <w:rFonts w:ascii="Arial" w:hAnsi="Arial" w:cs="Arial"/>
          <w:b/>
          <w:bCs/>
          <w:sz w:val="24"/>
          <w:szCs w:val="24"/>
        </w:rPr>
      </w:pPr>
      <w:r w:rsidRPr="00087620">
        <w:rPr>
          <w:rFonts w:ascii="Arial" w:hAnsi="Arial" w:cs="Arial"/>
          <w:b/>
          <w:bCs/>
          <w:sz w:val="24"/>
          <w:szCs w:val="24"/>
        </w:rPr>
        <w:t>Digital Collaboration: Unified Knowledge Ecosystem</w:t>
      </w:r>
    </w:p>
    <w:p w14:paraId="273A1EF8" w14:textId="77777777" w:rsidR="00087620" w:rsidRPr="00087620" w:rsidRDefault="00087620" w:rsidP="00087620">
      <w:pPr>
        <w:rPr>
          <w:rFonts w:ascii="Arial" w:hAnsi="Arial" w:cs="Arial"/>
          <w:sz w:val="24"/>
          <w:szCs w:val="24"/>
        </w:rPr>
      </w:pPr>
      <w:r w:rsidRPr="00087620">
        <w:rPr>
          <w:rFonts w:ascii="Arial" w:hAnsi="Arial" w:cs="Arial"/>
          <w:sz w:val="24"/>
          <w:szCs w:val="24"/>
        </w:rPr>
        <w:t>Centralized collaborative platform: an integrated, searchable, and universally accessible repository of documentation encompassing all geographic jurisdictions.</w:t>
      </w:r>
    </w:p>
    <w:p w14:paraId="7BC2D300" w14:textId="77777777" w:rsidR="00087620" w:rsidRPr="00087620" w:rsidRDefault="00087620" w:rsidP="00087620">
      <w:pPr>
        <w:rPr>
          <w:rFonts w:ascii="Arial" w:hAnsi="Arial" w:cs="Arial"/>
          <w:sz w:val="24"/>
          <w:szCs w:val="24"/>
        </w:rPr>
      </w:pPr>
      <w:r w:rsidRPr="00087620">
        <w:rPr>
          <w:rFonts w:ascii="Arial" w:hAnsi="Arial" w:cs="Arial"/>
          <w:sz w:val="24"/>
          <w:szCs w:val="24"/>
        </w:rPr>
        <w:t>Innovation incubation mechanism: a standardized framework for the submission, evaluation, and resource allocation of emerging concepts from any organizational location.</w:t>
      </w:r>
    </w:p>
    <w:p w14:paraId="7C25AF11" w14:textId="77777777" w:rsidR="00087620" w:rsidRPr="00087620" w:rsidRDefault="00087620" w:rsidP="00087620">
      <w:pPr>
        <w:rPr>
          <w:rFonts w:ascii="Arial" w:hAnsi="Arial" w:cs="Arial"/>
          <w:sz w:val="24"/>
          <w:szCs w:val="24"/>
        </w:rPr>
      </w:pPr>
      <w:r w:rsidRPr="00087620">
        <w:rPr>
          <w:rFonts w:ascii="Arial" w:hAnsi="Arial" w:cs="Arial"/>
          <w:sz w:val="24"/>
          <w:szCs w:val="24"/>
        </w:rPr>
        <w:t>Competency-mapping infrastructure: transparent professional profiles that facilitate interdisciplinary and interregional collaboration.</w:t>
      </w:r>
    </w:p>
    <w:p w14:paraId="4CBA19FC" w14:textId="77777777" w:rsidR="00087620" w:rsidRPr="00087620" w:rsidRDefault="00087620" w:rsidP="00087620">
      <w:pPr>
        <w:rPr>
          <w:rFonts w:ascii="Arial" w:hAnsi="Arial" w:cs="Arial"/>
          <w:b/>
          <w:bCs/>
          <w:sz w:val="24"/>
          <w:szCs w:val="24"/>
        </w:rPr>
      </w:pPr>
      <w:r w:rsidRPr="00087620">
        <w:rPr>
          <w:rFonts w:ascii="Arial" w:hAnsi="Arial" w:cs="Arial"/>
          <w:b/>
          <w:bCs/>
          <w:sz w:val="24"/>
          <w:szCs w:val="24"/>
        </w:rPr>
        <w:lastRenderedPageBreak/>
        <w:t>Justification</w:t>
      </w:r>
    </w:p>
    <w:p w14:paraId="1A83A74D" w14:textId="77777777" w:rsidR="00087620" w:rsidRPr="00087620" w:rsidRDefault="00087620" w:rsidP="00087620">
      <w:pPr>
        <w:rPr>
          <w:rFonts w:ascii="Arial" w:hAnsi="Arial" w:cs="Arial"/>
          <w:sz w:val="24"/>
          <w:szCs w:val="24"/>
        </w:rPr>
      </w:pPr>
      <w:r w:rsidRPr="00087620">
        <w:rPr>
          <w:rFonts w:ascii="Arial" w:hAnsi="Arial" w:cs="Arial"/>
          <w:sz w:val="24"/>
          <w:szCs w:val="24"/>
        </w:rPr>
        <w:t>Technological systems alone cannot address organizational fragmentation; infrastructure must be architected with inclusivity embedded as a core design principle (Trist, 2022).</w:t>
      </w:r>
    </w:p>
    <w:p w14:paraId="47B5E4C7" w14:textId="77777777" w:rsidR="00087620" w:rsidRPr="00087620" w:rsidRDefault="00087620" w:rsidP="00087620">
      <w:pPr>
        <w:rPr>
          <w:rFonts w:ascii="Arial" w:hAnsi="Arial" w:cs="Arial"/>
          <w:sz w:val="24"/>
          <w:szCs w:val="24"/>
        </w:rPr>
      </w:pPr>
      <w:r w:rsidRPr="00087620">
        <w:rPr>
          <w:rFonts w:ascii="Arial" w:hAnsi="Arial" w:cs="Arial"/>
          <w:sz w:val="24"/>
          <w:szCs w:val="24"/>
        </w:rPr>
        <w:t>Information transitions from localized or individual stewardship to institutional intellectual capital.</w:t>
      </w:r>
    </w:p>
    <w:p w14:paraId="71E80534" w14:textId="2FFE0C0D" w:rsidR="00087620" w:rsidRPr="00087620" w:rsidRDefault="00087620" w:rsidP="00087620">
      <w:pPr>
        <w:rPr>
          <w:rFonts w:ascii="Arial" w:hAnsi="Arial" w:cs="Arial"/>
          <w:sz w:val="24"/>
          <w:szCs w:val="24"/>
        </w:rPr>
      </w:pPr>
      <w:r w:rsidRPr="00087620">
        <w:rPr>
          <w:rFonts w:ascii="Arial" w:hAnsi="Arial" w:cs="Arial"/>
          <w:sz w:val="24"/>
          <w:szCs w:val="24"/>
        </w:rPr>
        <w:t xml:space="preserve">Initiatives originating from India or the UAE undergo equivalent scrutiny and consideration as those emanating from primary organizational </w:t>
      </w:r>
      <w:r w:rsidRPr="00087620">
        <w:rPr>
          <w:rFonts w:ascii="Arial" w:hAnsi="Arial" w:cs="Arial"/>
          <w:sz w:val="24"/>
          <w:szCs w:val="24"/>
        </w:rPr>
        <w:t>centres</w:t>
      </w:r>
      <w:r w:rsidRPr="00087620">
        <w:rPr>
          <w:rFonts w:ascii="Arial" w:hAnsi="Arial" w:cs="Arial"/>
          <w:sz w:val="24"/>
          <w:szCs w:val="24"/>
        </w:rPr>
        <w:t xml:space="preserve"> (Tarique &amp; Schuler, 2023).</w:t>
      </w:r>
    </w:p>
    <w:p w14:paraId="7D6F1888" w14:textId="77777777" w:rsidR="00087620" w:rsidRPr="00087620" w:rsidRDefault="00087620" w:rsidP="00697013">
      <w:pPr>
        <w:pStyle w:val="Heading1"/>
        <w:rPr>
          <w:rFonts w:ascii="Arial" w:hAnsi="Arial" w:cs="Arial"/>
          <w:sz w:val="24"/>
          <w:szCs w:val="24"/>
        </w:rPr>
      </w:pPr>
    </w:p>
    <w:p w14:paraId="630CC92C" w14:textId="6D1C9AE4" w:rsidR="00697013" w:rsidRPr="00087620" w:rsidRDefault="00697013" w:rsidP="00697013">
      <w:pPr>
        <w:pStyle w:val="Heading1"/>
        <w:rPr>
          <w:rFonts w:ascii="Arial" w:hAnsi="Arial" w:cs="Arial"/>
          <w:sz w:val="24"/>
          <w:szCs w:val="24"/>
        </w:rPr>
      </w:pPr>
      <w:r w:rsidRPr="00087620">
        <w:rPr>
          <w:rFonts w:ascii="Arial" w:hAnsi="Arial" w:cs="Arial"/>
          <w:sz w:val="24"/>
          <w:szCs w:val="24"/>
        </w:rPr>
        <w:t>TASK B: Breeding an Environment Where Talent May GroScholarly Assessment: Establishing Institutional Frameworks for Talent Development</w:t>
      </w:r>
    </w:p>
    <w:p w14:paraId="302A0AF5" w14:textId="77777777" w:rsidR="00697013" w:rsidRPr="00087620" w:rsidRDefault="00697013" w:rsidP="00697013">
      <w:pPr>
        <w:rPr>
          <w:rFonts w:ascii="Arial" w:hAnsi="Arial" w:cs="Arial"/>
          <w:sz w:val="24"/>
          <w:szCs w:val="24"/>
        </w:rPr>
      </w:pPr>
    </w:p>
    <w:p w14:paraId="716E7199" w14:textId="65D182CF" w:rsidR="00087620" w:rsidRPr="00087620" w:rsidRDefault="00087620" w:rsidP="00087620">
      <w:pPr>
        <w:rPr>
          <w:rFonts w:ascii="Arial" w:hAnsi="Arial" w:cs="Arial"/>
          <w:b/>
          <w:bCs/>
          <w:sz w:val="24"/>
          <w:szCs w:val="24"/>
        </w:rPr>
      </w:pPr>
      <w:r w:rsidRPr="00087620">
        <w:rPr>
          <w:rFonts w:ascii="Arial" w:hAnsi="Arial" w:cs="Arial"/>
          <w:b/>
          <w:bCs/>
          <w:sz w:val="24"/>
          <w:szCs w:val="24"/>
        </w:rPr>
        <w:t>Scholarly Analysis: Institutional Contexts Facilitating Talent Development</w:t>
      </w:r>
    </w:p>
    <w:p w14:paraId="3575782A" w14:textId="43DAE2BB" w:rsidR="00087620" w:rsidRPr="00087620" w:rsidRDefault="00087620" w:rsidP="00087620">
      <w:pPr>
        <w:rPr>
          <w:rFonts w:ascii="Arial" w:hAnsi="Arial" w:cs="Arial"/>
          <w:sz w:val="24"/>
          <w:szCs w:val="24"/>
        </w:rPr>
      </w:pPr>
      <w:r w:rsidRPr="00087620">
        <w:rPr>
          <w:rFonts w:ascii="Arial" w:hAnsi="Arial" w:cs="Arial"/>
          <w:sz w:val="24"/>
          <w:szCs w:val="24"/>
        </w:rPr>
        <w:t>Leading enterprises transcend mere recruitment of skilled personnel—they establish comprehensive frameworks designed to cultivate and enhance talent systematically. Theoretical scholarship illuminates the mechanisms underlying this phenomenon.</w:t>
      </w:r>
    </w:p>
    <w:p w14:paraId="7FAA440A" w14:textId="3F38EF35" w:rsidR="00087620" w:rsidRPr="00087620" w:rsidRDefault="00087620" w:rsidP="00087620">
      <w:pPr>
        <w:rPr>
          <w:rFonts w:ascii="Arial" w:hAnsi="Arial" w:cs="Arial"/>
          <w:sz w:val="24"/>
          <w:szCs w:val="24"/>
        </w:rPr>
      </w:pPr>
      <w:r w:rsidRPr="00087620">
        <w:rPr>
          <w:rFonts w:ascii="Arial" w:hAnsi="Arial" w:cs="Arial"/>
          <w:sz w:val="24"/>
          <w:szCs w:val="24"/>
        </w:rPr>
        <w:t>Senge's conceptualization of the Learning Organisation posits that sustainable competitive advantage derives not from extant competencies, but from organizational capacity to acquire knowledge at a rate exceeding that of rival entities. Given that technical proficiency demonstrates a temporal degradation cycle of approximately five years, organizations lacking mechanisms for systematic capability renewal experience progressive competency erosion (Senge, 2023). This framework encompasses five constitutive dimensions: individual mastery, collective vision articulation, cognitive frameworks, collaborative learning processes, and holistic systems comprehension.</w:t>
      </w:r>
    </w:p>
    <w:p w14:paraId="24FB934A" w14:textId="42013855" w:rsidR="00697013" w:rsidRPr="00087620" w:rsidRDefault="00087620" w:rsidP="00087620">
      <w:pPr>
        <w:rPr>
          <w:rFonts w:ascii="Arial" w:hAnsi="Arial" w:cs="Arial"/>
          <w:sz w:val="24"/>
          <w:szCs w:val="24"/>
        </w:rPr>
      </w:pPr>
      <w:r w:rsidRPr="00087620">
        <w:rPr>
          <w:rFonts w:ascii="Arial" w:hAnsi="Arial" w:cs="Arial"/>
          <w:sz w:val="24"/>
          <w:szCs w:val="24"/>
        </w:rPr>
        <w:t>Dweck's Growth Mindset framework delineates two contrasting epistemological orientations: conceptualizing ability as an immutable attribute, or alternatively, as a malleable capacity subject to development through deliberate effort. Organizational cultures embracing growth-oriented perspectives demonstrate elevated performance metrics, enhanced organizational flexibility, and improved workforce retention. Significantly, this philosophical orientation cannot be mandated through directive means—rather, it necessitates authentic embodiment and exemplification by organizational leadership (Dweck, 2023).</w:t>
      </w:r>
    </w:p>
    <w:p w14:paraId="3884C7E7" w14:textId="77777777" w:rsidR="00087620" w:rsidRPr="00087620" w:rsidRDefault="00087620" w:rsidP="00087620">
      <w:pPr>
        <w:rPr>
          <w:rFonts w:ascii="Arial" w:hAnsi="Arial" w:cs="Arial"/>
          <w:sz w:val="24"/>
          <w:szCs w:val="24"/>
        </w:rPr>
      </w:pPr>
    </w:p>
    <w:p w14:paraId="026FCE9A" w14:textId="4021299C" w:rsidR="00087620" w:rsidRPr="00087620" w:rsidRDefault="00087620" w:rsidP="00087620">
      <w:pPr>
        <w:rPr>
          <w:rFonts w:ascii="Arial" w:hAnsi="Arial" w:cs="Arial"/>
          <w:sz w:val="24"/>
          <w:szCs w:val="24"/>
        </w:rPr>
      </w:pPr>
      <w:r w:rsidRPr="00087620">
        <w:rPr>
          <w:rFonts w:ascii="Arial" w:hAnsi="Arial" w:cs="Arial"/>
          <w:sz w:val="24"/>
          <w:szCs w:val="24"/>
        </w:rPr>
        <w:t xml:space="preserve">Edmondson's framework of psychological safety constitutes the foundational prerequisite for organizational effectiveness. Employees will not engage in experimentation, pose inquiries, or acknowledge competency deficits unless they possess confidence that such actions will not result in punitive consequences. The </w:t>
      </w:r>
      <w:r w:rsidRPr="00087620">
        <w:rPr>
          <w:rFonts w:ascii="Arial" w:hAnsi="Arial" w:cs="Arial"/>
          <w:sz w:val="24"/>
          <w:szCs w:val="24"/>
        </w:rPr>
        <w:lastRenderedPageBreak/>
        <w:t>absence of psychological safety precipitates a pattern wherein employees conceal limitations, suppress innovative contributions, and progressively withdraw from organizational engagement—a phenomenon empirically documented in the NHSX case study (Edmondson, 2023).</w:t>
      </w:r>
    </w:p>
    <w:p w14:paraId="6F7093CB" w14:textId="77777777" w:rsidR="00087620" w:rsidRPr="00087620" w:rsidRDefault="00087620" w:rsidP="00087620">
      <w:pPr>
        <w:rPr>
          <w:rFonts w:ascii="Arial" w:hAnsi="Arial" w:cs="Arial"/>
          <w:sz w:val="24"/>
          <w:szCs w:val="24"/>
        </w:rPr>
      </w:pPr>
    </w:p>
    <w:p w14:paraId="1E826CD9" w14:textId="47454DB5" w:rsidR="00087620" w:rsidRPr="00087620" w:rsidRDefault="00087620" w:rsidP="00087620">
      <w:pPr>
        <w:rPr>
          <w:rFonts w:ascii="Arial" w:hAnsi="Arial" w:cs="Arial"/>
          <w:sz w:val="24"/>
          <w:szCs w:val="24"/>
        </w:rPr>
      </w:pPr>
      <w:r w:rsidRPr="00087620">
        <w:rPr>
          <w:rFonts w:ascii="Arial" w:hAnsi="Arial" w:cs="Arial"/>
          <w:sz w:val="24"/>
          <w:szCs w:val="24"/>
        </w:rPr>
        <w:t>Self-Determination Theory (SDT) delineates three fundamental psychological needs: autonomy, encompassing volitional control over work activities; competence, characterized by perceived capability and developmental progression; and relatedness, denoting interpersonal connection and organizational belonging. Conventional hierarchical structures systematically undermine each of these dimensions: decision-making authority remains centralized, communicative feedback operates unidirectionally, and geographically dispersed workforces experience diminished social cohesion. When these psychological needs remain unfulfilled, motivational levels decline substantially—a phenomenon observable even among high-performing personnel (Ryan &amp; Deci, 2022).</w:t>
      </w:r>
    </w:p>
    <w:p w14:paraId="1BC2E545" w14:textId="67265F2E" w:rsidR="00697013" w:rsidRPr="00087620" w:rsidRDefault="00087620" w:rsidP="00087620">
      <w:pPr>
        <w:rPr>
          <w:rFonts w:ascii="Arial" w:hAnsi="Arial" w:cs="Arial"/>
          <w:sz w:val="24"/>
          <w:szCs w:val="24"/>
        </w:rPr>
      </w:pPr>
      <w:r w:rsidRPr="00087620">
        <w:rPr>
          <w:rFonts w:ascii="Arial" w:hAnsi="Arial" w:cs="Arial"/>
          <w:sz w:val="24"/>
          <w:szCs w:val="24"/>
        </w:rPr>
        <w:t xml:space="preserve">Job Crafting Theory demonstrates that when organizational members possess agency in reconfiguring their professional roles—modifying task composition, interpersonal dynamics, and work priorities—both engagement and organizational commitment increase substantially. Employee ownership of developmental trajectories demonstrates greater efficacy than </w:t>
      </w:r>
      <w:r w:rsidRPr="00087620">
        <w:rPr>
          <w:rFonts w:ascii="Arial" w:hAnsi="Arial" w:cs="Arial"/>
          <w:sz w:val="24"/>
          <w:szCs w:val="24"/>
        </w:rPr>
        <w:t>hierarchically imposed</w:t>
      </w:r>
      <w:r w:rsidRPr="00087620">
        <w:rPr>
          <w:rFonts w:ascii="Arial" w:hAnsi="Arial" w:cs="Arial"/>
          <w:sz w:val="24"/>
          <w:szCs w:val="24"/>
        </w:rPr>
        <w:t xml:space="preserve"> training interventions (Tims &amp; Bakker, 2023).</w:t>
      </w:r>
    </w:p>
    <w:p w14:paraId="16A517C5" w14:textId="52C76A49" w:rsidR="00087620" w:rsidRPr="00087620" w:rsidRDefault="00087620" w:rsidP="00087620">
      <w:pPr>
        <w:rPr>
          <w:rFonts w:ascii="Arial" w:hAnsi="Arial" w:cs="Arial"/>
          <w:sz w:val="24"/>
          <w:szCs w:val="24"/>
        </w:rPr>
      </w:pPr>
      <w:r w:rsidRPr="00087620">
        <w:rPr>
          <w:rFonts w:ascii="Arial" w:hAnsi="Arial" w:cs="Arial"/>
          <w:sz w:val="24"/>
          <w:szCs w:val="24"/>
        </w:rPr>
        <w:t>Contemporary Talent Management practice has undergone paradigmatic transformation, transitioning from the identification of "high-potential" individuals toward inclusive, transparent developmental pathways accessible to the entire workforce. The concentration of developmental opportunities among a restricted cohort engenders organizational resentment and perpetuates stagnation among the broader employee population (Tarique &amp; Schuler, 2023). Employee Experience (EX) frameworks extend this conceptualization: developmental advancement occurs not exclusively through formal educational programming, but through quotidian interpersonal interactions, managerial conduct, and institutionalized cultural norms (Sparrow, 2024).</w:t>
      </w:r>
    </w:p>
    <w:p w14:paraId="3FD0D62D" w14:textId="77777777" w:rsidR="00087620" w:rsidRPr="00087620" w:rsidRDefault="00087620" w:rsidP="00087620">
      <w:pPr>
        <w:rPr>
          <w:rFonts w:ascii="Arial" w:hAnsi="Arial" w:cs="Arial"/>
          <w:sz w:val="24"/>
          <w:szCs w:val="24"/>
        </w:rPr>
      </w:pPr>
    </w:p>
    <w:p w14:paraId="690C2CA2" w14:textId="49B5415B" w:rsidR="00087620" w:rsidRPr="00087620" w:rsidRDefault="00087620" w:rsidP="00087620">
      <w:pPr>
        <w:rPr>
          <w:rFonts w:ascii="Arial" w:hAnsi="Arial" w:cs="Arial"/>
          <w:b/>
          <w:bCs/>
          <w:sz w:val="24"/>
          <w:szCs w:val="24"/>
        </w:rPr>
      </w:pPr>
      <w:r w:rsidRPr="00087620">
        <w:rPr>
          <w:rFonts w:ascii="Arial" w:hAnsi="Arial" w:cs="Arial"/>
          <w:b/>
          <w:bCs/>
          <w:sz w:val="24"/>
          <w:szCs w:val="24"/>
        </w:rPr>
        <w:t>Comprehensive Talent Development Framework for NHSX</w:t>
      </w:r>
    </w:p>
    <w:p w14:paraId="13192F47" w14:textId="77777777" w:rsidR="00087620" w:rsidRPr="00087620" w:rsidRDefault="00087620" w:rsidP="00087620">
      <w:pPr>
        <w:rPr>
          <w:rFonts w:ascii="Arial" w:hAnsi="Arial" w:cs="Arial"/>
          <w:sz w:val="24"/>
          <w:szCs w:val="24"/>
        </w:rPr>
      </w:pPr>
      <w:r w:rsidRPr="00087620">
        <w:rPr>
          <w:rFonts w:ascii="Arial" w:hAnsi="Arial" w:cs="Arial"/>
          <w:sz w:val="24"/>
          <w:szCs w:val="24"/>
        </w:rPr>
        <w:t>This framework systematically addresses the tension between constrained career advancement opportunities and employee wellbeing relative to performance expectations. It integrates learning initiatives, career progression pathways, leadership development, and organizational culture across operations spanning the United Kingdom, India, and the United Arab Emirates.</w:t>
      </w:r>
    </w:p>
    <w:p w14:paraId="26BE522C" w14:textId="77777777" w:rsidR="00087620" w:rsidRPr="00087620" w:rsidRDefault="00087620" w:rsidP="00087620">
      <w:pPr>
        <w:rPr>
          <w:rFonts w:ascii="Arial" w:hAnsi="Arial" w:cs="Arial"/>
          <w:sz w:val="24"/>
          <w:szCs w:val="24"/>
        </w:rPr>
      </w:pPr>
    </w:p>
    <w:p w14:paraId="110C51BE" w14:textId="6E631B4D" w:rsidR="00087620" w:rsidRPr="00087620" w:rsidRDefault="00087620" w:rsidP="00087620">
      <w:pPr>
        <w:rPr>
          <w:rFonts w:ascii="Arial" w:hAnsi="Arial" w:cs="Arial"/>
          <w:sz w:val="24"/>
          <w:szCs w:val="24"/>
        </w:rPr>
      </w:pPr>
      <w:r w:rsidRPr="00087620">
        <w:rPr>
          <w:rFonts w:ascii="Arial" w:hAnsi="Arial" w:cs="Arial"/>
          <w:sz w:val="24"/>
          <w:szCs w:val="24"/>
        </w:rPr>
        <w:t>Foundational Culture: Psychological Safety and Growth-Oriented Mindset</w:t>
      </w:r>
    </w:p>
    <w:p w14:paraId="01D015C0" w14:textId="6B1B5773" w:rsidR="00087620" w:rsidRPr="00087620" w:rsidRDefault="00087620" w:rsidP="00087620">
      <w:pPr>
        <w:rPr>
          <w:rFonts w:ascii="Arial" w:hAnsi="Arial" w:cs="Arial"/>
          <w:sz w:val="24"/>
          <w:szCs w:val="24"/>
        </w:rPr>
      </w:pPr>
      <w:r w:rsidRPr="00087620">
        <w:rPr>
          <w:rFonts w:ascii="Arial" w:hAnsi="Arial" w:cs="Arial"/>
          <w:sz w:val="24"/>
          <w:szCs w:val="24"/>
        </w:rPr>
        <w:lastRenderedPageBreak/>
        <w:t>Implement a Growth Charter that is formally endorsed and consistently demonstrated by senior leadership.</w:t>
      </w:r>
    </w:p>
    <w:p w14:paraId="26DF15CF" w14:textId="77777777" w:rsidR="00087620" w:rsidRPr="00087620" w:rsidRDefault="00087620" w:rsidP="00087620">
      <w:pPr>
        <w:rPr>
          <w:rFonts w:ascii="Arial" w:hAnsi="Arial" w:cs="Arial"/>
          <w:sz w:val="24"/>
          <w:szCs w:val="24"/>
        </w:rPr>
      </w:pPr>
      <w:r w:rsidRPr="00087620">
        <w:rPr>
          <w:rFonts w:ascii="Arial" w:hAnsi="Arial" w:cs="Arial"/>
          <w:sz w:val="24"/>
          <w:szCs w:val="24"/>
        </w:rPr>
        <w:t>Executive leaders transparently articulate their developmental objectives and areas requiring improvement—establishing vulnerability as an organizational norm.</w:t>
      </w:r>
    </w:p>
    <w:p w14:paraId="57545C60" w14:textId="77777777" w:rsidR="00087620" w:rsidRPr="00087620" w:rsidRDefault="00087620" w:rsidP="00087620">
      <w:pPr>
        <w:rPr>
          <w:rFonts w:ascii="Arial" w:hAnsi="Arial" w:cs="Arial"/>
          <w:sz w:val="24"/>
          <w:szCs w:val="24"/>
        </w:rPr>
      </w:pPr>
    </w:p>
    <w:p w14:paraId="7BB00B10" w14:textId="12F6C7FF" w:rsidR="00087620" w:rsidRPr="00087620" w:rsidRDefault="00087620" w:rsidP="00087620">
      <w:pPr>
        <w:rPr>
          <w:rFonts w:ascii="Arial" w:hAnsi="Arial" w:cs="Arial"/>
          <w:sz w:val="24"/>
          <w:szCs w:val="24"/>
        </w:rPr>
      </w:pPr>
      <w:r w:rsidRPr="00087620">
        <w:rPr>
          <w:rFonts w:ascii="Arial" w:hAnsi="Arial" w:cs="Arial"/>
          <w:sz w:val="24"/>
          <w:szCs w:val="24"/>
        </w:rPr>
        <w:t>Conduct retrospective project evaluations without attribution of blame: emphasize procedural and systemic considerations rather than individual accountability.</w:t>
      </w:r>
    </w:p>
    <w:p w14:paraId="0388978C" w14:textId="206346CC" w:rsidR="00087620" w:rsidRPr="00087620" w:rsidRDefault="00087620" w:rsidP="00087620">
      <w:pPr>
        <w:rPr>
          <w:rFonts w:ascii="Arial" w:hAnsi="Arial" w:cs="Arial"/>
          <w:sz w:val="24"/>
          <w:szCs w:val="24"/>
        </w:rPr>
      </w:pPr>
      <w:r w:rsidRPr="00087620">
        <w:rPr>
          <w:rFonts w:ascii="Arial" w:hAnsi="Arial" w:cs="Arial"/>
          <w:sz w:val="24"/>
          <w:szCs w:val="24"/>
        </w:rPr>
        <w:t>Weigh learning outcomes and knowledge dissemination equally with delivery metrics in performance evaluation frameworks.</w:t>
      </w:r>
    </w:p>
    <w:p w14:paraId="5C7C47D7" w14:textId="77777777" w:rsidR="00087620" w:rsidRPr="00087620" w:rsidRDefault="00087620" w:rsidP="00087620">
      <w:pPr>
        <w:rPr>
          <w:rFonts w:ascii="Arial" w:hAnsi="Arial" w:cs="Arial"/>
          <w:b/>
          <w:bCs/>
          <w:sz w:val="24"/>
          <w:szCs w:val="24"/>
        </w:rPr>
      </w:pPr>
    </w:p>
    <w:p w14:paraId="3EA105DE" w14:textId="26DCDD05" w:rsidR="00087620" w:rsidRPr="00087620" w:rsidRDefault="00087620" w:rsidP="00087620">
      <w:pPr>
        <w:rPr>
          <w:rFonts w:ascii="Arial" w:hAnsi="Arial" w:cs="Arial"/>
          <w:b/>
          <w:bCs/>
          <w:sz w:val="24"/>
          <w:szCs w:val="24"/>
        </w:rPr>
      </w:pPr>
      <w:r w:rsidRPr="00087620">
        <w:rPr>
          <w:rFonts w:ascii="Arial" w:hAnsi="Arial" w:cs="Arial"/>
          <w:b/>
          <w:bCs/>
          <w:sz w:val="24"/>
          <w:szCs w:val="24"/>
        </w:rPr>
        <w:t>Theoretical Foundation</w:t>
      </w:r>
    </w:p>
    <w:p w14:paraId="1D63A9B6" w14:textId="0217E176" w:rsidR="00087620" w:rsidRPr="00087620" w:rsidRDefault="00087620" w:rsidP="00087620">
      <w:pPr>
        <w:rPr>
          <w:rFonts w:ascii="Arial" w:hAnsi="Arial" w:cs="Arial"/>
          <w:sz w:val="24"/>
          <w:szCs w:val="24"/>
        </w:rPr>
      </w:pPr>
      <w:r w:rsidRPr="00087620">
        <w:rPr>
          <w:rFonts w:ascii="Arial" w:hAnsi="Arial" w:cs="Arial"/>
          <w:sz w:val="24"/>
          <w:szCs w:val="24"/>
        </w:rPr>
        <w:t>Psychological safety represents the most robust predictor of organizational innovation and employee engagement (Edmondson, 2023).</w:t>
      </w:r>
    </w:p>
    <w:p w14:paraId="27F6C41F" w14:textId="69311AC5" w:rsidR="00087620" w:rsidRPr="00087620" w:rsidRDefault="00087620" w:rsidP="00087620">
      <w:pPr>
        <w:rPr>
          <w:rFonts w:ascii="Arial" w:hAnsi="Arial" w:cs="Arial"/>
          <w:sz w:val="24"/>
          <w:szCs w:val="24"/>
        </w:rPr>
      </w:pPr>
      <w:r w:rsidRPr="00087620">
        <w:rPr>
          <w:rFonts w:ascii="Arial" w:hAnsi="Arial" w:cs="Arial"/>
          <w:sz w:val="24"/>
          <w:szCs w:val="24"/>
        </w:rPr>
        <w:t>When institutional culture prioritizes growth and development, employees transition from concealing competency gaps to actively addressing them.</w:t>
      </w:r>
    </w:p>
    <w:p w14:paraId="3045B9C1" w14:textId="40CEA996" w:rsidR="00087620" w:rsidRPr="00087620" w:rsidRDefault="00087620" w:rsidP="00087620">
      <w:pPr>
        <w:rPr>
          <w:rFonts w:ascii="Arial" w:hAnsi="Arial" w:cs="Arial"/>
          <w:sz w:val="24"/>
          <w:szCs w:val="24"/>
        </w:rPr>
      </w:pPr>
      <w:r w:rsidRPr="00087620">
        <w:rPr>
          <w:rFonts w:ascii="Arial" w:hAnsi="Arial" w:cs="Arial"/>
          <w:sz w:val="24"/>
          <w:szCs w:val="24"/>
        </w:rPr>
        <w:t>This approach directly counteracts the perception of stagnation that precipitates organizational attrition.</w:t>
      </w:r>
    </w:p>
    <w:p w14:paraId="056AFCA5" w14:textId="77777777" w:rsidR="00087620" w:rsidRPr="00087620" w:rsidRDefault="00087620" w:rsidP="00087620">
      <w:pPr>
        <w:rPr>
          <w:rFonts w:ascii="Arial" w:hAnsi="Arial" w:cs="Arial"/>
          <w:b/>
          <w:bCs/>
          <w:sz w:val="24"/>
          <w:szCs w:val="24"/>
        </w:rPr>
      </w:pPr>
    </w:p>
    <w:p w14:paraId="676D5F09" w14:textId="66C88B62" w:rsidR="00087620" w:rsidRPr="00087620" w:rsidRDefault="00087620" w:rsidP="00087620">
      <w:pPr>
        <w:rPr>
          <w:rFonts w:ascii="Arial" w:hAnsi="Arial" w:cs="Arial"/>
          <w:b/>
          <w:bCs/>
          <w:sz w:val="24"/>
          <w:szCs w:val="24"/>
        </w:rPr>
      </w:pPr>
      <w:r w:rsidRPr="00087620">
        <w:rPr>
          <w:rFonts w:ascii="Arial" w:hAnsi="Arial" w:cs="Arial"/>
          <w:b/>
          <w:bCs/>
          <w:sz w:val="24"/>
          <w:szCs w:val="24"/>
        </w:rPr>
        <w:t>Transparent Dual Career Progression: Lattice-Based Framework</w:t>
      </w:r>
    </w:p>
    <w:p w14:paraId="637A178D" w14:textId="36981DB9" w:rsidR="00087620" w:rsidRPr="00087620" w:rsidRDefault="00087620" w:rsidP="00087620">
      <w:pPr>
        <w:rPr>
          <w:rFonts w:ascii="Arial" w:hAnsi="Arial" w:cs="Arial"/>
          <w:sz w:val="24"/>
          <w:szCs w:val="24"/>
        </w:rPr>
      </w:pPr>
      <w:r w:rsidRPr="00087620">
        <w:rPr>
          <w:rFonts w:ascii="Arial" w:hAnsi="Arial" w:cs="Arial"/>
          <w:sz w:val="24"/>
          <w:szCs w:val="24"/>
        </w:rPr>
        <w:t>Displace conventional linear advancement mechanisms with two equivalent, well-defined professional trajectories:</w:t>
      </w:r>
    </w:p>
    <w:p w14:paraId="6D741C73" w14:textId="04B903FF" w:rsidR="00087620" w:rsidRPr="00087620" w:rsidRDefault="00087620" w:rsidP="00087620">
      <w:pPr>
        <w:rPr>
          <w:rFonts w:ascii="Arial" w:hAnsi="Arial" w:cs="Arial"/>
          <w:sz w:val="24"/>
          <w:szCs w:val="24"/>
        </w:rPr>
      </w:pPr>
      <w:r w:rsidRPr="00087620">
        <w:rPr>
          <w:rFonts w:ascii="Arial" w:hAnsi="Arial" w:cs="Arial"/>
          <w:sz w:val="24"/>
          <w:szCs w:val="24"/>
        </w:rPr>
        <w:t>Expertise Track: Senior → Principal → Lead — acknowledged and compensated for advanced technical and clinical proficiency. Management responsibilities are not prerequisites.</w:t>
      </w:r>
    </w:p>
    <w:p w14:paraId="7C8F937B" w14:textId="48DB138B" w:rsidR="00087620" w:rsidRPr="00087620" w:rsidRDefault="00087620" w:rsidP="00087620">
      <w:pPr>
        <w:rPr>
          <w:rFonts w:ascii="Arial" w:hAnsi="Arial" w:cs="Arial"/>
          <w:sz w:val="24"/>
          <w:szCs w:val="24"/>
        </w:rPr>
      </w:pPr>
      <w:r w:rsidRPr="00087620">
        <w:rPr>
          <w:rFonts w:ascii="Arial" w:hAnsi="Arial" w:cs="Arial"/>
          <w:sz w:val="24"/>
          <w:szCs w:val="24"/>
        </w:rPr>
        <w:t>Management Track: Team → Department → Executive — emphasizing personnel development and strategic implementation.</w:t>
      </w:r>
    </w:p>
    <w:p w14:paraId="1663777E" w14:textId="1789A765" w:rsidR="00087620" w:rsidRPr="00087620" w:rsidRDefault="00087620" w:rsidP="00087620">
      <w:pPr>
        <w:rPr>
          <w:rFonts w:ascii="Arial" w:hAnsi="Arial" w:cs="Arial"/>
          <w:sz w:val="24"/>
          <w:szCs w:val="24"/>
        </w:rPr>
      </w:pPr>
      <w:r w:rsidRPr="00087620">
        <w:rPr>
          <w:rFonts w:ascii="Arial" w:hAnsi="Arial" w:cs="Arial"/>
          <w:sz w:val="24"/>
          <w:szCs w:val="24"/>
        </w:rPr>
        <w:t>All organizational levels shall establish explicit competency frameworks, promotion benchmarks, and remuneration structures — uniformly disseminated across all operational regions.</w:t>
      </w:r>
    </w:p>
    <w:p w14:paraId="00EBD413" w14:textId="4D8EFB0C" w:rsidR="00087620" w:rsidRPr="00087620" w:rsidRDefault="00087620" w:rsidP="00087620">
      <w:pPr>
        <w:rPr>
          <w:rFonts w:ascii="Arial" w:hAnsi="Arial" w:cs="Arial"/>
          <w:sz w:val="24"/>
          <w:szCs w:val="24"/>
        </w:rPr>
      </w:pPr>
      <w:r w:rsidRPr="00087620">
        <w:rPr>
          <w:rFonts w:ascii="Arial" w:hAnsi="Arial" w:cs="Arial"/>
          <w:sz w:val="24"/>
          <w:szCs w:val="24"/>
        </w:rPr>
        <w:t>Implement inter-regional mobility initiatives: 3–</w:t>
      </w:r>
      <w:r w:rsidRPr="00087620">
        <w:rPr>
          <w:rFonts w:ascii="Arial" w:hAnsi="Arial" w:cs="Arial"/>
          <w:sz w:val="24"/>
          <w:szCs w:val="24"/>
        </w:rPr>
        <w:t>6-month</w:t>
      </w:r>
      <w:r w:rsidRPr="00087620">
        <w:rPr>
          <w:rFonts w:ascii="Arial" w:hAnsi="Arial" w:cs="Arial"/>
          <w:sz w:val="24"/>
          <w:szCs w:val="24"/>
        </w:rPr>
        <w:t xml:space="preserve"> secondments across UK, India, and UAE locations to cultivate international competencies and strengthen organizational cohesion.</w:t>
      </w:r>
    </w:p>
    <w:p w14:paraId="72339253" w14:textId="77777777" w:rsidR="00087620" w:rsidRPr="00087620" w:rsidRDefault="00087620" w:rsidP="00087620">
      <w:pPr>
        <w:rPr>
          <w:rFonts w:ascii="Arial" w:hAnsi="Arial" w:cs="Arial"/>
          <w:sz w:val="24"/>
          <w:szCs w:val="24"/>
        </w:rPr>
      </w:pPr>
    </w:p>
    <w:p w14:paraId="626E52BA" w14:textId="0141D727" w:rsidR="00087620" w:rsidRPr="00087620" w:rsidRDefault="00087620" w:rsidP="00087620">
      <w:pPr>
        <w:rPr>
          <w:rFonts w:ascii="Arial" w:hAnsi="Arial" w:cs="Arial"/>
          <w:b/>
          <w:bCs/>
          <w:sz w:val="24"/>
          <w:szCs w:val="24"/>
        </w:rPr>
      </w:pPr>
      <w:r w:rsidRPr="00087620">
        <w:rPr>
          <w:rFonts w:ascii="Arial" w:hAnsi="Arial" w:cs="Arial"/>
          <w:b/>
          <w:bCs/>
          <w:sz w:val="24"/>
          <w:szCs w:val="24"/>
        </w:rPr>
        <w:t>Why it works</w:t>
      </w:r>
    </w:p>
    <w:p w14:paraId="72D5C7A4" w14:textId="55E793D6" w:rsidR="00087620" w:rsidRPr="00087620" w:rsidRDefault="00087620" w:rsidP="00087620">
      <w:pPr>
        <w:rPr>
          <w:rFonts w:ascii="Arial" w:hAnsi="Arial" w:cs="Arial"/>
          <w:sz w:val="24"/>
          <w:szCs w:val="24"/>
        </w:rPr>
      </w:pPr>
      <w:r w:rsidRPr="00087620">
        <w:rPr>
          <w:rFonts w:ascii="Arial" w:hAnsi="Arial" w:cs="Arial"/>
          <w:sz w:val="24"/>
          <w:szCs w:val="24"/>
        </w:rPr>
        <w:t>Talented professionals depart organizations when advancement exclusively requires managerial roles (Ferraro et al., 2024).</w:t>
      </w:r>
    </w:p>
    <w:p w14:paraId="036D04B7" w14:textId="301F5A14" w:rsidR="00087620" w:rsidRPr="00087620" w:rsidRDefault="00087620" w:rsidP="00087620">
      <w:pPr>
        <w:rPr>
          <w:rFonts w:ascii="Arial" w:hAnsi="Arial" w:cs="Arial"/>
          <w:sz w:val="24"/>
          <w:szCs w:val="24"/>
        </w:rPr>
      </w:pPr>
      <w:r w:rsidRPr="00087620">
        <w:rPr>
          <w:rFonts w:ascii="Arial" w:hAnsi="Arial" w:cs="Arial"/>
          <w:sz w:val="24"/>
          <w:szCs w:val="24"/>
        </w:rPr>
        <w:lastRenderedPageBreak/>
        <w:t>Dual-track systems accord equivalent recognition to specialized expertise — preserving the technical talent NHSX requires.</w:t>
      </w:r>
    </w:p>
    <w:p w14:paraId="085A83B3" w14:textId="7E01DE0E" w:rsidR="00087620" w:rsidRPr="00087620" w:rsidRDefault="00087620" w:rsidP="00087620">
      <w:pPr>
        <w:rPr>
          <w:rFonts w:ascii="Arial" w:hAnsi="Arial" w:cs="Arial"/>
          <w:sz w:val="24"/>
          <w:szCs w:val="24"/>
        </w:rPr>
      </w:pPr>
      <w:r w:rsidRPr="00087620">
        <w:rPr>
          <w:rFonts w:ascii="Arial" w:hAnsi="Arial" w:cs="Arial"/>
          <w:sz w:val="24"/>
          <w:szCs w:val="24"/>
        </w:rPr>
        <w:t xml:space="preserve">Structural clarity mitigates geographic </w:t>
      </w:r>
      <w:r w:rsidRPr="00087620">
        <w:rPr>
          <w:rFonts w:ascii="Arial" w:hAnsi="Arial" w:cs="Arial"/>
          <w:sz w:val="24"/>
          <w:szCs w:val="24"/>
        </w:rPr>
        <w:t>favouritism</w:t>
      </w:r>
      <w:r w:rsidRPr="00087620">
        <w:rPr>
          <w:rFonts w:ascii="Arial" w:hAnsi="Arial" w:cs="Arial"/>
          <w:sz w:val="24"/>
          <w:szCs w:val="24"/>
        </w:rPr>
        <w:t>; international assignments facilitate inclusive advancement and cross-organizational learning.</w:t>
      </w:r>
    </w:p>
    <w:p w14:paraId="137B2BBE" w14:textId="77777777" w:rsidR="00087620" w:rsidRPr="00087620" w:rsidRDefault="00087620" w:rsidP="00087620">
      <w:pPr>
        <w:rPr>
          <w:rFonts w:ascii="Arial" w:hAnsi="Arial" w:cs="Arial"/>
          <w:sz w:val="24"/>
          <w:szCs w:val="24"/>
        </w:rPr>
      </w:pPr>
    </w:p>
    <w:p w14:paraId="4628F877" w14:textId="28B0BD44" w:rsidR="00087620" w:rsidRPr="00087620" w:rsidRDefault="00087620" w:rsidP="00087620">
      <w:pPr>
        <w:rPr>
          <w:rFonts w:ascii="Arial" w:hAnsi="Arial" w:cs="Arial"/>
          <w:b/>
          <w:bCs/>
          <w:sz w:val="24"/>
          <w:szCs w:val="24"/>
        </w:rPr>
      </w:pPr>
      <w:r w:rsidRPr="00087620">
        <w:rPr>
          <w:rFonts w:ascii="Arial" w:hAnsi="Arial" w:cs="Arial"/>
          <w:b/>
          <w:bCs/>
          <w:sz w:val="24"/>
          <w:szCs w:val="24"/>
        </w:rPr>
        <w:t>Ongoing Professional Development: Embedded Within Operations, Not Supplementary</w:t>
      </w:r>
    </w:p>
    <w:p w14:paraId="5C038D5F" w14:textId="77777777" w:rsidR="00087620" w:rsidRPr="00087620" w:rsidRDefault="00087620" w:rsidP="00087620">
      <w:pPr>
        <w:rPr>
          <w:rFonts w:ascii="Arial" w:hAnsi="Arial" w:cs="Arial"/>
          <w:sz w:val="24"/>
          <w:szCs w:val="24"/>
        </w:rPr>
      </w:pPr>
      <w:r w:rsidRPr="00087620">
        <w:rPr>
          <w:rFonts w:ascii="Arial" w:hAnsi="Arial" w:cs="Arial"/>
          <w:sz w:val="24"/>
          <w:szCs w:val="24"/>
        </w:rPr>
        <w:t>Allocate four guaranteed hours weekly for each team member—uninterrupted, non-discretionary—designated for professional development, intellectual exploration, or collaborative knowledge exchange.</w:t>
      </w:r>
    </w:p>
    <w:p w14:paraId="0F5351AD" w14:textId="77777777" w:rsidR="00087620" w:rsidRPr="00087620" w:rsidRDefault="00087620" w:rsidP="00087620">
      <w:pPr>
        <w:rPr>
          <w:rFonts w:ascii="Arial" w:hAnsi="Arial" w:cs="Arial"/>
          <w:sz w:val="24"/>
          <w:szCs w:val="24"/>
        </w:rPr>
      </w:pPr>
      <w:r w:rsidRPr="00087620">
        <w:rPr>
          <w:rFonts w:ascii="Arial" w:hAnsi="Arial" w:cs="Arial"/>
          <w:sz w:val="24"/>
          <w:szCs w:val="24"/>
        </w:rPr>
        <w:t>Establish an Internal Knowledge Exchange Platform: personnel may solicit mentorship, provide expertise, or participate in cross-functional and geographically distributed learning initiatives.</w:t>
      </w:r>
    </w:p>
    <w:p w14:paraId="0A711D5D" w14:textId="77777777" w:rsidR="00087620" w:rsidRPr="00087620" w:rsidRDefault="00087620" w:rsidP="00087620">
      <w:pPr>
        <w:rPr>
          <w:rFonts w:ascii="Arial" w:hAnsi="Arial" w:cs="Arial"/>
          <w:sz w:val="24"/>
          <w:szCs w:val="24"/>
        </w:rPr>
      </w:pPr>
      <w:r w:rsidRPr="00087620">
        <w:rPr>
          <w:rFonts w:ascii="Arial" w:hAnsi="Arial" w:cs="Arial"/>
          <w:sz w:val="24"/>
          <w:szCs w:val="24"/>
        </w:rPr>
        <w:t>Adopt Reverse Mentoring Structures: pair emerging technical talent or regional personnel with executive leadership to facilitate exchange of artificial intelligence, technological, and market-specific knowledge. This approach inverts conventional hierarchical mentoring paradigms and cultivates reciprocal professional regard.</w:t>
      </w:r>
    </w:p>
    <w:p w14:paraId="30801F26" w14:textId="77777777" w:rsidR="00087620" w:rsidRPr="00087620" w:rsidRDefault="00087620" w:rsidP="00087620">
      <w:pPr>
        <w:rPr>
          <w:rFonts w:ascii="Arial" w:hAnsi="Arial" w:cs="Arial"/>
          <w:sz w:val="24"/>
          <w:szCs w:val="24"/>
        </w:rPr>
      </w:pPr>
      <w:r w:rsidRPr="00087620">
        <w:rPr>
          <w:rFonts w:ascii="Arial" w:hAnsi="Arial" w:cs="Arial"/>
          <w:sz w:val="24"/>
          <w:szCs w:val="24"/>
        </w:rPr>
        <w:t>Formalize Quarterly Development Compacts: each team member collaboratively formulates their professional advancement strategy in consultation with their direct supervisor—grounded in individual aspirations rather than exclusively organizational departmental objectives.</w:t>
      </w:r>
    </w:p>
    <w:p w14:paraId="723196A2" w14:textId="77777777" w:rsidR="00087620" w:rsidRPr="00087620" w:rsidRDefault="00087620" w:rsidP="00087620">
      <w:pPr>
        <w:rPr>
          <w:rFonts w:ascii="Arial" w:hAnsi="Arial" w:cs="Arial"/>
          <w:sz w:val="24"/>
          <w:szCs w:val="24"/>
        </w:rPr>
      </w:pPr>
    </w:p>
    <w:p w14:paraId="3E37CEA5" w14:textId="77777777" w:rsidR="00087620" w:rsidRPr="00087620" w:rsidRDefault="00087620" w:rsidP="00087620">
      <w:pPr>
        <w:rPr>
          <w:rFonts w:ascii="Arial" w:hAnsi="Arial" w:cs="Arial"/>
          <w:b/>
          <w:bCs/>
          <w:sz w:val="24"/>
          <w:szCs w:val="24"/>
        </w:rPr>
      </w:pPr>
      <w:r w:rsidRPr="00087620">
        <w:rPr>
          <w:rFonts w:ascii="Arial" w:hAnsi="Arial" w:cs="Arial"/>
          <w:b/>
          <w:bCs/>
          <w:sz w:val="24"/>
          <w:szCs w:val="24"/>
        </w:rPr>
        <w:t>Theoretical Foundation</w:t>
      </w:r>
    </w:p>
    <w:p w14:paraId="7DFF619C" w14:textId="77777777" w:rsidR="00087620" w:rsidRPr="00087620" w:rsidRDefault="00087620" w:rsidP="00087620">
      <w:pPr>
        <w:rPr>
          <w:rFonts w:ascii="Arial" w:hAnsi="Arial" w:cs="Arial"/>
          <w:sz w:val="24"/>
          <w:szCs w:val="24"/>
        </w:rPr>
      </w:pPr>
      <w:r w:rsidRPr="00087620">
        <w:rPr>
          <w:rFonts w:ascii="Arial" w:hAnsi="Arial" w:cs="Arial"/>
          <w:sz w:val="24"/>
          <w:szCs w:val="24"/>
        </w:rPr>
        <w:t>Designated protected time demonstrates institutional commitment to learning as a core organizational value, not a peripheral consideration (Senge, 2023).</w:t>
      </w:r>
    </w:p>
    <w:p w14:paraId="49509D6D" w14:textId="4A4E036A" w:rsidR="00087620" w:rsidRPr="00087620" w:rsidRDefault="00087620" w:rsidP="00087620">
      <w:pPr>
        <w:rPr>
          <w:rFonts w:ascii="Arial" w:hAnsi="Arial" w:cs="Arial"/>
          <w:sz w:val="24"/>
          <w:szCs w:val="24"/>
        </w:rPr>
      </w:pPr>
      <w:r w:rsidRPr="00087620">
        <w:rPr>
          <w:rFonts w:ascii="Arial" w:hAnsi="Arial" w:cs="Arial"/>
          <w:sz w:val="24"/>
          <w:szCs w:val="24"/>
        </w:rPr>
        <w:t xml:space="preserve">When individuals exercise agency in directing their professional development trajectory, intrinsic motivation and job satisfaction increase </w:t>
      </w:r>
      <w:r w:rsidRPr="00087620">
        <w:rPr>
          <w:rFonts w:ascii="Arial" w:hAnsi="Arial" w:cs="Arial"/>
          <w:sz w:val="24"/>
          <w:szCs w:val="24"/>
        </w:rPr>
        <w:t>substantially consistent</w:t>
      </w:r>
      <w:r w:rsidRPr="00087620">
        <w:rPr>
          <w:rFonts w:ascii="Arial" w:hAnsi="Arial" w:cs="Arial"/>
          <w:sz w:val="24"/>
          <w:szCs w:val="24"/>
        </w:rPr>
        <w:t xml:space="preserve"> with Job Crafting theory and Self-Determination Theory frameworks.</w:t>
      </w:r>
    </w:p>
    <w:p w14:paraId="34B42CE6" w14:textId="77777777" w:rsidR="00087620" w:rsidRPr="00087620" w:rsidRDefault="00087620" w:rsidP="00087620">
      <w:pPr>
        <w:rPr>
          <w:rFonts w:ascii="Arial" w:hAnsi="Arial" w:cs="Arial"/>
          <w:sz w:val="24"/>
          <w:szCs w:val="24"/>
        </w:rPr>
      </w:pPr>
      <w:r w:rsidRPr="00087620">
        <w:rPr>
          <w:rFonts w:ascii="Arial" w:hAnsi="Arial" w:cs="Arial"/>
          <w:sz w:val="24"/>
          <w:szCs w:val="24"/>
        </w:rPr>
        <w:t>Reverse mentoring amplifies the perspectives and professional influence of historically marginalized voices—particularly consequential for organizational teams in India and the United Arab Emirates.</w:t>
      </w:r>
    </w:p>
    <w:p w14:paraId="6753D332" w14:textId="77777777" w:rsidR="00087620" w:rsidRPr="00087620" w:rsidRDefault="00087620" w:rsidP="00087620">
      <w:pPr>
        <w:rPr>
          <w:rFonts w:ascii="Arial" w:hAnsi="Arial" w:cs="Arial"/>
          <w:sz w:val="24"/>
          <w:szCs w:val="24"/>
        </w:rPr>
      </w:pPr>
    </w:p>
    <w:p w14:paraId="7FE47EAB" w14:textId="02D6249C" w:rsidR="00087620" w:rsidRPr="00087620" w:rsidRDefault="00087620" w:rsidP="00087620">
      <w:pPr>
        <w:rPr>
          <w:rFonts w:ascii="Arial" w:hAnsi="Arial" w:cs="Arial"/>
          <w:b/>
          <w:bCs/>
          <w:sz w:val="24"/>
          <w:szCs w:val="24"/>
        </w:rPr>
      </w:pPr>
      <w:r w:rsidRPr="00087620">
        <w:rPr>
          <w:rFonts w:ascii="Arial" w:hAnsi="Arial" w:cs="Arial"/>
          <w:b/>
          <w:bCs/>
          <w:sz w:val="24"/>
          <w:szCs w:val="24"/>
        </w:rPr>
        <w:t>Leadership Reconceptualized as Development Stewardship</w:t>
      </w:r>
    </w:p>
    <w:p w14:paraId="4E29741C" w14:textId="6C471663" w:rsidR="00087620" w:rsidRPr="00087620" w:rsidRDefault="00087620" w:rsidP="00087620">
      <w:pPr>
        <w:rPr>
          <w:rFonts w:ascii="Arial" w:hAnsi="Arial" w:cs="Arial"/>
          <w:sz w:val="24"/>
          <w:szCs w:val="24"/>
        </w:rPr>
      </w:pPr>
      <w:r w:rsidRPr="00087620">
        <w:rPr>
          <w:rFonts w:ascii="Arial" w:hAnsi="Arial" w:cs="Arial"/>
          <w:sz w:val="24"/>
          <w:szCs w:val="24"/>
        </w:rPr>
        <w:t>Reconceptualize managerial excellence by prioritizing the facilitation of team capabilities over the surveillance of productivity metrics.</w:t>
      </w:r>
    </w:p>
    <w:p w14:paraId="2758399B" w14:textId="77777777" w:rsidR="00087620" w:rsidRPr="00087620" w:rsidRDefault="00087620" w:rsidP="00087620">
      <w:pPr>
        <w:rPr>
          <w:rFonts w:ascii="Arial" w:hAnsi="Arial" w:cs="Arial"/>
          <w:sz w:val="24"/>
          <w:szCs w:val="24"/>
        </w:rPr>
      </w:pPr>
      <w:r w:rsidRPr="00087620">
        <w:rPr>
          <w:rFonts w:ascii="Arial" w:hAnsi="Arial" w:cs="Arial"/>
          <w:sz w:val="24"/>
          <w:szCs w:val="24"/>
        </w:rPr>
        <w:t>Evaluate managerial performance utilizing three complementary dimensions:</w:t>
      </w:r>
    </w:p>
    <w:p w14:paraId="7EA6A434" w14:textId="77777777" w:rsidR="00087620" w:rsidRPr="00087620" w:rsidRDefault="00087620" w:rsidP="00087620">
      <w:pPr>
        <w:rPr>
          <w:rFonts w:ascii="Arial" w:hAnsi="Arial" w:cs="Arial"/>
          <w:sz w:val="24"/>
          <w:szCs w:val="24"/>
        </w:rPr>
      </w:pPr>
      <w:r w:rsidRPr="00087620">
        <w:rPr>
          <w:rFonts w:ascii="Arial" w:hAnsi="Arial" w:cs="Arial"/>
          <w:sz w:val="24"/>
          <w:szCs w:val="24"/>
        </w:rPr>
        <w:t>Operational delivery</w:t>
      </w:r>
    </w:p>
    <w:p w14:paraId="59F6683C" w14:textId="77777777" w:rsidR="00087620" w:rsidRPr="00087620" w:rsidRDefault="00087620" w:rsidP="00087620">
      <w:pPr>
        <w:rPr>
          <w:rFonts w:ascii="Arial" w:hAnsi="Arial" w:cs="Arial"/>
          <w:sz w:val="24"/>
          <w:szCs w:val="24"/>
        </w:rPr>
      </w:pPr>
      <w:r w:rsidRPr="00087620">
        <w:rPr>
          <w:rFonts w:ascii="Arial" w:hAnsi="Arial" w:cs="Arial"/>
          <w:sz w:val="24"/>
          <w:szCs w:val="24"/>
        </w:rPr>
        <w:lastRenderedPageBreak/>
        <w:t>Talent retention and internal career progression</w:t>
      </w:r>
    </w:p>
    <w:p w14:paraId="54F34540" w14:textId="7E32CA20" w:rsidR="00087620" w:rsidRPr="00087620" w:rsidRDefault="00087620" w:rsidP="00087620">
      <w:pPr>
        <w:rPr>
          <w:rFonts w:ascii="Arial" w:hAnsi="Arial" w:cs="Arial"/>
          <w:sz w:val="24"/>
          <w:szCs w:val="24"/>
        </w:rPr>
      </w:pPr>
      <w:r w:rsidRPr="00087620">
        <w:rPr>
          <w:rFonts w:ascii="Arial" w:hAnsi="Arial" w:cs="Arial"/>
          <w:sz w:val="24"/>
          <w:szCs w:val="24"/>
        </w:rPr>
        <w:t>Team capability development and organizational wellbeing</w:t>
      </w:r>
    </w:p>
    <w:p w14:paraId="13B479B3" w14:textId="77777777" w:rsidR="00087620" w:rsidRPr="00087620" w:rsidRDefault="00087620" w:rsidP="00087620">
      <w:pPr>
        <w:rPr>
          <w:rFonts w:ascii="Arial" w:hAnsi="Arial" w:cs="Arial"/>
          <w:sz w:val="24"/>
          <w:szCs w:val="24"/>
        </w:rPr>
      </w:pPr>
      <w:r w:rsidRPr="00087620">
        <w:rPr>
          <w:rFonts w:ascii="Arial" w:hAnsi="Arial" w:cs="Arial"/>
          <w:sz w:val="24"/>
          <w:szCs w:val="24"/>
        </w:rPr>
        <w:t>Implement comprehensive professional development programs addressing coaching competencies, developmental communication strategies, and culturally responsive leadership practices—particularly for managers overseeing geographically and culturally diverse teams.</w:t>
      </w:r>
    </w:p>
    <w:p w14:paraId="0DAD8C84" w14:textId="77777777" w:rsidR="00087620" w:rsidRPr="00087620" w:rsidRDefault="00087620" w:rsidP="00087620">
      <w:pPr>
        <w:rPr>
          <w:rFonts w:ascii="Arial" w:hAnsi="Arial" w:cs="Arial"/>
          <w:sz w:val="24"/>
          <w:szCs w:val="24"/>
        </w:rPr>
      </w:pPr>
    </w:p>
    <w:p w14:paraId="55F4582D" w14:textId="77777777" w:rsidR="00087620" w:rsidRPr="00087620" w:rsidRDefault="00087620" w:rsidP="00087620">
      <w:pPr>
        <w:rPr>
          <w:rFonts w:ascii="Arial" w:hAnsi="Arial" w:cs="Arial"/>
          <w:b/>
          <w:bCs/>
          <w:sz w:val="24"/>
          <w:szCs w:val="24"/>
        </w:rPr>
      </w:pPr>
      <w:r w:rsidRPr="00087620">
        <w:rPr>
          <w:rFonts w:ascii="Arial" w:hAnsi="Arial" w:cs="Arial"/>
          <w:b/>
          <w:bCs/>
          <w:sz w:val="24"/>
          <w:szCs w:val="24"/>
        </w:rPr>
        <w:t>Why it works</w:t>
      </w:r>
    </w:p>
    <w:p w14:paraId="670B8B25" w14:textId="7D812F9F" w:rsidR="00087620" w:rsidRPr="00087620" w:rsidRDefault="00087620" w:rsidP="00087620">
      <w:pPr>
        <w:rPr>
          <w:rFonts w:ascii="Arial" w:hAnsi="Arial" w:cs="Arial"/>
          <w:sz w:val="24"/>
          <w:szCs w:val="24"/>
        </w:rPr>
      </w:pPr>
      <w:r w:rsidRPr="00087620">
        <w:rPr>
          <w:rFonts w:ascii="Arial" w:hAnsi="Arial" w:cs="Arial"/>
          <w:sz w:val="24"/>
          <w:szCs w:val="24"/>
        </w:rPr>
        <w:t>Contemporary managers encounter substantial difficulty reconciling performance outcomes with human capital development because organizational assessment systems emphasize results exclusively.</w:t>
      </w:r>
    </w:p>
    <w:p w14:paraId="53055B31" w14:textId="600CECA8" w:rsidR="00087620" w:rsidRPr="00087620" w:rsidRDefault="00087620" w:rsidP="00087620">
      <w:pPr>
        <w:rPr>
          <w:rFonts w:ascii="Arial" w:hAnsi="Arial" w:cs="Arial"/>
          <w:sz w:val="24"/>
          <w:szCs w:val="24"/>
        </w:rPr>
      </w:pPr>
      <w:r w:rsidRPr="00087620">
        <w:rPr>
          <w:rFonts w:ascii="Arial" w:hAnsi="Arial" w:cs="Arial"/>
          <w:sz w:val="24"/>
          <w:szCs w:val="24"/>
        </w:rPr>
        <w:t>When talent development constitutes a measurable component of managerial evaluation, organizational leaders demonstrate heightened commitment to supporting professional growth—thereby addressing the fundamental organizational paradox (Galbraith, 2022).</w:t>
      </w:r>
    </w:p>
    <w:p w14:paraId="6C3A3FEE" w14:textId="0F884AE9" w:rsidR="00087620" w:rsidRPr="00087620" w:rsidRDefault="00087620" w:rsidP="00087620">
      <w:pPr>
        <w:rPr>
          <w:rFonts w:ascii="Arial" w:hAnsi="Arial" w:cs="Arial"/>
          <w:sz w:val="24"/>
          <w:szCs w:val="24"/>
        </w:rPr>
      </w:pPr>
      <w:r w:rsidRPr="00087620">
        <w:rPr>
          <w:rFonts w:ascii="Arial" w:hAnsi="Arial" w:cs="Arial"/>
          <w:sz w:val="24"/>
          <w:szCs w:val="24"/>
        </w:rPr>
        <w:t>This institutional commitment to development permeates accountability and stewardship throughout the organizational hierarchy.</w:t>
      </w:r>
    </w:p>
    <w:p w14:paraId="28AD8F5F" w14:textId="77777777" w:rsidR="00087620" w:rsidRPr="00087620" w:rsidRDefault="00087620" w:rsidP="00087620">
      <w:pPr>
        <w:rPr>
          <w:rFonts w:ascii="Arial" w:hAnsi="Arial" w:cs="Arial"/>
          <w:sz w:val="24"/>
          <w:szCs w:val="24"/>
        </w:rPr>
      </w:pPr>
    </w:p>
    <w:p w14:paraId="61A48469" w14:textId="77777777" w:rsidR="00697013" w:rsidRPr="00087620" w:rsidRDefault="00697013" w:rsidP="00697013">
      <w:pPr>
        <w:pStyle w:val="Heading1"/>
        <w:rPr>
          <w:rFonts w:ascii="Arial" w:hAnsi="Arial" w:cs="Arial"/>
          <w:sz w:val="24"/>
          <w:szCs w:val="24"/>
        </w:rPr>
      </w:pPr>
      <w:r w:rsidRPr="00087620">
        <w:rPr>
          <w:rFonts w:ascii="Arial" w:hAnsi="Arial" w:cs="Arial"/>
          <w:sz w:val="24"/>
          <w:szCs w:val="24"/>
        </w:rPr>
        <w:t>TASK C: Reflective Report</w:t>
      </w:r>
    </w:p>
    <w:p w14:paraId="7F7898AA" w14:textId="77777777" w:rsidR="00697013" w:rsidRPr="00087620" w:rsidRDefault="00697013" w:rsidP="00697013">
      <w:pPr>
        <w:pStyle w:val="Subtitle"/>
        <w:rPr>
          <w:rFonts w:ascii="Arial" w:hAnsi="Arial" w:cs="Arial"/>
          <w:sz w:val="24"/>
          <w:szCs w:val="24"/>
        </w:rPr>
      </w:pPr>
      <w:r w:rsidRPr="00087620">
        <w:rPr>
          <w:rFonts w:ascii="Arial" w:hAnsi="Arial" w:cs="Arial"/>
          <w:sz w:val="24"/>
          <w:szCs w:val="24"/>
        </w:rPr>
        <w:t>Artificial Intelligence as a Strategic Instrument in Human Resource Management</w:t>
      </w:r>
    </w:p>
    <w:p w14:paraId="5085C0DF" w14:textId="77777777" w:rsidR="00697013" w:rsidRPr="00087620" w:rsidRDefault="00697013" w:rsidP="00697013">
      <w:pPr>
        <w:rPr>
          <w:rFonts w:ascii="Arial" w:hAnsi="Arial" w:cs="Arial"/>
          <w:sz w:val="24"/>
          <w:szCs w:val="24"/>
        </w:rPr>
      </w:pPr>
    </w:p>
    <w:p w14:paraId="6A3AFC56" w14:textId="0D4B3149" w:rsidR="00697013" w:rsidRPr="00087620" w:rsidRDefault="00697013" w:rsidP="00697013">
      <w:pPr>
        <w:rPr>
          <w:rFonts w:ascii="Arial" w:hAnsi="Arial" w:cs="Arial"/>
          <w:sz w:val="24"/>
          <w:szCs w:val="24"/>
        </w:rPr>
      </w:pPr>
      <w:r w:rsidRPr="00087620">
        <w:rPr>
          <w:rFonts w:ascii="Arial" w:hAnsi="Arial" w:cs="Arial"/>
          <w:sz w:val="24"/>
          <w:szCs w:val="24"/>
        </w:rPr>
        <w:t>Artificial Intelligence functions as a robust strategic instrument within Human Resource Management, facilitating expedited, empirically grounded decision-making through the examination of workforce dynamics, anticipatory skills-gap identification, and the optimization of administrative processes. This technological application permits practitioners to redirect their efforts toward substantive, human-focused initiatives rather than allocating resources to repetitive administrative functions (Marler &amp; Boudreau, 2023). Notwithstanding these advantages, the deployment of AI necessitates considerable ethical deliberation: the technology may perpetuate systemic biases inherent in historical datasets, thereby introducing the potential for discriminatory outcomes in talent acquisition and advancement procedures. Furthermore, AI demonstrates inherent limitations in emotional intelligence and contextual understanding—attributes that remain indispensable in domains requiring sensitivity, such as employee wellbeing, interpersonal conflict resolution, and professional development trajectories (CIPD, 2025). My professional obligation encompasses the judicious application of AI as a mechanism for augmenting rather than superseding human judgment, while maintaining rigorous standards of transparency, equitable treatment, and sustained human agency in all determinations that bear upon organizational personnel.</w:t>
      </w:r>
    </w:p>
    <w:p w14:paraId="6D5F11F6" w14:textId="77777777" w:rsidR="00697013" w:rsidRPr="00087620" w:rsidRDefault="00697013" w:rsidP="00697013">
      <w:pPr>
        <w:rPr>
          <w:rFonts w:ascii="Arial" w:hAnsi="Arial" w:cs="Arial"/>
          <w:sz w:val="24"/>
          <w:szCs w:val="24"/>
        </w:rPr>
      </w:pPr>
    </w:p>
    <w:p w14:paraId="1F67E9FF" w14:textId="77777777" w:rsidR="00697013" w:rsidRPr="00087620" w:rsidRDefault="00697013" w:rsidP="00697013">
      <w:pPr>
        <w:rPr>
          <w:rFonts w:ascii="Arial" w:hAnsi="Arial" w:cs="Arial"/>
          <w:b/>
          <w:bCs/>
          <w:sz w:val="24"/>
          <w:szCs w:val="24"/>
        </w:rPr>
      </w:pPr>
    </w:p>
    <w:p w14:paraId="3B75B03B" w14:textId="092BF36C" w:rsidR="00697013" w:rsidRPr="00087620" w:rsidRDefault="00697013" w:rsidP="00697013">
      <w:pPr>
        <w:rPr>
          <w:rFonts w:ascii="Arial" w:hAnsi="Arial" w:cs="Arial"/>
          <w:b/>
          <w:bCs/>
          <w:sz w:val="24"/>
          <w:szCs w:val="24"/>
        </w:rPr>
      </w:pPr>
      <w:r w:rsidRPr="00087620">
        <w:rPr>
          <w:rFonts w:ascii="Arial" w:hAnsi="Arial" w:cs="Arial"/>
          <w:b/>
          <w:bCs/>
          <w:sz w:val="24"/>
          <w:szCs w:val="24"/>
        </w:rPr>
        <w:t>Reflective Analysis</w:t>
      </w:r>
    </w:p>
    <w:p w14:paraId="39733D8D" w14:textId="2CF68A7F" w:rsidR="00697013" w:rsidRPr="00087620" w:rsidRDefault="00697013" w:rsidP="00697013">
      <w:pPr>
        <w:rPr>
          <w:rFonts w:ascii="Arial" w:hAnsi="Arial" w:cs="Arial"/>
          <w:sz w:val="24"/>
          <w:szCs w:val="24"/>
        </w:rPr>
      </w:pPr>
      <w:r w:rsidRPr="00087620">
        <w:rPr>
          <w:rFonts w:ascii="Arial" w:hAnsi="Arial" w:cs="Arial"/>
          <w:sz w:val="24"/>
          <w:szCs w:val="24"/>
        </w:rPr>
        <w:t>Artificial intelligence served three instrumental functions throughout this scholarly endeavour. Initially, the technology facilitated the identification of pertinent theoretical frameworks and the systematic organisation of argumentative structures, thereby expanding the breadth of inquiry whilst simultaneously cultivating my capacity to engage in independent verification of information and resist uncritical acceptance of presented material. Subsequently, artificial intelligence contributed to the refinement of compositional tone, expository clarity, and bibliographic consistency—competencies of considerable professional value—notwithstanding the necessity for deliberate intervention to preserve the primacy of my own analytical perspective. Tertiary, the technology functioned as a critical apparatus by exposing potential vulnerabilities and lacunae within my reasoning; however, the contextual limitations inherent in its recommendations underscore the irreplaceable value of situated judgment and organisational acumen. In synthesis, whilst artificial intelligence enhances operational efficiency, it remains fundamentally incapable of displacing rigorous intellectual engagement, interpersonal empathy, or ethical discernment.</w:t>
      </w:r>
    </w:p>
    <w:p w14:paraId="183A1E37" w14:textId="77777777" w:rsidR="00697013" w:rsidRPr="00087620" w:rsidRDefault="00697013" w:rsidP="00697013">
      <w:pPr>
        <w:rPr>
          <w:rFonts w:ascii="Arial" w:hAnsi="Arial" w:cs="Arial"/>
          <w:b/>
          <w:bCs/>
          <w:sz w:val="24"/>
          <w:szCs w:val="24"/>
        </w:rPr>
      </w:pPr>
    </w:p>
    <w:p w14:paraId="2F0FD454" w14:textId="3C872BAD" w:rsidR="00697013" w:rsidRPr="00087620" w:rsidRDefault="00697013" w:rsidP="00697013">
      <w:pPr>
        <w:rPr>
          <w:rFonts w:ascii="Arial" w:hAnsi="Arial" w:cs="Arial"/>
          <w:b/>
          <w:bCs/>
          <w:sz w:val="24"/>
          <w:szCs w:val="24"/>
        </w:rPr>
      </w:pPr>
      <w:r w:rsidRPr="00087620">
        <w:rPr>
          <w:rFonts w:ascii="Arial" w:hAnsi="Arial" w:cs="Arial"/>
          <w:b/>
          <w:bCs/>
          <w:sz w:val="24"/>
          <w:szCs w:val="24"/>
        </w:rPr>
        <w:t>Personal Development Plan</w:t>
      </w:r>
    </w:p>
    <w:p w14:paraId="2E8F82E2" w14:textId="662EE7EF" w:rsidR="00087620" w:rsidRPr="00087620" w:rsidRDefault="00697013" w:rsidP="00697013">
      <w:pPr>
        <w:rPr>
          <w:rFonts w:ascii="Arial" w:hAnsi="Arial" w:cs="Arial"/>
          <w:sz w:val="24"/>
          <w:szCs w:val="24"/>
        </w:rPr>
      </w:pPr>
      <w:r w:rsidRPr="00087620">
        <w:rPr>
          <w:rFonts w:ascii="Arial" w:hAnsi="Arial" w:cs="Arial"/>
          <w:sz w:val="24"/>
          <w:szCs w:val="24"/>
        </w:rPr>
        <w:t>To augment my prospective employability trajectory, I shall direct concentrated effort toward three substantive domains. First, I shall cultivate advanced critical thinking competencies through systematic engagement with peer-reviewed literature in international human resource management, developing sophisticated capacity to discern theoretical gaps and evaluate empirical evidence with scholarly rigour. Second, I shall pursue formal credentialing in artificial intelligence applications within human resource contexts and establish a personalised framework governing ethical technology utilisation, thereby positioning myself to engage with emerging digital innovations with both professional confidence and principled responsibility. Third, I shall refine active listening and empathetic communication capabilities through structured peer collaboration and iterative feedback mechanisms, thereby cultivating the human-centred leadership philosophy that characterises exemplary human resource practice</w:t>
      </w:r>
    </w:p>
    <w:tbl>
      <w:tblPr>
        <w:tblStyle w:val="TableGrid"/>
        <w:tblpPr w:leftFromText="180" w:rightFromText="180" w:vertAnchor="text" w:horzAnchor="margin" w:tblpX="-1149" w:tblpY="-1438"/>
        <w:tblW w:w="11482" w:type="dxa"/>
        <w:tblLayout w:type="fixed"/>
        <w:tblLook w:val="04A0" w:firstRow="1" w:lastRow="0" w:firstColumn="1" w:lastColumn="0" w:noHBand="0" w:noVBand="1"/>
      </w:tblPr>
      <w:tblGrid>
        <w:gridCol w:w="1271"/>
        <w:gridCol w:w="3260"/>
        <w:gridCol w:w="3691"/>
        <w:gridCol w:w="3260"/>
      </w:tblGrid>
      <w:tr w:rsidR="00087620" w14:paraId="696BA75A" w14:textId="77777777" w:rsidTr="00087620">
        <w:trPr>
          <w:trHeight w:val="426"/>
        </w:trPr>
        <w:tc>
          <w:tcPr>
            <w:tcW w:w="1271" w:type="dxa"/>
          </w:tcPr>
          <w:p w14:paraId="6CB0B38B" w14:textId="77777777" w:rsidR="00087620" w:rsidRDefault="00087620" w:rsidP="00087620">
            <w:pPr>
              <w:pStyle w:val="Heading1"/>
              <w:rPr>
                <w:rFonts w:eastAsia="Times New Roman"/>
                <w:lang w:eastAsia="en-GB"/>
              </w:rPr>
            </w:pPr>
          </w:p>
        </w:tc>
        <w:tc>
          <w:tcPr>
            <w:tcW w:w="3260" w:type="dxa"/>
          </w:tcPr>
          <w:p w14:paraId="51E4DDB9" w14:textId="77777777" w:rsidR="00087620" w:rsidRPr="00087620" w:rsidRDefault="00087620" w:rsidP="00087620">
            <w:pPr>
              <w:pStyle w:val="Heading1"/>
              <w:rPr>
                <w:rFonts w:ascii="Arial" w:eastAsia="Times New Roman" w:hAnsi="Arial" w:cs="Arial"/>
                <w:sz w:val="24"/>
                <w:szCs w:val="24"/>
                <w:lang w:eastAsia="en-GB"/>
              </w:rPr>
            </w:pPr>
            <w:r w:rsidRPr="00087620">
              <w:rPr>
                <w:rFonts w:ascii="Arial" w:hAnsi="Arial" w:cs="Arial"/>
                <w:sz w:val="24"/>
                <w:szCs w:val="24"/>
              </w:rPr>
              <w:t>Current Reflection &amp; Rationale</w:t>
            </w:r>
          </w:p>
        </w:tc>
        <w:tc>
          <w:tcPr>
            <w:tcW w:w="3691" w:type="dxa"/>
          </w:tcPr>
          <w:p w14:paraId="541AD05B" w14:textId="77777777" w:rsidR="00087620" w:rsidRPr="00087620" w:rsidRDefault="00087620" w:rsidP="00087620">
            <w:pPr>
              <w:pStyle w:val="Heading1"/>
              <w:rPr>
                <w:rFonts w:ascii="Arial" w:eastAsia="Times New Roman" w:hAnsi="Arial" w:cs="Arial"/>
                <w:sz w:val="24"/>
                <w:szCs w:val="24"/>
                <w:lang w:eastAsia="en-GB"/>
              </w:rPr>
            </w:pPr>
            <w:r w:rsidRPr="00087620">
              <w:rPr>
                <w:rFonts w:ascii="Arial" w:hAnsi="Arial" w:cs="Arial"/>
                <w:sz w:val="24"/>
                <w:szCs w:val="24"/>
              </w:rPr>
              <w:t>Planned Actions</w:t>
            </w:r>
          </w:p>
        </w:tc>
        <w:tc>
          <w:tcPr>
            <w:tcW w:w="3260" w:type="dxa"/>
          </w:tcPr>
          <w:p w14:paraId="23B81E35" w14:textId="77777777" w:rsidR="00087620" w:rsidRPr="00087620" w:rsidRDefault="00087620" w:rsidP="00087620">
            <w:pPr>
              <w:pStyle w:val="Heading1"/>
              <w:rPr>
                <w:rFonts w:ascii="Arial" w:hAnsi="Arial" w:cs="Arial"/>
                <w:sz w:val="24"/>
                <w:szCs w:val="24"/>
              </w:rPr>
            </w:pPr>
            <w:r>
              <w:rPr>
                <w:rFonts w:ascii="Arial" w:hAnsi="Arial" w:cs="Arial"/>
                <w:sz w:val="24"/>
                <w:szCs w:val="24"/>
              </w:rPr>
              <w:t>Purpose &amp; Benefit</w:t>
            </w:r>
          </w:p>
        </w:tc>
      </w:tr>
      <w:tr w:rsidR="00087620" w14:paraId="3E7E8E76" w14:textId="77777777" w:rsidTr="00087620">
        <w:trPr>
          <w:trHeight w:val="1968"/>
        </w:trPr>
        <w:tc>
          <w:tcPr>
            <w:tcW w:w="1271" w:type="dxa"/>
          </w:tcPr>
          <w:p w14:paraId="62000834" w14:textId="77777777" w:rsidR="00087620" w:rsidRPr="00087620" w:rsidRDefault="00087620" w:rsidP="00087620">
            <w:pPr>
              <w:pStyle w:val="Heading1"/>
              <w:rPr>
                <w:rFonts w:ascii="Arial" w:eastAsia="Times New Roman" w:hAnsi="Arial" w:cs="Arial"/>
                <w:sz w:val="24"/>
                <w:szCs w:val="24"/>
                <w:lang w:eastAsia="en-GB"/>
              </w:rPr>
            </w:pPr>
            <w:r w:rsidRPr="00087620">
              <w:rPr>
                <w:rFonts w:ascii="Arial" w:hAnsi="Arial" w:cs="Arial"/>
                <w:sz w:val="24"/>
                <w:szCs w:val="24"/>
              </w:rPr>
              <w:t>Critical &amp; Scholarly Thinking</w:t>
            </w:r>
          </w:p>
        </w:tc>
        <w:tc>
          <w:tcPr>
            <w:tcW w:w="3260" w:type="dxa"/>
          </w:tcPr>
          <w:p w14:paraId="36478AEF" w14:textId="77777777" w:rsidR="00087620" w:rsidRPr="00087620" w:rsidRDefault="00087620" w:rsidP="00087620">
            <w:pPr>
              <w:pStyle w:val="Heading1"/>
              <w:rPr>
                <w:rFonts w:ascii="Arial" w:eastAsia="Times New Roman" w:hAnsi="Arial" w:cs="Arial"/>
                <w:sz w:val="20"/>
                <w:szCs w:val="20"/>
                <w:lang w:eastAsia="en-GB"/>
              </w:rPr>
            </w:pPr>
            <w:r w:rsidRPr="00087620">
              <w:rPr>
                <w:rFonts w:ascii="Arial" w:eastAsia="Times New Roman" w:hAnsi="Arial" w:cs="Arial"/>
                <w:color w:val="auto"/>
                <w:sz w:val="20"/>
                <w:szCs w:val="20"/>
                <w:lang w:eastAsia="en-GB"/>
              </w:rPr>
              <w:t>I acknowledge that exemplary human resources practice transcends mere factual retention, necessitating instead the capacity to evaluate empirical evidence, recognize deficiencies in scholarly inquiry, and critically examine underlying premises. Such competency proves indispensable when providing organizational counsel regarding multifaceted strategic considerations.</w:t>
            </w:r>
          </w:p>
        </w:tc>
        <w:tc>
          <w:tcPr>
            <w:tcW w:w="3691" w:type="dxa"/>
          </w:tcPr>
          <w:p w14:paraId="71A9B6B5" w14:textId="77777777" w:rsidR="00087620" w:rsidRPr="00087620" w:rsidRDefault="00087620" w:rsidP="00087620">
            <w:pPr>
              <w:pStyle w:val="Heading1"/>
              <w:rPr>
                <w:rFonts w:ascii="Arial" w:eastAsia="Times New Roman" w:hAnsi="Arial" w:cs="Arial"/>
                <w:sz w:val="20"/>
                <w:szCs w:val="20"/>
                <w:lang w:eastAsia="en-GB"/>
              </w:rPr>
            </w:pPr>
            <w:r w:rsidRPr="00087620">
              <w:rPr>
                <w:rFonts w:ascii="Arial" w:eastAsia="Times New Roman" w:hAnsi="Arial" w:cs="Arial"/>
                <w:color w:val="auto"/>
                <w:sz w:val="20"/>
                <w:szCs w:val="20"/>
                <w:lang w:eastAsia="en-GB"/>
              </w:rPr>
              <w:t>Undertake a methodical examination of peer-reviewed scholarly publications within the domain of international human resource management. Cultivate competency in assessing the methodological rigor and empirical validity of research contributions while simultaneously identifying conceptual gaps and theoretical constraints inherent in existing academic discourse.</w:t>
            </w:r>
          </w:p>
        </w:tc>
        <w:tc>
          <w:tcPr>
            <w:tcW w:w="3260" w:type="dxa"/>
          </w:tcPr>
          <w:p w14:paraId="16D32D53" w14:textId="77777777" w:rsidR="00087620" w:rsidRPr="00087620" w:rsidRDefault="00087620" w:rsidP="00087620">
            <w:pPr>
              <w:pStyle w:val="Heading1"/>
              <w:rPr>
                <w:rFonts w:ascii="Arial" w:eastAsia="Times New Roman" w:hAnsi="Arial" w:cs="Arial"/>
                <w:sz w:val="20"/>
                <w:szCs w:val="20"/>
                <w:lang w:eastAsia="en-GB"/>
              </w:rPr>
            </w:pPr>
            <w:r w:rsidRPr="00087620">
              <w:rPr>
                <w:rFonts w:ascii="Arial" w:eastAsia="Times New Roman" w:hAnsi="Arial" w:cs="Arial"/>
                <w:color w:val="auto"/>
                <w:sz w:val="20"/>
                <w:szCs w:val="20"/>
                <w:lang w:eastAsia="en-GB"/>
              </w:rPr>
              <w:t>Cultivate robust, autonomous critical thinking capabilities. Facilitate your capacity to deliver distinctive, substantively grounded perspectives addressing professional and organisational complexities.</w:t>
            </w:r>
          </w:p>
        </w:tc>
      </w:tr>
      <w:tr w:rsidR="00087620" w14:paraId="01818589" w14:textId="77777777" w:rsidTr="00087620">
        <w:trPr>
          <w:trHeight w:val="3109"/>
        </w:trPr>
        <w:tc>
          <w:tcPr>
            <w:tcW w:w="1271" w:type="dxa"/>
          </w:tcPr>
          <w:p w14:paraId="182C1F62" w14:textId="77777777" w:rsidR="00087620" w:rsidRPr="00087620" w:rsidRDefault="00087620" w:rsidP="00087620">
            <w:pPr>
              <w:pStyle w:val="Heading1"/>
              <w:rPr>
                <w:rFonts w:ascii="Arial" w:eastAsia="Times New Roman" w:hAnsi="Arial" w:cs="Arial"/>
                <w:sz w:val="24"/>
                <w:szCs w:val="24"/>
                <w:lang w:eastAsia="en-GB"/>
              </w:rPr>
            </w:pPr>
            <w:r w:rsidRPr="00087620">
              <w:rPr>
                <w:rFonts w:ascii="Arial" w:hAnsi="Arial" w:cs="Arial"/>
                <w:sz w:val="24"/>
                <w:szCs w:val="24"/>
              </w:rPr>
              <w:t>Ethical Digital &amp; AI Competence</w:t>
            </w:r>
          </w:p>
        </w:tc>
        <w:tc>
          <w:tcPr>
            <w:tcW w:w="3260" w:type="dxa"/>
          </w:tcPr>
          <w:p w14:paraId="6FBCB642" w14:textId="77777777" w:rsidR="00087620" w:rsidRPr="00087620" w:rsidRDefault="00087620" w:rsidP="00087620">
            <w:pPr>
              <w:pStyle w:val="Heading1"/>
              <w:rPr>
                <w:rFonts w:ascii="Arial" w:eastAsia="Times New Roman" w:hAnsi="Arial" w:cs="Arial"/>
                <w:color w:val="auto"/>
                <w:sz w:val="20"/>
                <w:szCs w:val="20"/>
                <w:lang w:eastAsia="en-GB"/>
              </w:rPr>
            </w:pPr>
            <w:r w:rsidRPr="00087620">
              <w:rPr>
                <w:rFonts w:ascii="Arial" w:eastAsia="Times New Roman" w:hAnsi="Arial" w:cs="Arial"/>
                <w:color w:val="auto"/>
                <w:sz w:val="20"/>
                <w:szCs w:val="20"/>
                <w:lang w:eastAsia="en-GB"/>
              </w:rPr>
              <w:t>The contemporary landscape of human resources management is undergoing substantial transformation through technological advancement. Although artificial intelligence presents considerable opportunities for operational efficiency, it simultaneously introduces significant concerns pertaining to equitable treatment, algorithmic bias, and procedural transparency. It is therefore imperative to maintain robust confidence in the application of these technological instruments while maintaining explicit clarity regarding the domains in which human discretion and judgment must remain paramount.</w:t>
            </w:r>
          </w:p>
        </w:tc>
        <w:tc>
          <w:tcPr>
            <w:tcW w:w="3691" w:type="dxa"/>
          </w:tcPr>
          <w:p w14:paraId="35A90301" w14:textId="77777777" w:rsidR="00087620" w:rsidRPr="00087620" w:rsidRDefault="00087620" w:rsidP="00087620">
            <w:pPr>
              <w:pStyle w:val="Heading1"/>
              <w:rPr>
                <w:rFonts w:ascii="Arial" w:eastAsia="Times New Roman" w:hAnsi="Arial" w:cs="Arial"/>
                <w:color w:val="auto"/>
                <w:sz w:val="20"/>
                <w:szCs w:val="20"/>
                <w:lang w:eastAsia="en-GB"/>
              </w:rPr>
            </w:pPr>
            <w:r w:rsidRPr="00087620">
              <w:rPr>
                <w:rFonts w:ascii="Arial" w:eastAsia="Times New Roman" w:hAnsi="Arial" w:cs="Arial"/>
                <w:color w:val="auto"/>
                <w:sz w:val="20"/>
                <w:szCs w:val="20"/>
                <w:lang w:eastAsia="en-GB"/>
              </w:rPr>
              <w:t>Engage in structured educational programs focused on artificial intelligence implementations within human resources management. Establish a comprehensive personal ethical framework that serves as a guiding principle for the conscientious and responsible application of technological solutions in organizational contexts.</w:t>
            </w:r>
          </w:p>
        </w:tc>
        <w:tc>
          <w:tcPr>
            <w:tcW w:w="3260" w:type="dxa"/>
          </w:tcPr>
          <w:p w14:paraId="2FE50F1D" w14:textId="77777777" w:rsidR="00087620" w:rsidRPr="00087620" w:rsidRDefault="00087620" w:rsidP="00087620">
            <w:pPr>
              <w:pStyle w:val="Heading1"/>
              <w:rPr>
                <w:rFonts w:ascii="Arial" w:eastAsia="Times New Roman" w:hAnsi="Arial" w:cs="Arial"/>
                <w:color w:val="auto"/>
                <w:sz w:val="20"/>
                <w:szCs w:val="20"/>
                <w:lang w:eastAsia="en-GB"/>
              </w:rPr>
            </w:pPr>
            <w:r w:rsidRPr="00087620">
              <w:rPr>
                <w:rFonts w:ascii="Arial" w:eastAsia="Times New Roman" w:hAnsi="Arial" w:cs="Arial"/>
                <w:color w:val="auto"/>
                <w:sz w:val="20"/>
                <w:szCs w:val="20"/>
                <w:lang w:eastAsia="en-GB"/>
              </w:rPr>
              <w:t>Establish a leadership position in digital transformation by maintaining ethical standards and principled decision-making. The integration of technological innovation with organizational accountability constitutes a critical competitive advantage for contemporary human resources professionals, distinguishing those who advance organizational capability while preserving institutional integrity.</w:t>
            </w:r>
          </w:p>
        </w:tc>
      </w:tr>
      <w:tr w:rsidR="00087620" w14:paraId="7564C4FC" w14:textId="77777777" w:rsidTr="00087620">
        <w:trPr>
          <w:trHeight w:val="46"/>
        </w:trPr>
        <w:tc>
          <w:tcPr>
            <w:tcW w:w="1271" w:type="dxa"/>
          </w:tcPr>
          <w:p w14:paraId="60EC7C82" w14:textId="77777777" w:rsidR="00087620" w:rsidRPr="00087620" w:rsidRDefault="00087620" w:rsidP="00087620">
            <w:pPr>
              <w:pStyle w:val="Heading1"/>
              <w:rPr>
                <w:rFonts w:ascii="Arial" w:eastAsia="Times New Roman" w:hAnsi="Arial" w:cs="Arial"/>
                <w:sz w:val="24"/>
                <w:szCs w:val="24"/>
                <w:lang w:eastAsia="en-GB"/>
              </w:rPr>
            </w:pPr>
            <w:r w:rsidRPr="00087620">
              <w:rPr>
                <w:rFonts w:ascii="Arial" w:hAnsi="Arial" w:cs="Arial"/>
                <w:sz w:val="24"/>
                <w:szCs w:val="24"/>
              </w:rPr>
              <w:t>Empathetic &amp; Human-Centred Leadership</w:t>
            </w:r>
          </w:p>
        </w:tc>
        <w:tc>
          <w:tcPr>
            <w:tcW w:w="3260" w:type="dxa"/>
          </w:tcPr>
          <w:p w14:paraId="6B7179B7" w14:textId="461F9BDA" w:rsidR="00087620" w:rsidRPr="00087620" w:rsidRDefault="00087620" w:rsidP="00087620">
            <w:pPr>
              <w:pStyle w:val="Heading1"/>
              <w:rPr>
                <w:rFonts w:ascii="Arial" w:eastAsia="Times New Roman" w:hAnsi="Arial" w:cs="Arial"/>
                <w:color w:val="auto"/>
                <w:sz w:val="20"/>
                <w:szCs w:val="20"/>
                <w:lang w:eastAsia="en-GB"/>
              </w:rPr>
            </w:pPr>
            <w:r w:rsidRPr="00087620">
              <w:rPr>
                <w:rFonts w:ascii="Arial" w:eastAsia="Times New Roman" w:hAnsi="Arial" w:cs="Arial"/>
                <w:color w:val="auto"/>
                <w:sz w:val="20"/>
                <w:szCs w:val="20"/>
                <w:lang w:eastAsia="en-GB"/>
              </w:rPr>
              <w:t>No technological innovation possesses the capacity to supplant the foundational elements of human resources: trust, connection, and mutual understanding. The provision of support to individuals navigating organizational transformation, interpersonal discord, and professional development fundamentally necessitates authentic engagement through attentive listening and equitable communication practices.</w:t>
            </w:r>
          </w:p>
        </w:tc>
        <w:tc>
          <w:tcPr>
            <w:tcW w:w="3691" w:type="dxa"/>
          </w:tcPr>
          <w:p w14:paraId="7B575BC3" w14:textId="5F02A096" w:rsidR="00087620" w:rsidRPr="00087620" w:rsidRDefault="00087620" w:rsidP="00087620">
            <w:pPr>
              <w:pStyle w:val="Heading1"/>
              <w:rPr>
                <w:rFonts w:ascii="Arial" w:eastAsia="Times New Roman" w:hAnsi="Arial" w:cs="Arial"/>
                <w:color w:val="auto"/>
                <w:sz w:val="20"/>
                <w:szCs w:val="20"/>
                <w:lang w:eastAsia="en-GB"/>
              </w:rPr>
            </w:pPr>
            <w:r w:rsidRPr="00087620">
              <w:rPr>
                <w:rFonts w:ascii="Arial" w:eastAsia="Times New Roman" w:hAnsi="Arial" w:cs="Arial"/>
                <w:color w:val="auto"/>
                <w:sz w:val="20"/>
                <w:szCs w:val="20"/>
                <w:lang w:eastAsia="en-GB"/>
              </w:rPr>
              <w:t xml:space="preserve">Engage in deliberate practice of active listening methodologies. Pursue consistent, constructive feedback mechanisms to facilitate professional development. Participate in collaborative </w:t>
            </w:r>
            <w:r w:rsidRPr="00087620">
              <w:rPr>
                <w:rFonts w:ascii="Arial" w:eastAsia="Times New Roman" w:hAnsi="Arial" w:cs="Arial"/>
                <w:color w:val="auto"/>
                <w:sz w:val="20"/>
                <w:szCs w:val="20"/>
                <w:lang w:eastAsia="en-GB"/>
              </w:rPr>
              <w:t>endeavours</w:t>
            </w:r>
            <w:r w:rsidRPr="00087620">
              <w:rPr>
                <w:rFonts w:ascii="Arial" w:eastAsia="Times New Roman" w:hAnsi="Arial" w:cs="Arial"/>
                <w:color w:val="auto"/>
                <w:sz w:val="20"/>
                <w:szCs w:val="20"/>
                <w:lang w:eastAsia="en-GB"/>
              </w:rPr>
              <w:t xml:space="preserve"> with heterogeneous peer cohorts to cultivate cultural competency and awareness.</w:t>
            </w:r>
          </w:p>
        </w:tc>
        <w:tc>
          <w:tcPr>
            <w:tcW w:w="3260" w:type="dxa"/>
          </w:tcPr>
          <w:p w14:paraId="61683276" w14:textId="375D74F8" w:rsidR="00087620" w:rsidRPr="00087620" w:rsidRDefault="00087620" w:rsidP="00087620">
            <w:pPr>
              <w:pStyle w:val="Heading1"/>
              <w:rPr>
                <w:rFonts w:ascii="Arial" w:eastAsia="Times New Roman" w:hAnsi="Arial" w:cs="Arial"/>
                <w:color w:val="auto"/>
                <w:sz w:val="20"/>
                <w:szCs w:val="20"/>
                <w:lang w:eastAsia="en-GB"/>
              </w:rPr>
            </w:pPr>
            <w:r w:rsidRPr="00087620">
              <w:rPr>
                <w:rFonts w:ascii="Arial" w:eastAsia="Times New Roman" w:hAnsi="Arial" w:cs="Arial"/>
                <w:color w:val="auto"/>
                <w:sz w:val="20"/>
                <w:szCs w:val="20"/>
                <w:lang w:eastAsia="en-GB"/>
              </w:rPr>
              <w:t xml:space="preserve">Fortify the relational infrastructure of your professional </w:t>
            </w:r>
            <w:r w:rsidRPr="00087620">
              <w:rPr>
                <w:rFonts w:ascii="Arial" w:eastAsia="Times New Roman" w:hAnsi="Arial" w:cs="Arial"/>
                <w:color w:val="auto"/>
                <w:sz w:val="20"/>
                <w:szCs w:val="20"/>
                <w:lang w:eastAsia="en-GB"/>
              </w:rPr>
              <w:t>endeavour</w:t>
            </w:r>
            <w:r w:rsidRPr="00087620">
              <w:rPr>
                <w:rFonts w:ascii="Arial" w:eastAsia="Times New Roman" w:hAnsi="Arial" w:cs="Arial"/>
                <w:color w:val="auto"/>
                <w:sz w:val="20"/>
                <w:szCs w:val="20"/>
                <w:lang w:eastAsia="en-GB"/>
              </w:rPr>
              <w:t xml:space="preserve"> by cultivating authentic engagement with colleagues and stakeholders. Position yourself as a visionary leader who demonstrates equivalent commitment to human capital development and organizational outcomes, thereby establishing credibility as someone who recognizes that sustainable performance emerges from invested, valued, and supported personnel.</w:t>
            </w:r>
          </w:p>
        </w:tc>
      </w:tr>
    </w:tbl>
    <w:p w14:paraId="457CFE21" w14:textId="4DEE751F" w:rsidR="00087620" w:rsidRDefault="00087620" w:rsidP="00697013">
      <w:pPr>
        <w:pStyle w:val="Heading1"/>
        <w:rPr>
          <w:rFonts w:eastAsia="Times New Roman"/>
          <w:lang w:eastAsia="en-GB"/>
        </w:rPr>
      </w:pPr>
    </w:p>
    <w:p w14:paraId="43350EA9" w14:textId="77777777" w:rsidR="00087620" w:rsidRDefault="00087620" w:rsidP="00697013">
      <w:pPr>
        <w:rPr>
          <w:lang w:eastAsia="en-GB"/>
        </w:rPr>
      </w:pPr>
    </w:p>
    <w:p w14:paraId="047AC827" w14:textId="77777777" w:rsidR="00087620" w:rsidRPr="00697013" w:rsidRDefault="00087620" w:rsidP="00697013">
      <w:pPr>
        <w:rPr>
          <w:lang w:eastAsia="en-GB"/>
        </w:rPr>
      </w:pPr>
    </w:p>
    <w:p w14:paraId="3311DAA0" w14:textId="5E42AC48" w:rsidR="00087620" w:rsidRPr="00087620" w:rsidRDefault="00087620" w:rsidP="00087620">
      <w:pPr>
        <w:pStyle w:val="Heading1"/>
        <w:rPr>
          <w:rFonts w:ascii="Arial" w:eastAsia="Times New Roman" w:hAnsi="Arial" w:cs="Arial"/>
          <w:color w:val="000000"/>
          <w:kern w:val="0"/>
          <w:sz w:val="24"/>
          <w:szCs w:val="24"/>
          <w:lang w:eastAsia="en-GB"/>
          <w14:ligatures w14:val="none"/>
        </w:rPr>
      </w:pPr>
      <w:r w:rsidRPr="00087620">
        <w:rPr>
          <w:rFonts w:ascii="Arial" w:eastAsia="Times New Roman" w:hAnsi="Arial" w:cs="Arial"/>
          <w:sz w:val="24"/>
          <w:szCs w:val="24"/>
          <w:lang w:eastAsia="en-GB"/>
        </w:rPr>
        <w:lastRenderedPageBreak/>
        <w:t>Reference List</w:t>
      </w:r>
    </w:p>
    <w:p w14:paraId="06C812E5" w14:textId="7CED34DC" w:rsidR="00697013" w:rsidRPr="00087620" w:rsidRDefault="00697013" w:rsidP="00697013">
      <w:pPr>
        <w:spacing w:after="0" w:line="360" w:lineRule="atLeast"/>
        <w:rPr>
          <w:rFonts w:ascii="Arial" w:eastAsia="Times New Roman" w:hAnsi="Arial" w:cs="Arial"/>
          <w:color w:val="000000"/>
          <w:kern w:val="0"/>
          <w:sz w:val="24"/>
          <w:szCs w:val="24"/>
          <w:lang w:eastAsia="en-GB"/>
          <w14:ligatures w14:val="none"/>
        </w:rPr>
      </w:pPr>
      <w:r w:rsidRPr="00087620">
        <w:rPr>
          <w:rFonts w:ascii="Arial" w:eastAsia="Times New Roman" w:hAnsi="Arial" w:cs="Arial"/>
          <w:color w:val="000000"/>
          <w:kern w:val="0"/>
          <w:sz w:val="24"/>
          <w:szCs w:val="24"/>
          <w:lang w:eastAsia="en-GB"/>
          <w14:ligatures w14:val="none"/>
        </w:rPr>
        <w:t xml:space="preserve">Brewster, C., Cerdin, J.-L. and Farndale, E. (2023) </w:t>
      </w:r>
      <w:r w:rsidRPr="00087620">
        <w:rPr>
          <w:rFonts w:ascii="Arial" w:eastAsia="Times New Roman" w:hAnsi="Arial" w:cs="Arial"/>
          <w:i/>
          <w:iCs/>
          <w:color w:val="000000"/>
          <w:kern w:val="0"/>
          <w:sz w:val="24"/>
          <w:szCs w:val="24"/>
          <w:lang w:eastAsia="en-GB"/>
          <w14:ligatures w14:val="none"/>
        </w:rPr>
        <w:t>International Human Resource Management</w:t>
      </w:r>
      <w:r w:rsidRPr="00087620">
        <w:rPr>
          <w:rFonts w:ascii="Arial" w:eastAsia="Times New Roman" w:hAnsi="Arial" w:cs="Arial"/>
          <w:color w:val="000000"/>
          <w:kern w:val="0"/>
          <w:sz w:val="24"/>
          <w:szCs w:val="24"/>
          <w:lang w:eastAsia="en-GB"/>
          <w14:ligatures w14:val="none"/>
        </w:rPr>
        <w:t xml:space="preserve">. 7th </w:t>
      </w:r>
      <w:proofErr w:type="spellStart"/>
      <w:r w:rsidRPr="00087620">
        <w:rPr>
          <w:rFonts w:ascii="Arial" w:eastAsia="Times New Roman" w:hAnsi="Arial" w:cs="Arial"/>
          <w:color w:val="000000"/>
          <w:kern w:val="0"/>
          <w:sz w:val="24"/>
          <w:szCs w:val="24"/>
          <w:lang w:eastAsia="en-GB"/>
          <w14:ligatures w14:val="none"/>
        </w:rPr>
        <w:t>edn</w:t>
      </w:r>
      <w:proofErr w:type="spellEnd"/>
      <w:r w:rsidRPr="00087620">
        <w:rPr>
          <w:rFonts w:ascii="Arial" w:eastAsia="Times New Roman" w:hAnsi="Arial" w:cs="Arial"/>
          <w:color w:val="000000"/>
          <w:kern w:val="0"/>
          <w:sz w:val="24"/>
          <w:szCs w:val="24"/>
          <w:lang w:eastAsia="en-GB"/>
          <w14:ligatures w14:val="none"/>
        </w:rPr>
        <w:t>. Oxford: Oxford University Press.</w:t>
      </w:r>
    </w:p>
    <w:p w14:paraId="44898FF1" w14:textId="77777777" w:rsidR="00697013" w:rsidRPr="00087620" w:rsidRDefault="00697013" w:rsidP="00697013">
      <w:pPr>
        <w:spacing w:after="0" w:line="360" w:lineRule="atLeast"/>
        <w:rPr>
          <w:rFonts w:ascii="Arial" w:eastAsia="Times New Roman" w:hAnsi="Arial" w:cs="Arial"/>
          <w:color w:val="000000"/>
          <w:kern w:val="0"/>
          <w:sz w:val="24"/>
          <w:szCs w:val="24"/>
          <w:lang w:eastAsia="en-GB"/>
          <w14:ligatures w14:val="none"/>
        </w:rPr>
      </w:pPr>
      <w:proofErr w:type="spellStart"/>
      <w:r w:rsidRPr="00087620">
        <w:rPr>
          <w:rFonts w:ascii="Arial" w:eastAsia="Times New Roman" w:hAnsi="Arial" w:cs="Arial"/>
          <w:color w:val="000000"/>
          <w:kern w:val="0"/>
          <w:sz w:val="24"/>
          <w:szCs w:val="24"/>
          <w:lang w:eastAsia="en-GB"/>
          <w14:ligatures w14:val="none"/>
        </w:rPr>
        <w:t>Budhwar</w:t>
      </w:r>
      <w:proofErr w:type="spellEnd"/>
      <w:r w:rsidRPr="00087620">
        <w:rPr>
          <w:rFonts w:ascii="Arial" w:eastAsia="Times New Roman" w:hAnsi="Arial" w:cs="Arial"/>
          <w:color w:val="000000"/>
          <w:kern w:val="0"/>
          <w:sz w:val="24"/>
          <w:szCs w:val="24"/>
          <w:lang w:eastAsia="en-GB"/>
          <w14:ligatures w14:val="none"/>
        </w:rPr>
        <w:t xml:space="preserve">, P., Varma, A. and Patel, C. (2023) ‘Hybrid work in international organisations: Challenges and opportunities’, </w:t>
      </w:r>
      <w:r w:rsidRPr="00087620">
        <w:rPr>
          <w:rFonts w:ascii="Arial" w:eastAsia="Times New Roman" w:hAnsi="Arial" w:cs="Arial"/>
          <w:i/>
          <w:iCs/>
          <w:color w:val="000000"/>
          <w:kern w:val="0"/>
          <w:sz w:val="24"/>
          <w:szCs w:val="24"/>
          <w:lang w:eastAsia="en-GB"/>
          <w14:ligatures w14:val="none"/>
        </w:rPr>
        <w:t>Journal of World Business</w:t>
      </w:r>
      <w:r w:rsidRPr="00087620">
        <w:rPr>
          <w:rFonts w:ascii="Arial" w:eastAsia="Times New Roman" w:hAnsi="Arial" w:cs="Arial"/>
          <w:color w:val="000000"/>
          <w:kern w:val="0"/>
          <w:sz w:val="24"/>
          <w:szCs w:val="24"/>
          <w:lang w:eastAsia="en-GB"/>
          <w14:ligatures w14:val="none"/>
        </w:rPr>
        <w:t>, 58(3), article 101456.</w:t>
      </w:r>
    </w:p>
    <w:p w14:paraId="6C63E598" w14:textId="77777777" w:rsidR="00697013" w:rsidRPr="00087620" w:rsidRDefault="00697013" w:rsidP="00697013">
      <w:pPr>
        <w:spacing w:after="0" w:line="360" w:lineRule="atLeast"/>
        <w:rPr>
          <w:rFonts w:ascii="Arial" w:eastAsia="Times New Roman" w:hAnsi="Arial" w:cs="Arial"/>
          <w:color w:val="000000"/>
          <w:kern w:val="0"/>
          <w:sz w:val="24"/>
          <w:szCs w:val="24"/>
          <w:lang w:eastAsia="en-GB"/>
          <w14:ligatures w14:val="none"/>
        </w:rPr>
      </w:pPr>
      <w:proofErr w:type="spellStart"/>
      <w:r w:rsidRPr="00087620">
        <w:rPr>
          <w:rFonts w:ascii="Arial" w:eastAsia="Times New Roman" w:hAnsi="Arial" w:cs="Arial"/>
          <w:color w:val="000000"/>
          <w:kern w:val="0"/>
          <w:sz w:val="24"/>
          <w:szCs w:val="24"/>
          <w:lang w:eastAsia="en-GB"/>
          <w14:ligatures w14:val="none"/>
        </w:rPr>
        <w:t>Cerdin</w:t>
      </w:r>
      <w:proofErr w:type="spellEnd"/>
      <w:r w:rsidRPr="00087620">
        <w:rPr>
          <w:rFonts w:ascii="Arial" w:eastAsia="Times New Roman" w:hAnsi="Arial" w:cs="Arial"/>
          <w:color w:val="000000"/>
          <w:kern w:val="0"/>
          <w:sz w:val="24"/>
          <w:szCs w:val="24"/>
          <w:lang w:eastAsia="en-GB"/>
          <w14:ligatures w14:val="none"/>
        </w:rPr>
        <w:t xml:space="preserve">, J.-L. and Brewster, C. (2022) ‘Talent management and the half-life of competence’, </w:t>
      </w:r>
      <w:r w:rsidRPr="00087620">
        <w:rPr>
          <w:rFonts w:ascii="Arial" w:eastAsia="Times New Roman" w:hAnsi="Arial" w:cs="Arial"/>
          <w:i/>
          <w:iCs/>
          <w:color w:val="000000"/>
          <w:kern w:val="0"/>
          <w:sz w:val="24"/>
          <w:szCs w:val="24"/>
          <w:lang w:eastAsia="en-GB"/>
          <w14:ligatures w14:val="none"/>
        </w:rPr>
        <w:t>European Journal of International Management</w:t>
      </w:r>
      <w:r w:rsidRPr="00087620">
        <w:rPr>
          <w:rFonts w:ascii="Arial" w:eastAsia="Times New Roman" w:hAnsi="Arial" w:cs="Arial"/>
          <w:color w:val="000000"/>
          <w:kern w:val="0"/>
          <w:sz w:val="24"/>
          <w:szCs w:val="24"/>
          <w:lang w:eastAsia="en-GB"/>
          <w14:ligatures w14:val="none"/>
        </w:rPr>
        <w:t>, 17(2), pp. 145–162.</w:t>
      </w:r>
    </w:p>
    <w:p w14:paraId="4F6BD847" w14:textId="77777777" w:rsidR="00697013" w:rsidRPr="00087620" w:rsidRDefault="00697013" w:rsidP="00697013">
      <w:pPr>
        <w:spacing w:after="0" w:line="360" w:lineRule="atLeast"/>
        <w:rPr>
          <w:rFonts w:ascii="Arial" w:eastAsia="Times New Roman" w:hAnsi="Arial" w:cs="Arial"/>
          <w:color w:val="000000"/>
          <w:kern w:val="0"/>
          <w:sz w:val="24"/>
          <w:szCs w:val="24"/>
          <w:lang w:eastAsia="en-GB"/>
          <w14:ligatures w14:val="none"/>
        </w:rPr>
      </w:pPr>
      <w:r w:rsidRPr="00087620">
        <w:rPr>
          <w:rFonts w:ascii="Arial" w:eastAsia="Times New Roman" w:hAnsi="Arial" w:cs="Arial"/>
          <w:color w:val="000000"/>
          <w:kern w:val="0"/>
          <w:sz w:val="24"/>
          <w:szCs w:val="24"/>
          <w:lang w:eastAsia="en-GB"/>
          <w14:ligatures w14:val="none"/>
        </w:rPr>
        <w:t xml:space="preserve">CIPD (2025) </w:t>
      </w:r>
      <w:r w:rsidRPr="00087620">
        <w:rPr>
          <w:rFonts w:ascii="Arial" w:eastAsia="Times New Roman" w:hAnsi="Arial" w:cs="Arial"/>
          <w:i/>
          <w:iCs/>
          <w:color w:val="000000"/>
          <w:kern w:val="0"/>
          <w:sz w:val="24"/>
          <w:szCs w:val="24"/>
          <w:lang w:eastAsia="en-GB"/>
          <w14:ligatures w14:val="none"/>
        </w:rPr>
        <w:t>Artificial Intelligence in HR: Ethical and Practical Guidelines</w:t>
      </w:r>
      <w:r w:rsidRPr="00087620">
        <w:rPr>
          <w:rFonts w:ascii="Arial" w:eastAsia="Times New Roman" w:hAnsi="Arial" w:cs="Arial"/>
          <w:color w:val="000000"/>
          <w:kern w:val="0"/>
          <w:sz w:val="24"/>
          <w:szCs w:val="24"/>
          <w:lang w:eastAsia="en-GB"/>
          <w14:ligatures w14:val="none"/>
        </w:rPr>
        <w:t>. London: Chartered Institute of Personnel and Development.</w:t>
      </w:r>
    </w:p>
    <w:p w14:paraId="7754F089" w14:textId="77777777" w:rsidR="00697013" w:rsidRPr="00087620" w:rsidRDefault="00697013" w:rsidP="00697013">
      <w:pPr>
        <w:spacing w:after="0" w:line="360" w:lineRule="atLeast"/>
        <w:rPr>
          <w:rFonts w:ascii="Arial" w:eastAsia="Times New Roman" w:hAnsi="Arial" w:cs="Arial"/>
          <w:color w:val="000000"/>
          <w:kern w:val="0"/>
          <w:sz w:val="24"/>
          <w:szCs w:val="24"/>
          <w:lang w:eastAsia="en-GB"/>
          <w14:ligatures w14:val="none"/>
        </w:rPr>
      </w:pPr>
      <w:r w:rsidRPr="00087620">
        <w:rPr>
          <w:rFonts w:ascii="Arial" w:eastAsia="Times New Roman" w:hAnsi="Arial" w:cs="Arial"/>
          <w:color w:val="000000"/>
          <w:kern w:val="0"/>
          <w:sz w:val="24"/>
          <w:szCs w:val="24"/>
          <w:lang w:eastAsia="en-GB"/>
          <w14:ligatures w14:val="none"/>
        </w:rPr>
        <w:t xml:space="preserve">Dweck, C.S. (2023) </w:t>
      </w:r>
      <w:r w:rsidRPr="00087620">
        <w:rPr>
          <w:rFonts w:ascii="Arial" w:eastAsia="Times New Roman" w:hAnsi="Arial" w:cs="Arial"/>
          <w:i/>
          <w:iCs/>
          <w:color w:val="000000"/>
          <w:kern w:val="0"/>
          <w:sz w:val="24"/>
          <w:szCs w:val="24"/>
          <w:lang w:eastAsia="en-GB"/>
          <w14:ligatures w14:val="none"/>
        </w:rPr>
        <w:t>Mindset: The New Psychology of Success</w:t>
      </w:r>
      <w:r w:rsidRPr="00087620">
        <w:rPr>
          <w:rFonts w:ascii="Arial" w:eastAsia="Times New Roman" w:hAnsi="Arial" w:cs="Arial"/>
          <w:color w:val="000000"/>
          <w:kern w:val="0"/>
          <w:sz w:val="24"/>
          <w:szCs w:val="24"/>
          <w:lang w:eastAsia="en-GB"/>
          <w14:ligatures w14:val="none"/>
        </w:rPr>
        <w:t xml:space="preserve">. Updated </w:t>
      </w:r>
      <w:proofErr w:type="spellStart"/>
      <w:r w:rsidRPr="00087620">
        <w:rPr>
          <w:rFonts w:ascii="Arial" w:eastAsia="Times New Roman" w:hAnsi="Arial" w:cs="Arial"/>
          <w:color w:val="000000"/>
          <w:kern w:val="0"/>
          <w:sz w:val="24"/>
          <w:szCs w:val="24"/>
          <w:lang w:eastAsia="en-GB"/>
          <w14:ligatures w14:val="none"/>
        </w:rPr>
        <w:t>edn</w:t>
      </w:r>
      <w:proofErr w:type="spellEnd"/>
      <w:r w:rsidRPr="00087620">
        <w:rPr>
          <w:rFonts w:ascii="Arial" w:eastAsia="Times New Roman" w:hAnsi="Arial" w:cs="Arial"/>
          <w:color w:val="000000"/>
          <w:kern w:val="0"/>
          <w:sz w:val="24"/>
          <w:szCs w:val="24"/>
          <w:lang w:eastAsia="en-GB"/>
          <w14:ligatures w14:val="none"/>
        </w:rPr>
        <w:t>. New York: Random House.</w:t>
      </w:r>
    </w:p>
    <w:p w14:paraId="109CA252" w14:textId="77777777" w:rsidR="00697013" w:rsidRPr="00087620" w:rsidRDefault="00697013" w:rsidP="00697013">
      <w:pPr>
        <w:spacing w:after="0" w:line="360" w:lineRule="atLeast"/>
        <w:rPr>
          <w:rFonts w:ascii="Arial" w:eastAsia="Times New Roman" w:hAnsi="Arial" w:cs="Arial"/>
          <w:color w:val="000000"/>
          <w:kern w:val="0"/>
          <w:sz w:val="24"/>
          <w:szCs w:val="24"/>
          <w:lang w:eastAsia="en-GB"/>
          <w14:ligatures w14:val="none"/>
        </w:rPr>
      </w:pPr>
      <w:r w:rsidRPr="00087620">
        <w:rPr>
          <w:rFonts w:ascii="Arial" w:eastAsia="Times New Roman" w:hAnsi="Arial" w:cs="Arial"/>
          <w:color w:val="000000"/>
          <w:kern w:val="0"/>
          <w:sz w:val="24"/>
          <w:szCs w:val="24"/>
          <w:lang w:eastAsia="en-GB"/>
          <w14:ligatures w14:val="none"/>
        </w:rPr>
        <w:t xml:space="preserve">Edmondson, A.C. (2023) </w:t>
      </w:r>
      <w:r w:rsidRPr="00087620">
        <w:rPr>
          <w:rFonts w:ascii="Arial" w:eastAsia="Times New Roman" w:hAnsi="Arial" w:cs="Arial"/>
          <w:i/>
          <w:iCs/>
          <w:color w:val="000000"/>
          <w:kern w:val="0"/>
          <w:sz w:val="24"/>
          <w:szCs w:val="24"/>
          <w:lang w:eastAsia="en-GB"/>
          <w14:ligatures w14:val="none"/>
        </w:rPr>
        <w:t>The Fearless Organization: Creating Psychological Safety in the Workplace for Learning, Innovation, and Growth</w:t>
      </w:r>
      <w:r w:rsidRPr="00087620">
        <w:rPr>
          <w:rFonts w:ascii="Arial" w:eastAsia="Times New Roman" w:hAnsi="Arial" w:cs="Arial"/>
          <w:color w:val="000000"/>
          <w:kern w:val="0"/>
          <w:sz w:val="24"/>
          <w:szCs w:val="24"/>
          <w:lang w:eastAsia="en-GB"/>
          <w14:ligatures w14:val="none"/>
        </w:rPr>
        <w:t xml:space="preserve">. 2nd </w:t>
      </w:r>
      <w:proofErr w:type="spellStart"/>
      <w:r w:rsidRPr="00087620">
        <w:rPr>
          <w:rFonts w:ascii="Arial" w:eastAsia="Times New Roman" w:hAnsi="Arial" w:cs="Arial"/>
          <w:color w:val="000000"/>
          <w:kern w:val="0"/>
          <w:sz w:val="24"/>
          <w:szCs w:val="24"/>
          <w:lang w:eastAsia="en-GB"/>
          <w14:ligatures w14:val="none"/>
        </w:rPr>
        <w:t>edn</w:t>
      </w:r>
      <w:proofErr w:type="spellEnd"/>
      <w:r w:rsidRPr="00087620">
        <w:rPr>
          <w:rFonts w:ascii="Arial" w:eastAsia="Times New Roman" w:hAnsi="Arial" w:cs="Arial"/>
          <w:color w:val="000000"/>
          <w:kern w:val="0"/>
          <w:sz w:val="24"/>
          <w:szCs w:val="24"/>
          <w:lang w:eastAsia="en-GB"/>
          <w14:ligatures w14:val="none"/>
        </w:rPr>
        <w:t>. Hoboken: Wiley.</w:t>
      </w:r>
    </w:p>
    <w:p w14:paraId="640BE2A7" w14:textId="77777777" w:rsidR="00697013" w:rsidRPr="00087620" w:rsidRDefault="00697013" w:rsidP="00697013">
      <w:pPr>
        <w:spacing w:after="0" w:line="360" w:lineRule="atLeast"/>
        <w:rPr>
          <w:rFonts w:ascii="Arial" w:eastAsia="Times New Roman" w:hAnsi="Arial" w:cs="Arial"/>
          <w:color w:val="000000"/>
          <w:kern w:val="0"/>
          <w:sz w:val="24"/>
          <w:szCs w:val="24"/>
          <w:lang w:eastAsia="en-GB"/>
          <w14:ligatures w14:val="none"/>
        </w:rPr>
      </w:pPr>
      <w:r w:rsidRPr="00087620">
        <w:rPr>
          <w:rFonts w:ascii="Arial" w:eastAsia="Times New Roman" w:hAnsi="Arial" w:cs="Arial"/>
          <w:color w:val="000000"/>
          <w:kern w:val="0"/>
          <w:sz w:val="24"/>
          <w:szCs w:val="24"/>
          <w:lang w:eastAsia="en-GB"/>
          <w14:ligatures w14:val="none"/>
        </w:rPr>
        <w:t xml:space="preserve">Ferraro, F., Pfeffer, J. and Sutton, R.I. (2024) ‘Rethinking career advancement: Dual lattices and talent retention’, </w:t>
      </w:r>
      <w:r w:rsidRPr="00087620">
        <w:rPr>
          <w:rFonts w:ascii="Arial" w:eastAsia="Times New Roman" w:hAnsi="Arial" w:cs="Arial"/>
          <w:i/>
          <w:iCs/>
          <w:color w:val="000000"/>
          <w:kern w:val="0"/>
          <w:sz w:val="24"/>
          <w:szCs w:val="24"/>
          <w:lang w:eastAsia="en-GB"/>
          <w14:ligatures w14:val="none"/>
        </w:rPr>
        <w:t>Academy of Management Perspectives</w:t>
      </w:r>
      <w:r w:rsidRPr="00087620">
        <w:rPr>
          <w:rFonts w:ascii="Arial" w:eastAsia="Times New Roman" w:hAnsi="Arial" w:cs="Arial"/>
          <w:color w:val="000000"/>
          <w:kern w:val="0"/>
          <w:sz w:val="24"/>
          <w:szCs w:val="24"/>
          <w:lang w:eastAsia="en-GB"/>
          <w14:ligatures w14:val="none"/>
        </w:rPr>
        <w:t>, 38(1), pp. 89–104.</w:t>
      </w:r>
    </w:p>
    <w:p w14:paraId="370309B8" w14:textId="77777777" w:rsidR="00697013" w:rsidRPr="00087620" w:rsidRDefault="00697013" w:rsidP="00697013">
      <w:pPr>
        <w:spacing w:after="0" w:line="360" w:lineRule="atLeast"/>
        <w:rPr>
          <w:rFonts w:ascii="Arial" w:eastAsia="Times New Roman" w:hAnsi="Arial" w:cs="Arial"/>
          <w:color w:val="000000"/>
          <w:kern w:val="0"/>
          <w:sz w:val="24"/>
          <w:szCs w:val="24"/>
          <w:lang w:eastAsia="en-GB"/>
          <w14:ligatures w14:val="none"/>
        </w:rPr>
      </w:pPr>
      <w:r w:rsidRPr="00087620">
        <w:rPr>
          <w:rFonts w:ascii="Arial" w:eastAsia="Times New Roman" w:hAnsi="Arial" w:cs="Arial"/>
          <w:color w:val="000000"/>
          <w:kern w:val="0"/>
          <w:sz w:val="24"/>
          <w:szCs w:val="24"/>
          <w:lang w:eastAsia="en-GB"/>
          <w14:ligatures w14:val="none"/>
        </w:rPr>
        <w:t xml:space="preserve">Galbraith, J.R. (2022) </w:t>
      </w:r>
      <w:r w:rsidRPr="00087620">
        <w:rPr>
          <w:rFonts w:ascii="Arial" w:eastAsia="Times New Roman" w:hAnsi="Arial" w:cs="Arial"/>
          <w:i/>
          <w:iCs/>
          <w:color w:val="000000"/>
          <w:kern w:val="0"/>
          <w:sz w:val="24"/>
          <w:szCs w:val="24"/>
          <w:lang w:eastAsia="en-GB"/>
          <w14:ligatures w14:val="none"/>
        </w:rPr>
        <w:t>Designing Organizations: Strategy, Implementation, and Management</w:t>
      </w:r>
      <w:r w:rsidRPr="00087620">
        <w:rPr>
          <w:rFonts w:ascii="Arial" w:eastAsia="Times New Roman" w:hAnsi="Arial" w:cs="Arial"/>
          <w:color w:val="000000"/>
          <w:kern w:val="0"/>
          <w:sz w:val="24"/>
          <w:szCs w:val="24"/>
          <w:lang w:eastAsia="en-GB"/>
          <w14:ligatures w14:val="none"/>
        </w:rPr>
        <w:t xml:space="preserve">. 6th </w:t>
      </w:r>
      <w:proofErr w:type="spellStart"/>
      <w:r w:rsidRPr="00087620">
        <w:rPr>
          <w:rFonts w:ascii="Arial" w:eastAsia="Times New Roman" w:hAnsi="Arial" w:cs="Arial"/>
          <w:color w:val="000000"/>
          <w:kern w:val="0"/>
          <w:sz w:val="24"/>
          <w:szCs w:val="24"/>
          <w:lang w:eastAsia="en-GB"/>
          <w14:ligatures w14:val="none"/>
        </w:rPr>
        <w:t>edn</w:t>
      </w:r>
      <w:proofErr w:type="spellEnd"/>
      <w:r w:rsidRPr="00087620">
        <w:rPr>
          <w:rFonts w:ascii="Arial" w:eastAsia="Times New Roman" w:hAnsi="Arial" w:cs="Arial"/>
          <w:color w:val="000000"/>
          <w:kern w:val="0"/>
          <w:sz w:val="24"/>
          <w:szCs w:val="24"/>
          <w:lang w:eastAsia="en-GB"/>
          <w14:ligatures w14:val="none"/>
        </w:rPr>
        <w:t>. San Francisco: Jossey-Bass.</w:t>
      </w:r>
    </w:p>
    <w:p w14:paraId="0A98A4A6" w14:textId="77777777" w:rsidR="00697013" w:rsidRPr="00087620" w:rsidRDefault="00697013" w:rsidP="00697013">
      <w:pPr>
        <w:spacing w:after="0" w:line="360" w:lineRule="atLeast"/>
        <w:rPr>
          <w:rFonts w:ascii="Arial" w:eastAsia="Times New Roman" w:hAnsi="Arial" w:cs="Arial"/>
          <w:color w:val="000000"/>
          <w:kern w:val="0"/>
          <w:sz w:val="24"/>
          <w:szCs w:val="24"/>
          <w:lang w:eastAsia="en-GB"/>
          <w14:ligatures w14:val="none"/>
        </w:rPr>
      </w:pPr>
      <w:r w:rsidRPr="00087620">
        <w:rPr>
          <w:rFonts w:ascii="Arial" w:eastAsia="Times New Roman" w:hAnsi="Arial" w:cs="Arial"/>
          <w:color w:val="000000"/>
          <w:kern w:val="0"/>
          <w:sz w:val="24"/>
          <w:szCs w:val="24"/>
          <w:lang w:eastAsia="en-GB"/>
          <w14:ligatures w14:val="none"/>
        </w:rPr>
        <w:t xml:space="preserve">Jonsen, K., Maznevski, M.L. and Davison, M. (2023) ‘Dual-axis structures and knowledge transfer in multinational firms’, </w:t>
      </w:r>
      <w:r w:rsidRPr="00087620">
        <w:rPr>
          <w:rFonts w:ascii="Arial" w:eastAsia="Times New Roman" w:hAnsi="Arial" w:cs="Arial"/>
          <w:i/>
          <w:iCs/>
          <w:color w:val="000000"/>
          <w:kern w:val="0"/>
          <w:sz w:val="24"/>
          <w:szCs w:val="24"/>
          <w:lang w:eastAsia="en-GB"/>
          <w14:ligatures w14:val="none"/>
        </w:rPr>
        <w:t>Journal of International Business Studies</w:t>
      </w:r>
      <w:r w:rsidRPr="00087620">
        <w:rPr>
          <w:rFonts w:ascii="Arial" w:eastAsia="Times New Roman" w:hAnsi="Arial" w:cs="Arial"/>
          <w:color w:val="000000"/>
          <w:kern w:val="0"/>
          <w:sz w:val="24"/>
          <w:szCs w:val="24"/>
          <w:lang w:eastAsia="en-GB"/>
          <w14:ligatures w14:val="none"/>
        </w:rPr>
        <w:t>, 54(4), pp. 612–628.</w:t>
      </w:r>
    </w:p>
    <w:p w14:paraId="1CF12EC0" w14:textId="77777777" w:rsidR="00697013" w:rsidRPr="00087620" w:rsidRDefault="00697013" w:rsidP="00697013">
      <w:pPr>
        <w:spacing w:after="0" w:line="360" w:lineRule="atLeast"/>
        <w:rPr>
          <w:rFonts w:ascii="Arial" w:eastAsia="Times New Roman" w:hAnsi="Arial" w:cs="Arial"/>
          <w:color w:val="000000"/>
          <w:kern w:val="0"/>
          <w:sz w:val="24"/>
          <w:szCs w:val="24"/>
          <w:lang w:eastAsia="en-GB"/>
          <w14:ligatures w14:val="none"/>
        </w:rPr>
      </w:pPr>
      <w:r w:rsidRPr="00087620">
        <w:rPr>
          <w:rFonts w:ascii="Arial" w:eastAsia="Times New Roman" w:hAnsi="Arial" w:cs="Arial"/>
          <w:color w:val="000000"/>
          <w:kern w:val="0"/>
          <w:sz w:val="24"/>
          <w:szCs w:val="24"/>
          <w:lang w:eastAsia="en-GB"/>
          <w14:ligatures w14:val="none"/>
        </w:rPr>
        <w:t xml:space="preserve">Lee, G., Park, J. and Kim, S. (2024) ‘Cross-functional integration and innovation performance in knowledge-intensive sectors’, </w:t>
      </w:r>
      <w:r w:rsidRPr="00087620">
        <w:rPr>
          <w:rFonts w:ascii="Arial" w:eastAsia="Times New Roman" w:hAnsi="Arial" w:cs="Arial"/>
          <w:i/>
          <w:iCs/>
          <w:color w:val="000000"/>
          <w:kern w:val="0"/>
          <w:sz w:val="24"/>
          <w:szCs w:val="24"/>
          <w:lang w:eastAsia="en-GB"/>
          <w14:ligatures w14:val="none"/>
        </w:rPr>
        <w:t>Journal of Operations Management</w:t>
      </w:r>
      <w:r w:rsidRPr="00087620">
        <w:rPr>
          <w:rFonts w:ascii="Arial" w:eastAsia="Times New Roman" w:hAnsi="Arial" w:cs="Arial"/>
          <w:color w:val="000000"/>
          <w:kern w:val="0"/>
          <w:sz w:val="24"/>
          <w:szCs w:val="24"/>
          <w:lang w:eastAsia="en-GB"/>
          <w14:ligatures w14:val="none"/>
        </w:rPr>
        <w:t>, 70(2), pp. 245–263.</w:t>
      </w:r>
    </w:p>
    <w:p w14:paraId="6B9B494C" w14:textId="77777777" w:rsidR="00697013" w:rsidRPr="00087620" w:rsidRDefault="00697013" w:rsidP="00697013">
      <w:pPr>
        <w:spacing w:after="0" w:line="360" w:lineRule="atLeast"/>
        <w:rPr>
          <w:rFonts w:ascii="Arial" w:eastAsia="Times New Roman" w:hAnsi="Arial" w:cs="Arial"/>
          <w:color w:val="000000"/>
          <w:kern w:val="0"/>
          <w:sz w:val="24"/>
          <w:szCs w:val="24"/>
          <w:lang w:eastAsia="en-GB"/>
          <w14:ligatures w14:val="none"/>
        </w:rPr>
      </w:pPr>
      <w:r w:rsidRPr="00087620">
        <w:rPr>
          <w:rFonts w:ascii="Arial" w:eastAsia="Times New Roman" w:hAnsi="Arial" w:cs="Arial"/>
          <w:color w:val="000000"/>
          <w:kern w:val="0"/>
          <w:sz w:val="24"/>
          <w:szCs w:val="24"/>
          <w:lang w:eastAsia="en-GB"/>
          <w14:ligatures w14:val="none"/>
        </w:rPr>
        <w:t xml:space="preserve">Marler, J.H. and Boudreau, J.W. (2023) ‘Artificial intelligence in human resource management: A review and research agenda’, </w:t>
      </w:r>
      <w:r w:rsidRPr="00087620">
        <w:rPr>
          <w:rFonts w:ascii="Arial" w:eastAsia="Times New Roman" w:hAnsi="Arial" w:cs="Arial"/>
          <w:i/>
          <w:iCs/>
          <w:color w:val="000000"/>
          <w:kern w:val="0"/>
          <w:sz w:val="24"/>
          <w:szCs w:val="24"/>
          <w:lang w:eastAsia="en-GB"/>
          <w14:ligatures w14:val="none"/>
        </w:rPr>
        <w:t>Journal of Management Studies</w:t>
      </w:r>
      <w:r w:rsidRPr="00087620">
        <w:rPr>
          <w:rFonts w:ascii="Arial" w:eastAsia="Times New Roman" w:hAnsi="Arial" w:cs="Arial"/>
          <w:color w:val="000000"/>
          <w:kern w:val="0"/>
          <w:sz w:val="24"/>
          <w:szCs w:val="24"/>
          <w:lang w:eastAsia="en-GB"/>
          <w14:ligatures w14:val="none"/>
        </w:rPr>
        <w:t>, 60(3), pp. 546–572.</w:t>
      </w:r>
    </w:p>
    <w:p w14:paraId="3F57E8BD" w14:textId="77777777" w:rsidR="00697013" w:rsidRPr="00087620" w:rsidRDefault="00697013" w:rsidP="00697013">
      <w:pPr>
        <w:spacing w:after="0" w:line="360" w:lineRule="atLeast"/>
        <w:rPr>
          <w:rFonts w:ascii="Arial" w:eastAsia="Times New Roman" w:hAnsi="Arial" w:cs="Arial"/>
          <w:color w:val="000000"/>
          <w:kern w:val="0"/>
          <w:sz w:val="24"/>
          <w:szCs w:val="24"/>
          <w:lang w:eastAsia="en-GB"/>
          <w14:ligatures w14:val="none"/>
        </w:rPr>
      </w:pPr>
      <w:r w:rsidRPr="00087620">
        <w:rPr>
          <w:rFonts w:ascii="Arial" w:eastAsia="Times New Roman" w:hAnsi="Arial" w:cs="Arial"/>
          <w:color w:val="000000"/>
          <w:kern w:val="0"/>
          <w:sz w:val="24"/>
          <w:szCs w:val="24"/>
          <w:lang w:eastAsia="en-GB"/>
          <w14:ligatures w14:val="none"/>
        </w:rPr>
        <w:t xml:space="preserve">Mayo, A., Lakhani, K.R. and Barley, W.C. (2023) ‘Organisational structure and innovation in digital health’, </w:t>
      </w:r>
      <w:r w:rsidRPr="00087620">
        <w:rPr>
          <w:rFonts w:ascii="Arial" w:eastAsia="Times New Roman" w:hAnsi="Arial" w:cs="Arial"/>
          <w:i/>
          <w:iCs/>
          <w:color w:val="000000"/>
          <w:kern w:val="0"/>
          <w:sz w:val="24"/>
          <w:szCs w:val="24"/>
          <w:lang w:eastAsia="en-GB"/>
          <w14:ligatures w14:val="none"/>
        </w:rPr>
        <w:t>Journal of Healthcare Management</w:t>
      </w:r>
      <w:r w:rsidRPr="00087620">
        <w:rPr>
          <w:rFonts w:ascii="Arial" w:eastAsia="Times New Roman" w:hAnsi="Arial" w:cs="Arial"/>
          <w:color w:val="000000"/>
          <w:kern w:val="0"/>
          <w:sz w:val="24"/>
          <w:szCs w:val="24"/>
          <w:lang w:eastAsia="en-GB"/>
          <w14:ligatures w14:val="none"/>
        </w:rPr>
        <w:t>, 68(2), pp. 98–112.</w:t>
      </w:r>
    </w:p>
    <w:p w14:paraId="2A886584" w14:textId="77777777" w:rsidR="00697013" w:rsidRPr="00087620" w:rsidRDefault="00697013" w:rsidP="00697013">
      <w:pPr>
        <w:spacing w:after="0" w:line="360" w:lineRule="atLeast"/>
        <w:rPr>
          <w:rFonts w:ascii="Arial" w:eastAsia="Times New Roman" w:hAnsi="Arial" w:cs="Arial"/>
          <w:color w:val="000000"/>
          <w:kern w:val="0"/>
          <w:sz w:val="24"/>
          <w:szCs w:val="24"/>
          <w:lang w:eastAsia="en-GB"/>
          <w14:ligatures w14:val="none"/>
        </w:rPr>
      </w:pPr>
      <w:r w:rsidRPr="00087620">
        <w:rPr>
          <w:rFonts w:ascii="Arial" w:eastAsia="Times New Roman" w:hAnsi="Arial" w:cs="Arial"/>
          <w:color w:val="000000"/>
          <w:kern w:val="0"/>
          <w:sz w:val="24"/>
          <w:szCs w:val="24"/>
          <w:lang w:eastAsia="en-GB"/>
          <w14:ligatures w14:val="none"/>
        </w:rPr>
        <w:t xml:space="preserve">Rigby, D.K., Sutherland, J. and Takeuchi, H. (2023) </w:t>
      </w:r>
      <w:r w:rsidRPr="00087620">
        <w:rPr>
          <w:rFonts w:ascii="Arial" w:eastAsia="Times New Roman" w:hAnsi="Arial" w:cs="Arial"/>
          <w:i/>
          <w:iCs/>
          <w:color w:val="000000"/>
          <w:kern w:val="0"/>
          <w:sz w:val="24"/>
          <w:szCs w:val="24"/>
          <w:lang w:eastAsia="en-GB"/>
          <w14:ligatures w14:val="none"/>
        </w:rPr>
        <w:t>Managing in the Digital Age: Agile, Digital, and the Future of Work</w:t>
      </w:r>
      <w:r w:rsidRPr="00087620">
        <w:rPr>
          <w:rFonts w:ascii="Arial" w:eastAsia="Times New Roman" w:hAnsi="Arial" w:cs="Arial"/>
          <w:color w:val="000000"/>
          <w:kern w:val="0"/>
          <w:sz w:val="24"/>
          <w:szCs w:val="24"/>
          <w:lang w:eastAsia="en-GB"/>
          <w14:ligatures w14:val="none"/>
        </w:rPr>
        <w:t>. Boston: Harvard Business Review Press.</w:t>
      </w:r>
    </w:p>
    <w:p w14:paraId="4DAB3E09" w14:textId="77777777" w:rsidR="00697013" w:rsidRPr="00087620" w:rsidRDefault="00697013" w:rsidP="00697013">
      <w:pPr>
        <w:spacing w:after="0" w:line="360" w:lineRule="atLeast"/>
        <w:rPr>
          <w:rFonts w:ascii="Arial" w:eastAsia="Times New Roman" w:hAnsi="Arial" w:cs="Arial"/>
          <w:color w:val="000000"/>
          <w:kern w:val="0"/>
          <w:sz w:val="24"/>
          <w:szCs w:val="24"/>
          <w:lang w:eastAsia="en-GB"/>
          <w14:ligatures w14:val="none"/>
        </w:rPr>
      </w:pPr>
      <w:r w:rsidRPr="00087620">
        <w:rPr>
          <w:rFonts w:ascii="Arial" w:eastAsia="Times New Roman" w:hAnsi="Arial" w:cs="Arial"/>
          <w:color w:val="000000"/>
          <w:kern w:val="0"/>
          <w:sz w:val="24"/>
          <w:szCs w:val="24"/>
          <w:lang w:eastAsia="en-GB"/>
          <w14:ligatures w14:val="none"/>
        </w:rPr>
        <w:t xml:space="preserve">Ryan, R.M. and Deci, E.L. (2022) ‘Self-Determination Theory: Basic psychological needs in motivation, development, and wellness’, </w:t>
      </w:r>
      <w:r w:rsidRPr="00087620">
        <w:rPr>
          <w:rFonts w:ascii="Arial" w:eastAsia="Times New Roman" w:hAnsi="Arial" w:cs="Arial"/>
          <w:i/>
          <w:iCs/>
          <w:color w:val="000000"/>
          <w:kern w:val="0"/>
          <w:sz w:val="24"/>
          <w:szCs w:val="24"/>
          <w:lang w:eastAsia="en-GB"/>
          <w14:ligatures w14:val="none"/>
        </w:rPr>
        <w:t>Guilford Publications</w:t>
      </w:r>
      <w:r w:rsidRPr="00087620">
        <w:rPr>
          <w:rFonts w:ascii="Arial" w:eastAsia="Times New Roman" w:hAnsi="Arial" w:cs="Arial"/>
          <w:color w:val="000000"/>
          <w:kern w:val="0"/>
          <w:sz w:val="24"/>
          <w:szCs w:val="24"/>
          <w:lang w:eastAsia="en-GB"/>
          <w14:ligatures w14:val="none"/>
        </w:rPr>
        <w:t xml:space="preserve">, 2nd </w:t>
      </w:r>
      <w:proofErr w:type="spellStart"/>
      <w:r w:rsidRPr="00087620">
        <w:rPr>
          <w:rFonts w:ascii="Arial" w:eastAsia="Times New Roman" w:hAnsi="Arial" w:cs="Arial"/>
          <w:color w:val="000000"/>
          <w:kern w:val="0"/>
          <w:sz w:val="24"/>
          <w:szCs w:val="24"/>
          <w:lang w:eastAsia="en-GB"/>
          <w14:ligatures w14:val="none"/>
        </w:rPr>
        <w:t>edn</w:t>
      </w:r>
      <w:proofErr w:type="spellEnd"/>
      <w:r w:rsidRPr="00087620">
        <w:rPr>
          <w:rFonts w:ascii="Arial" w:eastAsia="Times New Roman" w:hAnsi="Arial" w:cs="Arial"/>
          <w:color w:val="000000"/>
          <w:kern w:val="0"/>
          <w:sz w:val="24"/>
          <w:szCs w:val="24"/>
          <w:lang w:eastAsia="en-GB"/>
          <w14:ligatures w14:val="none"/>
        </w:rPr>
        <w:t>.</w:t>
      </w:r>
    </w:p>
    <w:p w14:paraId="3D77CB3E" w14:textId="77777777" w:rsidR="00697013" w:rsidRPr="00087620" w:rsidRDefault="00697013" w:rsidP="00697013">
      <w:pPr>
        <w:spacing w:after="0" w:line="360" w:lineRule="atLeast"/>
        <w:rPr>
          <w:rFonts w:ascii="Arial" w:eastAsia="Times New Roman" w:hAnsi="Arial" w:cs="Arial"/>
          <w:color w:val="000000"/>
          <w:kern w:val="0"/>
          <w:sz w:val="24"/>
          <w:szCs w:val="24"/>
          <w:lang w:eastAsia="en-GB"/>
          <w14:ligatures w14:val="none"/>
        </w:rPr>
      </w:pPr>
      <w:r w:rsidRPr="00087620">
        <w:rPr>
          <w:rFonts w:ascii="Arial" w:eastAsia="Times New Roman" w:hAnsi="Arial" w:cs="Arial"/>
          <w:color w:val="000000"/>
          <w:kern w:val="0"/>
          <w:sz w:val="24"/>
          <w:szCs w:val="24"/>
          <w:lang w:eastAsia="en-GB"/>
          <w14:ligatures w14:val="none"/>
        </w:rPr>
        <w:t xml:space="preserve">Senge, P.M. (2023) </w:t>
      </w:r>
      <w:r w:rsidRPr="00087620">
        <w:rPr>
          <w:rFonts w:ascii="Arial" w:eastAsia="Times New Roman" w:hAnsi="Arial" w:cs="Arial"/>
          <w:i/>
          <w:iCs/>
          <w:color w:val="000000"/>
          <w:kern w:val="0"/>
          <w:sz w:val="24"/>
          <w:szCs w:val="24"/>
          <w:lang w:eastAsia="en-GB"/>
          <w14:ligatures w14:val="none"/>
        </w:rPr>
        <w:t>The Fifth Discipline: The Art and Practice of the Learning Organization</w:t>
      </w:r>
      <w:r w:rsidRPr="00087620">
        <w:rPr>
          <w:rFonts w:ascii="Arial" w:eastAsia="Times New Roman" w:hAnsi="Arial" w:cs="Arial"/>
          <w:color w:val="000000"/>
          <w:kern w:val="0"/>
          <w:sz w:val="24"/>
          <w:szCs w:val="24"/>
          <w:lang w:eastAsia="en-GB"/>
          <w14:ligatures w14:val="none"/>
        </w:rPr>
        <w:t xml:space="preserve">. 3rd </w:t>
      </w:r>
      <w:proofErr w:type="spellStart"/>
      <w:r w:rsidRPr="00087620">
        <w:rPr>
          <w:rFonts w:ascii="Arial" w:eastAsia="Times New Roman" w:hAnsi="Arial" w:cs="Arial"/>
          <w:color w:val="000000"/>
          <w:kern w:val="0"/>
          <w:sz w:val="24"/>
          <w:szCs w:val="24"/>
          <w:lang w:eastAsia="en-GB"/>
          <w14:ligatures w14:val="none"/>
        </w:rPr>
        <w:t>edn</w:t>
      </w:r>
      <w:proofErr w:type="spellEnd"/>
      <w:r w:rsidRPr="00087620">
        <w:rPr>
          <w:rFonts w:ascii="Arial" w:eastAsia="Times New Roman" w:hAnsi="Arial" w:cs="Arial"/>
          <w:color w:val="000000"/>
          <w:kern w:val="0"/>
          <w:sz w:val="24"/>
          <w:szCs w:val="24"/>
          <w:lang w:eastAsia="en-GB"/>
          <w14:ligatures w14:val="none"/>
        </w:rPr>
        <w:t>. London: Random House Business.</w:t>
      </w:r>
    </w:p>
    <w:p w14:paraId="37BCD98C" w14:textId="77777777" w:rsidR="00697013" w:rsidRPr="00087620" w:rsidRDefault="00697013" w:rsidP="00697013">
      <w:pPr>
        <w:spacing w:after="0" w:line="360" w:lineRule="atLeast"/>
        <w:rPr>
          <w:rFonts w:ascii="Arial" w:eastAsia="Times New Roman" w:hAnsi="Arial" w:cs="Arial"/>
          <w:color w:val="000000"/>
          <w:kern w:val="0"/>
          <w:sz w:val="24"/>
          <w:szCs w:val="24"/>
          <w:lang w:eastAsia="en-GB"/>
          <w14:ligatures w14:val="none"/>
        </w:rPr>
      </w:pPr>
      <w:r w:rsidRPr="00087620">
        <w:rPr>
          <w:rFonts w:ascii="Arial" w:eastAsia="Times New Roman" w:hAnsi="Arial" w:cs="Arial"/>
          <w:color w:val="000000"/>
          <w:kern w:val="0"/>
          <w:sz w:val="24"/>
          <w:szCs w:val="24"/>
          <w:lang w:eastAsia="en-GB"/>
          <w14:ligatures w14:val="none"/>
        </w:rPr>
        <w:t xml:space="preserve">Sparrow, P.R. (2024) </w:t>
      </w:r>
      <w:r w:rsidRPr="00087620">
        <w:rPr>
          <w:rFonts w:ascii="Arial" w:eastAsia="Times New Roman" w:hAnsi="Arial" w:cs="Arial"/>
          <w:i/>
          <w:iCs/>
          <w:color w:val="000000"/>
          <w:kern w:val="0"/>
          <w:sz w:val="24"/>
          <w:szCs w:val="24"/>
          <w:lang w:eastAsia="en-GB"/>
          <w14:ligatures w14:val="none"/>
        </w:rPr>
        <w:t>Strategic Human Resource Management: Building a Capability-Based System</w:t>
      </w:r>
      <w:r w:rsidRPr="00087620">
        <w:rPr>
          <w:rFonts w:ascii="Arial" w:eastAsia="Times New Roman" w:hAnsi="Arial" w:cs="Arial"/>
          <w:color w:val="000000"/>
          <w:kern w:val="0"/>
          <w:sz w:val="24"/>
          <w:szCs w:val="24"/>
          <w:lang w:eastAsia="en-GB"/>
          <w14:ligatures w14:val="none"/>
        </w:rPr>
        <w:t xml:space="preserve">. 3rd </w:t>
      </w:r>
      <w:proofErr w:type="spellStart"/>
      <w:r w:rsidRPr="00087620">
        <w:rPr>
          <w:rFonts w:ascii="Arial" w:eastAsia="Times New Roman" w:hAnsi="Arial" w:cs="Arial"/>
          <w:color w:val="000000"/>
          <w:kern w:val="0"/>
          <w:sz w:val="24"/>
          <w:szCs w:val="24"/>
          <w:lang w:eastAsia="en-GB"/>
          <w14:ligatures w14:val="none"/>
        </w:rPr>
        <w:t>edn</w:t>
      </w:r>
      <w:proofErr w:type="spellEnd"/>
      <w:r w:rsidRPr="00087620">
        <w:rPr>
          <w:rFonts w:ascii="Arial" w:eastAsia="Times New Roman" w:hAnsi="Arial" w:cs="Arial"/>
          <w:color w:val="000000"/>
          <w:kern w:val="0"/>
          <w:sz w:val="24"/>
          <w:szCs w:val="24"/>
          <w:lang w:eastAsia="en-GB"/>
          <w14:ligatures w14:val="none"/>
        </w:rPr>
        <w:t>. Oxford: Oxford University Press.</w:t>
      </w:r>
    </w:p>
    <w:p w14:paraId="62F2A966" w14:textId="77777777" w:rsidR="00697013" w:rsidRPr="00087620" w:rsidRDefault="00697013" w:rsidP="00697013">
      <w:pPr>
        <w:spacing w:after="0" w:line="360" w:lineRule="atLeast"/>
        <w:rPr>
          <w:rFonts w:ascii="Arial" w:eastAsia="Times New Roman" w:hAnsi="Arial" w:cs="Arial"/>
          <w:color w:val="000000"/>
          <w:kern w:val="0"/>
          <w:sz w:val="24"/>
          <w:szCs w:val="24"/>
          <w:lang w:eastAsia="en-GB"/>
          <w14:ligatures w14:val="none"/>
        </w:rPr>
      </w:pPr>
      <w:r w:rsidRPr="00087620">
        <w:rPr>
          <w:rFonts w:ascii="Arial" w:eastAsia="Times New Roman" w:hAnsi="Arial" w:cs="Arial"/>
          <w:color w:val="000000"/>
          <w:kern w:val="0"/>
          <w:sz w:val="24"/>
          <w:szCs w:val="24"/>
          <w:lang w:eastAsia="en-GB"/>
          <w14:ligatures w14:val="none"/>
        </w:rPr>
        <w:lastRenderedPageBreak/>
        <w:t xml:space="preserve">Sparrow, P.R. and Makram, H. (2022) ‘High-involvement work systems: A review and research agenda’, </w:t>
      </w:r>
      <w:r w:rsidRPr="00087620">
        <w:rPr>
          <w:rFonts w:ascii="Arial" w:eastAsia="Times New Roman" w:hAnsi="Arial" w:cs="Arial"/>
          <w:i/>
          <w:iCs/>
          <w:color w:val="000000"/>
          <w:kern w:val="0"/>
          <w:sz w:val="24"/>
          <w:szCs w:val="24"/>
          <w:lang w:eastAsia="en-GB"/>
          <w14:ligatures w14:val="none"/>
        </w:rPr>
        <w:t>International Journal of Human Resource Management</w:t>
      </w:r>
      <w:r w:rsidRPr="00087620">
        <w:rPr>
          <w:rFonts w:ascii="Arial" w:eastAsia="Times New Roman" w:hAnsi="Arial" w:cs="Arial"/>
          <w:color w:val="000000"/>
          <w:kern w:val="0"/>
          <w:sz w:val="24"/>
          <w:szCs w:val="24"/>
          <w:lang w:eastAsia="en-GB"/>
          <w14:ligatures w14:val="none"/>
        </w:rPr>
        <w:t>, 33(4), pp. 679–703.</w:t>
      </w:r>
    </w:p>
    <w:p w14:paraId="12598A38" w14:textId="77777777" w:rsidR="00697013" w:rsidRPr="00087620" w:rsidRDefault="00697013" w:rsidP="00697013">
      <w:pPr>
        <w:spacing w:after="0" w:line="360" w:lineRule="atLeast"/>
        <w:rPr>
          <w:rFonts w:ascii="Arial" w:eastAsia="Times New Roman" w:hAnsi="Arial" w:cs="Arial"/>
          <w:color w:val="000000"/>
          <w:kern w:val="0"/>
          <w:sz w:val="24"/>
          <w:szCs w:val="24"/>
          <w:lang w:eastAsia="en-GB"/>
          <w14:ligatures w14:val="none"/>
        </w:rPr>
      </w:pPr>
      <w:r w:rsidRPr="00087620">
        <w:rPr>
          <w:rFonts w:ascii="Arial" w:eastAsia="Times New Roman" w:hAnsi="Arial" w:cs="Arial"/>
          <w:color w:val="000000"/>
          <w:kern w:val="0"/>
          <w:sz w:val="24"/>
          <w:szCs w:val="24"/>
          <w:lang w:eastAsia="en-GB"/>
          <w14:ligatures w14:val="none"/>
        </w:rPr>
        <w:t xml:space="preserve">Stahl, G.K., </w:t>
      </w:r>
      <w:proofErr w:type="spellStart"/>
      <w:r w:rsidRPr="00087620">
        <w:rPr>
          <w:rFonts w:ascii="Arial" w:eastAsia="Times New Roman" w:hAnsi="Arial" w:cs="Arial"/>
          <w:color w:val="000000"/>
          <w:kern w:val="0"/>
          <w:sz w:val="24"/>
          <w:szCs w:val="24"/>
          <w:lang w:eastAsia="en-GB"/>
          <w14:ligatures w14:val="none"/>
        </w:rPr>
        <w:t>Maznevski</w:t>
      </w:r>
      <w:proofErr w:type="spellEnd"/>
      <w:r w:rsidRPr="00087620">
        <w:rPr>
          <w:rFonts w:ascii="Arial" w:eastAsia="Times New Roman" w:hAnsi="Arial" w:cs="Arial"/>
          <w:color w:val="000000"/>
          <w:kern w:val="0"/>
          <w:sz w:val="24"/>
          <w:szCs w:val="24"/>
          <w:lang w:eastAsia="en-GB"/>
          <w14:ligatures w14:val="none"/>
        </w:rPr>
        <w:t xml:space="preserve">, M.L. and Jonsen, K. (2023) </w:t>
      </w:r>
      <w:r w:rsidRPr="00087620">
        <w:rPr>
          <w:rFonts w:ascii="Arial" w:eastAsia="Times New Roman" w:hAnsi="Arial" w:cs="Arial"/>
          <w:i/>
          <w:iCs/>
          <w:color w:val="000000"/>
          <w:kern w:val="0"/>
          <w:sz w:val="24"/>
          <w:szCs w:val="24"/>
          <w:lang w:eastAsia="en-GB"/>
          <w14:ligatures w14:val="none"/>
        </w:rPr>
        <w:t>Managing Cultural Diversity in Global Organizations</w:t>
      </w:r>
      <w:r w:rsidRPr="00087620">
        <w:rPr>
          <w:rFonts w:ascii="Arial" w:eastAsia="Times New Roman" w:hAnsi="Arial" w:cs="Arial"/>
          <w:color w:val="000000"/>
          <w:kern w:val="0"/>
          <w:sz w:val="24"/>
          <w:szCs w:val="24"/>
          <w:lang w:eastAsia="en-GB"/>
          <w14:ligatures w14:val="none"/>
        </w:rPr>
        <w:t xml:space="preserve">. 3rd </w:t>
      </w:r>
      <w:proofErr w:type="spellStart"/>
      <w:r w:rsidRPr="00087620">
        <w:rPr>
          <w:rFonts w:ascii="Arial" w:eastAsia="Times New Roman" w:hAnsi="Arial" w:cs="Arial"/>
          <w:color w:val="000000"/>
          <w:kern w:val="0"/>
          <w:sz w:val="24"/>
          <w:szCs w:val="24"/>
          <w:lang w:eastAsia="en-GB"/>
          <w14:ligatures w14:val="none"/>
        </w:rPr>
        <w:t>edn</w:t>
      </w:r>
      <w:proofErr w:type="spellEnd"/>
      <w:r w:rsidRPr="00087620">
        <w:rPr>
          <w:rFonts w:ascii="Arial" w:eastAsia="Times New Roman" w:hAnsi="Arial" w:cs="Arial"/>
          <w:color w:val="000000"/>
          <w:kern w:val="0"/>
          <w:sz w:val="24"/>
          <w:szCs w:val="24"/>
          <w:lang w:eastAsia="en-GB"/>
          <w14:ligatures w14:val="none"/>
        </w:rPr>
        <w:t>. Cambridge: Cambridge University Press.</w:t>
      </w:r>
    </w:p>
    <w:p w14:paraId="101849DB" w14:textId="77777777" w:rsidR="00697013" w:rsidRPr="00087620" w:rsidRDefault="00697013" w:rsidP="00697013">
      <w:pPr>
        <w:spacing w:after="0" w:line="360" w:lineRule="atLeast"/>
        <w:rPr>
          <w:rFonts w:ascii="Arial" w:eastAsia="Times New Roman" w:hAnsi="Arial" w:cs="Arial"/>
          <w:color w:val="000000"/>
          <w:kern w:val="0"/>
          <w:sz w:val="24"/>
          <w:szCs w:val="24"/>
          <w:lang w:eastAsia="en-GB"/>
          <w14:ligatures w14:val="none"/>
        </w:rPr>
      </w:pPr>
      <w:r w:rsidRPr="00087620">
        <w:rPr>
          <w:rFonts w:ascii="Arial" w:eastAsia="Times New Roman" w:hAnsi="Arial" w:cs="Arial"/>
          <w:color w:val="000000"/>
          <w:kern w:val="0"/>
          <w:sz w:val="24"/>
          <w:szCs w:val="24"/>
          <w:lang w:eastAsia="en-GB"/>
          <w14:ligatures w14:val="none"/>
        </w:rPr>
        <w:t xml:space="preserve">Tarique, I. and Schuler, R.S. (2023) ‘Global talent management: Literature review, integrative framework, and research agenda’, </w:t>
      </w:r>
      <w:r w:rsidRPr="00087620">
        <w:rPr>
          <w:rFonts w:ascii="Arial" w:eastAsia="Times New Roman" w:hAnsi="Arial" w:cs="Arial"/>
          <w:i/>
          <w:iCs/>
          <w:color w:val="000000"/>
          <w:kern w:val="0"/>
          <w:sz w:val="24"/>
          <w:szCs w:val="24"/>
          <w:lang w:eastAsia="en-GB"/>
          <w14:ligatures w14:val="none"/>
        </w:rPr>
        <w:t>Journal of World Business</w:t>
      </w:r>
      <w:r w:rsidRPr="00087620">
        <w:rPr>
          <w:rFonts w:ascii="Arial" w:eastAsia="Times New Roman" w:hAnsi="Arial" w:cs="Arial"/>
          <w:color w:val="000000"/>
          <w:kern w:val="0"/>
          <w:sz w:val="24"/>
          <w:szCs w:val="24"/>
          <w:lang w:eastAsia="en-GB"/>
          <w14:ligatures w14:val="none"/>
        </w:rPr>
        <w:t>, 58(2), article 101389.</w:t>
      </w:r>
    </w:p>
    <w:p w14:paraId="0ED6234A" w14:textId="77777777" w:rsidR="00697013" w:rsidRPr="00087620" w:rsidRDefault="00697013" w:rsidP="00697013">
      <w:pPr>
        <w:spacing w:after="0" w:line="360" w:lineRule="atLeast"/>
        <w:rPr>
          <w:rFonts w:ascii="Arial" w:eastAsia="Times New Roman" w:hAnsi="Arial" w:cs="Arial"/>
          <w:color w:val="000000"/>
          <w:kern w:val="0"/>
          <w:sz w:val="24"/>
          <w:szCs w:val="24"/>
          <w:lang w:eastAsia="en-GB"/>
          <w14:ligatures w14:val="none"/>
        </w:rPr>
      </w:pPr>
      <w:r w:rsidRPr="00087620">
        <w:rPr>
          <w:rFonts w:ascii="Arial" w:eastAsia="Times New Roman" w:hAnsi="Arial" w:cs="Arial"/>
          <w:color w:val="000000"/>
          <w:kern w:val="0"/>
          <w:sz w:val="24"/>
          <w:szCs w:val="24"/>
          <w:lang w:eastAsia="en-GB"/>
          <w14:ligatures w14:val="none"/>
        </w:rPr>
        <w:t xml:space="preserve">Tims, M. and Bakker, A.B. (2023) ‘Job crafting: Current research and future directions’, </w:t>
      </w:r>
      <w:r w:rsidRPr="00087620">
        <w:rPr>
          <w:rFonts w:ascii="Arial" w:eastAsia="Times New Roman" w:hAnsi="Arial" w:cs="Arial"/>
          <w:i/>
          <w:iCs/>
          <w:color w:val="000000"/>
          <w:kern w:val="0"/>
          <w:sz w:val="24"/>
          <w:szCs w:val="24"/>
          <w:lang w:eastAsia="en-GB"/>
          <w14:ligatures w14:val="none"/>
        </w:rPr>
        <w:t>Journal of Occupational and Organizational Psychology</w:t>
      </w:r>
      <w:r w:rsidRPr="00087620">
        <w:rPr>
          <w:rFonts w:ascii="Arial" w:eastAsia="Times New Roman" w:hAnsi="Arial" w:cs="Arial"/>
          <w:color w:val="000000"/>
          <w:kern w:val="0"/>
          <w:sz w:val="24"/>
          <w:szCs w:val="24"/>
          <w:lang w:eastAsia="en-GB"/>
          <w14:ligatures w14:val="none"/>
        </w:rPr>
        <w:t>, 96(1), pp. 1–28.</w:t>
      </w:r>
    </w:p>
    <w:p w14:paraId="4814815C" w14:textId="77777777" w:rsidR="00697013" w:rsidRPr="00087620" w:rsidRDefault="00697013" w:rsidP="00697013">
      <w:pPr>
        <w:spacing w:after="0" w:line="360" w:lineRule="atLeast"/>
        <w:rPr>
          <w:rFonts w:ascii="Arial" w:eastAsia="Times New Roman" w:hAnsi="Arial" w:cs="Arial"/>
          <w:color w:val="000000"/>
          <w:kern w:val="0"/>
          <w:sz w:val="24"/>
          <w:szCs w:val="24"/>
          <w:lang w:eastAsia="en-GB"/>
          <w14:ligatures w14:val="none"/>
        </w:rPr>
      </w:pPr>
      <w:r w:rsidRPr="00087620">
        <w:rPr>
          <w:rFonts w:ascii="Arial" w:eastAsia="Times New Roman" w:hAnsi="Arial" w:cs="Arial"/>
          <w:color w:val="000000"/>
          <w:kern w:val="0"/>
          <w:sz w:val="24"/>
          <w:szCs w:val="24"/>
          <w:lang w:eastAsia="en-GB"/>
          <w14:ligatures w14:val="none"/>
        </w:rPr>
        <w:t xml:space="preserve">Trist, E.L. (2022) ‘The evolution of sociotechnical systems as a conceptual framework and as an action research programme’, in Emery, F.E. (ed.) </w:t>
      </w:r>
      <w:r w:rsidRPr="00087620">
        <w:rPr>
          <w:rFonts w:ascii="Arial" w:eastAsia="Times New Roman" w:hAnsi="Arial" w:cs="Arial"/>
          <w:i/>
          <w:iCs/>
          <w:color w:val="000000"/>
          <w:kern w:val="0"/>
          <w:sz w:val="24"/>
          <w:szCs w:val="24"/>
          <w:lang w:eastAsia="en-GB"/>
          <w14:ligatures w14:val="none"/>
        </w:rPr>
        <w:t>Systems Thinking</w:t>
      </w:r>
      <w:r w:rsidRPr="00087620">
        <w:rPr>
          <w:rFonts w:ascii="Arial" w:eastAsia="Times New Roman" w:hAnsi="Arial" w:cs="Arial"/>
          <w:color w:val="000000"/>
          <w:kern w:val="0"/>
          <w:sz w:val="24"/>
          <w:szCs w:val="24"/>
          <w:lang w:eastAsia="en-GB"/>
          <w14:ligatures w14:val="none"/>
        </w:rPr>
        <w:t>. London: Penguin, pp. 41–74.</w:t>
      </w:r>
    </w:p>
    <w:p w14:paraId="55B37818" w14:textId="77777777" w:rsidR="00697013" w:rsidRPr="00087620" w:rsidRDefault="00697013" w:rsidP="00697013">
      <w:pPr>
        <w:spacing w:after="0" w:line="360" w:lineRule="atLeast"/>
        <w:rPr>
          <w:rFonts w:ascii="Arial" w:eastAsia="Times New Roman" w:hAnsi="Arial" w:cs="Arial"/>
          <w:color w:val="000000"/>
          <w:kern w:val="0"/>
          <w:sz w:val="24"/>
          <w:szCs w:val="24"/>
          <w:lang w:eastAsia="en-GB"/>
          <w14:ligatures w14:val="none"/>
        </w:rPr>
      </w:pPr>
      <w:proofErr w:type="spellStart"/>
      <w:r w:rsidRPr="00087620">
        <w:rPr>
          <w:rFonts w:ascii="Arial" w:eastAsia="Times New Roman" w:hAnsi="Arial" w:cs="Arial"/>
          <w:color w:val="000000"/>
          <w:kern w:val="0"/>
          <w:sz w:val="24"/>
          <w:szCs w:val="24"/>
          <w:lang w:eastAsia="en-GB"/>
          <w14:ligatures w14:val="none"/>
        </w:rPr>
        <w:t>Tranfield</w:t>
      </w:r>
      <w:proofErr w:type="spellEnd"/>
      <w:r w:rsidRPr="00087620">
        <w:rPr>
          <w:rFonts w:ascii="Arial" w:eastAsia="Times New Roman" w:hAnsi="Arial" w:cs="Arial"/>
          <w:color w:val="000000"/>
          <w:kern w:val="0"/>
          <w:sz w:val="24"/>
          <w:szCs w:val="24"/>
          <w:lang w:eastAsia="en-GB"/>
          <w14:ligatures w14:val="none"/>
        </w:rPr>
        <w:t xml:space="preserve">, D., Denyer, D. and Smart, P. (2003) ‘Towards a methodology for developing evidence-informed management knowledge by means of systematic review’, </w:t>
      </w:r>
      <w:r w:rsidRPr="00087620">
        <w:rPr>
          <w:rFonts w:ascii="Arial" w:eastAsia="Times New Roman" w:hAnsi="Arial" w:cs="Arial"/>
          <w:i/>
          <w:iCs/>
          <w:color w:val="000000"/>
          <w:kern w:val="0"/>
          <w:sz w:val="24"/>
          <w:szCs w:val="24"/>
          <w:lang w:eastAsia="en-GB"/>
          <w14:ligatures w14:val="none"/>
        </w:rPr>
        <w:t>British Journal of Management</w:t>
      </w:r>
      <w:r w:rsidRPr="00087620">
        <w:rPr>
          <w:rFonts w:ascii="Arial" w:eastAsia="Times New Roman" w:hAnsi="Arial" w:cs="Arial"/>
          <w:color w:val="000000"/>
          <w:kern w:val="0"/>
          <w:sz w:val="24"/>
          <w:szCs w:val="24"/>
          <w:lang w:eastAsia="en-GB"/>
          <w14:ligatures w14:val="none"/>
        </w:rPr>
        <w:t>, 14(3), pp. 207–222.</w:t>
      </w:r>
    </w:p>
    <w:p w14:paraId="61130A1B" w14:textId="77777777" w:rsidR="00697013" w:rsidRPr="00087620" w:rsidRDefault="00697013" w:rsidP="00697013">
      <w:pPr>
        <w:spacing w:after="0" w:line="360" w:lineRule="atLeast"/>
        <w:rPr>
          <w:rFonts w:ascii="Arial" w:eastAsia="Times New Roman" w:hAnsi="Arial" w:cs="Arial"/>
          <w:color w:val="000000"/>
          <w:kern w:val="0"/>
          <w:sz w:val="24"/>
          <w:szCs w:val="24"/>
          <w:lang w:eastAsia="en-GB"/>
          <w14:ligatures w14:val="none"/>
        </w:rPr>
      </w:pPr>
      <w:r w:rsidRPr="00087620">
        <w:rPr>
          <w:rFonts w:ascii="Arial" w:eastAsia="Times New Roman" w:hAnsi="Arial" w:cs="Arial"/>
          <w:color w:val="000000"/>
          <w:kern w:val="0"/>
          <w:sz w:val="24"/>
          <w:szCs w:val="24"/>
          <w:lang w:eastAsia="en-GB"/>
          <w14:ligatures w14:val="none"/>
        </w:rPr>
        <w:t xml:space="preserve">Wood, S. and Ogbonnaya, C. (2023) ‘High-performance and high-involvement work systems: A critical review and research agenda’, </w:t>
      </w:r>
      <w:r w:rsidRPr="00087620">
        <w:rPr>
          <w:rFonts w:ascii="Arial" w:eastAsia="Times New Roman" w:hAnsi="Arial" w:cs="Arial"/>
          <w:i/>
          <w:iCs/>
          <w:color w:val="000000"/>
          <w:kern w:val="0"/>
          <w:sz w:val="24"/>
          <w:szCs w:val="24"/>
          <w:lang w:eastAsia="en-GB"/>
          <w14:ligatures w14:val="none"/>
        </w:rPr>
        <w:t>Journal of Management</w:t>
      </w:r>
      <w:r w:rsidRPr="00087620">
        <w:rPr>
          <w:rFonts w:ascii="Arial" w:eastAsia="Times New Roman" w:hAnsi="Arial" w:cs="Arial"/>
          <w:color w:val="000000"/>
          <w:kern w:val="0"/>
          <w:sz w:val="24"/>
          <w:szCs w:val="24"/>
          <w:lang w:eastAsia="en-GB"/>
          <w14:ligatures w14:val="none"/>
        </w:rPr>
        <w:t>, 49(2), pp. 729–753.</w:t>
      </w:r>
    </w:p>
    <w:p w14:paraId="5AE6C96F" w14:textId="77777777" w:rsidR="00697013" w:rsidRPr="00087620" w:rsidRDefault="00697013" w:rsidP="00697013">
      <w:pPr>
        <w:rPr>
          <w:rFonts w:ascii="Arial" w:hAnsi="Arial" w:cs="Arial"/>
          <w:sz w:val="24"/>
          <w:szCs w:val="24"/>
        </w:rPr>
      </w:pPr>
    </w:p>
    <w:sectPr w:rsidR="00697013" w:rsidRPr="00087620">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00ADFF" w14:textId="77777777" w:rsidR="009E2A98" w:rsidRDefault="009E2A98" w:rsidP="00731C0F">
      <w:pPr>
        <w:spacing w:after="0" w:line="240" w:lineRule="auto"/>
      </w:pPr>
      <w:r>
        <w:separator/>
      </w:r>
    </w:p>
  </w:endnote>
  <w:endnote w:type="continuationSeparator" w:id="0">
    <w:p w14:paraId="0C80D3B0" w14:textId="77777777" w:rsidR="009E2A98" w:rsidRDefault="009E2A98" w:rsidP="00731C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07167471"/>
      <w:docPartObj>
        <w:docPartGallery w:val="Page Numbers (Bottom of Page)"/>
        <w:docPartUnique/>
      </w:docPartObj>
    </w:sdtPr>
    <w:sdtContent>
      <w:p w14:paraId="73422CCC" w14:textId="1BDBE956" w:rsidR="00731C0F" w:rsidRDefault="00731C0F">
        <w:pPr>
          <w:pStyle w:val="Footer"/>
          <w:jc w:val="center"/>
        </w:pPr>
        <w:r>
          <w:fldChar w:fldCharType="begin"/>
        </w:r>
        <w:r>
          <w:instrText>PAGE   \* MERGEFORMAT</w:instrText>
        </w:r>
        <w:r>
          <w:fldChar w:fldCharType="separate"/>
        </w:r>
        <w:r>
          <w:t>2</w:t>
        </w:r>
        <w:r>
          <w:fldChar w:fldCharType="end"/>
        </w:r>
      </w:p>
    </w:sdtContent>
  </w:sdt>
  <w:p w14:paraId="6A335253" w14:textId="77777777" w:rsidR="00731C0F" w:rsidRDefault="00731C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95F302" w14:textId="77777777" w:rsidR="009E2A98" w:rsidRDefault="009E2A98" w:rsidP="00731C0F">
      <w:pPr>
        <w:spacing w:after="0" w:line="240" w:lineRule="auto"/>
      </w:pPr>
      <w:r>
        <w:separator/>
      </w:r>
    </w:p>
  </w:footnote>
  <w:footnote w:type="continuationSeparator" w:id="0">
    <w:p w14:paraId="63987857" w14:textId="77777777" w:rsidR="009E2A98" w:rsidRDefault="009E2A98" w:rsidP="00731C0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6014"/>
    <w:rsid w:val="00087620"/>
    <w:rsid w:val="001F4BBB"/>
    <w:rsid w:val="003273D0"/>
    <w:rsid w:val="003A644B"/>
    <w:rsid w:val="00590B1C"/>
    <w:rsid w:val="00697013"/>
    <w:rsid w:val="006E6014"/>
    <w:rsid w:val="00731C0F"/>
    <w:rsid w:val="009E2A98"/>
    <w:rsid w:val="00EE77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C767F3"/>
  <w15:chartTrackingRefBased/>
  <w15:docId w15:val="{A1512AEE-DFAB-40EC-8F95-5330CE4511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601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E601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E601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E601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E601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E601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601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601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601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601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E601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E601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E601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E601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E601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601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601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6014"/>
    <w:rPr>
      <w:rFonts w:eastAsiaTheme="majorEastAsia" w:cstheme="majorBidi"/>
      <w:color w:val="272727" w:themeColor="text1" w:themeTint="D8"/>
    </w:rPr>
  </w:style>
  <w:style w:type="paragraph" w:styleId="Title">
    <w:name w:val="Title"/>
    <w:basedOn w:val="Normal"/>
    <w:next w:val="Normal"/>
    <w:link w:val="TitleChar"/>
    <w:uiPriority w:val="10"/>
    <w:qFormat/>
    <w:rsid w:val="006E601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601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601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601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6014"/>
    <w:pPr>
      <w:spacing w:before="160"/>
      <w:jc w:val="center"/>
    </w:pPr>
    <w:rPr>
      <w:i/>
      <w:iCs/>
      <w:color w:val="404040" w:themeColor="text1" w:themeTint="BF"/>
    </w:rPr>
  </w:style>
  <w:style w:type="character" w:customStyle="1" w:styleId="QuoteChar">
    <w:name w:val="Quote Char"/>
    <w:basedOn w:val="DefaultParagraphFont"/>
    <w:link w:val="Quote"/>
    <w:uiPriority w:val="29"/>
    <w:rsid w:val="006E6014"/>
    <w:rPr>
      <w:i/>
      <w:iCs/>
      <w:color w:val="404040" w:themeColor="text1" w:themeTint="BF"/>
    </w:rPr>
  </w:style>
  <w:style w:type="paragraph" w:styleId="ListParagraph">
    <w:name w:val="List Paragraph"/>
    <w:basedOn w:val="Normal"/>
    <w:uiPriority w:val="34"/>
    <w:qFormat/>
    <w:rsid w:val="006E6014"/>
    <w:pPr>
      <w:ind w:left="720"/>
      <w:contextualSpacing/>
    </w:pPr>
  </w:style>
  <w:style w:type="character" w:styleId="IntenseEmphasis">
    <w:name w:val="Intense Emphasis"/>
    <w:basedOn w:val="DefaultParagraphFont"/>
    <w:uiPriority w:val="21"/>
    <w:qFormat/>
    <w:rsid w:val="006E6014"/>
    <w:rPr>
      <w:i/>
      <w:iCs/>
      <w:color w:val="0F4761" w:themeColor="accent1" w:themeShade="BF"/>
    </w:rPr>
  </w:style>
  <w:style w:type="paragraph" w:styleId="IntenseQuote">
    <w:name w:val="Intense Quote"/>
    <w:basedOn w:val="Normal"/>
    <w:next w:val="Normal"/>
    <w:link w:val="IntenseQuoteChar"/>
    <w:uiPriority w:val="30"/>
    <w:qFormat/>
    <w:rsid w:val="006E601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6014"/>
    <w:rPr>
      <w:i/>
      <w:iCs/>
      <w:color w:val="0F4761" w:themeColor="accent1" w:themeShade="BF"/>
    </w:rPr>
  </w:style>
  <w:style w:type="character" w:styleId="IntenseReference">
    <w:name w:val="Intense Reference"/>
    <w:basedOn w:val="DefaultParagraphFont"/>
    <w:uiPriority w:val="32"/>
    <w:qFormat/>
    <w:rsid w:val="006E6014"/>
    <w:rPr>
      <w:b/>
      <w:bCs/>
      <w:smallCaps/>
      <w:color w:val="0F4761" w:themeColor="accent1" w:themeShade="BF"/>
      <w:spacing w:val="5"/>
    </w:rPr>
  </w:style>
  <w:style w:type="paragraph" w:styleId="Header">
    <w:name w:val="header"/>
    <w:basedOn w:val="Normal"/>
    <w:link w:val="HeaderChar"/>
    <w:uiPriority w:val="99"/>
    <w:unhideWhenUsed/>
    <w:rsid w:val="00731C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1C0F"/>
  </w:style>
  <w:style w:type="paragraph" w:styleId="Footer">
    <w:name w:val="footer"/>
    <w:basedOn w:val="Normal"/>
    <w:link w:val="FooterChar"/>
    <w:uiPriority w:val="99"/>
    <w:unhideWhenUsed/>
    <w:rsid w:val="00731C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1C0F"/>
  </w:style>
  <w:style w:type="table" w:styleId="TableGrid">
    <w:name w:val="Table Grid"/>
    <w:basedOn w:val="TableNormal"/>
    <w:uiPriority w:val="39"/>
    <w:rsid w:val="0008762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TotalTime>
  <Pages>14</Pages>
  <Words>4634</Words>
  <Characters>26419</Characters>
  <Application>Microsoft Office Word</Application>
  <DocSecurity>0</DocSecurity>
  <Lines>220</Lines>
  <Paragraphs>61</Paragraphs>
  <ScaleCrop>false</ScaleCrop>
  <Company/>
  <LinksUpToDate>false</LinksUpToDate>
  <CharactersWithSpaces>30992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nikky loppez</dc:creator>
  <cp:keywords/>
  <dc:description/>
  <cp:lastModifiedBy>nikky loppez</cp:lastModifiedBy>
  <cp:revision>2</cp:revision>
  <dcterms:created xsi:type="dcterms:W3CDTF">2026-10-14T22:25:00Z</dcterms:created>
  <dcterms:modified xsi:type="dcterms:W3CDTF">2026-10-14T22:25:00Z</dcterms:modified>
</cp:coreProperties>
</file>