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AD62F" w14:textId="77777777" w:rsidR="003A32BB" w:rsidRDefault="003A32BB" w:rsidP="003A32BB">
      <w:pPr>
        <w:spacing w:after="0" w:line="360" w:lineRule="auto"/>
        <w:jc w:val="center"/>
        <w:rPr>
          <w:rFonts w:ascii="Times New Roman" w:eastAsia="Times New Roman" w:hAnsi="Times New Roman" w:cs="Times New Roman"/>
          <w:b/>
          <w:sz w:val="32"/>
          <w:szCs w:val="32"/>
        </w:rPr>
      </w:pPr>
      <w:r w:rsidRPr="003A32BB">
        <w:rPr>
          <w:rFonts w:ascii="Times New Roman" w:eastAsia="Times New Roman" w:hAnsi="Times New Roman" w:cs="Times New Roman"/>
          <w:b/>
          <w:sz w:val="32"/>
          <w:szCs w:val="32"/>
        </w:rPr>
        <w:t>Name of Student: Valeriu Bogatu</w:t>
      </w:r>
    </w:p>
    <w:p w14:paraId="3FB07B59"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33A7858B" w14:textId="77777777" w:rsidR="003A32BB" w:rsidRDefault="003A32BB" w:rsidP="003A32BB">
      <w:pPr>
        <w:spacing w:after="0" w:line="360" w:lineRule="auto"/>
        <w:jc w:val="center"/>
        <w:rPr>
          <w:rFonts w:ascii="Times New Roman" w:eastAsia="Times New Roman" w:hAnsi="Times New Roman" w:cs="Times New Roman"/>
          <w:b/>
          <w:sz w:val="32"/>
          <w:szCs w:val="32"/>
        </w:rPr>
      </w:pPr>
      <w:r w:rsidRPr="003A32BB">
        <w:rPr>
          <w:rFonts w:ascii="Times New Roman" w:eastAsia="Times New Roman" w:hAnsi="Times New Roman" w:cs="Times New Roman"/>
          <w:b/>
          <w:sz w:val="32"/>
          <w:szCs w:val="32"/>
        </w:rPr>
        <w:t>Student Identification Number: 2231945</w:t>
      </w:r>
    </w:p>
    <w:p w14:paraId="65676B90"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3CBAEF60" w14:textId="3AAC9279" w:rsidR="003A32BB" w:rsidRDefault="00906AE4" w:rsidP="003A32BB">
      <w:pPr>
        <w:spacing w:after="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Lecturer’s Name</w:t>
      </w:r>
      <w:r w:rsidR="003A32BB" w:rsidRPr="003A32BB">
        <w:rPr>
          <w:rFonts w:ascii="Times New Roman" w:eastAsia="Times New Roman" w:hAnsi="Times New Roman" w:cs="Times New Roman"/>
          <w:b/>
          <w:sz w:val="32"/>
          <w:szCs w:val="32"/>
        </w:rPr>
        <w:t>: Ffion Cumberpatch</w:t>
      </w:r>
    </w:p>
    <w:p w14:paraId="63EBF6DE"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6A7E1375" w14:textId="77777777" w:rsidR="003A32BB" w:rsidRDefault="003A32BB" w:rsidP="003A32BB">
      <w:pPr>
        <w:spacing w:after="0" w:line="360" w:lineRule="auto"/>
        <w:jc w:val="center"/>
        <w:rPr>
          <w:rFonts w:ascii="Times New Roman" w:eastAsia="Times New Roman" w:hAnsi="Times New Roman" w:cs="Times New Roman"/>
          <w:b/>
          <w:sz w:val="32"/>
          <w:szCs w:val="32"/>
        </w:rPr>
      </w:pPr>
      <w:r w:rsidRPr="003A32BB">
        <w:rPr>
          <w:rFonts w:ascii="Times New Roman" w:eastAsia="Times New Roman" w:hAnsi="Times New Roman" w:cs="Times New Roman"/>
          <w:b/>
          <w:sz w:val="32"/>
          <w:szCs w:val="32"/>
        </w:rPr>
        <w:t>Program: Bachelor of Arts in International Hotel Management</w:t>
      </w:r>
    </w:p>
    <w:p w14:paraId="08E2BA4E"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01BD6AB1" w14:textId="77777777" w:rsidR="003A32BB" w:rsidRDefault="003A32BB" w:rsidP="003A32BB">
      <w:pPr>
        <w:spacing w:after="0" w:line="360" w:lineRule="auto"/>
        <w:jc w:val="center"/>
        <w:rPr>
          <w:rFonts w:ascii="Times New Roman" w:eastAsia="Times New Roman" w:hAnsi="Times New Roman" w:cs="Times New Roman"/>
          <w:b/>
          <w:sz w:val="32"/>
          <w:szCs w:val="32"/>
        </w:rPr>
      </w:pPr>
      <w:r w:rsidRPr="003A32BB">
        <w:rPr>
          <w:rFonts w:ascii="Times New Roman" w:eastAsia="Times New Roman" w:hAnsi="Times New Roman" w:cs="Times New Roman"/>
          <w:b/>
          <w:sz w:val="32"/>
          <w:szCs w:val="32"/>
        </w:rPr>
        <w:t>Module Name: Food &amp; Beverage Operations</w:t>
      </w:r>
    </w:p>
    <w:p w14:paraId="377CE24D"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5AB2AD17" w14:textId="77777777" w:rsidR="003A32BB" w:rsidRDefault="003A32BB" w:rsidP="003A32BB">
      <w:pPr>
        <w:spacing w:after="0" w:line="360" w:lineRule="auto"/>
        <w:jc w:val="center"/>
        <w:rPr>
          <w:rFonts w:ascii="Times New Roman" w:eastAsia="Times New Roman" w:hAnsi="Times New Roman" w:cs="Times New Roman"/>
          <w:b/>
          <w:sz w:val="32"/>
          <w:szCs w:val="32"/>
        </w:rPr>
      </w:pPr>
      <w:r w:rsidRPr="003A32BB">
        <w:rPr>
          <w:rFonts w:ascii="Times New Roman" w:eastAsia="Times New Roman" w:hAnsi="Times New Roman" w:cs="Times New Roman"/>
          <w:b/>
          <w:sz w:val="32"/>
          <w:szCs w:val="32"/>
        </w:rPr>
        <w:t>Module Code: BMIH4002</w:t>
      </w:r>
    </w:p>
    <w:p w14:paraId="726AF433" w14:textId="77777777" w:rsidR="003A32BB" w:rsidRPr="003A32BB" w:rsidRDefault="003A32BB" w:rsidP="003A32BB">
      <w:pPr>
        <w:spacing w:after="0" w:line="360" w:lineRule="auto"/>
        <w:jc w:val="center"/>
        <w:rPr>
          <w:rFonts w:ascii="Times New Roman" w:eastAsia="Times New Roman" w:hAnsi="Times New Roman" w:cs="Times New Roman"/>
          <w:b/>
          <w:sz w:val="32"/>
          <w:szCs w:val="32"/>
        </w:rPr>
      </w:pPr>
    </w:p>
    <w:p w14:paraId="13A72C51" w14:textId="13DC9A4F" w:rsidR="003A32BB" w:rsidRPr="003A32BB" w:rsidRDefault="003A32BB" w:rsidP="003A32BB">
      <w:pPr>
        <w:spacing w:after="0" w:line="360" w:lineRule="auto"/>
        <w:jc w:val="center"/>
        <w:rPr>
          <w:rFonts w:ascii="Arial" w:hAnsi="Arial" w:cs="Arial"/>
          <w:b/>
          <w:sz w:val="32"/>
          <w:szCs w:val="32"/>
        </w:rPr>
      </w:pPr>
      <w:r w:rsidRPr="003A32BB">
        <w:rPr>
          <w:rFonts w:ascii="Times New Roman" w:eastAsia="Times New Roman" w:hAnsi="Times New Roman" w:cs="Times New Roman"/>
          <w:b/>
          <w:sz w:val="32"/>
          <w:szCs w:val="32"/>
        </w:rPr>
        <w:t xml:space="preserve">Total Word Count: </w:t>
      </w:r>
      <w:r w:rsidR="0025437B">
        <w:rPr>
          <w:rFonts w:ascii="Times New Roman" w:eastAsia="Times New Roman" w:hAnsi="Times New Roman" w:cs="Times New Roman"/>
          <w:b/>
          <w:sz w:val="32"/>
          <w:szCs w:val="32"/>
        </w:rPr>
        <w:t>460</w:t>
      </w:r>
    </w:p>
    <w:p w14:paraId="1DBF75FF" w14:textId="47047285" w:rsidR="00145B38" w:rsidRDefault="00145B38" w:rsidP="003A32BB">
      <w:pPr>
        <w:jc w:val="center"/>
        <w:rPr>
          <w:rFonts w:ascii="Arial" w:hAnsi="Arial" w:cs="Arial"/>
          <w:b/>
          <w:sz w:val="24"/>
        </w:rPr>
      </w:pPr>
      <w:r w:rsidRPr="003A32BB">
        <w:rPr>
          <w:rFonts w:ascii="Arial" w:hAnsi="Arial" w:cs="Arial"/>
          <w:b/>
          <w:sz w:val="32"/>
          <w:szCs w:val="32"/>
        </w:rPr>
        <w:br w:type="page"/>
      </w:r>
    </w:p>
    <w:p w14:paraId="21494424" w14:textId="7E6FAFFD" w:rsidR="00DE2DE9" w:rsidRDefault="00DE2DE9" w:rsidP="00CF4AF2">
      <w:pPr>
        <w:spacing w:line="480" w:lineRule="auto"/>
        <w:jc w:val="center"/>
        <w:rPr>
          <w:rFonts w:ascii="Arial" w:hAnsi="Arial" w:cs="Arial"/>
          <w:b/>
          <w:sz w:val="24"/>
        </w:rPr>
      </w:pPr>
      <w:r>
        <w:rPr>
          <w:rFonts w:ascii="Arial" w:hAnsi="Arial" w:cs="Arial"/>
          <w:b/>
          <w:sz w:val="24"/>
        </w:rPr>
        <w:lastRenderedPageBreak/>
        <w:t>PART 1</w:t>
      </w:r>
    </w:p>
    <w:p w14:paraId="21494425" w14:textId="77777777" w:rsidR="00CF4AF2" w:rsidRPr="00DE2DE9" w:rsidRDefault="00CF4AF2" w:rsidP="00CF4AF2">
      <w:pPr>
        <w:spacing w:line="480" w:lineRule="auto"/>
        <w:jc w:val="center"/>
        <w:rPr>
          <w:rFonts w:ascii="Arial" w:hAnsi="Arial" w:cs="Arial"/>
          <w:b/>
          <w:sz w:val="24"/>
        </w:rPr>
      </w:pPr>
      <w:r w:rsidRPr="00DE2DE9">
        <w:rPr>
          <w:rFonts w:ascii="Arial" w:hAnsi="Arial" w:cs="Arial"/>
          <w:b/>
          <w:sz w:val="24"/>
        </w:rPr>
        <w:t>"GreenLeaf Bistro: A Sustainable Farm-to-Table Experience"</w:t>
      </w:r>
    </w:p>
    <w:p w14:paraId="21494426" w14:textId="77777777" w:rsidR="00CF4AF2" w:rsidRPr="00DE2DE9" w:rsidRDefault="00CF4AF2" w:rsidP="00DE2DE9">
      <w:pPr>
        <w:spacing w:line="360" w:lineRule="auto"/>
        <w:ind w:firstLine="720"/>
        <w:jc w:val="both"/>
        <w:rPr>
          <w:rFonts w:ascii="Arial" w:hAnsi="Arial" w:cs="Arial"/>
          <w:sz w:val="24"/>
        </w:rPr>
      </w:pPr>
      <w:r w:rsidRPr="00DE2DE9">
        <w:rPr>
          <w:rFonts w:ascii="Arial" w:hAnsi="Arial" w:cs="Arial"/>
          <w:sz w:val="24"/>
        </w:rPr>
        <w:t>The GreenLeaf Bistro is a restaurant concept that endeavors to offer a distinctive dining encounter that revolves around ecological sustainability, health-oriented options, and bolstering regional farmers and producers. The intended demographic comprises of individuals who prioritize health and environmentally sustainable dining options, while also seeking a pleasurable gastronomic experience</w:t>
      </w:r>
      <w:r w:rsidR="00DE2DE9">
        <w:rPr>
          <w:rFonts w:ascii="Arial" w:hAnsi="Arial" w:cs="Arial"/>
          <w:sz w:val="24"/>
        </w:rPr>
        <w:t xml:space="preserve"> </w:t>
      </w:r>
      <w:r w:rsidR="00DE2DE9" w:rsidRPr="00DE2DE9">
        <w:rPr>
          <w:rFonts w:ascii="Arial" w:hAnsi="Arial" w:cs="Arial"/>
          <w:sz w:val="24"/>
        </w:rPr>
        <w:t>(Villamiel &amp; Méndez-Albiñana, 2022)</w:t>
      </w:r>
      <w:r w:rsidRPr="00DE2DE9">
        <w:rPr>
          <w:rFonts w:ascii="Arial" w:hAnsi="Arial" w:cs="Arial"/>
          <w:sz w:val="24"/>
        </w:rPr>
        <w:t>.</w:t>
      </w:r>
    </w:p>
    <w:p w14:paraId="21494427" w14:textId="77777777" w:rsidR="00CF4AF2" w:rsidRPr="00DE2DE9" w:rsidRDefault="00CF4AF2" w:rsidP="00DE2DE9">
      <w:pPr>
        <w:spacing w:line="360" w:lineRule="auto"/>
        <w:ind w:firstLine="720"/>
        <w:jc w:val="both"/>
        <w:rPr>
          <w:rFonts w:ascii="Arial" w:hAnsi="Arial" w:cs="Arial"/>
          <w:sz w:val="24"/>
        </w:rPr>
      </w:pPr>
      <w:r w:rsidRPr="00DE2DE9">
        <w:rPr>
          <w:rFonts w:ascii="Arial" w:hAnsi="Arial" w:cs="Arial"/>
          <w:sz w:val="24"/>
        </w:rPr>
        <w:t xml:space="preserve">The GreenLeaf Bistro places significant emphasis on the value of endorsing local communities and minimizing our ecological impact. The values of our establishment are reflected in the menu options which encompass a wide range of culinary offerings crafted from locally sourced, fresh, and seasonal ingredients. </w:t>
      </w:r>
      <w:r w:rsidR="00DE2DE9" w:rsidRPr="00DE2DE9">
        <w:rPr>
          <w:rFonts w:ascii="Arial" w:hAnsi="Arial" w:cs="Arial"/>
          <w:sz w:val="24"/>
        </w:rPr>
        <w:t>In order to sustainably feed the world's population of 10 billion by 2050, we must optimize the trade-offs between food production and sustainability</w:t>
      </w:r>
      <w:r w:rsidR="00DE2DE9" w:rsidRPr="00DE2DE9">
        <w:t xml:space="preserve"> </w:t>
      </w:r>
      <w:r w:rsidR="00DE2DE9" w:rsidRPr="00DE2DE9">
        <w:rPr>
          <w:rFonts w:ascii="Arial" w:hAnsi="Arial" w:cs="Arial"/>
          <w:sz w:val="24"/>
        </w:rPr>
        <w:t xml:space="preserve">(Vågsholm et al., 2020). </w:t>
      </w:r>
      <w:r w:rsidRPr="00DE2DE9">
        <w:rPr>
          <w:rFonts w:ascii="Arial" w:hAnsi="Arial" w:cs="Arial"/>
          <w:sz w:val="24"/>
        </w:rPr>
        <w:t xml:space="preserve">Our restaurant's menu is carefully curated to highlight sustainable produce and culinary traditions of the United Kingdom through strategic partnerships with local farms and suppliers. The rationale underpinning </w:t>
      </w:r>
      <w:r w:rsidR="009D09F9">
        <w:rPr>
          <w:rFonts w:ascii="Arial" w:hAnsi="Arial" w:cs="Arial"/>
          <w:sz w:val="24"/>
        </w:rPr>
        <w:t>the</w:t>
      </w:r>
      <w:r w:rsidRPr="00DE2DE9">
        <w:rPr>
          <w:rFonts w:ascii="Arial" w:hAnsi="Arial" w:cs="Arial"/>
          <w:sz w:val="24"/>
        </w:rPr>
        <w:t xml:space="preserve"> menu selections is to offer a well-rounded assortment of appetizers and drinks that accommodate diverse dietary inclinations and limitations</w:t>
      </w:r>
      <w:r w:rsidR="009D09F9">
        <w:rPr>
          <w:rFonts w:ascii="Arial" w:hAnsi="Arial" w:cs="Arial"/>
          <w:sz w:val="24"/>
        </w:rPr>
        <w:t xml:space="preserve"> </w:t>
      </w:r>
      <w:r w:rsidR="009D09F9" w:rsidRPr="009D09F9">
        <w:rPr>
          <w:rFonts w:ascii="Arial" w:hAnsi="Arial" w:cs="Arial"/>
          <w:sz w:val="24"/>
        </w:rPr>
        <w:t>(Azadnia et al., 2014)</w:t>
      </w:r>
      <w:r w:rsidRPr="00DE2DE9">
        <w:rPr>
          <w:rFonts w:ascii="Arial" w:hAnsi="Arial" w:cs="Arial"/>
          <w:sz w:val="24"/>
        </w:rPr>
        <w:t>. We provide vegetarian, gluten-free and lactose-free dishes since we know today's diners have various requirements. The culinary offerings are meticulously prepared with ingenuity and taste, guaranteeing that every dish listed caters to a diverse spectrum of gustatory inclinations</w:t>
      </w:r>
      <w:r w:rsidR="009D09F9">
        <w:rPr>
          <w:rFonts w:ascii="Arial" w:hAnsi="Arial" w:cs="Arial"/>
          <w:sz w:val="24"/>
        </w:rPr>
        <w:t xml:space="preserve"> </w:t>
      </w:r>
      <w:r w:rsidR="009D09F9" w:rsidRPr="009D09F9">
        <w:rPr>
          <w:rFonts w:ascii="Arial" w:hAnsi="Arial" w:cs="Arial"/>
          <w:sz w:val="24"/>
        </w:rPr>
        <w:t>(Chen et al., 2014)</w:t>
      </w:r>
      <w:r w:rsidRPr="00DE2DE9">
        <w:rPr>
          <w:rFonts w:ascii="Arial" w:hAnsi="Arial" w:cs="Arial"/>
          <w:sz w:val="24"/>
        </w:rPr>
        <w:t>.</w:t>
      </w:r>
    </w:p>
    <w:p w14:paraId="21494428" w14:textId="77777777" w:rsidR="00CF4AF2" w:rsidRPr="00DE2DE9" w:rsidRDefault="00CF4AF2" w:rsidP="00DE2DE9">
      <w:pPr>
        <w:spacing w:line="360" w:lineRule="auto"/>
        <w:ind w:firstLine="720"/>
        <w:jc w:val="both"/>
        <w:rPr>
          <w:rFonts w:ascii="Arial" w:hAnsi="Arial" w:cs="Arial"/>
          <w:sz w:val="24"/>
        </w:rPr>
      </w:pPr>
      <w:r w:rsidRPr="00DE2DE9">
        <w:rPr>
          <w:rFonts w:ascii="Arial" w:hAnsi="Arial" w:cs="Arial"/>
          <w:sz w:val="24"/>
        </w:rPr>
        <w:t xml:space="preserve">Additionally, </w:t>
      </w:r>
      <w:r w:rsidR="00DE2DE9">
        <w:rPr>
          <w:rFonts w:ascii="Arial" w:hAnsi="Arial" w:cs="Arial"/>
          <w:sz w:val="24"/>
        </w:rPr>
        <w:t>the</w:t>
      </w:r>
      <w:r w:rsidRPr="00DE2DE9">
        <w:rPr>
          <w:rFonts w:ascii="Arial" w:hAnsi="Arial" w:cs="Arial"/>
          <w:sz w:val="24"/>
        </w:rPr>
        <w:t xml:space="preserve"> emphasis is on nutrition and wellness, with a focus on the caliber and nutritional value of our products</w:t>
      </w:r>
      <w:r w:rsidR="00DE2DE9">
        <w:rPr>
          <w:rFonts w:ascii="Arial" w:hAnsi="Arial" w:cs="Arial"/>
          <w:sz w:val="24"/>
        </w:rPr>
        <w:t xml:space="preserve"> </w:t>
      </w:r>
      <w:r w:rsidR="00DE2DE9" w:rsidRPr="00DE2DE9">
        <w:rPr>
          <w:rFonts w:ascii="Arial" w:hAnsi="Arial" w:cs="Arial"/>
          <w:sz w:val="24"/>
        </w:rPr>
        <w:t>(Mastos &amp; Gotzamani, 2022)</w:t>
      </w:r>
      <w:r w:rsidRPr="00DE2DE9">
        <w:rPr>
          <w:rFonts w:ascii="Arial" w:hAnsi="Arial" w:cs="Arial"/>
          <w:sz w:val="24"/>
        </w:rPr>
        <w:t xml:space="preserve">. The culinary experts have curated a menu featuring nutrient-dense superfoods, low-fat proteins, and unrefined grains, thereby enabling patrons to relish a satiating repast while adhering to their wellness objectives. </w:t>
      </w:r>
      <w:r w:rsidR="00ED599D" w:rsidRPr="00ED599D">
        <w:rPr>
          <w:rFonts w:ascii="Arial" w:hAnsi="Arial" w:cs="Arial"/>
          <w:sz w:val="24"/>
        </w:rPr>
        <w:t>Global food sustainability and security are essential for every person and family</w:t>
      </w:r>
      <w:r w:rsidR="00ED599D">
        <w:rPr>
          <w:rFonts w:ascii="Arial" w:hAnsi="Arial" w:cs="Arial"/>
          <w:sz w:val="24"/>
        </w:rPr>
        <w:t xml:space="preserve"> </w:t>
      </w:r>
      <w:r w:rsidR="00ED599D" w:rsidRPr="00ED599D">
        <w:rPr>
          <w:rFonts w:ascii="Arial" w:hAnsi="Arial" w:cs="Arial"/>
          <w:sz w:val="24"/>
        </w:rPr>
        <w:t>(Wani et al., 2023).</w:t>
      </w:r>
      <w:r w:rsidR="00ED599D">
        <w:rPr>
          <w:rFonts w:ascii="Arial" w:hAnsi="Arial" w:cs="Arial"/>
          <w:sz w:val="24"/>
        </w:rPr>
        <w:t xml:space="preserve"> </w:t>
      </w:r>
      <w:r w:rsidRPr="00DE2DE9">
        <w:rPr>
          <w:rFonts w:ascii="Arial" w:hAnsi="Arial" w:cs="Arial"/>
          <w:sz w:val="24"/>
        </w:rPr>
        <w:t xml:space="preserve">Our objective is to offer a dining encounter that is all-encompassing, catering to the preferences of all individuals, irrespective of their dietary restrictions. The pricing strategy employed by our organization incorporates various </w:t>
      </w:r>
      <w:r w:rsidRPr="00DE2DE9">
        <w:rPr>
          <w:rFonts w:ascii="Arial" w:hAnsi="Arial" w:cs="Arial"/>
          <w:sz w:val="24"/>
        </w:rPr>
        <w:lastRenderedPageBreak/>
        <w:t xml:space="preserve">factors, including the pricing strategies of </w:t>
      </w:r>
      <w:r w:rsidR="00ED599D">
        <w:rPr>
          <w:rFonts w:ascii="Arial" w:hAnsi="Arial" w:cs="Arial"/>
          <w:sz w:val="24"/>
        </w:rPr>
        <w:t>the</w:t>
      </w:r>
      <w:r w:rsidRPr="00DE2DE9">
        <w:rPr>
          <w:rFonts w:ascii="Arial" w:hAnsi="Arial" w:cs="Arial"/>
          <w:sz w:val="24"/>
        </w:rPr>
        <w:t xml:space="preserve"> competitors, the costs of ingredients, and the perceived value proposition offered to clientele</w:t>
      </w:r>
      <w:r w:rsidR="00ED599D">
        <w:rPr>
          <w:rFonts w:ascii="Arial" w:hAnsi="Arial" w:cs="Arial"/>
          <w:sz w:val="24"/>
        </w:rPr>
        <w:t xml:space="preserve"> </w:t>
      </w:r>
      <w:r w:rsidR="00ED599D" w:rsidRPr="00ED599D">
        <w:rPr>
          <w:rFonts w:ascii="Arial" w:hAnsi="Arial" w:cs="Arial"/>
          <w:sz w:val="24"/>
        </w:rPr>
        <w:t>(Palazzo &amp; Vollero, 2021)</w:t>
      </w:r>
      <w:r w:rsidRPr="00DE2DE9">
        <w:rPr>
          <w:rFonts w:ascii="Arial" w:hAnsi="Arial" w:cs="Arial"/>
          <w:sz w:val="24"/>
        </w:rPr>
        <w:t>. Our objective is to achieve equilibrium between cost-effectiveness and excellence, rendering our dining establishment within reach of a diverse clientele while upholding the utmost principles of environmental responsibility and flavor. Our establishment provides a variety of pricing alternatives to enable patrons to customize their dining encounter in accordance with their financial means.</w:t>
      </w:r>
    </w:p>
    <w:p w14:paraId="21494429" w14:textId="77777777" w:rsidR="00482BED" w:rsidRPr="00DE2DE9" w:rsidRDefault="00CF4AF2" w:rsidP="00DE2DE9">
      <w:pPr>
        <w:spacing w:line="360" w:lineRule="auto"/>
        <w:ind w:firstLine="720"/>
        <w:jc w:val="both"/>
        <w:rPr>
          <w:rFonts w:ascii="Arial" w:hAnsi="Arial" w:cs="Arial"/>
          <w:sz w:val="24"/>
        </w:rPr>
      </w:pPr>
      <w:r w:rsidRPr="00DE2DE9">
        <w:rPr>
          <w:rFonts w:ascii="Arial" w:hAnsi="Arial" w:cs="Arial"/>
          <w:sz w:val="24"/>
        </w:rPr>
        <w:t>In conclusion, GreenLeaf Bistro provides a sustainable farm-to-table experience for health-conscious diners who appreciate quality, taste and local communities. Our distinctiveness in the market is attributed to our menu options, pricing tactics, and dedication to sustainability and seasonality. This has established us as the preferred choice for individuals seeking an environmentally conscious and unforgettable dining encounter.</w:t>
      </w:r>
    </w:p>
    <w:p w14:paraId="2149442A" w14:textId="77777777" w:rsidR="00CF4AF2" w:rsidRDefault="00CF4AF2">
      <w:pPr>
        <w:rPr>
          <w:rFonts w:ascii="Times New Roman" w:hAnsi="Times New Roman" w:cs="Times New Roman"/>
          <w:sz w:val="24"/>
        </w:rPr>
      </w:pPr>
      <w:r>
        <w:rPr>
          <w:rFonts w:ascii="Times New Roman" w:hAnsi="Times New Roman" w:cs="Times New Roman"/>
          <w:sz w:val="24"/>
        </w:rPr>
        <w:br w:type="page"/>
      </w:r>
    </w:p>
    <w:p w14:paraId="2149442B" w14:textId="77777777" w:rsidR="00CF4AF2" w:rsidRPr="00DE2DE9" w:rsidRDefault="005C67B8" w:rsidP="005C67B8">
      <w:pPr>
        <w:spacing w:line="480" w:lineRule="auto"/>
        <w:jc w:val="center"/>
        <w:rPr>
          <w:rFonts w:ascii="Arial" w:hAnsi="Arial" w:cs="Arial"/>
          <w:b/>
          <w:sz w:val="24"/>
        </w:rPr>
      </w:pPr>
      <w:r w:rsidRPr="00DE2DE9">
        <w:rPr>
          <w:rFonts w:ascii="Arial" w:hAnsi="Arial" w:cs="Arial"/>
          <w:b/>
          <w:sz w:val="24"/>
        </w:rPr>
        <w:lastRenderedPageBreak/>
        <w:t>PART 2</w:t>
      </w:r>
    </w:p>
    <w:p w14:paraId="2149442C" w14:textId="77777777" w:rsidR="005C67B8" w:rsidRDefault="005C67B8" w:rsidP="005C67B8">
      <w:pPr>
        <w:spacing w:line="48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21494439" wp14:editId="2149443A">
            <wp:extent cx="5094514" cy="76436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een Leaf Italian Menu112.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098763" cy="7650014"/>
                    </a:xfrm>
                    <a:prstGeom prst="rect">
                      <a:avLst/>
                    </a:prstGeom>
                  </pic:spPr>
                </pic:pic>
              </a:graphicData>
            </a:graphic>
          </wp:inline>
        </w:drawing>
      </w:r>
    </w:p>
    <w:p w14:paraId="2149442D" w14:textId="77777777" w:rsidR="00DE2DE9" w:rsidRDefault="001C6902" w:rsidP="005C67B8">
      <w:pPr>
        <w:spacing w:line="48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2149443B" wp14:editId="2149443C">
            <wp:extent cx="5447030" cy="817254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een Leaf Italian Menu_111144.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47030" cy="8172540"/>
                    </a:xfrm>
                    <a:prstGeom prst="rect">
                      <a:avLst/>
                    </a:prstGeom>
                  </pic:spPr>
                </pic:pic>
              </a:graphicData>
            </a:graphic>
          </wp:inline>
        </w:drawing>
      </w:r>
    </w:p>
    <w:p w14:paraId="2149442E" w14:textId="77777777" w:rsidR="001C6902" w:rsidRPr="003975E7" w:rsidRDefault="00DE2DE9" w:rsidP="005D0A13">
      <w:pPr>
        <w:jc w:val="both"/>
        <w:rPr>
          <w:b/>
          <w:bCs/>
          <w:sz w:val="24"/>
          <w:szCs w:val="24"/>
        </w:rPr>
      </w:pPr>
      <w:r w:rsidRPr="003975E7">
        <w:rPr>
          <w:b/>
          <w:bCs/>
          <w:sz w:val="24"/>
          <w:szCs w:val="24"/>
        </w:rPr>
        <w:lastRenderedPageBreak/>
        <w:t>Reference</w:t>
      </w:r>
    </w:p>
    <w:p w14:paraId="3F5810F9" w14:textId="6B105E93" w:rsidR="00236637" w:rsidRPr="005D0A13" w:rsidRDefault="009D09F9" w:rsidP="005D0A13">
      <w:pPr>
        <w:jc w:val="both"/>
        <w:rPr>
          <w:sz w:val="24"/>
          <w:szCs w:val="24"/>
        </w:rPr>
      </w:pPr>
      <w:r w:rsidRPr="005D0A13">
        <w:rPr>
          <w:sz w:val="24"/>
          <w:szCs w:val="24"/>
        </w:rPr>
        <w:t xml:space="preserve">Mastos, T., &amp; Gotzamani, K. (2022). Sustainable Supply Chain Management in the food industry: A conceptual model from a literature review and a case study. </w:t>
      </w:r>
      <w:r w:rsidRPr="005D0A13">
        <w:rPr>
          <w:i/>
          <w:iCs/>
          <w:sz w:val="24"/>
          <w:szCs w:val="24"/>
        </w:rPr>
        <w:t>Foods</w:t>
      </w:r>
      <w:r w:rsidRPr="005D0A13">
        <w:rPr>
          <w:sz w:val="24"/>
          <w:szCs w:val="24"/>
        </w:rPr>
        <w:t xml:space="preserve">, </w:t>
      </w:r>
      <w:r w:rsidRPr="005D0A13">
        <w:rPr>
          <w:i/>
          <w:iCs/>
          <w:sz w:val="24"/>
          <w:szCs w:val="24"/>
        </w:rPr>
        <w:t>11</w:t>
      </w:r>
      <w:r w:rsidRPr="005D0A13">
        <w:rPr>
          <w:sz w:val="24"/>
          <w:szCs w:val="24"/>
        </w:rPr>
        <w:t xml:space="preserve">(15), 2295. </w:t>
      </w:r>
      <w:hyperlink r:id="rId6" w:history="1">
        <w:r w:rsidR="00236637" w:rsidRPr="005D0A13">
          <w:rPr>
            <w:rStyle w:val="Hyperlink"/>
            <w:rFonts w:ascii="Arial" w:hAnsi="Arial" w:cs="Arial"/>
            <w:sz w:val="24"/>
            <w:szCs w:val="24"/>
          </w:rPr>
          <w:t>https://doi.org/10.3390/foods11152295</w:t>
        </w:r>
      </w:hyperlink>
    </w:p>
    <w:p w14:paraId="21494430" w14:textId="714D58E4" w:rsidR="009D09F9" w:rsidRPr="005D0A13" w:rsidRDefault="009D09F9" w:rsidP="005D0A13">
      <w:pPr>
        <w:jc w:val="both"/>
        <w:rPr>
          <w:sz w:val="24"/>
          <w:szCs w:val="24"/>
        </w:rPr>
      </w:pPr>
      <w:r w:rsidRPr="005D0A13">
        <w:rPr>
          <w:sz w:val="24"/>
          <w:szCs w:val="24"/>
        </w:rPr>
        <w:t xml:space="preserve">Palazzo, M., &amp; Vollero, A. (2021). A systematic literature review of Food Sustainable Supply Chain Management (FSSCM): Building blocks and research trends. </w:t>
      </w:r>
      <w:r w:rsidRPr="005D0A13">
        <w:rPr>
          <w:i/>
          <w:iCs/>
          <w:sz w:val="24"/>
          <w:szCs w:val="24"/>
        </w:rPr>
        <w:t>The TQM Journal</w:t>
      </w:r>
      <w:r w:rsidRPr="005D0A13">
        <w:rPr>
          <w:sz w:val="24"/>
          <w:szCs w:val="24"/>
        </w:rPr>
        <w:t xml:space="preserve">, </w:t>
      </w:r>
      <w:r w:rsidRPr="005D0A13">
        <w:rPr>
          <w:i/>
          <w:iCs/>
          <w:sz w:val="24"/>
          <w:szCs w:val="24"/>
        </w:rPr>
        <w:t>34</w:t>
      </w:r>
      <w:r w:rsidRPr="005D0A13">
        <w:rPr>
          <w:sz w:val="24"/>
          <w:szCs w:val="24"/>
        </w:rPr>
        <w:t>(7), 54–72. https://doi.org/10.1108/tqm-10-2021-0300</w:t>
      </w:r>
    </w:p>
    <w:p w14:paraId="21494431" w14:textId="097DA6D9" w:rsidR="009D09F9" w:rsidRPr="005D0A13" w:rsidRDefault="009D09F9" w:rsidP="005D0A13">
      <w:pPr>
        <w:jc w:val="both"/>
        <w:rPr>
          <w:sz w:val="24"/>
          <w:szCs w:val="24"/>
        </w:rPr>
      </w:pPr>
      <w:r w:rsidRPr="005D0A13">
        <w:rPr>
          <w:sz w:val="24"/>
          <w:szCs w:val="24"/>
        </w:rPr>
        <w:t xml:space="preserve">Villamiel, M., &amp; Méndez-Albiñana, P. (2022). Update of challenges for Food Quality and Safety Management. </w:t>
      </w:r>
      <w:r w:rsidRPr="005D0A13">
        <w:rPr>
          <w:i/>
          <w:iCs/>
          <w:sz w:val="24"/>
          <w:szCs w:val="24"/>
        </w:rPr>
        <w:t>Journal of Agriculture and Food Research</w:t>
      </w:r>
      <w:r w:rsidRPr="005D0A13">
        <w:rPr>
          <w:sz w:val="24"/>
          <w:szCs w:val="24"/>
        </w:rPr>
        <w:t xml:space="preserve">, </w:t>
      </w:r>
      <w:r w:rsidRPr="005D0A13">
        <w:rPr>
          <w:i/>
          <w:iCs/>
          <w:sz w:val="24"/>
          <w:szCs w:val="24"/>
        </w:rPr>
        <w:t>10</w:t>
      </w:r>
      <w:r w:rsidRPr="005D0A13">
        <w:rPr>
          <w:sz w:val="24"/>
          <w:szCs w:val="24"/>
        </w:rPr>
        <w:t>, 100393. https://doi.org/10.1016/j.jafr.2022.100393</w:t>
      </w:r>
    </w:p>
    <w:p w14:paraId="21494432" w14:textId="3476943F" w:rsidR="009D09F9" w:rsidRPr="005D0A13" w:rsidRDefault="009D09F9" w:rsidP="005D0A13">
      <w:pPr>
        <w:jc w:val="both"/>
        <w:rPr>
          <w:sz w:val="24"/>
          <w:szCs w:val="24"/>
        </w:rPr>
      </w:pPr>
      <w:r w:rsidRPr="005D0A13">
        <w:rPr>
          <w:sz w:val="24"/>
          <w:szCs w:val="24"/>
        </w:rPr>
        <w:t xml:space="preserve">Vågsholm, I., Arzoomand, N. S., &amp; Boqvist, S. (2020). Food security, safety, and sustainability—getting the trade-offs right. </w:t>
      </w:r>
      <w:r w:rsidRPr="005D0A13">
        <w:rPr>
          <w:i/>
          <w:iCs/>
          <w:sz w:val="24"/>
          <w:szCs w:val="24"/>
        </w:rPr>
        <w:t>Frontiers in Sustainable Food Systems</w:t>
      </w:r>
      <w:r w:rsidRPr="005D0A13">
        <w:rPr>
          <w:sz w:val="24"/>
          <w:szCs w:val="24"/>
        </w:rPr>
        <w:t xml:space="preserve">, </w:t>
      </w:r>
      <w:r w:rsidRPr="005D0A13">
        <w:rPr>
          <w:i/>
          <w:iCs/>
          <w:sz w:val="24"/>
          <w:szCs w:val="24"/>
        </w:rPr>
        <w:t>4</w:t>
      </w:r>
      <w:r w:rsidRPr="005D0A13">
        <w:rPr>
          <w:sz w:val="24"/>
          <w:szCs w:val="24"/>
        </w:rPr>
        <w:t>. https://doi.org/10.3389/fsufs.2020.00016</w:t>
      </w:r>
    </w:p>
    <w:p w14:paraId="21494433" w14:textId="4421FE51" w:rsidR="009D09F9" w:rsidRPr="005D0A13" w:rsidRDefault="009D09F9" w:rsidP="005D0A13">
      <w:pPr>
        <w:jc w:val="both"/>
        <w:rPr>
          <w:sz w:val="24"/>
          <w:szCs w:val="24"/>
        </w:rPr>
      </w:pPr>
      <w:r w:rsidRPr="005D0A13">
        <w:rPr>
          <w:sz w:val="24"/>
          <w:szCs w:val="24"/>
        </w:rPr>
        <w:t xml:space="preserve">Wani, N., Rather, R., Farooq, A., Padder, S., Baba, T., Sharma, S., Mubarak, N., Khan, A., Singh, P., &amp; Ara, S. (2023). New insights in food security and environmental sustainability through Waste Food Management. </w:t>
      </w:r>
      <w:r w:rsidRPr="005D0A13">
        <w:rPr>
          <w:i/>
          <w:iCs/>
          <w:sz w:val="24"/>
          <w:szCs w:val="24"/>
        </w:rPr>
        <w:t>Environmental Science and Pollution Research</w:t>
      </w:r>
      <w:r w:rsidRPr="005D0A13">
        <w:rPr>
          <w:sz w:val="24"/>
          <w:szCs w:val="24"/>
        </w:rPr>
        <w:t>. https://doi.org/10.1007/s11356-023-26462-y</w:t>
      </w:r>
    </w:p>
    <w:p w14:paraId="21494434" w14:textId="67264390" w:rsidR="009D09F9" w:rsidRPr="005D0A13" w:rsidRDefault="009D09F9" w:rsidP="005D0A13">
      <w:pPr>
        <w:jc w:val="both"/>
        <w:rPr>
          <w:sz w:val="24"/>
          <w:szCs w:val="24"/>
        </w:rPr>
      </w:pPr>
      <w:r w:rsidRPr="005D0A13">
        <w:rPr>
          <w:sz w:val="24"/>
          <w:szCs w:val="24"/>
        </w:rPr>
        <w:t xml:space="preserve">Azadnia, A. H., Saman, M. Z., &amp; Wong, K. Y. (2014). Sustainable supplier selection and order lot-sizing: An integrated multi-objective decision-making process. </w:t>
      </w:r>
      <w:r w:rsidRPr="005D0A13">
        <w:rPr>
          <w:i/>
          <w:iCs/>
          <w:sz w:val="24"/>
          <w:szCs w:val="24"/>
        </w:rPr>
        <w:t>International Journal of Production Research</w:t>
      </w:r>
      <w:r w:rsidRPr="005D0A13">
        <w:rPr>
          <w:sz w:val="24"/>
          <w:szCs w:val="24"/>
        </w:rPr>
        <w:t xml:space="preserve">, </w:t>
      </w:r>
      <w:r w:rsidRPr="005D0A13">
        <w:rPr>
          <w:i/>
          <w:iCs/>
          <w:sz w:val="24"/>
          <w:szCs w:val="24"/>
        </w:rPr>
        <w:t>53</w:t>
      </w:r>
      <w:r w:rsidRPr="005D0A13">
        <w:rPr>
          <w:sz w:val="24"/>
          <w:szCs w:val="24"/>
        </w:rPr>
        <w:t>(2), 383–408. https://doi.org/10.1080/00207543.2014.935827</w:t>
      </w:r>
    </w:p>
    <w:p w14:paraId="21494435" w14:textId="41FAD8DC" w:rsidR="009D09F9" w:rsidRPr="005D0A13" w:rsidRDefault="009D09F9" w:rsidP="005D0A13">
      <w:pPr>
        <w:jc w:val="both"/>
        <w:rPr>
          <w:sz w:val="24"/>
          <w:szCs w:val="24"/>
        </w:rPr>
      </w:pPr>
      <w:r w:rsidRPr="005D0A13">
        <w:rPr>
          <w:sz w:val="24"/>
          <w:szCs w:val="24"/>
        </w:rPr>
        <w:t xml:space="preserve">Chen, C., Zhang, J., &amp; Delaurentis, T. (2014). Quality Control in food supply chain management: An analytical model and case study of the adulterated milk incident in China. </w:t>
      </w:r>
      <w:r w:rsidRPr="005D0A13">
        <w:rPr>
          <w:i/>
          <w:iCs/>
          <w:sz w:val="24"/>
          <w:szCs w:val="24"/>
        </w:rPr>
        <w:t>International Journal of Production Economics</w:t>
      </w:r>
      <w:r w:rsidRPr="005D0A13">
        <w:rPr>
          <w:sz w:val="24"/>
          <w:szCs w:val="24"/>
        </w:rPr>
        <w:t xml:space="preserve">, </w:t>
      </w:r>
      <w:r w:rsidRPr="005D0A13">
        <w:rPr>
          <w:i/>
          <w:iCs/>
          <w:sz w:val="24"/>
          <w:szCs w:val="24"/>
        </w:rPr>
        <w:t>152</w:t>
      </w:r>
      <w:r w:rsidRPr="005D0A13">
        <w:rPr>
          <w:sz w:val="24"/>
          <w:szCs w:val="24"/>
        </w:rPr>
        <w:t>, 188–199. https://doi.org/10.1016/j.ijpe.2013.12.016</w:t>
      </w:r>
    </w:p>
    <w:p w14:paraId="21494436" w14:textId="77777777" w:rsidR="00DE2DE9" w:rsidRPr="005D0A13" w:rsidRDefault="009D09F9" w:rsidP="005D0A13">
      <w:pPr>
        <w:jc w:val="both"/>
        <w:rPr>
          <w:sz w:val="24"/>
          <w:szCs w:val="24"/>
        </w:rPr>
      </w:pPr>
      <w:r w:rsidRPr="005D0A13">
        <w:rPr>
          <w:sz w:val="24"/>
          <w:szCs w:val="24"/>
        </w:rPr>
        <w:t>Fernandes, S. M., Rodriguez, C. M. T., Bornia, A. C., Trierweiller, A. C., Silva, S. M. D., and Freire, P. D. S. (2018). Systematic literature review on the ways of measuring the of reverse logistics performance. </w:t>
      </w:r>
      <w:r w:rsidRPr="005D0A13">
        <w:rPr>
          <w:i/>
          <w:iCs/>
          <w:sz w:val="24"/>
          <w:szCs w:val="24"/>
        </w:rPr>
        <w:t>Gestão Produção</w:t>
      </w:r>
      <w:r w:rsidRPr="005D0A13">
        <w:rPr>
          <w:sz w:val="24"/>
          <w:szCs w:val="24"/>
        </w:rPr>
        <w:t> 25, 175–190. doi: 10.1590/0104-530x3177-16</w:t>
      </w:r>
    </w:p>
    <w:p w14:paraId="0AE0D034" w14:textId="77777777" w:rsidR="00D62B53" w:rsidRPr="005D0A13" w:rsidRDefault="009D09F9" w:rsidP="005D0A13">
      <w:pPr>
        <w:jc w:val="both"/>
        <w:rPr>
          <w:sz w:val="24"/>
          <w:szCs w:val="24"/>
        </w:rPr>
      </w:pPr>
      <w:r w:rsidRPr="005D0A13">
        <w:rPr>
          <w:sz w:val="24"/>
          <w:szCs w:val="24"/>
        </w:rPr>
        <w:t>Guimaraes, J. S., and Salomon, V. P. (2015). ANP applied to the evaluation of performance indicators of reverse logistics in footwear industry, information technology and quantitative management. </w:t>
      </w:r>
      <w:r w:rsidRPr="005D0A13">
        <w:rPr>
          <w:i/>
          <w:iCs/>
          <w:sz w:val="24"/>
          <w:szCs w:val="24"/>
        </w:rPr>
        <w:t>Procedia Comput. Sci.</w:t>
      </w:r>
      <w:r w:rsidRPr="005D0A13">
        <w:rPr>
          <w:sz w:val="24"/>
          <w:szCs w:val="24"/>
        </w:rPr>
        <w:t> 55, 139–148. doi: 10.1016/j.procs.2015.07.021</w:t>
      </w:r>
    </w:p>
    <w:p w14:paraId="21494438" w14:textId="4314AA94" w:rsidR="009D09F9" w:rsidRPr="005D0A13" w:rsidRDefault="009D09F9" w:rsidP="005D0A13">
      <w:pPr>
        <w:jc w:val="both"/>
        <w:rPr>
          <w:sz w:val="24"/>
          <w:szCs w:val="24"/>
        </w:rPr>
      </w:pPr>
      <w:r w:rsidRPr="005D0A13">
        <w:rPr>
          <w:sz w:val="24"/>
          <w:szCs w:val="24"/>
        </w:rPr>
        <w:t xml:space="preserve">Hubeau, M., Marchand, F., Coteur, I., Mondelaers, K., Debruyne, L., and Van Huylenbroeck, G. (2017). A new agri-food systems sustainability approach to identify shared transformation pathways towards sustainability. </w:t>
      </w:r>
      <w:r w:rsidRPr="005D0A13">
        <w:rPr>
          <w:i/>
          <w:sz w:val="24"/>
          <w:szCs w:val="24"/>
        </w:rPr>
        <w:t>Ecol. Econ</w:t>
      </w:r>
      <w:r w:rsidRPr="005D0A13">
        <w:rPr>
          <w:sz w:val="24"/>
          <w:szCs w:val="24"/>
        </w:rPr>
        <w:t>. 131, 52–63. doi: 10.1016/j.ecolecon.2016.08.019</w:t>
      </w:r>
    </w:p>
    <w:sectPr w:rsidR="009D09F9" w:rsidRPr="005D0A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4AF2"/>
    <w:rsid w:val="000E5D5D"/>
    <w:rsid w:val="00145B38"/>
    <w:rsid w:val="0015307D"/>
    <w:rsid w:val="00156723"/>
    <w:rsid w:val="001C6902"/>
    <w:rsid w:val="00236637"/>
    <w:rsid w:val="0025437B"/>
    <w:rsid w:val="003975E7"/>
    <w:rsid w:val="003A32BB"/>
    <w:rsid w:val="003E696F"/>
    <w:rsid w:val="004054B8"/>
    <w:rsid w:val="00485515"/>
    <w:rsid w:val="004B65AF"/>
    <w:rsid w:val="00507266"/>
    <w:rsid w:val="00517ECC"/>
    <w:rsid w:val="005B4681"/>
    <w:rsid w:val="005C67B8"/>
    <w:rsid w:val="005D0A13"/>
    <w:rsid w:val="006303C7"/>
    <w:rsid w:val="00631AD2"/>
    <w:rsid w:val="00650F05"/>
    <w:rsid w:val="00817BFB"/>
    <w:rsid w:val="00906AE4"/>
    <w:rsid w:val="009D09F9"/>
    <w:rsid w:val="00A412FF"/>
    <w:rsid w:val="00CD4B04"/>
    <w:rsid w:val="00CF4AF2"/>
    <w:rsid w:val="00D62B53"/>
    <w:rsid w:val="00DE2DE9"/>
    <w:rsid w:val="00E22BEA"/>
    <w:rsid w:val="00E32440"/>
    <w:rsid w:val="00ED59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94424"/>
  <w15:chartTrackingRefBased/>
  <w15:docId w15:val="{D1B9CBE0-3861-4918-8B63-B95817C6F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D09F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36637"/>
    <w:rPr>
      <w:color w:val="0563C1" w:themeColor="hyperlink"/>
      <w:u w:val="single"/>
    </w:rPr>
  </w:style>
  <w:style w:type="character" w:styleId="UnresolvedMention">
    <w:name w:val="Unresolved Mention"/>
    <w:basedOn w:val="DefaultParagraphFont"/>
    <w:uiPriority w:val="99"/>
    <w:semiHidden/>
    <w:unhideWhenUsed/>
    <w:rsid w:val="00236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785898">
      <w:bodyDiv w:val="1"/>
      <w:marLeft w:val="0"/>
      <w:marRight w:val="0"/>
      <w:marTop w:val="0"/>
      <w:marBottom w:val="0"/>
      <w:divBdr>
        <w:top w:val="none" w:sz="0" w:space="0" w:color="auto"/>
        <w:left w:val="none" w:sz="0" w:space="0" w:color="auto"/>
        <w:bottom w:val="none" w:sz="0" w:space="0" w:color="auto"/>
        <w:right w:val="none" w:sz="0" w:space="0" w:color="auto"/>
      </w:divBdr>
    </w:div>
    <w:div w:id="1308120610">
      <w:bodyDiv w:val="1"/>
      <w:marLeft w:val="0"/>
      <w:marRight w:val="0"/>
      <w:marTop w:val="0"/>
      <w:marBottom w:val="0"/>
      <w:divBdr>
        <w:top w:val="none" w:sz="0" w:space="0" w:color="auto"/>
        <w:left w:val="none" w:sz="0" w:space="0" w:color="auto"/>
        <w:bottom w:val="none" w:sz="0" w:space="0" w:color="auto"/>
        <w:right w:val="none" w:sz="0" w:space="0" w:color="auto"/>
      </w:divBdr>
    </w:div>
    <w:div w:id="190991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foods11152295"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832</Words>
  <Characters>5390</Characters>
  <Application>Microsoft Office Word</Application>
  <DocSecurity>0</DocSecurity>
  <Lines>88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valeriu bogatu</cp:lastModifiedBy>
  <cp:revision>20</cp:revision>
  <dcterms:created xsi:type="dcterms:W3CDTF">2023-06-12T14:27:00Z</dcterms:created>
  <dcterms:modified xsi:type="dcterms:W3CDTF">2023-06-13T10:36:00Z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d6f74674f0d65e8b9adb6bcdedadb79d99c4f4af21e0aac3079e602155d0e126</vt:lpwstr>
  </property>
</Properties>
</file>