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5CD" w:rsidRPr="007374FE" w:rsidRDefault="007225CD" w:rsidP="007225CD">
      <w:pPr>
        <w:rPr>
          <w:b/>
        </w:rPr>
      </w:pPr>
      <w:r w:rsidRPr="007374FE">
        <w:rPr>
          <w:b/>
        </w:rPr>
        <w:t>Twelfth and Thirteenth century crusades to the East:</w:t>
      </w:r>
    </w:p>
    <w:p w:rsidR="007225CD" w:rsidRDefault="007225CD" w:rsidP="007225CD"/>
    <w:p w:rsidR="007225CD" w:rsidRDefault="007225CD" w:rsidP="007225CD">
      <w:pPr>
        <w:tabs>
          <w:tab w:val="left" w:pos="4675"/>
        </w:tabs>
        <w:spacing w:line="276" w:lineRule="auto"/>
      </w:pPr>
      <w:proofErr w:type="spellStart"/>
      <w:r>
        <w:t>Ehrenkreutz</w:t>
      </w:r>
      <w:proofErr w:type="spellEnd"/>
      <w:r>
        <w:t xml:space="preserve">, Andrew S., </w:t>
      </w:r>
      <w:r w:rsidRPr="005C32EF">
        <w:rPr>
          <w:i/>
        </w:rPr>
        <w:t>Saladin</w:t>
      </w:r>
      <w:r>
        <w:t xml:space="preserve"> (Albany, 1972)</w:t>
      </w:r>
      <w:r>
        <w:tab/>
      </w:r>
    </w:p>
    <w:p w:rsidR="007225CD" w:rsidRDefault="007225CD" w:rsidP="007225CD"/>
    <w:p w:rsidR="007225CD" w:rsidRDefault="007225CD" w:rsidP="007225CD">
      <w:r w:rsidRPr="007D7890">
        <w:t xml:space="preserve">Burl, Aubrey, </w:t>
      </w:r>
      <w:r w:rsidRPr="005C32EF">
        <w:rPr>
          <w:i/>
        </w:rPr>
        <w:t xml:space="preserve">God's heretics: the </w:t>
      </w:r>
      <w:proofErr w:type="spellStart"/>
      <w:r w:rsidRPr="005C32EF">
        <w:rPr>
          <w:i/>
        </w:rPr>
        <w:t>Albigensian</w:t>
      </w:r>
      <w:proofErr w:type="spellEnd"/>
      <w:r w:rsidRPr="005C32EF">
        <w:rPr>
          <w:i/>
        </w:rPr>
        <w:t xml:space="preserve"> Crusade</w:t>
      </w:r>
      <w:r w:rsidRPr="007D7890">
        <w:t xml:space="preserve"> (Stroud, 2002)</w:t>
      </w:r>
    </w:p>
    <w:p w:rsidR="007225CD" w:rsidRDefault="007225CD" w:rsidP="007225CD">
      <w:pPr>
        <w:spacing w:line="276" w:lineRule="auto"/>
        <w:rPr>
          <w:rFonts w:eastAsia="Arial Unicode MS" w:cs="Arial Unicode MS"/>
          <w:lang w:eastAsia="en-GB"/>
        </w:rPr>
      </w:pPr>
    </w:p>
    <w:p w:rsidR="007225CD" w:rsidRDefault="007225CD" w:rsidP="007225CD">
      <w:pPr>
        <w:spacing w:line="276" w:lineRule="auto"/>
        <w:rPr>
          <w:rFonts w:eastAsia="Arial Unicode MS" w:cs="Arial Unicode MS"/>
          <w:lang w:eastAsia="en-GB"/>
        </w:rPr>
      </w:pPr>
      <w:proofErr w:type="spellStart"/>
      <w:r w:rsidRPr="00D27C19">
        <w:rPr>
          <w:rFonts w:eastAsia="Arial Unicode MS" w:cs="Arial Unicode MS"/>
          <w:lang w:eastAsia="en-GB"/>
        </w:rPr>
        <w:t>Abulafia</w:t>
      </w:r>
      <w:proofErr w:type="spellEnd"/>
      <w:r>
        <w:rPr>
          <w:rFonts w:eastAsia="Arial Unicode MS" w:cs="Arial Unicode MS"/>
          <w:lang w:eastAsia="en-GB"/>
        </w:rPr>
        <w:t>,</w:t>
      </w:r>
      <w:r w:rsidRPr="00D27C19">
        <w:rPr>
          <w:rFonts w:eastAsia="Arial Unicode MS" w:cs="Arial Unicode MS"/>
          <w:bCs/>
          <w:lang w:eastAsia="en-GB"/>
        </w:rPr>
        <w:t xml:space="preserve"> </w:t>
      </w:r>
      <w:r w:rsidRPr="00D27C19">
        <w:rPr>
          <w:rFonts w:eastAsia="Arial Unicode MS" w:cs="Arial Unicode MS"/>
          <w:lang w:eastAsia="en-GB"/>
        </w:rPr>
        <w:t>David</w:t>
      </w:r>
      <w:r>
        <w:rPr>
          <w:rFonts w:eastAsia="Arial Unicode MS" w:cs="Arial Unicode MS"/>
          <w:lang w:eastAsia="en-GB"/>
        </w:rPr>
        <w:t xml:space="preserve">, </w:t>
      </w:r>
      <w:hyperlink r:id="rId5" w:history="1">
        <w:r w:rsidRPr="005C32EF">
          <w:rPr>
            <w:rFonts w:eastAsia="Arial Unicode MS" w:cs="Arial Unicode MS"/>
            <w:bCs/>
            <w:i/>
            <w:lang w:eastAsia="en-GB"/>
          </w:rPr>
          <w:t>Frederick II: a medieval emperor</w:t>
        </w:r>
      </w:hyperlink>
      <w:r w:rsidRPr="00D27C19">
        <w:rPr>
          <w:rFonts w:eastAsia="Arial Unicode MS" w:cs="Arial Unicode MS"/>
          <w:lang w:eastAsia="en-GB"/>
        </w:rPr>
        <w:t xml:space="preserve"> </w:t>
      </w:r>
      <w:r>
        <w:rPr>
          <w:rFonts w:eastAsia="Arial Unicode MS" w:cs="Arial Unicode MS"/>
          <w:lang w:eastAsia="en-GB"/>
        </w:rPr>
        <w:t>(</w:t>
      </w:r>
      <w:r w:rsidRPr="00D27C19">
        <w:rPr>
          <w:rFonts w:eastAsia="Arial Unicode MS" w:cs="Arial Unicode MS"/>
          <w:lang w:eastAsia="en-GB"/>
        </w:rPr>
        <w:t>London, 1988</w:t>
      </w:r>
      <w:r>
        <w:rPr>
          <w:rFonts w:eastAsia="Arial Unicode MS" w:cs="Arial Unicode MS"/>
          <w:lang w:eastAsia="en-GB"/>
        </w:rPr>
        <w:t>)</w:t>
      </w:r>
    </w:p>
    <w:p w:rsidR="007225CD" w:rsidRDefault="007225CD" w:rsidP="007225CD"/>
    <w:p w:rsidR="007225CD" w:rsidRDefault="007225CD" w:rsidP="007225CD">
      <w:proofErr w:type="spellStart"/>
      <w:r w:rsidRPr="007D7890">
        <w:t>Geffroi</w:t>
      </w:r>
      <w:proofErr w:type="spellEnd"/>
      <w:r w:rsidRPr="007D7890">
        <w:t xml:space="preserve"> de </w:t>
      </w:r>
      <w:proofErr w:type="spellStart"/>
      <w:r w:rsidRPr="007D7890">
        <w:t>Villehardouin</w:t>
      </w:r>
      <w:proofErr w:type="spellEnd"/>
      <w:r w:rsidRPr="007D7890">
        <w:t xml:space="preserve">, </w:t>
      </w:r>
      <w:r w:rsidRPr="005C32EF">
        <w:rPr>
          <w:i/>
        </w:rPr>
        <w:t>Memoirs or chronicle of the fourth crusade and the conquest of Constantinople</w:t>
      </w:r>
      <w:r>
        <w:t xml:space="preserve"> (</w:t>
      </w:r>
      <w:proofErr w:type="spellStart"/>
      <w:r>
        <w:t>Kessinger</w:t>
      </w:r>
      <w:proofErr w:type="spellEnd"/>
      <w:r>
        <w:t xml:space="preserve">, 2004) </w:t>
      </w:r>
    </w:p>
    <w:p w:rsidR="007225CD" w:rsidRDefault="007225CD" w:rsidP="007225CD">
      <w:pPr>
        <w:spacing w:line="276" w:lineRule="auto"/>
        <w:rPr>
          <w:rFonts w:eastAsia="Arial Unicode MS" w:cs="Arial Unicode MS"/>
          <w:lang w:eastAsia="en-GB"/>
        </w:rPr>
      </w:pPr>
    </w:p>
    <w:p w:rsidR="007225CD" w:rsidRPr="00D56E3E" w:rsidRDefault="007225CD" w:rsidP="007225CD">
      <w:pPr>
        <w:spacing w:line="276" w:lineRule="auto"/>
        <w:rPr>
          <w:rFonts w:eastAsia="Arial Unicode MS" w:cs="Arial Unicode MS"/>
          <w:lang w:eastAsia="en-GB"/>
        </w:rPr>
      </w:pPr>
      <w:proofErr w:type="spellStart"/>
      <w:r w:rsidRPr="00D56E3E">
        <w:rPr>
          <w:rFonts w:eastAsia="Arial Unicode MS" w:cs="Arial Unicode MS"/>
          <w:lang w:eastAsia="en-GB"/>
        </w:rPr>
        <w:t>Hindley</w:t>
      </w:r>
      <w:proofErr w:type="spellEnd"/>
      <w:r w:rsidRPr="00D56E3E">
        <w:rPr>
          <w:rFonts w:eastAsia="Arial Unicode MS" w:cs="Arial Unicode MS"/>
          <w:lang w:eastAsia="en-GB"/>
        </w:rPr>
        <w:t>, Geoffrey</w:t>
      </w:r>
      <w:r>
        <w:rPr>
          <w:rFonts w:eastAsia="Arial Unicode MS" w:cs="Arial Unicode MS"/>
          <w:lang w:eastAsia="en-GB"/>
        </w:rPr>
        <w:t>,</w:t>
      </w:r>
      <w:r w:rsidRPr="00D56E3E">
        <w:rPr>
          <w:rFonts w:eastAsia="Arial Unicode MS" w:cs="Arial Unicode MS"/>
          <w:lang w:eastAsia="en-GB"/>
        </w:rPr>
        <w:t xml:space="preserve"> </w:t>
      </w:r>
      <w:r w:rsidRPr="005C32EF">
        <w:rPr>
          <w:rFonts w:eastAsia="Arial Unicode MS" w:cs="Arial Unicode MS"/>
          <w:i/>
          <w:lang w:eastAsia="en-GB"/>
        </w:rPr>
        <w:t>Saladin</w:t>
      </w:r>
      <w:r w:rsidRPr="00D56E3E">
        <w:rPr>
          <w:rFonts w:eastAsia="Arial Unicode MS" w:cs="Arial Unicode MS"/>
          <w:lang w:eastAsia="en-GB"/>
        </w:rPr>
        <w:t xml:space="preserve"> (London, 1976)</w:t>
      </w:r>
    </w:p>
    <w:p w:rsidR="007225CD" w:rsidRDefault="007225CD" w:rsidP="007225CD">
      <w:pPr>
        <w:spacing w:line="276" w:lineRule="auto"/>
        <w:rPr>
          <w:rFonts w:eastAsia="Arial Unicode MS" w:cs="Arial Unicode MS"/>
          <w:lang w:eastAsia="en-GB"/>
        </w:rPr>
      </w:pPr>
    </w:p>
    <w:p w:rsidR="007225CD" w:rsidRDefault="007225CD" w:rsidP="007225CD">
      <w:pPr>
        <w:spacing w:line="276" w:lineRule="auto"/>
        <w:rPr>
          <w:rFonts w:eastAsia="Arial Unicode MS" w:cs="Arial Unicode MS"/>
          <w:lang w:eastAsia="en-GB"/>
        </w:rPr>
      </w:pPr>
      <w:r w:rsidRPr="00D56E3E">
        <w:rPr>
          <w:rFonts w:eastAsia="Arial Unicode MS" w:cs="Arial Unicode MS"/>
          <w:lang w:eastAsia="en-GB"/>
        </w:rPr>
        <w:t>Regan, Geoffrey</w:t>
      </w:r>
      <w:r>
        <w:rPr>
          <w:rFonts w:eastAsia="Arial Unicode MS" w:cs="Arial Unicode MS"/>
          <w:lang w:eastAsia="en-GB"/>
        </w:rPr>
        <w:t>,</w:t>
      </w:r>
      <w:r w:rsidRPr="00D56E3E">
        <w:rPr>
          <w:rFonts w:eastAsia="Arial Unicode MS" w:cs="Arial Unicode MS"/>
          <w:lang w:eastAsia="en-GB"/>
        </w:rPr>
        <w:t xml:space="preserve"> </w:t>
      </w:r>
      <w:r w:rsidRPr="005C32EF">
        <w:rPr>
          <w:rFonts w:eastAsia="Arial Unicode MS" w:cs="Arial Unicode MS"/>
          <w:i/>
          <w:lang w:eastAsia="en-GB"/>
        </w:rPr>
        <w:t>Saladin and the fall of Jerusalem</w:t>
      </w:r>
      <w:r w:rsidRPr="00D56E3E">
        <w:rPr>
          <w:rFonts w:eastAsia="Arial Unicode MS" w:cs="Arial Unicode MS"/>
          <w:lang w:eastAsia="en-GB"/>
        </w:rPr>
        <w:t xml:space="preserve"> (London, 1987)</w:t>
      </w:r>
    </w:p>
    <w:p w:rsidR="007225CD" w:rsidRDefault="007225CD" w:rsidP="007225CD"/>
    <w:p w:rsidR="007225CD" w:rsidRDefault="007225CD" w:rsidP="007225CD">
      <w:r w:rsidRPr="007D7890">
        <w:t>John, Godfrey</w:t>
      </w:r>
      <w:r>
        <w:t>,</w:t>
      </w:r>
      <w:r w:rsidRPr="007D7890">
        <w:t xml:space="preserve"> </w:t>
      </w:r>
      <w:r w:rsidRPr="005C32EF">
        <w:rPr>
          <w:i/>
        </w:rPr>
        <w:t xml:space="preserve">1204: the unholy </w:t>
      </w:r>
      <w:proofErr w:type="gramStart"/>
      <w:r w:rsidRPr="005C32EF">
        <w:rPr>
          <w:i/>
        </w:rPr>
        <w:t>crusade</w:t>
      </w:r>
      <w:r w:rsidRPr="007D7890">
        <w:t xml:space="preserve">  (</w:t>
      </w:r>
      <w:proofErr w:type="gramEnd"/>
      <w:r w:rsidRPr="007D7890">
        <w:t>Oxford, 1980)</w:t>
      </w:r>
    </w:p>
    <w:p w:rsidR="007225CD" w:rsidRDefault="007225CD" w:rsidP="007225CD">
      <w:pPr>
        <w:spacing w:line="276" w:lineRule="auto"/>
        <w:rPr>
          <w:rFonts w:eastAsia="Arial Unicode MS" w:cs="Arial Unicode MS"/>
          <w:lang w:eastAsia="en-GB"/>
        </w:rPr>
      </w:pPr>
    </w:p>
    <w:p w:rsidR="007225CD" w:rsidRPr="00D56E3E" w:rsidRDefault="007225CD" w:rsidP="007225CD">
      <w:pPr>
        <w:spacing w:line="276" w:lineRule="auto"/>
        <w:rPr>
          <w:rFonts w:eastAsia="Arial Unicode MS" w:cs="Arial Unicode MS"/>
          <w:lang w:eastAsia="en-GB"/>
        </w:rPr>
      </w:pPr>
      <w:r w:rsidRPr="00D56E3E">
        <w:rPr>
          <w:rFonts w:eastAsia="Arial Unicode MS" w:cs="Arial Unicode MS"/>
          <w:lang w:eastAsia="en-GB"/>
        </w:rPr>
        <w:t>Gibb, H.A.R.</w:t>
      </w:r>
      <w:r>
        <w:rPr>
          <w:rFonts w:eastAsia="Arial Unicode MS" w:cs="Arial Unicode MS"/>
          <w:lang w:eastAsia="en-GB"/>
        </w:rPr>
        <w:t>,</w:t>
      </w:r>
      <w:r w:rsidRPr="00D56E3E">
        <w:rPr>
          <w:rFonts w:eastAsia="Arial Unicode MS" w:cs="Arial Unicode MS"/>
          <w:lang w:eastAsia="en-GB"/>
        </w:rPr>
        <w:t xml:space="preserve"> </w:t>
      </w:r>
      <w:proofErr w:type="gramStart"/>
      <w:r w:rsidRPr="00264159">
        <w:rPr>
          <w:rFonts w:eastAsia="Arial Unicode MS" w:cs="Arial Unicode MS"/>
          <w:i/>
          <w:lang w:eastAsia="en-GB"/>
        </w:rPr>
        <w:t>The</w:t>
      </w:r>
      <w:proofErr w:type="gramEnd"/>
      <w:r w:rsidRPr="00264159">
        <w:rPr>
          <w:rFonts w:eastAsia="Arial Unicode MS" w:cs="Arial Unicode MS"/>
          <w:i/>
          <w:lang w:eastAsia="en-GB"/>
        </w:rPr>
        <w:t xml:space="preserve"> Achievement of Saladin</w:t>
      </w:r>
      <w:r>
        <w:rPr>
          <w:rFonts w:eastAsia="Arial Unicode MS" w:cs="Arial Unicode MS"/>
          <w:lang w:eastAsia="en-GB"/>
        </w:rPr>
        <w:t xml:space="preserve"> (</w:t>
      </w:r>
      <w:r w:rsidRPr="00D56E3E">
        <w:rPr>
          <w:rFonts w:eastAsia="Arial Unicode MS" w:cs="Arial Unicode MS"/>
          <w:lang w:eastAsia="en-GB"/>
        </w:rPr>
        <w:t>1952-3)</w:t>
      </w:r>
    </w:p>
    <w:p w:rsidR="007225CD" w:rsidRDefault="007225CD" w:rsidP="007225CD">
      <w:pPr>
        <w:spacing w:line="276" w:lineRule="auto"/>
        <w:rPr>
          <w:rFonts w:eastAsia="Arial Unicode MS" w:cs="Arial Unicode MS"/>
          <w:lang w:eastAsia="en-GB"/>
        </w:rPr>
      </w:pPr>
    </w:p>
    <w:p w:rsidR="007225CD" w:rsidRDefault="007225CD" w:rsidP="007225CD">
      <w:pPr>
        <w:spacing w:line="276" w:lineRule="auto"/>
        <w:rPr>
          <w:rFonts w:eastAsia="Arial Unicode MS" w:cs="Arial Unicode MS"/>
          <w:lang w:eastAsia="en-GB"/>
        </w:rPr>
      </w:pPr>
      <w:proofErr w:type="spellStart"/>
      <w:r w:rsidRPr="00D56E3E">
        <w:rPr>
          <w:rFonts w:eastAsia="Arial Unicode MS" w:cs="Arial Unicode MS"/>
          <w:lang w:eastAsia="en-GB"/>
        </w:rPr>
        <w:t>Möhring</w:t>
      </w:r>
      <w:proofErr w:type="spellEnd"/>
      <w:r w:rsidRPr="00D56E3E">
        <w:rPr>
          <w:rFonts w:eastAsia="Arial Unicode MS" w:cs="Arial Unicode MS"/>
          <w:lang w:eastAsia="en-GB"/>
        </w:rPr>
        <w:t>, Hannes</w:t>
      </w:r>
      <w:r>
        <w:rPr>
          <w:rFonts w:eastAsia="Arial Unicode MS" w:cs="Arial Unicode MS"/>
          <w:lang w:eastAsia="en-GB"/>
        </w:rPr>
        <w:t>,</w:t>
      </w:r>
      <w:r w:rsidRPr="00D56E3E">
        <w:rPr>
          <w:rFonts w:eastAsia="Arial Unicode MS" w:cs="Arial Unicode MS"/>
          <w:lang w:eastAsia="en-GB"/>
        </w:rPr>
        <w:t xml:space="preserve"> </w:t>
      </w:r>
      <w:r w:rsidRPr="00264159">
        <w:rPr>
          <w:rFonts w:eastAsia="Arial Unicode MS" w:cs="Arial Unicode MS"/>
          <w:i/>
          <w:lang w:eastAsia="en-GB"/>
        </w:rPr>
        <w:t>Saladin, the Sultan and his times, 1138-1193</w:t>
      </w:r>
      <w:r w:rsidRPr="00D56E3E">
        <w:rPr>
          <w:rFonts w:eastAsia="Arial Unicode MS" w:cs="Arial Unicode MS"/>
          <w:lang w:eastAsia="en-GB"/>
        </w:rPr>
        <w:t xml:space="preserve"> (Baltimore, 2008)</w:t>
      </w:r>
    </w:p>
    <w:p w:rsidR="007225CD" w:rsidRDefault="007225CD" w:rsidP="007225CD">
      <w:pPr>
        <w:spacing w:line="276" w:lineRule="auto"/>
      </w:pPr>
    </w:p>
    <w:p w:rsidR="007225CD" w:rsidRDefault="007225CD" w:rsidP="007225CD">
      <w:pPr>
        <w:spacing w:line="276" w:lineRule="auto"/>
      </w:pPr>
      <w:proofErr w:type="spellStart"/>
      <w:r>
        <w:t>Gillingham</w:t>
      </w:r>
      <w:proofErr w:type="spellEnd"/>
      <w:r>
        <w:t xml:space="preserve">, John, </w:t>
      </w:r>
      <w:r w:rsidRPr="00264159">
        <w:rPr>
          <w:i/>
        </w:rPr>
        <w:t>Richard I</w:t>
      </w:r>
      <w:r>
        <w:t xml:space="preserve"> (London, 2002)</w:t>
      </w:r>
    </w:p>
    <w:p w:rsidR="007225CD" w:rsidRDefault="007225CD" w:rsidP="007225CD">
      <w:pPr>
        <w:spacing w:line="276" w:lineRule="auto"/>
      </w:pPr>
    </w:p>
    <w:p w:rsidR="007225CD" w:rsidRDefault="007225CD" w:rsidP="007225CD">
      <w:pPr>
        <w:spacing w:line="276" w:lineRule="auto"/>
      </w:pPr>
      <w:proofErr w:type="spellStart"/>
      <w:r>
        <w:t>Gillingham</w:t>
      </w:r>
      <w:proofErr w:type="spellEnd"/>
      <w:r>
        <w:t xml:space="preserve">, John, </w:t>
      </w:r>
      <w:r w:rsidRPr="00264159">
        <w:rPr>
          <w:i/>
        </w:rPr>
        <w:t xml:space="preserve">Richard the </w:t>
      </w:r>
      <w:proofErr w:type="spellStart"/>
      <w:r w:rsidRPr="00264159">
        <w:rPr>
          <w:i/>
        </w:rPr>
        <w:t>Lionheart</w:t>
      </w:r>
      <w:proofErr w:type="spellEnd"/>
      <w:r>
        <w:t xml:space="preserve"> (London, 1978)</w:t>
      </w:r>
      <w:r w:rsidRPr="00852241">
        <w:t xml:space="preserve"> </w:t>
      </w:r>
    </w:p>
    <w:p w:rsidR="007225CD" w:rsidRDefault="007225CD" w:rsidP="007225CD">
      <w:pPr>
        <w:spacing w:line="276" w:lineRule="auto"/>
      </w:pPr>
    </w:p>
    <w:p w:rsidR="007225CD" w:rsidRDefault="007225CD" w:rsidP="007225CD">
      <w:pPr>
        <w:spacing w:line="276" w:lineRule="auto"/>
      </w:pPr>
      <w:proofErr w:type="spellStart"/>
      <w:r>
        <w:t>Gillingham</w:t>
      </w:r>
      <w:proofErr w:type="spellEnd"/>
      <w:r>
        <w:t xml:space="preserve">, John, </w:t>
      </w:r>
      <w:proofErr w:type="gramStart"/>
      <w:r w:rsidRPr="00264159">
        <w:rPr>
          <w:i/>
        </w:rPr>
        <w:t>The</w:t>
      </w:r>
      <w:proofErr w:type="gramEnd"/>
      <w:r w:rsidRPr="00264159">
        <w:rPr>
          <w:i/>
        </w:rPr>
        <w:t xml:space="preserve"> </w:t>
      </w:r>
      <w:proofErr w:type="spellStart"/>
      <w:r w:rsidRPr="00264159">
        <w:rPr>
          <w:i/>
        </w:rPr>
        <w:t>Angevin</w:t>
      </w:r>
      <w:proofErr w:type="spellEnd"/>
      <w:r w:rsidRPr="00264159">
        <w:rPr>
          <w:i/>
        </w:rPr>
        <w:t xml:space="preserve"> Empire</w:t>
      </w:r>
      <w:r>
        <w:t xml:space="preserve"> (London, 2001)</w:t>
      </w:r>
    </w:p>
    <w:p w:rsidR="007225CD" w:rsidRDefault="007225CD" w:rsidP="007225CD"/>
    <w:p w:rsidR="007225CD" w:rsidRDefault="007225CD" w:rsidP="007225CD">
      <w:r w:rsidRPr="007D7890">
        <w:t xml:space="preserve">Johnston, R.C. ed., </w:t>
      </w:r>
      <w:r w:rsidRPr="00264159">
        <w:rPr>
          <w:i/>
        </w:rPr>
        <w:t xml:space="preserve">The </w:t>
      </w:r>
      <w:r>
        <w:rPr>
          <w:i/>
        </w:rPr>
        <w:t>C</w:t>
      </w:r>
      <w:r w:rsidRPr="00264159">
        <w:rPr>
          <w:i/>
        </w:rPr>
        <w:t>rusade and death of Richard I</w:t>
      </w:r>
      <w:r w:rsidRPr="007D7890">
        <w:t xml:space="preserve"> (Oxford, 1961)</w:t>
      </w:r>
    </w:p>
    <w:p w:rsidR="007225CD" w:rsidRDefault="007225CD" w:rsidP="007225CD"/>
    <w:p w:rsidR="007225CD" w:rsidRDefault="007225CD" w:rsidP="007225CD">
      <w:r w:rsidRPr="007D7890">
        <w:t xml:space="preserve">Lyons, M. C., </w:t>
      </w:r>
      <w:r w:rsidRPr="00264159">
        <w:rPr>
          <w:i/>
        </w:rPr>
        <w:t>Saladin: the politics of the Holy War</w:t>
      </w:r>
      <w:r w:rsidRPr="007D7890">
        <w:t xml:space="preserve"> (Cambridge, 1982)</w:t>
      </w:r>
    </w:p>
    <w:p w:rsidR="007225CD" w:rsidRDefault="007225CD" w:rsidP="007225CD">
      <w:pPr>
        <w:spacing w:line="276" w:lineRule="auto"/>
      </w:pPr>
    </w:p>
    <w:p w:rsidR="007225CD" w:rsidRDefault="007225CD" w:rsidP="007225CD">
      <w:pPr>
        <w:spacing w:line="276" w:lineRule="auto"/>
      </w:pPr>
      <w:r w:rsidRPr="005816AA">
        <w:t xml:space="preserve">Baldwin, Marshall </w:t>
      </w:r>
      <w:proofErr w:type="spellStart"/>
      <w:r w:rsidRPr="005816AA">
        <w:t>Whithed</w:t>
      </w:r>
      <w:proofErr w:type="spellEnd"/>
      <w:r>
        <w:t>,</w:t>
      </w:r>
      <w:r w:rsidRPr="005816AA">
        <w:t xml:space="preserve"> </w:t>
      </w:r>
      <w:r w:rsidRPr="00264159">
        <w:rPr>
          <w:i/>
        </w:rPr>
        <w:t xml:space="preserve">Raymond III of </w:t>
      </w:r>
      <w:proofErr w:type="spellStart"/>
      <w:r w:rsidRPr="00264159">
        <w:rPr>
          <w:i/>
        </w:rPr>
        <w:t>Tripolis</w:t>
      </w:r>
      <w:proofErr w:type="spellEnd"/>
      <w:r w:rsidRPr="00264159">
        <w:rPr>
          <w:i/>
        </w:rPr>
        <w:t xml:space="preserve"> and the fall of Jerusalem (1140-1187)</w:t>
      </w:r>
      <w:r w:rsidRPr="005816AA">
        <w:t xml:space="preserve"> (New York, 1978)</w:t>
      </w:r>
    </w:p>
    <w:p w:rsidR="007225CD" w:rsidRDefault="007225CD" w:rsidP="007225CD">
      <w:pPr>
        <w:shd w:val="clear" w:color="auto" w:fill="FFFFFF"/>
        <w:spacing w:line="276" w:lineRule="auto"/>
        <w:rPr>
          <w:rFonts w:eastAsia="Arial Unicode MS" w:cs="Arial Unicode MS"/>
          <w:bCs/>
          <w:lang w:eastAsia="en-GB"/>
        </w:rPr>
      </w:pPr>
    </w:p>
    <w:p w:rsidR="007225CD" w:rsidRDefault="007225CD" w:rsidP="007225CD">
      <w:pPr>
        <w:shd w:val="clear" w:color="auto" w:fill="FFFFFF"/>
        <w:spacing w:line="276" w:lineRule="auto"/>
        <w:rPr>
          <w:rFonts w:eastAsia="Arial Unicode MS" w:cs="Arial Unicode MS"/>
          <w:bCs/>
          <w:lang w:eastAsia="en-GB"/>
        </w:rPr>
      </w:pPr>
      <w:proofErr w:type="spellStart"/>
      <w:r w:rsidRPr="003478BA">
        <w:rPr>
          <w:rFonts w:eastAsia="Arial Unicode MS" w:cs="Arial Unicode MS"/>
          <w:bCs/>
          <w:lang w:eastAsia="en-GB"/>
        </w:rPr>
        <w:t>Gervers</w:t>
      </w:r>
      <w:proofErr w:type="spellEnd"/>
      <w:r>
        <w:rPr>
          <w:rFonts w:eastAsia="Arial Unicode MS" w:cs="Arial Unicode MS"/>
          <w:bCs/>
          <w:lang w:eastAsia="en-GB"/>
        </w:rPr>
        <w:t>,</w:t>
      </w:r>
      <w:r w:rsidRPr="003478BA">
        <w:rPr>
          <w:rFonts w:eastAsia="Arial Unicode MS" w:cs="Arial Unicode MS"/>
          <w:bCs/>
          <w:lang w:eastAsia="en-GB"/>
        </w:rPr>
        <w:t xml:space="preserve"> Michael</w:t>
      </w:r>
      <w:r>
        <w:rPr>
          <w:rFonts w:eastAsia="Arial Unicode MS" w:cs="Arial Unicode MS"/>
          <w:bCs/>
          <w:lang w:eastAsia="en-GB"/>
        </w:rPr>
        <w:t>,</w:t>
      </w:r>
      <w:r w:rsidRPr="003478BA">
        <w:rPr>
          <w:rFonts w:eastAsia="Arial Unicode MS" w:cs="Arial Unicode MS"/>
          <w:bCs/>
          <w:lang w:eastAsia="en-GB"/>
        </w:rPr>
        <w:t xml:space="preserve"> </w:t>
      </w:r>
      <w:proofErr w:type="gramStart"/>
      <w:r w:rsidRPr="00264159">
        <w:rPr>
          <w:rFonts w:eastAsia="Arial Unicode MS" w:cs="Arial Unicode MS"/>
          <w:bCs/>
          <w:i/>
          <w:lang w:eastAsia="en-GB"/>
        </w:rPr>
        <w:t>The</w:t>
      </w:r>
      <w:proofErr w:type="gramEnd"/>
      <w:r w:rsidRPr="00264159">
        <w:rPr>
          <w:rFonts w:eastAsia="Arial Unicode MS" w:cs="Arial Unicode MS"/>
          <w:bCs/>
          <w:i/>
          <w:lang w:eastAsia="en-GB"/>
        </w:rPr>
        <w:t xml:space="preserve"> Second Crusade and the Cistercians</w:t>
      </w:r>
      <w:r>
        <w:rPr>
          <w:rFonts w:eastAsia="Arial Unicode MS" w:cs="Arial Unicode MS"/>
          <w:bCs/>
          <w:lang w:eastAsia="en-GB"/>
        </w:rPr>
        <w:t xml:space="preserve"> (</w:t>
      </w:r>
      <w:r w:rsidRPr="003478BA">
        <w:rPr>
          <w:rFonts w:eastAsia="Arial Unicode MS" w:cs="Arial Unicode MS"/>
          <w:bCs/>
          <w:lang w:eastAsia="en-GB"/>
        </w:rPr>
        <w:t>New York</w:t>
      </w:r>
      <w:r>
        <w:rPr>
          <w:rFonts w:eastAsia="Arial Unicode MS" w:cs="Arial Unicode MS"/>
          <w:bCs/>
          <w:lang w:eastAsia="en-GB"/>
        </w:rPr>
        <w:t xml:space="preserve">, </w:t>
      </w:r>
      <w:r w:rsidRPr="003478BA">
        <w:rPr>
          <w:rFonts w:eastAsia="Arial Unicode MS" w:cs="Arial Unicode MS"/>
          <w:bCs/>
          <w:lang w:eastAsia="en-GB"/>
        </w:rPr>
        <w:t>1992</w:t>
      </w:r>
      <w:r>
        <w:rPr>
          <w:rFonts w:eastAsia="Arial Unicode MS" w:cs="Arial Unicode MS"/>
          <w:bCs/>
          <w:lang w:eastAsia="en-GB"/>
        </w:rPr>
        <w:t>)</w:t>
      </w:r>
    </w:p>
    <w:p w:rsidR="007225CD" w:rsidRDefault="007225CD" w:rsidP="007225CD">
      <w:pPr>
        <w:spacing w:line="276" w:lineRule="auto"/>
      </w:pPr>
    </w:p>
    <w:p w:rsidR="007225CD" w:rsidRDefault="007225CD" w:rsidP="007225CD">
      <w:pPr>
        <w:spacing w:line="276" w:lineRule="auto"/>
      </w:pPr>
      <w:r>
        <w:t xml:space="preserve">Newby, P. H., </w:t>
      </w:r>
      <w:r w:rsidRPr="00264159">
        <w:rPr>
          <w:i/>
        </w:rPr>
        <w:t>Saladin in his time</w:t>
      </w:r>
      <w:r>
        <w:t xml:space="preserve"> (London, 1983)</w:t>
      </w:r>
    </w:p>
    <w:p w:rsidR="007225CD" w:rsidRDefault="007225CD" w:rsidP="007225CD">
      <w:pPr>
        <w:spacing w:line="276" w:lineRule="auto"/>
      </w:pPr>
    </w:p>
    <w:p w:rsidR="007225CD" w:rsidRDefault="007225CD" w:rsidP="007225CD">
      <w:pPr>
        <w:spacing w:line="276" w:lineRule="auto"/>
      </w:pPr>
      <w:proofErr w:type="spellStart"/>
      <w:r>
        <w:t>Edbury</w:t>
      </w:r>
      <w:proofErr w:type="spellEnd"/>
      <w:r>
        <w:t xml:space="preserve">, P. W., </w:t>
      </w:r>
      <w:r w:rsidRPr="00264159">
        <w:rPr>
          <w:i/>
        </w:rPr>
        <w:t>The conquest of Jerusalem and the Third Crusade: sources in translation</w:t>
      </w:r>
      <w:r>
        <w:t xml:space="preserve"> (Brookfield, 1996)  </w:t>
      </w:r>
    </w:p>
    <w:p w:rsidR="007225CD" w:rsidRDefault="007225CD" w:rsidP="007225CD"/>
    <w:p w:rsidR="007225CD" w:rsidRDefault="007225CD" w:rsidP="007225CD">
      <w:proofErr w:type="spellStart"/>
      <w:r w:rsidRPr="007D7890">
        <w:t>Queller</w:t>
      </w:r>
      <w:proofErr w:type="spellEnd"/>
      <w:r w:rsidRPr="007D7890">
        <w:t xml:space="preserve">, Donald E., </w:t>
      </w:r>
      <w:r w:rsidRPr="00264159">
        <w:rPr>
          <w:i/>
        </w:rPr>
        <w:t>The Fourth Crusade: the conquest of Constantinople, 1201-1204</w:t>
      </w:r>
      <w:r w:rsidRPr="007D7890">
        <w:t xml:space="preserve"> (Philadelphia, 1977)</w:t>
      </w:r>
    </w:p>
    <w:p w:rsidR="007225CD" w:rsidRDefault="007225CD" w:rsidP="007225CD"/>
    <w:p w:rsidR="007225CD" w:rsidRDefault="007225CD" w:rsidP="007225CD">
      <w:r w:rsidRPr="007D7890">
        <w:t xml:space="preserve">Regan, Geoffrey, </w:t>
      </w:r>
      <w:r w:rsidRPr="00264159">
        <w:rPr>
          <w:i/>
        </w:rPr>
        <w:t xml:space="preserve">Saladin and the fall of Jerusalem </w:t>
      </w:r>
      <w:r w:rsidRPr="007D7890">
        <w:t>(London, 1987)</w:t>
      </w:r>
    </w:p>
    <w:p w:rsidR="007225CD" w:rsidRDefault="007225CD" w:rsidP="007225CD"/>
    <w:p w:rsidR="007225CD" w:rsidRDefault="007225CD" w:rsidP="007225CD">
      <w:proofErr w:type="spellStart"/>
      <w:r>
        <w:lastRenderedPageBreak/>
        <w:t>Runciman</w:t>
      </w:r>
      <w:proofErr w:type="spellEnd"/>
      <w:r>
        <w:t xml:space="preserve">, Steven, </w:t>
      </w:r>
      <w:r w:rsidRPr="00264159">
        <w:rPr>
          <w:i/>
        </w:rPr>
        <w:t>The Great Church in captivity: a study of the Patriarchate of Constantinople from the eve of the Turkish conquest to the Greek War of Independence</w:t>
      </w:r>
      <w:r>
        <w:t xml:space="preserve"> (Cambridge, 1968)</w:t>
      </w:r>
    </w:p>
    <w:p w:rsidR="007225CD" w:rsidRDefault="007225CD" w:rsidP="007225CD">
      <w:pPr>
        <w:spacing w:line="276" w:lineRule="auto"/>
      </w:pPr>
    </w:p>
    <w:p w:rsidR="007225CD" w:rsidRDefault="007225CD" w:rsidP="007225CD">
      <w:pPr>
        <w:spacing w:line="276" w:lineRule="auto"/>
      </w:pPr>
      <w:proofErr w:type="spellStart"/>
      <w:r>
        <w:t>Runciman</w:t>
      </w:r>
      <w:proofErr w:type="spellEnd"/>
      <w:r>
        <w:t xml:space="preserve">, Steven, </w:t>
      </w:r>
      <w:r w:rsidRPr="00264159">
        <w:rPr>
          <w:i/>
        </w:rPr>
        <w:t>The fall of Constantinople, 1453</w:t>
      </w:r>
      <w:r>
        <w:t xml:space="preserve"> (Cambridge, 1965)</w:t>
      </w:r>
    </w:p>
    <w:p w:rsidR="007225CD" w:rsidRDefault="007225CD" w:rsidP="007225CD">
      <w:pPr>
        <w:spacing w:line="276" w:lineRule="auto"/>
      </w:pPr>
    </w:p>
    <w:p w:rsidR="007225CD" w:rsidRDefault="007225CD" w:rsidP="007225CD">
      <w:pPr>
        <w:spacing w:line="276" w:lineRule="auto"/>
      </w:pPr>
      <w:proofErr w:type="spellStart"/>
      <w:r>
        <w:t>Ambroise</w:t>
      </w:r>
      <w:proofErr w:type="spellEnd"/>
      <w:r>
        <w:t xml:space="preserve">, </w:t>
      </w:r>
      <w:r w:rsidRPr="00264159">
        <w:rPr>
          <w:i/>
        </w:rPr>
        <w:t xml:space="preserve">The crusade of Richard Lion-Heart by </w:t>
      </w:r>
      <w:proofErr w:type="spellStart"/>
      <w:r w:rsidRPr="00264159">
        <w:rPr>
          <w:i/>
        </w:rPr>
        <w:t>Ambroise</w:t>
      </w:r>
      <w:proofErr w:type="spellEnd"/>
      <w:r>
        <w:t xml:space="preserve">, </w:t>
      </w:r>
      <w:r w:rsidRPr="008D490F">
        <w:t>translated from the Old F</w:t>
      </w:r>
      <w:r>
        <w:t xml:space="preserve">rench by Merton Jerome Hubert, </w:t>
      </w:r>
      <w:r w:rsidRPr="008D490F">
        <w:t xml:space="preserve">with notes and documentation by John L. La Monte </w:t>
      </w:r>
      <w:r>
        <w:t>(New York, 1976)</w:t>
      </w:r>
      <w:r w:rsidRPr="007374FE">
        <w:rPr>
          <w:shd w:val="clear" w:color="auto" w:fill="FFE599"/>
        </w:rPr>
        <w:t xml:space="preserve"> eBook</w:t>
      </w:r>
    </w:p>
    <w:p w:rsidR="007225CD" w:rsidRDefault="007225CD" w:rsidP="007225CD">
      <w:pPr>
        <w:spacing w:line="276" w:lineRule="auto"/>
      </w:pPr>
    </w:p>
    <w:p w:rsidR="007225CD" w:rsidRDefault="007225CD" w:rsidP="007225CD">
      <w:pPr>
        <w:spacing w:line="276" w:lineRule="auto"/>
      </w:pPr>
      <w:r>
        <w:t xml:space="preserve">Stubbs, William, </w:t>
      </w:r>
      <w:r w:rsidRPr="00264159">
        <w:rPr>
          <w:i/>
        </w:rPr>
        <w:t>Chronicles and memorials of the reign of Richard</w:t>
      </w:r>
      <w:r>
        <w:t xml:space="preserve"> (London, 1864-65)</w:t>
      </w:r>
    </w:p>
    <w:p w:rsidR="007225CD" w:rsidRDefault="007225CD" w:rsidP="007225CD">
      <w:pPr>
        <w:spacing w:line="276" w:lineRule="auto"/>
      </w:pPr>
    </w:p>
    <w:p w:rsidR="007225CD" w:rsidRDefault="007225CD" w:rsidP="007225CD"/>
    <w:p w:rsidR="007225CD" w:rsidRDefault="007225CD" w:rsidP="007225CD"/>
    <w:p w:rsidR="007225CD" w:rsidRDefault="007225CD" w:rsidP="007225CD"/>
    <w:p w:rsidR="007225CD" w:rsidRDefault="007225CD" w:rsidP="007225CD"/>
    <w:p w:rsidR="00812A07" w:rsidRDefault="00812A07">
      <w:bookmarkStart w:id="0" w:name="_GoBack"/>
      <w:bookmarkEnd w:id="0"/>
    </w:p>
    <w:sectPr w:rsidR="00812A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5CD"/>
    <w:rsid w:val="007225CD"/>
    <w:rsid w:val="00812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5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5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tsd-l.worldcat.org/title/frederick-ii-a-medieval-emperor/oclc/21340927&amp;referer=brief_resul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2015-02-17T15:55:00Z</dcterms:created>
  <dcterms:modified xsi:type="dcterms:W3CDTF">2015-02-17T15:57:00Z</dcterms:modified>
</cp:coreProperties>
</file>