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769AB" w14:textId="77777777" w:rsidR="00C36842" w:rsidRPr="007A0D1A" w:rsidRDefault="00C36842" w:rsidP="00C36842">
      <w:pPr>
        <w:rPr>
          <w:b/>
          <w:bCs/>
        </w:rPr>
      </w:pPr>
      <w:r w:rsidRPr="007A0D1A">
        <w:rPr>
          <w:b/>
          <w:bCs/>
        </w:rPr>
        <w:t>Why might terrorist organisations be involved in other types of criminality, and how might intelligence gained in the investigation of such criminality inform counter-terrorism policing?</w:t>
      </w:r>
    </w:p>
    <w:p w14:paraId="4C2D8C3A" w14:textId="77777777" w:rsidR="00C36842" w:rsidRPr="007A0D1A" w:rsidRDefault="00C36842" w:rsidP="00C36842">
      <w:pPr>
        <w:rPr>
          <w:b/>
          <w:bCs/>
        </w:rPr>
      </w:pPr>
      <w:r w:rsidRPr="007A0D1A">
        <w:rPr>
          <w:b/>
          <w:bCs/>
        </w:rPr>
        <w:t xml:space="preserve">Your answer must be based on academic research, but you may </w:t>
      </w:r>
      <w:proofErr w:type="gramStart"/>
      <w:r w:rsidRPr="007A0D1A">
        <w:rPr>
          <w:b/>
          <w:bCs/>
        </w:rPr>
        <w:t>make reference</w:t>
      </w:r>
      <w:proofErr w:type="gramEnd"/>
      <w:r w:rsidRPr="007A0D1A">
        <w:rPr>
          <w:b/>
          <w:bCs/>
        </w:rPr>
        <w:t xml:space="preserve"> to relevant case studies (2,000 words). </w:t>
      </w:r>
    </w:p>
    <w:p w14:paraId="0A697560" w14:textId="77777777" w:rsidR="00C36842" w:rsidRDefault="00C36842" w:rsidP="00C36842"/>
    <w:p w14:paraId="4B7D33B6" w14:textId="351DCB9C" w:rsidR="00C36842" w:rsidRDefault="00C36842" w:rsidP="00C36842">
      <w:r>
        <w:t xml:space="preserve">The purpose of this essay is to explore the reasons why terrorist organisations may become involved in other types of criminality, and to consider how intelligence gained in the investigation of such criminality might inform counter-terrorism policing. It will begin by considering the various other types of crimes that terrorist groups may become involved in, and the potential reasons for their involvement in such crimes, before moving on to consider how investigations undertaken into these crimes can provide information to assist with tackling terrorist activity. </w:t>
      </w:r>
    </w:p>
    <w:p w14:paraId="31AB7023" w14:textId="5319007A" w:rsidR="00C36842" w:rsidRDefault="00C36842" w:rsidP="00C36842">
      <w:r>
        <w:t xml:space="preserve">The primary distinction between groups that are considered terrorist organisations, and other types of criminal organisations is typically seen as being rooted in their motivations for committing terrorist or criminal acts. Often, the main motivation of a terrorist organisation is to seek political change on behalf of a certain cause or group of people, </w:t>
      </w:r>
      <w:proofErr w:type="spellStart"/>
      <w:proofErr w:type="gramStart"/>
      <w:r>
        <w:t>where as</w:t>
      </w:r>
      <w:proofErr w:type="spellEnd"/>
      <w:proofErr w:type="gramEnd"/>
      <w:r>
        <w:t xml:space="preserve"> criminal organisations are typically seeking economic gain (Stohl, 2008). When violent acts of terror are committed, the aim is usually to send some sort of message to the public and/or the government, whereas when criminals resort to violent acts, it is often to achieve tactical objectives in pursuit of monetary gain. Furthermore, the two groups differ in that criminals prefer to go unnoticed by the public so as to avoid detection and not to instigate any sort of reaction or intervention from the government, whereas a terrorist group might wish to draw as much attention to itself as possible, including attention from the media, in order to place pressure upon governments and get a reaction from them (Stohl, 2008). However, according to much of the recent literature, terrorist organisations and criminal organisations are becoming increasingly interlinked. The list of behaviours related to terrorism that are criminalised is being extended all the time, with </w:t>
      </w:r>
      <w:proofErr w:type="gramStart"/>
      <w:r>
        <w:t>the majority of</w:t>
      </w:r>
      <w:proofErr w:type="gramEnd"/>
      <w:r>
        <w:t xml:space="preserve"> activities that terrorist groups undertake in order to pursue their objectives now being classed as a criminal offence.  It is perhaps a given that by the time an organisation resorts to committing an act of terror as a means of achieving it’s aims, there will be very little that the group is involved in that is not illegal (Dandurand &amp; Chin, 2004). </w:t>
      </w:r>
    </w:p>
    <w:p w14:paraId="18F9C7A8" w14:textId="21DF182B" w:rsidR="00C36842" w:rsidRDefault="00C36842" w:rsidP="00C36842">
      <w:r>
        <w:t xml:space="preserve">Makarenko (2004) describes how during the 1990’s the “crime-terror nexus” was consolidated, whereby organised crime and terrorism became converged. One of the </w:t>
      </w:r>
      <w:proofErr w:type="gramStart"/>
      <w:r>
        <w:t>most commonly seen</w:t>
      </w:r>
      <w:proofErr w:type="gramEnd"/>
      <w:r>
        <w:t xml:space="preserve"> occurrences of this is where terrorist groups use crime as a source of funding, for example, taxing the drug trade or committing credit card fraud. This relationship between the two groups is described </w:t>
      </w:r>
      <w:proofErr w:type="gramStart"/>
      <w:r>
        <w:t>by  Makarenko</w:t>
      </w:r>
      <w:proofErr w:type="gramEnd"/>
      <w:r>
        <w:t xml:space="preserve"> as a continuum. He stated that depending on the environment within which it is operating, a single group may move up and down the scale between a traditionally terrorist organisation, or a traditionally criminal organisation, and its position may change all the time. Some groups will occupy a central position on this continuum, as they will exhibit characteristics typical of both a terrorist organisation and a criminal organisation. </w:t>
      </w:r>
    </w:p>
    <w:p w14:paraId="17A8E3AE" w14:textId="764A9604" w:rsidR="00C36842" w:rsidRDefault="00C36842" w:rsidP="00C36842">
      <w:r>
        <w:t xml:space="preserve">There are a wide variety of reasons why terrorist and criminal groups may form relationships, or why terrorist groups may become involved in other types of criminal activity. For example, criminal and terrorist groups may interact with each other </w:t>
      </w:r>
      <w:proofErr w:type="gramStart"/>
      <w:r>
        <w:t>in order to</w:t>
      </w:r>
      <w:proofErr w:type="gramEnd"/>
      <w:r>
        <w:t xml:space="preserve"> share “intangible resources.” This may include things like expert knowledge on bomb-making or money laundering (Makarenko, 2004). They may also look to combine their resources for smuggling goods or people across borders. Organised crime groups may share their knowledge of routes for the illicit transfer of shipments and transportation of narcotics with terrorist organisations for example. In return, the criminal gang is </w:t>
      </w:r>
      <w:r>
        <w:lastRenderedPageBreak/>
        <w:t xml:space="preserve">able to tap </w:t>
      </w:r>
      <w:proofErr w:type="gramStart"/>
      <w:r>
        <w:t>in to</w:t>
      </w:r>
      <w:proofErr w:type="gramEnd"/>
      <w:r>
        <w:t xml:space="preserve"> the terrorist group’s expert knowledge in military tactics, weaponry, or skills relating to explosive devices. An example of this knowledge sharing was when Pablo Escabar allegedly hired the National Liberation Army to construct car bombs in 1993, since no one within his organisation had the skills to do so (</w:t>
      </w:r>
      <w:proofErr w:type="spellStart"/>
      <w:r>
        <w:t>Bjornehed</w:t>
      </w:r>
      <w:proofErr w:type="spellEnd"/>
      <w:r>
        <w:t xml:space="preserve">, 2004). </w:t>
      </w:r>
    </w:p>
    <w:p w14:paraId="5D281433" w14:textId="6DEF0DE8" w:rsidR="00C36842" w:rsidRDefault="00C36842" w:rsidP="00C36842">
      <w:r>
        <w:t xml:space="preserve">Another reason why terrorist and criminal groups may form allegiances is for operational purposes. According to </w:t>
      </w:r>
      <w:proofErr w:type="spellStart"/>
      <w:r>
        <w:t>Makerenko</w:t>
      </w:r>
      <w:proofErr w:type="spellEnd"/>
      <w:r>
        <w:t xml:space="preserve"> (2004), since the end of the Cold War and the decline of the state sponsorship of terrorism, organised criminal activities have become a major source of funding for many terrorist groups. The most common criminal activity that these groups involve themselves with to fund their other activities is the illegal drug trade, something which dominates the literature on this subject (e.g. Berry et. al 2002, </w:t>
      </w:r>
      <w:proofErr w:type="spellStart"/>
      <w:r>
        <w:t>Iciardi</w:t>
      </w:r>
      <w:proofErr w:type="spellEnd"/>
      <w:r>
        <w:t xml:space="preserve">, 200). </w:t>
      </w:r>
      <w:r w:rsidR="00FA0EA6">
        <w:t>This phenomenon</w:t>
      </w:r>
      <w:r>
        <w:t xml:space="preserve"> is now commonly referred to as “Narco-terrorism” (</w:t>
      </w:r>
      <w:proofErr w:type="spellStart"/>
      <w:r>
        <w:t>Bjornehed</w:t>
      </w:r>
      <w:proofErr w:type="spellEnd"/>
      <w:r>
        <w:t xml:space="preserve">, 2004).  One example of this is the relationship between the Albanian Mafia and the Kosovo Liberation Army (KLA). In this case, following the demise of the Albanian government in the 1990’s, the Albanian Mafia took control of heroin trafficking routes throughout the Balkans. At the same time, the KLA was established, who were seeking an independent state from Serbia. A relationship was formed between the two groups for the purpose of smuggling heroin. The profits from the Mafia were funnelled to the KLA, which was then used to buy weapons, often in “drugs for arms” arrangements (Makarenko, 2004). Other known examples of terrorist groups which have been linked to the illegal drug trade include Basque Homeland and Freedom Movement and the Kurdistan Workers Party (KPP). McCarthy (2003) observed that drug trafficking can have sometimes have a </w:t>
      </w:r>
      <w:r w:rsidR="00FA0EA6">
        <w:t>twofold purpose</w:t>
      </w:r>
      <w:r>
        <w:t xml:space="preserve"> for terrorists in that whilst it is a lucrative way of raising funds, it can also be used as a way of weakening their enemies by flooding their society with addictive substances.  </w:t>
      </w:r>
    </w:p>
    <w:p w14:paraId="23F7FC43" w14:textId="76B2CCAC" w:rsidR="00C36842" w:rsidRDefault="00C36842" w:rsidP="00C36842">
      <w:r>
        <w:t xml:space="preserve">In addition to drug trafficking, terrorists will sometimes use these same routes and resources to smuggle arms or even people as a way of funding their activities. There is a tendency for arms and narcotics </w:t>
      </w:r>
      <w:proofErr w:type="gramStart"/>
      <w:r>
        <w:t>in particular to</w:t>
      </w:r>
      <w:proofErr w:type="gramEnd"/>
      <w:r>
        <w:t xml:space="preserve"> become elements of the same transnational trafficking operations (</w:t>
      </w:r>
      <w:r>
        <w:rPr>
          <w:smallCaps/>
        </w:rPr>
        <w:t>D</w:t>
      </w:r>
      <w:r>
        <w:t xml:space="preserve">andurand &amp; Chin, 2004). </w:t>
      </w:r>
    </w:p>
    <w:p w14:paraId="2B5CF028" w14:textId="4462EC21" w:rsidR="00C36842" w:rsidRDefault="00C36842" w:rsidP="00C36842">
      <w:r>
        <w:t xml:space="preserve">Other criminal activities that terrorist groups have been associated with </w:t>
      </w:r>
      <w:proofErr w:type="gramStart"/>
      <w:r>
        <w:t>in order to</w:t>
      </w:r>
      <w:proofErr w:type="gramEnd"/>
      <w:r>
        <w:t xml:space="preserve"> fund their activities include fraud and counterfeiting. For example, Al Qaeda’s European financial network is largely reliant on credit card fraud, which takes place in Algeria. Groups can also become involved in activities such as the transport and sale of counterfeit goods such as cigarettes and computer software, as evidenced by Albanian Extremist Groups. It has been estimated that these criminal sources of funding raise nearly 1 million USD per month (</w:t>
      </w:r>
      <w:proofErr w:type="spellStart"/>
      <w:r>
        <w:t>Makerenko</w:t>
      </w:r>
      <w:proofErr w:type="spellEnd"/>
      <w:r>
        <w:t xml:space="preserve">, 2004). </w:t>
      </w:r>
    </w:p>
    <w:p w14:paraId="74600ADF" w14:textId="22097B64" w:rsidR="00C36842" w:rsidRDefault="00C36842" w:rsidP="00C36842">
      <w:r>
        <w:t xml:space="preserve">In addition to the above, terrorist groups have also been known to commit crimes such as kidnapping and robberies. Bank robberies </w:t>
      </w:r>
      <w:proofErr w:type="gramStart"/>
      <w:r>
        <w:t>in particular can</w:t>
      </w:r>
      <w:proofErr w:type="gramEnd"/>
      <w:r>
        <w:t xml:space="preserve"> be an important source of income for many groups, as they can be committed by isolated cells of the organisation. Other groups have also been known to engage in protection rackets and even contract murders (</w:t>
      </w:r>
      <w:r>
        <w:rPr>
          <w:smallCaps/>
        </w:rPr>
        <w:t>D</w:t>
      </w:r>
      <w:r>
        <w:t>andurand &amp; Chin, 2004).</w:t>
      </w:r>
    </w:p>
    <w:p w14:paraId="238E13F6" w14:textId="550F86F8" w:rsidR="00C36842" w:rsidRDefault="00C36842" w:rsidP="00C36842">
      <w:r>
        <w:t xml:space="preserve">As previously touched upon, it can also sometimes be the case that one or more terrorist and criminal groups start out as separate </w:t>
      </w:r>
      <w:proofErr w:type="gramStart"/>
      <w:r>
        <w:t>entities, but</w:t>
      </w:r>
      <w:proofErr w:type="gramEnd"/>
      <w:r>
        <w:t xml:space="preserve"> converge into one single entity over time. It can also be the case that an organisation may start out as a terrorist organisation, but gradually transform into a solely criminal organisation or vice versa. This may be due to the motivations and objectives of the group changing over time. For example, a group which started out as a terrorist organisation can change its focus to purely financial gain through illicit means, sometimes using their original political objectives as a façade for their criminality (Makarenko, 2003). </w:t>
      </w:r>
    </w:p>
    <w:p w14:paraId="1CA07D17" w14:textId="77777777" w:rsidR="00C36842" w:rsidRDefault="00C36842" w:rsidP="00C36842"/>
    <w:p w14:paraId="11B611D1" w14:textId="60CF7727" w:rsidR="00C36842" w:rsidRDefault="00C36842" w:rsidP="00C36842">
      <w:r>
        <w:lastRenderedPageBreak/>
        <w:t xml:space="preserve">Given that criminal organisations and terrorists groups are now often interlinked, or that terrorist organisations are themselves are committing criminal acts </w:t>
      </w:r>
      <w:proofErr w:type="gramStart"/>
      <w:r>
        <w:t>in order to</w:t>
      </w:r>
      <w:proofErr w:type="gramEnd"/>
      <w:r>
        <w:t xml:space="preserve"> fund their terrorist activities for example, this affords police who investigate certain crimes, particularly those committed by organised criminal gangs, a potential opportunity to gather intelligence on terrorist organisations, which can in turn inform counter-terrorism policing. </w:t>
      </w:r>
    </w:p>
    <w:p w14:paraId="0688F1E0" w14:textId="121B0C7B" w:rsidR="00C36842" w:rsidRDefault="00C36842" w:rsidP="00C36842">
      <w:r>
        <w:t xml:space="preserve">Having an awareness of the types of crimes that a terrorist organisation may be involved in is in important factor in this. If an organised crime group is known to smuggling drugs for example, an activity which is well known to frequently be a source of funding for terrorism, then officers investigating the criminal gang should </w:t>
      </w:r>
      <w:proofErr w:type="gramStart"/>
      <w:r>
        <w:t>look into</w:t>
      </w:r>
      <w:proofErr w:type="gramEnd"/>
      <w:r>
        <w:t xml:space="preserve"> the possibility of any connections with terrorist activity. If any such connection is identified, then this intelligence should be shared with the relevant counter-terrorism officers as a matter of priority. </w:t>
      </w:r>
    </w:p>
    <w:p w14:paraId="4EB3D36C" w14:textId="12670951" w:rsidR="00C36842" w:rsidRDefault="00C36842" w:rsidP="00C36842">
      <w:r>
        <w:t xml:space="preserve">However, </w:t>
      </w:r>
      <w:proofErr w:type="gramStart"/>
      <w:r>
        <w:t>it would seem that up</w:t>
      </w:r>
      <w:proofErr w:type="gramEnd"/>
      <w:r>
        <w:t xml:space="preserve"> until recently, this sharing of counterterrorism intelligence has not necessarily been common practice, with different law enforcement agencies often working in isolation. This appears to be a universal issue, termed the “Justice Silo Effect” by Kelty et. al (2013). After the September 11</w:t>
      </w:r>
      <w:r w:rsidRPr="00FC32CB">
        <w:rPr>
          <w:vertAlign w:val="superscript"/>
        </w:rPr>
        <w:t>th</w:t>
      </w:r>
      <w:r>
        <w:t xml:space="preserve"> terrorist attacks in the USA for example, a key shortcoming recognised by the 9/11 commission was that agencies had failed to share information between each other. The commission identified that not only were there technological barriers to the sharing of information between agencies, but arguably more significantly, there were organisational and cultural obstacles (Ratcliffe, 2016). </w:t>
      </w:r>
    </w:p>
    <w:p w14:paraId="63C2C726" w14:textId="77777777" w:rsidR="00C36842" w:rsidRDefault="00C36842" w:rsidP="00C36842"/>
    <w:p w14:paraId="4F93391E" w14:textId="32BA8115" w:rsidR="00C36842" w:rsidRDefault="00C36842" w:rsidP="00C36842">
      <w:r>
        <w:t xml:space="preserve">There are some clear benefits to sharing information between different agencies. For example, it can assist with identifying groups or individuals who are at risk of committing terrorist </w:t>
      </w:r>
      <w:proofErr w:type="gramStart"/>
      <w:r>
        <w:t>acts, and</w:t>
      </w:r>
      <w:proofErr w:type="gramEnd"/>
      <w:r>
        <w:t xml:space="preserve"> can facilitate the efficient use of resources by targeting those who are at a greater risk (Ratcliffe, 2016). Brown (2018) described how “linkage blindness” can become a barrier to sharing counter-terrorism intelligence, whereby information is only available in one jurisdiction and not another, leading to the full context of the terrorism threat not being realised. It is therefore important for agencies to work in partnership and develop trusting relationships with each other, </w:t>
      </w:r>
      <w:proofErr w:type="gramStart"/>
      <w:r>
        <w:t>in order to</w:t>
      </w:r>
      <w:proofErr w:type="gramEnd"/>
      <w:r>
        <w:t xml:space="preserve"> break down information barriers. In some cases, this will involve redefining organisational cultures within well-established agencies. Police forces are now being asked to tackle a range of threats that were not considered an issue when the current cohort of police leaders initially joined the force. These leaders are now having to quickly adapt to a new policing environment, with the threat of terrorism being a consistent consideration (Ratcliffe, 2016). </w:t>
      </w:r>
    </w:p>
    <w:p w14:paraId="5E03026C" w14:textId="336C1EF9" w:rsidR="00C36842" w:rsidRDefault="00C36842" w:rsidP="00C36842">
      <w:r>
        <w:t xml:space="preserve">Identifying and eliminating organised terrorist groups requires more in-depth and up to date local intelligence than what agencies currently have available, including a sharper analysis of political and cultural trends, knowledge of how these terrorist groups are operating, and how they are being funded, something which police forces investigating certain criminal activities connected with terrorist organisations can at least </w:t>
      </w:r>
      <w:proofErr w:type="gramStart"/>
      <w:r>
        <w:t>make a contribution</w:t>
      </w:r>
      <w:proofErr w:type="gramEnd"/>
      <w:r>
        <w:t xml:space="preserve"> towards. However, eliminating the barriers between local police forces and intelligence agencies and even between intelligence agencies is easier said than done. In addition to the issues already mentioned above, this can also be because the practical demands of a counter-terrorism operation can sometimes stand in the way of breaking the link between organised crime and terrorism. An example of this is where the US and NATO chose to turn a blind eye to production and smuggling of opioids in Afghanistan, </w:t>
      </w:r>
      <w:proofErr w:type="gramStart"/>
      <w:r>
        <w:t>due to the fact that</w:t>
      </w:r>
      <w:proofErr w:type="gramEnd"/>
      <w:r>
        <w:t xml:space="preserve"> they were able to gain intelligence on the Taliban from local people, who were often involved in this trade (Viano, 2020). </w:t>
      </w:r>
    </w:p>
    <w:p w14:paraId="3480D0DC" w14:textId="77777777" w:rsidR="00C36842" w:rsidRDefault="00C36842" w:rsidP="00C36842"/>
    <w:p w14:paraId="4CD969C7" w14:textId="7EF96EEC" w:rsidR="00C36842" w:rsidRDefault="00C36842" w:rsidP="00C36842">
      <w:r>
        <w:t xml:space="preserve">To conclude, there are a whole range of reasons why a terrorist organisation may become involved in other types of criminality, the primary motivation often being financial. However, they may also become connected with other criminal gangs </w:t>
      </w:r>
      <w:proofErr w:type="gramStart"/>
      <w:r>
        <w:t>in order to</w:t>
      </w:r>
      <w:proofErr w:type="gramEnd"/>
      <w:r>
        <w:t xml:space="preserve"> share information and resources such as knowledge of smuggling routes. Intelligence gained in the investigation of such criminality can therefore help to inform counter-terrorism policing, provided that the different agencies involved continue to work together to break down communication barriers, and share any relevant intelligence gained </w:t>
      </w:r>
      <w:proofErr w:type="gramStart"/>
      <w:r>
        <w:t>during the course of</w:t>
      </w:r>
      <w:proofErr w:type="gramEnd"/>
      <w:r>
        <w:t xml:space="preserve"> an investigation with each other. </w:t>
      </w:r>
    </w:p>
    <w:p w14:paraId="4BBBD9AC" w14:textId="77777777" w:rsidR="00C36842" w:rsidRDefault="00C36842" w:rsidP="00C36842"/>
    <w:p w14:paraId="009A8849" w14:textId="77777777" w:rsidR="00C36842" w:rsidRDefault="00C36842" w:rsidP="00C36842"/>
    <w:p w14:paraId="436B021B" w14:textId="3F1A1D62" w:rsidR="00C36842" w:rsidRDefault="00C36842" w:rsidP="00C36842">
      <w:r>
        <w:t xml:space="preserve">(1,910 Words) </w:t>
      </w:r>
    </w:p>
    <w:p w14:paraId="7B3C9861" w14:textId="77777777" w:rsidR="00C36842" w:rsidRDefault="00C36842" w:rsidP="00C36842"/>
    <w:p w14:paraId="5EAEACFC" w14:textId="77777777" w:rsidR="00C36842" w:rsidRDefault="00C36842" w:rsidP="00C36842"/>
    <w:p w14:paraId="6E2F212D" w14:textId="77777777" w:rsidR="00C36842" w:rsidRDefault="00C36842" w:rsidP="00C36842"/>
    <w:p w14:paraId="3DD9FA95" w14:textId="77777777" w:rsidR="005E509B" w:rsidRDefault="005E509B" w:rsidP="002D660A">
      <w:pPr>
        <w:pStyle w:val="PlainText"/>
      </w:pPr>
    </w:p>
    <w:p w14:paraId="290A7A2E" w14:textId="77777777" w:rsidR="00C36842" w:rsidRDefault="00C36842" w:rsidP="002D660A">
      <w:pPr>
        <w:pStyle w:val="PlainText"/>
      </w:pPr>
    </w:p>
    <w:p w14:paraId="563617CA" w14:textId="77777777" w:rsidR="00C36842" w:rsidRDefault="00C36842" w:rsidP="002D660A">
      <w:pPr>
        <w:pStyle w:val="PlainText"/>
      </w:pPr>
    </w:p>
    <w:p w14:paraId="285C936D" w14:textId="77777777" w:rsidR="00C36842" w:rsidRDefault="00C36842" w:rsidP="002D660A">
      <w:pPr>
        <w:pStyle w:val="PlainText"/>
      </w:pPr>
    </w:p>
    <w:p w14:paraId="7B30CEAC" w14:textId="77777777" w:rsidR="00C36842" w:rsidRDefault="00C36842" w:rsidP="002D660A">
      <w:pPr>
        <w:pStyle w:val="PlainText"/>
      </w:pPr>
    </w:p>
    <w:p w14:paraId="2DA42DA1" w14:textId="77777777" w:rsidR="00C36842" w:rsidRDefault="00C36842" w:rsidP="002D660A">
      <w:pPr>
        <w:pStyle w:val="PlainText"/>
      </w:pPr>
    </w:p>
    <w:p w14:paraId="127CB26C" w14:textId="77777777" w:rsidR="00C36842" w:rsidRDefault="00C36842" w:rsidP="002D660A">
      <w:pPr>
        <w:pStyle w:val="PlainText"/>
      </w:pPr>
    </w:p>
    <w:p w14:paraId="2363A72C" w14:textId="77777777" w:rsidR="00C36842" w:rsidRDefault="00C36842" w:rsidP="002D660A">
      <w:pPr>
        <w:pStyle w:val="PlainText"/>
      </w:pPr>
    </w:p>
    <w:p w14:paraId="4821411C" w14:textId="77777777" w:rsidR="00C36842" w:rsidRDefault="00C36842" w:rsidP="002D660A">
      <w:pPr>
        <w:pStyle w:val="PlainText"/>
      </w:pPr>
    </w:p>
    <w:p w14:paraId="25E90C39" w14:textId="77777777" w:rsidR="00C36842" w:rsidRDefault="00C36842" w:rsidP="002D660A">
      <w:pPr>
        <w:pStyle w:val="PlainText"/>
      </w:pPr>
    </w:p>
    <w:p w14:paraId="6EE09821" w14:textId="77777777" w:rsidR="00C36842" w:rsidRDefault="00C36842" w:rsidP="002D660A">
      <w:pPr>
        <w:pStyle w:val="PlainText"/>
      </w:pPr>
    </w:p>
    <w:p w14:paraId="7D534DC4" w14:textId="77777777" w:rsidR="00C36842" w:rsidRDefault="00C36842" w:rsidP="002D660A">
      <w:pPr>
        <w:pStyle w:val="PlainText"/>
      </w:pPr>
    </w:p>
    <w:p w14:paraId="5CE15BEA" w14:textId="77777777" w:rsidR="00C36842" w:rsidRDefault="00C36842" w:rsidP="002D660A">
      <w:pPr>
        <w:pStyle w:val="PlainText"/>
      </w:pPr>
    </w:p>
    <w:p w14:paraId="4C6D949D" w14:textId="77777777" w:rsidR="00C36842" w:rsidRDefault="00C36842" w:rsidP="002D660A">
      <w:pPr>
        <w:pStyle w:val="PlainText"/>
      </w:pPr>
    </w:p>
    <w:p w14:paraId="13B701CE" w14:textId="77777777" w:rsidR="00FA0EA6" w:rsidRDefault="00FA0EA6" w:rsidP="002D660A">
      <w:pPr>
        <w:pStyle w:val="PlainText"/>
      </w:pPr>
    </w:p>
    <w:p w14:paraId="47789C90" w14:textId="77777777" w:rsidR="00FA0EA6" w:rsidRDefault="00FA0EA6" w:rsidP="002D660A">
      <w:pPr>
        <w:pStyle w:val="PlainText"/>
      </w:pPr>
    </w:p>
    <w:p w14:paraId="1E06B004" w14:textId="77777777" w:rsidR="00FA0EA6" w:rsidRDefault="00FA0EA6" w:rsidP="002D660A">
      <w:pPr>
        <w:pStyle w:val="PlainText"/>
      </w:pPr>
    </w:p>
    <w:p w14:paraId="3FCD1679" w14:textId="77777777" w:rsidR="00FA0EA6" w:rsidRDefault="00FA0EA6" w:rsidP="002D660A">
      <w:pPr>
        <w:pStyle w:val="PlainText"/>
      </w:pPr>
    </w:p>
    <w:p w14:paraId="7871B592" w14:textId="77777777" w:rsidR="00FA0EA6" w:rsidRDefault="00FA0EA6" w:rsidP="002D660A">
      <w:pPr>
        <w:pStyle w:val="PlainText"/>
      </w:pPr>
    </w:p>
    <w:p w14:paraId="340FCAB0" w14:textId="77777777" w:rsidR="00FA0EA6" w:rsidRDefault="00FA0EA6" w:rsidP="002D660A">
      <w:pPr>
        <w:pStyle w:val="PlainText"/>
      </w:pPr>
    </w:p>
    <w:p w14:paraId="061DB8DC" w14:textId="77777777" w:rsidR="00FA0EA6" w:rsidRDefault="00FA0EA6" w:rsidP="002D660A">
      <w:pPr>
        <w:pStyle w:val="PlainText"/>
      </w:pPr>
    </w:p>
    <w:p w14:paraId="4AEBF313" w14:textId="77777777" w:rsidR="00FA0EA6" w:rsidRDefault="00FA0EA6" w:rsidP="002D660A">
      <w:pPr>
        <w:pStyle w:val="PlainText"/>
      </w:pPr>
    </w:p>
    <w:p w14:paraId="19FCBCA7" w14:textId="77777777" w:rsidR="00FA0EA6" w:rsidRDefault="00FA0EA6" w:rsidP="002D660A">
      <w:pPr>
        <w:pStyle w:val="PlainText"/>
      </w:pPr>
    </w:p>
    <w:p w14:paraId="52E97343" w14:textId="77777777" w:rsidR="00FA0EA6" w:rsidRDefault="00FA0EA6" w:rsidP="002D660A">
      <w:pPr>
        <w:pStyle w:val="PlainText"/>
      </w:pPr>
    </w:p>
    <w:p w14:paraId="1707858D" w14:textId="77777777" w:rsidR="00FA0EA6" w:rsidRDefault="00FA0EA6" w:rsidP="002D660A">
      <w:pPr>
        <w:pStyle w:val="PlainText"/>
      </w:pPr>
    </w:p>
    <w:p w14:paraId="5B665A27" w14:textId="77777777" w:rsidR="00FA0EA6" w:rsidRDefault="00FA0EA6" w:rsidP="002D660A">
      <w:pPr>
        <w:pStyle w:val="PlainText"/>
      </w:pPr>
    </w:p>
    <w:p w14:paraId="31B08B49" w14:textId="77777777" w:rsidR="00FA0EA6" w:rsidRDefault="00FA0EA6" w:rsidP="002D660A">
      <w:pPr>
        <w:pStyle w:val="PlainText"/>
      </w:pPr>
    </w:p>
    <w:p w14:paraId="0A6D064C" w14:textId="77777777" w:rsidR="00FA0EA6" w:rsidRDefault="00FA0EA6" w:rsidP="002D660A">
      <w:pPr>
        <w:pStyle w:val="PlainText"/>
      </w:pPr>
    </w:p>
    <w:p w14:paraId="272B7196" w14:textId="77777777" w:rsidR="00FA0EA6" w:rsidRDefault="00FA0EA6" w:rsidP="002D660A">
      <w:pPr>
        <w:pStyle w:val="PlainText"/>
      </w:pPr>
    </w:p>
    <w:p w14:paraId="534CA0F6" w14:textId="77777777" w:rsidR="00FA0EA6" w:rsidRDefault="00FA0EA6" w:rsidP="002D660A">
      <w:pPr>
        <w:pStyle w:val="PlainText"/>
      </w:pPr>
    </w:p>
    <w:p w14:paraId="31CD18BB" w14:textId="77777777" w:rsidR="00C36842" w:rsidRDefault="00C36842" w:rsidP="002D660A">
      <w:pPr>
        <w:pStyle w:val="PlainText"/>
      </w:pPr>
    </w:p>
    <w:p w14:paraId="49CC7E1F" w14:textId="710BBC9B" w:rsidR="005E509B" w:rsidRPr="00EB6C66" w:rsidRDefault="005E509B" w:rsidP="005E509B">
      <w:pPr>
        <w:pStyle w:val="PlainText"/>
        <w:rPr>
          <w:b/>
          <w:bCs/>
        </w:rPr>
      </w:pPr>
      <w:r w:rsidRPr="00EB6C66">
        <w:rPr>
          <w:b/>
          <w:bCs/>
        </w:rPr>
        <w:lastRenderedPageBreak/>
        <w:t xml:space="preserve">4. “Whilst public apathy and non-engagement are significant barriers for Neighbourhood Policing Teams to overcome, people who are anti-police or who might appear to be unwilling to engage are precisely those whom the police most need to engage” (Cosgrove and Ramshaw, 2013). Why might some groups be reluctant to engage with police, and to what extent do the police have a role in creating and maintaining community cohesion? Your answer must be based on academic research, but you may </w:t>
      </w:r>
      <w:proofErr w:type="gramStart"/>
      <w:r w:rsidRPr="00EB6C66">
        <w:rPr>
          <w:b/>
          <w:bCs/>
        </w:rPr>
        <w:t>make reference</w:t>
      </w:r>
      <w:proofErr w:type="gramEnd"/>
      <w:r w:rsidRPr="00EB6C66">
        <w:rPr>
          <w:b/>
          <w:bCs/>
        </w:rPr>
        <w:t xml:space="preserve"> to relevant case </w:t>
      </w:r>
      <w:r w:rsidR="00EE1E4C" w:rsidRPr="00EB6C66">
        <w:rPr>
          <w:b/>
          <w:bCs/>
        </w:rPr>
        <w:t>studies.</w:t>
      </w:r>
      <w:r w:rsidR="00FA0EA6">
        <w:rPr>
          <w:b/>
          <w:bCs/>
        </w:rPr>
        <w:t xml:space="preserve"> (2000 words)</w:t>
      </w:r>
    </w:p>
    <w:p w14:paraId="35138B1C" w14:textId="77777777" w:rsidR="005E509B" w:rsidRDefault="005E509B" w:rsidP="002D660A">
      <w:pPr>
        <w:pStyle w:val="PlainText"/>
      </w:pPr>
    </w:p>
    <w:p w14:paraId="78FCC408" w14:textId="389AEFA0" w:rsidR="005E509B" w:rsidRDefault="00D51561" w:rsidP="002D660A">
      <w:pPr>
        <w:pStyle w:val="PlainText"/>
      </w:pPr>
      <w:r w:rsidRPr="00D51561">
        <w:t xml:space="preserve">The well-known principle that "the police are the public and the public are the police" embodies the long-standing "consensus" policing tradition in the UK (Peak and </w:t>
      </w:r>
      <w:proofErr w:type="spellStart"/>
      <w:r w:rsidRPr="00D51561">
        <w:t>Glensor</w:t>
      </w:r>
      <w:proofErr w:type="spellEnd"/>
      <w:r w:rsidRPr="00D51561">
        <w:t>, 1996). The distance between police and the communities they served grew over the second half of the 20th century as police stations either closed permanently or started operating with fewer staff members and vehicle patrols taking the place of foot patrols.</w:t>
      </w:r>
      <w:r>
        <w:t xml:space="preserve"> (Rogers, 2017)</w:t>
      </w:r>
    </w:p>
    <w:p w14:paraId="53BA97FE" w14:textId="77777777" w:rsidR="00312E30" w:rsidRDefault="00312E30" w:rsidP="002D660A">
      <w:pPr>
        <w:pStyle w:val="PlainText"/>
      </w:pPr>
    </w:p>
    <w:p w14:paraId="2CFC0FF8" w14:textId="310BDE5D" w:rsidR="00A229CB" w:rsidRDefault="00BF13EF" w:rsidP="002D660A">
      <w:pPr>
        <w:pStyle w:val="PlainText"/>
      </w:pPr>
      <w:r>
        <w:t xml:space="preserve">Over the last 5 years the publics perception of the police has changed (YouGov, 2023) tracks the statistics of the </w:t>
      </w:r>
      <w:proofErr w:type="gramStart"/>
      <w:r>
        <w:t>general public</w:t>
      </w:r>
      <w:proofErr w:type="gramEnd"/>
      <w:r>
        <w:t xml:space="preserve"> </w:t>
      </w:r>
      <w:r w:rsidR="00A229CB">
        <w:t>and their thoughts and feelings towards the police.</w:t>
      </w:r>
      <w:r w:rsidR="00AB4C0A">
        <w:t xml:space="preserve"> in December 2019 statistic showed that 77% of the population believed that the police were doing a good job, 17% of persons believed the police were doing a bad job and then 6% weren’t sure. </w:t>
      </w:r>
      <w:r w:rsidR="008B4423">
        <w:t xml:space="preserve">This was at a time where the UK’s threat level was reduced from severe to substantial </w:t>
      </w:r>
      <w:r w:rsidR="00BC69F7">
        <w:t xml:space="preserve">but also a surge in knife crime with over 130 homicide investigations. (Shropshire Star, 2019) </w:t>
      </w:r>
      <w:r w:rsidR="00426E99">
        <w:t>Whereas,</w:t>
      </w:r>
      <w:r w:rsidR="00BC69F7">
        <w:t xml:space="preserve"> </w:t>
      </w:r>
      <w:r w:rsidR="00E3189A">
        <w:t xml:space="preserve">4 years later in December 2023 the </w:t>
      </w:r>
      <w:r w:rsidR="008D1EE3">
        <w:t xml:space="preserve">statistics have changed quite dramatically. Now under 50% of the public think that the police are doing a good job, and over 40% of the </w:t>
      </w:r>
      <w:proofErr w:type="gramStart"/>
      <w:r w:rsidR="008D1EE3">
        <w:t>general public</w:t>
      </w:r>
      <w:proofErr w:type="gramEnd"/>
      <w:r w:rsidR="008D1EE3">
        <w:t xml:space="preserve"> </w:t>
      </w:r>
      <w:r w:rsidR="00426E99">
        <w:t>actively</w:t>
      </w:r>
      <w:r w:rsidR="008D1EE3">
        <w:t xml:space="preserve"> stating that the police are doing </w:t>
      </w:r>
      <w:r w:rsidR="00426E99">
        <w:t>a bad job. (YouGov, 2023)</w:t>
      </w:r>
    </w:p>
    <w:p w14:paraId="1B0209E2" w14:textId="77777777" w:rsidR="00D51561" w:rsidRDefault="00D51561" w:rsidP="002D660A">
      <w:pPr>
        <w:pStyle w:val="PlainText"/>
      </w:pPr>
    </w:p>
    <w:p w14:paraId="0E0E8BE4" w14:textId="3936413F" w:rsidR="002D660A" w:rsidRDefault="005E509B" w:rsidP="002D660A">
      <w:pPr>
        <w:pStyle w:val="PlainText"/>
      </w:pPr>
      <w:r w:rsidRPr="005E509B">
        <w:t>The hesitancy of specific groups to interact with the police is a complex matter that stems from historical, sociological, and systemic elements. To fully grasp the complexity involved, it is important to investigate the reasons that underlie this reluctance</w:t>
      </w:r>
      <w:r w:rsidR="002D660A">
        <w:t>. One significant factor contributing to the reluctance is the historical context of police-community relations. Instances of police misconduct, discriminatory practices, and abuse of power have eroded trust, particularly among marginalised communities.</w:t>
      </w:r>
      <w:r w:rsidR="00BC69F7">
        <w:t xml:space="preserve"> Whereas in December 2023 </w:t>
      </w:r>
    </w:p>
    <w:p w14:paraId="5F196FE2" w14:textId="77777777" w:rsidR="002D660A" w:rsidRDefault="002D660A" w:rsidP="002D660A">
      <w:pPr>
        <w:pStyle w:val="PlainText"/>
      </w:pPr>
    </w:p>
    <w:p w14:paraId="6DE62AEF" w14:textId="51439B2C" w:rsidR="002D660A" w:rsidRDefault="002D660A" w:rsidP="002D660A">
      <w:pPr>
        <w:pStyle w:val="PlainText"/>
      </w:pPr>
      <w:r>
        <w:t xml:space="preserve">In the UK, the Stop and Search policy has been a source of contention, disproportionately affecting ethnic minorities. A study by </w:t>
      </w:r>
      <w:proofErr w:type="spellStart"/>
      <w:r w:rsidR="00091EFE">
        <w:t>Vomfell</w:t>
      </w:r>
      <w:proofErr w:type="spellEnd"/>
      <w:r w:rsidR="00091EFE">
        <w:t>, L and Stewart, N</w:t>
      </w:r>
      <w:r>
        <w:t xml:space="preserve"> (20</w:t>
      </w:r>
      <w:r w:rsidR="00091EFE">
        <w:t>21</w:t>
      </w:r>
      <w:r>
        <w:t>)</w:t>
      </w:r>
      <w:r w:rsidR="00091EFE" w:rsidRPr="00091EFE">
        <w:t xml:space="preserve"> indicates the high number of specific ethnic minority groups</w:t>
      </w:r>
      <w:r w:rsidR="00091EFE">
        <w:t>, particularly Black and Asian individuals,</w:t>
      </w:r>
      <w:r w:rsidR="00091EFE" w:rsidRPr="00091EFE">
        <w:t xml:space="preserve"> in stop and search incidents throughout the United Kingdom, which subsequently heightens feelings of isolation and hostility towards the police. Because of a perceived absence of fairness and impartiality, individuals in these communities could be less willing to interact with Neighbourhood Policing Teams.</w:t>
      </w:r>
    </w:p>
    <w:p w14:paraId="047938F8" w14:textId="77777777" w:rsidR="00B543C1" w:rsidRDefault="00B543C1" w:rsidP="002D660A">
      <w:pPr>
        <w:pStyle w:val="PlainText"/>
      </w:pPr>
    </w:p>
    <w:p w14:paraId="2D566AEB" w14:textId="7B5EAAF4" w:rsidR="00B543C1" w:rsidRDefault="00B543C1" w:rsidP="002D660A">
      <w:pPr>
        <w:pStyle w:val="PlainText"/>
      </w:pPr>
      <w:r w:rsidRPr="00B543C1">
        <w:t xml:space="preserve">Additionally, research indicates that an excessive reliance on </w:t>
      </w:r>
      <w:proofErr w:type="gramStart"/>
      <w:r w:rsidR="003470CB" w:rsidRPr="00B543C1">
        <w:t>stop</w:t>
      </w:r>
      <w:proofErr w:type="gramEnd"/>
      <w:r w:rsidR="003470CB">
        <w:t xml:space="preserve"> </w:t>
      </w:r>
      <w:r w:rsidRPr="00B543C1">
        <w:t xml:space="preserve">and search tactics might damage the public's trust in the police. Frequent stop and search interactions can generate a hostile environment in communities, leading to anger and a perception of harassment among individuals who are subjected to these methods, according to research performed by </w:t>
      </w:r>
      <w:r w:rsidR="003470CB">
        <w:t>The Police Foundation (2016)</w:t>
      </w:r>
      <w:r w:rsidRPr="00B543C1">
        <w:t>. These unpleasant encounters might make people doubt the authority of police acts and harbour suspicions about their intentions, which can eventually breed a general mistrust of the criminal justice system.</w:t>
      </w:r>
    </w:p>
    <w:p w14:paraId="50F77218" w14:textId="77777777" w:rsidR="00F05FD4" w:rsidRDefault="00F05FD4" w:rsidP="002D660A">
      <w:pPr>
        <w:pStyle w:val="PlainText"/>
      </w:pPr>
    </w:p>
    <w:p w14:paraId="366DBB7D" w14:textId="6A4F88C2" w:rsidR="003470CB" w:rsidRDefault="00F05FD4" w:rsidP="002D660A">
      <w:pPr>
        <w:pStyle w:val="PlainText"/>
      </w:pPr>
      <w:r w:rsidRPr="00F05FD4">
        <w:t>The public's distrust is increased by the stop and search policies' lack of accountability and transparency. Shortcomings in the recording and monitoring of stop and search interactions were brought to light in a report by the Independent Office for Police Conduct (IOPC), which raised concerns about the potential of abuse and exploitation of these powers (IOPC, 2033). The absence of comprehensive oversight in procedures could lead to the recurrence of illegal or discriminatory acts, which could further undermine public trust in the impartiality and honesty of the police.</w:t>
      </w:r>
    </w:p>
    <w:p w14:paraId="052760C3" w14:textId="6B881190" w:rsidR="002D660A" w:rsidRDefault="00A56721" w:rsidP="002D660A">
      <w:pPr>
        <w:pStyle w:val="PlainText"/>
      </w:pPr>
      <w:r w:rsidRPr="00A56721">
        <w:lastRenderedPageBreak/>
        <w:t>In the United Kingdom, people who live in deprived regions tend to have less faith in the police than people who live in affluent areas. Numerous socioeconomic variables that affect how the public views the police, and how they engage with the criminal justice system might be blamed for this happening. Jackson</w:t>
      </w:r>
      <w:r>
        <w:t xml:space="preserve"> et al</w:t>
      </w:r>
      <w:r w:rsidRPr="00A56721">
        <w:t xml:space="preserve"> (2020) research demonstrates how inequality in society, including deprivation, unemployment, and limited access to high-quality healthcare and education, affect how the public views the legitimacy of the police in areas of poverty. In addition to making people feel more excluded and marginalised, these social barriers also make people feel cut off from mainstream organisations, such as the police.</w:t>
      </w:r>
      <w:r w:rsidR="00EE1E4C">
        <w:t xml:space="preserve"> P</w:t>
      </w:r>
      <w:r w:rsidR="00EE1E4C" w:rsidRPr="00A4413F">
        <w:t xml:space="preserve">eople' mistrust and disappointment are further fuelled by the perception that methods used by police in poorer neighbourhoods are inadequate at resolving underlying social problems. According to research by </w:t>
      </w:r>
      <w:proofErr w:type="spellStart"/>
      <w:r w:rsidR="00EE1E4C" w:rsidRPr="00A4413F">
        <w:t>Skogan</w:t>
      </w:r>
      <w:proofErr w:type="spellEnd"/>
      <w:r w:rsidR="00EE1E4C" w:rsidRPr="00A4413F">
        <w:t xml:space="preserve"> (2017), people who live in underprivileged neighbourhoods frequently believe that law enforcement measures are insufficient or ineffectual in tackling problems including drug usage, poverty, and teenage violence. The impression that there is a mismatch between community needs and policing goals contributes to indifference and disillusion with the police, which reduces confidence in their ability to successfully serve and protect the public.</w:t>
      </w:r>
    </w:p>
    <w:p w14:paraId="2688B8EA" w14:textId="77777777" w:rsidR="00A56721" w:rsidRDefault="00A56721" w:rsidP="002D660A">
      <w:pPr>
        <w:pStyle w:val="PlainText"/>
      </w:pPr>
    </w:p>
    <w:p w14:paraId="683B2352" w14:textId="2443DB14" w:rsidR="002D660A" w:rsidRDefault="00D96974" w:rsidP="002D660A">
      <w:pPr>
        <w:pStyle w:val="PlainText"/>
      </w:pPr>
      <w:r w:rsidRPr="00D96974">
        <w:t xml:space="preserve">In addition, the police play a critical role in maintaining and promoting community collaboration. </w:t>
      </w:r>
      <w:r>
        <w:t>Lockey et al., (2019)</w:t>
      </w:r>
      <w:r w:rsidRPr="00D96974">
        <w:t xml:space="preserve"> conducted a study that highlights the value of community-oriented policing tactics in promoting cooperation and establishing confidence. The gap between the police and reluctant communities can be narrowed via effective communication, community outreach, and attending to the unique needs of different groups. Because of their individualised approach, neighbourhood policing teams can be extremely beneficial in recognising and resolving the unique problems that each group has.</w:t>
      </w:r>
      <w:r w:rsidR="00E070C3">
        <w:t xml:space="preserve"> </w:t>
      </w:r>
      <w:proofErr w:type="gramStart"/>
      <w:r w:rsidR="001F7A4F" w:rsidRPr="001F7A4F">
        <w:t>In order to</w:t>
      </w:r>
      <w:proofErr w:type="gramEnd"/>
      <w:r w:rsidR="001F7A4F" w:rsidRPr="001F7A4F">
        <w:t xml:space="preserve"> achieve this, programmes like outreach campaigns, community forums, and officer training in cultural awareness are crucial parts of a larger plan. </w:t>
      </w:r>
      <w:r w:rsidR="003D0EE4">
        <w:t>College Of Policing, (2024) explain o</w:t>
      </w:r>
      <w:r w:rsidR="001F7A4F" w:rsidRPr="001F7A4F">
        <w:t xml:space="preserve">ne proactive step to improve community participation in the UK is the creation of Police and Community Support Officers (PCSOs). As a result of their integration into the community, these officers act as a point of contact between the </w:t>
      </w:r>
      <w:proofErr w:type="gramStart"/>
      <w:r w:rsidR="001F7A4F" w:rsidRPr="001F7A4F">
        <w:t>general public</w:t>
      </w:r>
      <w:proofErr w:type="gramEnd"/>
      <w:r w:rsidR="001F7A4F" w:rsidRPr="001F7A4F">
        <w:t xml:space="preserve"> and the police, encouraging the development of a more approachable and </w:t>
      </w:r>
      <w:r w:rsidR="00EA56F6" w:rsidRPr="001F7A4F">
        <w:t>neighbourhood</w:t>
      </w:r>
      <w:r w:rsidR="001F7A4F" w:rsidRPr="001F7A4F">
        <w:t>-focused force.</w:t>
      </w:r>
      <w:r w:rsidR="00194109" w:rsidRPr="00194109">
        <w:t xml:space="preserve"> </w:t>
      </w:r>
      <w:r w:rsidR="00194109">
        <w:t>(O’Neill, 2015)</w:t>
      </w:r>
    </w:p>
    <w:p w14:paraId="3C8E0AD2" w14:textId="77777777" w:rsidR="00F371E8" w:rsidRDefault="00F371E8" w:rsidP="002D660A">
      <w:pPr>
        <w:pStyle w:val="PlainText"/>
      </w:pPr>
    </w:p>
    <w:p w14:paraId="69D58EF9" w14:textId="3519D923" w:rsidR="00F371E8" w:rsidRPr="00FD742E" w:rsidRDefault="00F371E8" w:rsidP="00FD742E">
      <w:pPr>
        <w:rPr>
          <w:rFonts w:ascii="Times New Roman" w:eastAsia="Times New Roman" w:hAnsi="Times New Roman" w:cs="Times New Roman"/>
          <w:kern w:val="0"/>
          <w:sz w:val="24"/>
          <w:szCs w:val="24"/>
          <w:lang w:eastAsia="en-GB"/>
          <w14:ligatures w14:val="none"/>
        </w:rPr>
      </w:pPr>
      <w:r w:rsidRPr="00F371E8">
        <w:rPr>
          <w:rFonts w:eastAsia="Times New Roman" w:cstheme="minorHAnsi"/>
          <w:kern w:val="0"/>
          <w:lang w:eastAsia="en-GB"/>
          <w14:ligatures w14:val="none"/>
        </w:rPr>
        <w:t xml:space="preserve">Studies show that, for a variety of reasons, younger people are less prone than adults to interact with the police. </w:t>
      </w:r>
      <w:r w:rsidR="00FD742E" w:rsidRPr="00F371E8">
        <w:rPr>
          <w:rFonts w:eastAsia="Times New Roman" w:cstheme="minorHAnsi"/>
          <w:kern w:val="0"/>
          <w:lang w:eastAsia="en-GB"/>
          <w14:ligatures w14:val="none"/>
        </w:rPr>
        <w:t>Youngsters’</w:t>
      </w:r>
      <w:r w:rsidRPr="00F371E8">
        <w:rPr>
          <w:rFonts w:eastAsia="Times New Roman" w:cstheme="minorHAnsi"/>
          <w:kern w:val="0"/>
          <w:lang w:eastAsia="en-GB"/>
          <w14:ligatures w14:val="none"/>
        </w:rPr>
        <w:t xml:space="preserve"> impression of the legitimacy of the police, which is shaped by their interactions and experiences, is one important element. Young people frequently view police activities as arbitrary, unfair, and discriminating, which undermines their trust and cooperation, according to a study by Bradford et al. (2014). </w:t>
      </w:r>
      <w:r w:rsidR="00FD742E" w:rsidRPr="00FD742E">
        <w:rPr>
          <w:rFonts w:eastAsia="Times New Roman" w:cstheme="minorHAnsi"/>
          <w:kern w:val="0"/>
          <w:lang w:eastAsia="en-GB"/>
          <w14:ligatures w14:val="none"/>
        </w:rPr>
        <w:t xml:space="preserve">Additionally, Weitzer and Tuch's (2006) research indicates that adverse experiences with the police, like harassment or profiling, can influence young people's perceptions of police and discourage them from contacting or interacting with them. Moreover, socioeconomic variables like marginalisation and poverty exacerbate youth's feelings of alienation and mistrust of the police (Dowler, 2003). These results demonstrate the complicated relationships between institutional, social, and </w:t>
      </w:r>
      <w:r w:rsidR="00FD742E">
        <w:rPr>
          <w:rFonts w:eastAsia="Times New Roman" w:cstheme="minorHAnsi"/>
          <w:kern w:val="0"/>
          <w:lang w:eastAsia="en-GB"/>
          <w14:ligatures w14:val="none"/>
        </w:rPr>
        <w:t>p</w:t>
      </w:r>
      <w:r w:rsidR="00FD742E" w:rsidRPr="00FD742E">
        <w:rPr>
          <w:rFonts w:eastAsia="Times New Roman" w:cstheme="minorHAnsi"/>
          <w:kern w:val="0"/>
          <w:lang w:eastAsia="en-GB"/>
          <w14:ligatures w14:val="none"/>
        </w:rPr>
        <w:t>ersonal elements that affect young people's reluctance to interact with the police.</w:t>
      </w:r>
    </w:p>
    <w:p w14:paraId="0ACA44C5" w14:textId="77777777" w:rsidR="003D0EE4" w:rsidRDefault="003D0EE4" w:rsidP="002D660A">
      <w:pPr>
        <w:pStyle w:val="PlainText"/>
      </w:pPr>
    </w:p>
    <w:p w14:paraId="749FE1DF" w14:textId="77777777" w:rsidR="00EB6C66" w:rsidRDefault="00EB6C66" w:rsidP="00EB6C66">
      <w:pPr>
        <w:pStyle w:val="PlainText"/>
      </w:pPr>
      <w:r>
        <w:t xml:space="preserve">Public opinions of the police are greatly influenced by how police wrongdoing is portrayed in the media. While good portrayals may increase public support, negative media has the potential to undermine public faith in police organisations. Studies have shown that police officers in these neighbourhoods have engaged in instances of excessive force, racial profiling, and harassment. These actions contribute to the perpetuation of unfavourable attitudes and the escalation of feelings of animosity and mistrust (Tyler, 2017). A study by Dunham, </w:t>
      </w:r>
      <w:proofErr w:type="gramStart"/>
      <w:r>
        <w:t>Alpert</w:t>
      </w:r>
      <w:proofErr w:type="gramEnd"/>
      <w:r>
        <w:t xml:space="preserve"> and Mclean (2020) found that media coverage of police misconduct tends to overshadow positive interactions, creating a perception of widespread corruption within law enforcement agencies. Moreover, research by (Fan, 2019) argues </w:t>
      </w:r>
      <w:r>
        <w:lastRenderedPageBreak/>
        <w:t>that being exposed to negative media representations of police inappropriate conduct can lower the level of satisfaction with police services and raise public distrust of the police. For instance, the disproportionate targeting of individuals from low-income backgrounds during stop and search interactions has been connected to feelings of discrimination and unjust treatment, which erodes trust in the criminal justice system and the police in general (Bowling et al., 2019).</w:t>
      </w:r>
    </w:p>
    <w:p w14:paraId="34A9199B" w14:textId="77777777" w:rsidR="00EB6C66" w:rsidRDefault="00EB6C66" w:rsidP="00EB6C66">
      <w:pPr>
        <w:pStyle w:val="PlainText"/>
      </w:pPr>
    </w:p>
    <w:p w14:paraId="564810DF" w14:textId="77777777" w:rsidR="00EB6C66" w:rsidRDefault="00EB6C66" w:rsidP="00EB6C66">
      <w:pPr>
        <w:pStyle w:val="PlainText"/>
      </w:pPr>
      <w:r>
        <w:t xml:space="preserve">Additionally, the way the media frames incidents involving police misconduct significantly influences the general public's perception. Public impressions may not be significantly impacted when misbehaviour is presented as isolated episodes. However, public trust can be seriously compromised when inappropriate conduct is presented in the media as part of a broader problem within the police service or as a systematic issue (Tyler, Fagan, &amp; Geller, 2014). </w:t>
      </w:r>
      <w:proofErr w:type="gramStart"/>
      <w:r>
        <w:t>In particular, among</w:t>
      </w:r>
      <w:proofErr w:type="gramEnd"/>
      <w:r>
        <w:t xml:space="preserve"> marginalised communities that may already have strained relationships with the police, this framing might contribute to perceptions of police officers as unjust or repressive (Weitzer &amp; </w:t>
      </w:r>
      <w:proofErr w:type="spellStart"/>
      <w:r>
        <w:t>Tuch</w:t>
      </w:r>
      <w:proofErr w:type="spellEnd"/>
      <w:r>
        <w:t>, 2005).</w:t>
      </w:r>
    </w:p>
    <w:p w14:paraId="38C94793" w14:textId="77777777" w:rsidR="00EB6C66" w:rsidRDefault="00EB6C66" w:rsidP="00EB6C66">
      <w:pPr>
        <w:pStyle w:val="PlainText"/>
      </w:pPr>
    </w:p>
    <w:p w14:paraId="25BC1261" w14:textId="66A959C4" w:rsidR="00EB6C66" w:rsidRDefault="00EB6C66" w:rsidP="00EB6C66">
      <w:pPr>
        <w:pStyle w:val="PlainText"/>
      </w:pPr>
      <w:r>
        <w:t xml:space="preserve">High-profile instances of misbehaviour, particularly those concerning themes of racial or social inequality, have the potential to generate widespread public suspicion and foster an understanding of the institutional challenges inside the police service. The way the media presents these instances affects not just how the public views the police but also how issues of politics and policy are discussed in relation to police tactics. It is important for police officials to comprehend the dynamics of how the media portrays them </w:t>
      </w:r>
      <w:proofErr w:type="gramStart"/>
      <w:r>
        <w:t>in order to</w:t>
      </w:r>
      <w:proofErr w:type="gramEnd"/>
      <w:r>
        <w:t xml:space="preserve"> successfully tackle public issues and regain public confidence in their organisations. (College of Policing,2022)</w:t>
      </w:r>
    </w:p>
    <w:p w14:paraId="3B19E523" w14:textId="77777777" w:rsidR="00EB6C66" w:rsidRDefault="00EB6C66" w:rsidP="00EB6C66">
      <w:pPr>
        <w:pStyle w:val="PlainText"/>
      </w:pPr>
    </w:p>
    <w:p w14:paraId="50C58EA6" w14:textId="45FE45F4" w:rsidR="00426E99" w:rsidRDefault="00EB6C66" w:rsidP="00EB6C66">
      <w:pPr>
        <w:pStyle w:val="PlainText"/>
      </w:pPr>
      <w:r>
        <w:t xml:space="preserve">Furthermore, the widespread utilisation of social media has increased the impact of media coverage on the public's opinion of police inappropriate conduct. Images and videos showing wrongdoing can spread quickly online, affecting public opinion and how people see the police (Bryant &amp; Carlson, 2019). These online communities give the </w:t>
      </w:r>
      <w:proofErr w:type="gramStart"/>
      <w:r>
        <w:t>general public</w:t>
      </w:r>
      <w:proofErr w:type="gramEnd"/>
      <w:r>
        <w:t> a direct way to voice their concerns and experiences with the police, which might breed public mistrust and scepticism of the police service. As a result, it is essential that police organisations and media outlets acknowledge the significant impact that media coverage has on public perceptions and strive to encourage accountability, openness, and confidence in the communities where they operate.</w:t>
      </w:r>
    </w:p>
    <w:p w14:paraId="7ADF89CB" w14:textId="77777777" w:rsidR="00426E99" w:rsidRDefault="00426E99" w:rsidP="00EB6C66">
      <w:pPr>
        <w:pStyle w:val="PlainText"/>
      </w:pPr>
    </w:p>
    <w:p w14:paraId="20E035B9" w14:textId="136BAD04" w:rsidR="00426E99" w:rsidRDefault="005B5F8C" w:rsidP="00EB6C66">
      <w:pPr>
        <w:pStyle w:val="PlainText"/>
      </w:pPr>
      <w:r>
        <w:t xml:space="preserve">The independent Office for Police conduct (IOPC) every year independently investigate police officers regarding their behaviour and </w:t>
      </w:r>
      <w:r w:rsidR="00680870">
        <w:t xml:space="preserve">misconduct on and off duty. </w:t>
      </w:r>
      <w:r w:rsidR="00966308">
        <w:t xml:space="preserve">In the year 19/20 the IOPC published statistics that show </w:t>
      </w:r>
      <w:r w:rsidR="00D845C2">
        <w:t xml:space="preserve">how the public perceive them and if they </w:t>
      </w:r>
      <w:r w:rsidR="003827BD">
        <w:t xml:space="preserve">believe they deal with incidents properly and are as impartial as they state. These statistics show that </w:t>
      </w:r>
      <w:r w:rsidR="00290D86">
        <w:t>4</w:t>
      </w:r>
      <w:r w:rsidR="00390104">
        <w:t>4</w:t>
      </w:r>
      <w:r w:rsidR="00290D86">
        <w:t xml:space="preserve">% of all respondents are very confident that the IOPC are doing a good </w:t>
      </w:r>
      <w:r w:rsidR="00390104">
        <w:t>job</w:t>
      </w:r>
      <w:r w:rsidR="0092533F">
        <w:t xml:space="preserve"> with only 16% of respondents saying they don’t. (IOPC, 2020)</w:t>
      </w:r>
    </w:p>
    <w:p w14:paraId="48D59A09" w14:textId="77777777" w:rsidR="003D0EE4" w:rsidRDefault="003D0EE4" w:rsidP="002D660A">
      <w:pPr>
        <w:pStyle w:val="PlainText"/>
      </w:pPr>
    </w:p>
    <w:p w14:paraId="4D1AB669" w14:textId="77777777" w:rsidR="000F3725" w:rsidRDefault="000F3725" w:rsidP="000F3725">
      <w:pPr>
        <w:pStyle w:val="PlainText"/>
      </w:pPr>
      <w:r>
        <w:t xml:space="preserve">In conclusion, the stop and search strategy in the UK has been associated with public mistrust because of its perceived ineffectiveness, disproportionate impact on certain communities, and lack of accountability and transparency in how it is implemented. Rebuilding trust between the police and the communities they serve, as well as ensuring that policing methods are fair, </w:t>
      </w:r>
      <w:proofErr w:type="gramStart"/>
      <w:r>
        <w:t>effective</w:t>
      </w:r>
      <w:proofErr w:type="gramEnd"/>
      <w:r>
        <w:t xml:space="preserve"> and sensitive of people's rights and dignity, are essential to addressing these problems. As well as people from underprivileged communities in the UK have different levels of trust in the police depending on a variety of complicated interrelated issues, including socioeconomic status, past police inappropriate conduct, and views on the effectiveness of policing. A layered strategy that places a high priority on engagement with the community, accountability, and the fair distribution of opportunities and resources to marginalised groups is needed to address these fundamental problems. Police organisations </w:t>
      </w:r>
      <w:proofErr w:type="gramStart"/>
      <w:r>
        <w:t>are able to</w:t>
      </w:r>
      <w:proofErr w:type="gramEnd"/>
      <w:r>
        <w:t xml:space="preserve"> start the process of re-establishing trust and establishing constructive relationships with citizens in underprivileged areas by tackling the underlying causes of mistrust and collaborating with local communities. Furthermore, socioeconomic issues, historical mistrust, and </w:t>
      </w:r>
      <w:r>
        <w:lastRenderedPageBreak/>
        <w:t>feelings of unjust treatment are the main causes of some groups' unwillingness to interact with the police in the UK. Neighbourhood Policing Teams ought to acknowledge the distinct obstacles encountered by these communities and execute tactics that give precedence to openness, impartiality, and communal cooperation. The police play a crucial role in fostering and preserving community cohesiveness by proactively addressing the concerns of reticent groups in addition to removing obstacles to participation.</w:t>
      </w:r>
    </w:p>
    <w:p w14:paraId="3F9FFC7F" w14:textId="77777777" w:rsidR="00946E6C" w:rsidRDefault="00946E6C" w:rsidP="002D660A">
      <w:pPr>
        <w:pStyle w:val="PlainText"/>
      </w:pPr>
    </w:p>
    <w:p w14:paraId="544A484C" w14:textId="77777777" w:rsidR="003D0EE4" w:rsidRDefault="003D0EE4" w:rsidP="002D660A">
      <w:pPr>
        <w:pStyle w:val="PlainText"/>
      </w:pPr>
    </w:p>
    <w:p w14:paraId="4CB938D1" w14:textId="77777777" w:rsidR="003D0EE4" w:rsidRDefault="003D0EE4" w:rsidP="002D660A">
      <w:pPr>
        <w:pStyle w:val="PlainText"/>
      </w:pPr>
    </w:p>
    <w:p w14:paraId="4CFFEA2A" w14:textId="5D3D415B" w:rsidR="002D660A" w:rsidRDefault="00CE7F66" w:rsidP="002D660A">
      <w:pPr>
        <w:pStyle w:val="PlainText"/>
      </w:pPr>
      <w:r>
        <w:t>(1867 Words)</w:t>
      </w:r>
    </w:p>
    <w:p w14:paraId="7C39117E" w14:textId="77777777" w:rsidR="00091EFE" w:rsidRDefault="00091EFE"/>
    <w:p w14:paraId="08CAD28B" w14:textId="77777777" w:rsidR="00091EFE" w:rsidRDefault="00091EFE"/>
    <w:p w14:paraId="5B942952" w14:textId="77777777" w:rsidR="00FA0EA6" w:rsidRDefault="00FA0EA6"/>
    <w:p w14:paraId="0E6561EC" w14:textId="77777777" w:rsidR="00FA0EA6" w:rsidRDefault="00FA0EA6"/>
    <w:p w14:paraId="25C56295" w14:textId="77777777" w:rsidR="00FA0EA6" w:rsidRDefault="00FA0EA6"/>
    <w:p w14:paraId="2A0A7FAC" w14:textId="77777777" w:rsidR="00FA0EA6" w:rsidRDefault="00FA0EA6"/>
    <w:p w14:paraId="32980A3A" w14:textId="77777777" w:rsidR="00FA0EA6" w:rsidRDefault="00FA0EA6"/>
    <w:p w14:paraId="136336C4" w14:textId="77777777" w:rsidR="00FA0EA6" w:rsidRDefault="00FA0EA6"/>
    <w:p w14:paraId="7DE3E695" w14:textId="77777777" w:rsidR="00FA0EA6" w:rsidRDefault="00FA0EA6"/>
    <w:p w14:paraId="6572C7A9" w14:textId="77777777" w:rsidR="00FA0EA6" w:rsidRDefault="00FA0EA6"/>
    <w:p w14:paraId="0523487E" w14:textId="77777777" w:rsidR="00FA0EA6" w:rsidRDefault="00FA0EA6"/>
    <w:p w14:paraId="70ABE763" w14:textId="77777777" w:rsidR="00FA0EA6" w:rsidRDefault="00FA0EA6"/>
    <w:p w14:paraId="4E6EEC44" w14:textId="77777777" w:rsidR="00FA0EA6" w:rsidRDefault="00FA0EA6"/>
    <w:p w14:paraId="6B9D30AC" w14:textId="77777777" w:rsidR="00FA0EA6" w:rsidRDefault="00FA0EA6"/>
    <w:p w14:paraId="14FD29CB" w14:textId="77777777" w:rsidR="00FA0EA6" w:rsidRDefault="00FA0EA6"/>
    <w:p w14:paraId="5A46E629" w14:textId="77777777" w:rsidR="00FA0EA6" w:rsidRDefault="00FA0EA6"/>
    <w:p w14:paraId="191E98BC" w14:textId="77777777" w:rsidR="00FA0EA6" w:rsidRDefault="00FA0EA6"/>
    <w:p w14:paraId="438E3F41" w14:textId="77777777" w:rsidR="00FA0EA6" w:rsidRDefault="00FA0EA6"/>
    <w:p w14:paraId="5C8DCA35" w14:textId="77777777" w:rsidR="00FA0EA6" w:rsidRDefault="00FA0EA6"/>
    <w:p w14:paraId="1AE498F9" w14:textId="77777777" w:rsidR="00FA0EA6" w:rsidRDefault="00FA0EA6"/>
    <w:p w14:paraId="36D69F94" w14:textId="77777777" w:rsidR="00FA0EA6" w:rsidRDefault="00FA0EA6"/>
    <w:p w14:paraId="1F02D728" w14:textId="77777777" w:rsidR="00FA0EA6" w:rsidRDefault="00FA0EA6"/>
    <w:p w14:paraId="52D9CFE2" w14:textId="77777777" w:rsidR="00FA0EA6" w:rsidRDefault="00FA0EA6"/>
    <w:p w14:paraId="371B665C" w14:textId="77777777" w:rsidR="00FA0EA6" w:rsidRDefault="00FA0EA6"/>
    <w:p w14:paraId="12679555" w14:textId="77777777" w:rsidR="00FA0EA6" w:rsidRDefault="00FA0EA6"/>
    <w:p w14:paraId="409F470E" w14:textId="0B352A91" w:rsidR="00091EFE" w:rsidRDefault="00091EFE">
      <w:pPr>
        <w:rPr>
          <w:sz w:val="28"/>
          <w:szCs w:val="28"/>
          <w:u w:val="single"/>
        </w:rPr>
      </w:pPr>
      <w:r w:rsidRPr="00091EFE">
        <w:rPr>
          <w:sz w:val="28"/>
          <w:szCs w:val="28"/>
          <w:u w:val="single"/>
        </w:rPr>
        <w:lastRenderedPageBreak/>
        <w:t>Bibliography</w:t>
      </w:r>
    </w:p>
    <w:p w14:paraId="4BF68088" w14:textId="4FFAC276" w:rsidR="00C36842" w:rsidRDefault="00C36842" w:rsidP="00E479EB">
      <w:pPr>
        <w:spacing w:after="120"/>
        <w:rPr>
          <w:rFonts w:ascii="Times New Roman" w:hAnsi="Times New Roman" w:cs="Times New Roman"/>
        </w:rPr>
      </w:pPr>
      <w:r w:rsidRPr="00E479EB">
        <w:rPr>
          <w:rFonts w:ascii="Times New Roman" w:hAnsi="Times New Roman" w:cs="Times New Roman"/>
        </w:rPr>
        <w:t xml:space="preserve">Berry, L., Curtis, G.E., Hudson, R. </w:t>
      </w:r>
      <w:proofErr w:type="gramStart"/>
      <w:r w:rsidRPr="00E479EB">
        <w:rPr>
          <w:rFonts w:ascii="Times New Roman" w:hAnsi="Times New Roman" w:cs="Times New Roman"/>
        </w:rPr>
        <w:t>A.</w:t>
      </w:r>
      <w:proofErr w:type="gramEnd"/>
      <w:r w:rsidRPr="00E479EB">
        <w:rPr>
          <w:rFonts w:ascii="Times New Roman" w:hAnsi="Times New Roman" w:cs="Times New Roman"/>
        </w:rPr>
        <w:t xml:space="preserve"> and N. A. Kollars. (2002). </w:t>
      </w:r>
      <w:r w:rsidRPr="00E479EB">
        <w:rPr>
          <w:rFonts w:ascii="Times New Roman" w:hAnsi="Times New Roman" w:cs="Times New Roman"/>
          <w:i/>
        </w:rPr>
        <w:t>A Global Overview of Narcotics-Funded Terrorist and Other Extremist Groups</w:t>
      </w:r>
      <w:r w:rsidRPr="00E479EB">
        <w:rPr>
          <w:rFonts w:ascii="Times New Roman" w:hAnsi="Times New Roman" w:cs="Times New Roman"/>
        </w:rPr>
        <w:t>. Federal Research Division, Library of Congress. Washington (D.C.): Library of Congress, May 2002.</w:t>
      </w:r>
    </w:p>
    <w:p w14:paraId="50CD7FEE" w14:textId="77777777" w:rsidR="007A0D1A" w:rsidRPr="00E479EB" w:rsidRDefault="007A0D1A" w:rsidP="00E479EB">
      <w:pPr>
        <w:spacing w:after="120"/>
        <w:rPr>
          <w:rFonts w:ascii="Times New Roman" w:hAnsi="Times New Roman" w:cs="Times New Roman"/>
        </w:rPr>
      </w:pPr>
    </w:p>
    <w:p w14:paraId="7E4D6821" w14:textId="137EF532" w:rsidR="003D0EE4" w:rsidRDefault="00C36842" w:rsidP="00E479EB">
      <w:pPr>
        <w:spacing w:after="120"/>
        <w:rPr>
          <w:rFonts w:ascii="Times New Roman" w:hAnsi="Times New Roman" w:cs="Times New Roman"/>
        </w:rPr>
      </w:pPr>
      <w:proofErr w:type="spellStart"/>
      <w:r w:rsidRPr="00E479EB">
        <w:rPr>
          <w:rFonts w:ascii="Times New Roman" w:hAnsi="Times New Roman" w:cs="Times New Roman"/>
        </w:rPr>
        <w:t>Bjornehed</w:t>
      </w:r>
      <w:proofErr w:type="spellEnd"/>
      <w:r w:rsidRPr="00E479EB">
        <w:rPr>
          <w:rFonts w:ascii="Times New Roman" w:hAnsi="Times New Roman" w:cs="Times New Roman"/>
        </w:rPr>
        <w:t>, E. (2004) “</w:t>
      </w:r>
      <w:r w:rsidRPr="00E479EB">
        <w:rPr>
          <w:rFonts w:ascii="Times New Roman" w:hAnsi="Times New Roman" w:cs="Times New Roman"/>
          <w:i/>
          <w:iCs/>
        </w:rPr>
        <w:t>Narco-terrorism: the merger of the war on drugs and the war on terror</w:t>
      </w:r>
      <w:r w:rsidRPr="00E479EB">
        <w:rPr>
          <w:rFonts w:ascii="Times New Roman" w:hAnsi="Times New Roman" w:cs="Times New Roman"/>
        </w:rPr>
        <w:t xml:space="preserve">” </w:t>
      </w:r>
      <w:r w:rsidRPr="00E479EB">
        <w:rPr>
          <w:rFonts w:ascii="Times New Roman" w:hAnsi="Times New Roman" w:cs="Times New Roman"/>
          <w:i/>
        </w:rPr>
        <w:t>Global Crime</w:t>
      </w:r>
      <w:r w:rsidRPr="00E479EB">
        <w:rPr>
          <w:rFonts w:ascii="Times New Roman" w:hAnsi="Times New Roman" w:cs="Times New Roman"/>
        </w:rPr>
        <w:t>, 6(3–4), 305–324</w:t>
      </w:r>
    </w:p>
    <w:p w14:paraId="18D941BC" w14:textId="77777777" w:rsidR="007A0D1A" w:rsidRPr="00E479EB" w:rsidRDefault="007A0D1A" w:rsidP="00E479EB">
      <w:pPr>
        <w:spacing w:after="120"/>
        <w:rPr>
          <w:rFonts w:ascii="Times New Roman" w:hAnsi="Times New Roman" w:cs="Times New Roman"/>
        </w:rPr>
      </w:pPr>
    </w:p>
    <w:p w14:paraId="10DA8F10" w14:textId="21248B6E" w:rsidR="00165CF3" w:rsidRDefault="00165CF3" w:rsidP="00E479EB">
      <w:pPr>
        <w:spacing w:after="120"/>
        <w:rPr>
          <w:rFonts w:ascii="Times New Roman" w:hAnsi="Times New Roman" w:cs="Times New Roman"/>
          <w:color w:val="2A2A2A"/>
          <w:shd w:val="clear" w:color="auto" w:fill="F2F5F9"/>
        </w:rPr>
      </w:pPr>
      <w:r w:rsidRPr="00E479EB">
        <w:rPr>
          <w:rFonts w:ascii="Times New Roman" w:hAnsi="Times New Roman" w:cs="Times New Roman"/>
          <w:color w:val="2A2A2A"/>
          <w:shd w:val="clear" w:color="auto" w:fill="F2F5F9"/>
        </w:rPr>
        <w:t xml:space="preserve">Bowling, B. Reiner, R. and </w:t>
      </w:r>
      <w:proofErr w:type="spellStart"/>
      <w:r w:rsidRPr="00E479EB">
        <w:rPr>
          <w:rFonts w:ascii="Times New Roman" w:hAnsi="Times New Roman" w:cs="Times New Roman"/>
          <w:color w:val="2A2A2A"/>
          <w:shd w:val="clear" w:color="auto" w:fill="F2F5F9"/>
        </w:rPr>
        <w:t>Sheptycki</w:t>
      </w:r>
      <w:proofErr w:type="spellEnd"/>
      <w:r w:rsidRPr="00E479EB">
        <w:rPr>
          <w:rFonts w:ascii="Times New Roman" w:hAnsi="Times New Roman" w:cs="Times New Roman"/>
          <w:color w:val="2A2A2A"/>
          <w:shd w:val="clear" w:color="auto" w:fill="F2F5F9"/>
        </w:rPr>
        <w:t>, J. (2019). </w:t>
      </w:r>
      <w:r w:rsidRPr="00E479EB">
        <w:rPr>
          <w:rFonts w:ascii="Times New Roman" w:hAnsi="Times New Roman" w:cs="Times New Roman"/>
          <w:i/>
          <w:iCs/>
          <w:color w:val="2A2A2A"/>
        </w:rPr>
        <w:t>The Politics of the Police</w:t>
      </w:r>
      <w:r w:rsidRPr="00E479EB">
        <w:rPr>
          <w:rFonts w:ascii="Times New Roman" w:hAnsi="Times New Roman" w:cs="Times New Roman"/>
          <w:color w:val="2A2A2A"/>
          <w:shd w:val="clear" w:color="auto" w:fill="F2F5F9"/>
        </w:rPr>
        <w:t xml:space="preserve">. 5th </w:t>
      </w:r>
      <w:proofErr w:type="spellStart"/>
      <w:r w:rsidRPr="00E479EB">
        <w:rPr>
          <w:rFonts w:ascii="Times New Roman" w:hAnsi="Times New Roman" w:cs="Times New Roman"/>
          <w:color w:val="2A2A2A"/>
          <w:shd w:val="clear" w:color="auto" w:fill="F2F5F9"/>
        </w:rPr>
        <w:t>edn</w:t>
      </w:r>
      <w:proofErr w:type="spellEnd"/>
      <w:r w:rsidRPr="00E479EB">
        <w:rPr>
          <w:rFonts w:ascii="Times New Roman" w:hAnsi="Times New Roman" w:cs="Times New Roman"/>
          <w:color w:val="2A2A2A"/>
          <w:shd w:val="clear" w:color="auto" w:fill="F2F5F9"/>
        </w:rPr>
        <w:t>. Oxford: Oxford University Press. Available at: https://www.oxfordlawtrove.com/10.1093/he/9780198769255.001.0001/he-9780198769255 [Accessed 20 Feb. 2024].</w:t>
      </w:r>
    </w:p>
    <w:p w14:paraId="70248FCE" w14:textId="77777777" w:rsidR="007A0D1A" w:rsidRPr="00E479EB" w:rsidRDefault="007A0D1A" w:rsidP="00E479EB">
      <w:pPr>
        <w:spacing w:after="120"/>
        <w:rPr>
          <w:rFonts w:ascii="Times New Roman" w:hAnsi="Times New Roman" w:cs="Times New Roman"/>
          <w:color w:val="2A2A2A"/>
          <w:shd w:val="clear" w:color="auto" w:fill="F2F5F9"/>
        </w:rPr>
      </w:pPr>
    </w:p>
    <w:p w14:paraId="655CA297" w14:textId="6D514739" w:rsidR="00E479EB" w:rsidRDefault="00E479EB" w:rsidP="00E479EB">
      <w:pPr>
        <w:spacing w:after="120"/>
        <w:rPr>
          <w:rFonts w:ascii="Times New Roman" w:hAnsi="Times New Roman" w:cs="Times New Roman"/>
        </w:rPr>
      </w:pPr>
      <w:r w:rsidRPr="00E479EB">
        <w:rPr>
          <w:rFonts w:ascii="Times New Roman" w:hAnsi="Times New Roman" w:cs="Times New Roman"/>
        </w:rPr>
        <w:t>Brown, R. (2018) “</w:t>
      </w:r>
      <w:r w:rsidRPr="00E479EB">
        <w:rPr>
          <w:rFonts w:ascii="Times New Roman" w:hAnsi="Times New Roman" w:cs="Times New Roman"/>
          <w:i/>
          <w:iCs/>
        </w:rPr>
        <w:t>Understanding law enforcement information sharing for criminal intelligence purposes"</w:t>
      </w:r>
      <w:r w:rsidR="007A0D1A">
        <w:rPr>
          <w:rFonts w:ascii="Times New Roman" w:hAnsi="Times New Roman" w:cs="Times New Roman"/>
          <w:i/>
          <w:iCs/>
        </w:rPr>
        <w:t xml:space="preserve"> </w:t>
      </w:r>
      <w:r w:rsidRPr="00E479EB">
        <w:rPr>
          <w:rFonts w:ascii="Times New Roman" w:hAnsi="Times New Roman" w:cs="Times New Roman"/>
        </w:rPr>
        <w:t>Australian Institute of Criminology, 566, 2–3.</w:t>
      </w:r>
    </w:p>
    <w:p w14:paraId="393451CF" w14:textId="77777777" w:rsidR="007A0D1A" w:rsidRPr="00E479EB" w:rsidRDefault="007A0D1A" w:rsidP="00E479EB">
      <w:pPr>
        <w:spacing w:after="120"/>
        <w:rPr>
          <w:rFonts w:ascii="Times New Roman" w:hAnsi="Times New Roman" w:cs="Times New Roman"/>
          <w:b/>
          <w:bCs/>
        </w:rPr>
      </w:pPr>
    </w:p>
    <w:p w14:paraId="4A787740" w14:textId="5A047BB1" w:rsidR="00EB6C66" w:rsidRDefault="00EB6C66" w:rsidP="007A0D1A">
      <w:pPr>
        <w:pStyle w:val="PlainText"/>
        <w:spacing w:after="120"/>
        <w:rPr>
          <w:rFonts w:ascii="Times New Roman" w:hAnsi="Times New Roman" w:cs="Times New Roman"/>
          <w:szCs w:val="22"/>
        </w:rPr>
      </w:pPr>
      <w:r w:rsidRPr="00E479EB">
        <w:rPr>
          <w:rFonts w:ascii="Times New Roman" w:hAnsi="Times New Roman" w:cs="Times New Roman"/>
          <w:szCs w:val="22"/>
        </w:rPr>
        <w:t xml:space="preserve">Bryant, K. A., &amp; Carlson, J. M. (2019). </w:t>
      </w:r>
      <w:r w:rsidRPr="00E479EB">
        <w:rPr>
          <w:rFonts w:ascii="Times New Roman" w:hAnsi="Times New Roman" w:cs="Times New Roman"/>
          <w:i/>
          <w:iCs/>
          <w:szCs w:val="22"/>
        </w:rPr>
        <w:t>The role of social media in shaping public perceptions of police misconduct</w:t>
      </w:r>
      <w:r w:rsidRPr="00E479EB">
        <w:rPr>
          <w:rFonts w:ascii="Times New Roman" w:hAnsi="Times New Roman" w:cs="Times New Roman"/>
          <w:szCs w:val="22"/>
        </w:rPr>
        <w:t>. Criminal Justice Studies, 32(4), 419-436.</w:t>
      </w:r>
    </w:p>
    <w:p w14:paraId="773DBEB0" w14:textId="77777777" w:rsidR="007A0D1A" w:rsidRPr="007A0D1A" w:rsidRDefault="007A0D1A" w:rsidP="007A0D1A">
      <w:pPr>
        <w:pStyle w:val="PlainText"/>
        <w:spacing w:after="120"/>
        <w:rPr>
          <w:rFonts w:ascii="Times New Roman" w:hAnsi="Times New Roman" w:cs="Times New Roman"/>
          <w:szCs w:val="22"/>
        </w:rPr>
      </w:pPr>
    </w:p>
    <w:p w14:paraId="224D7A7F" w14:textId="790A1E32" w:rsidR="00CE7F66" w:rsidRDefault="00CE7F66" w:rsidP="007A0D1A">
      <w:pPr>
        <w:pStyle w:val="PlainText"/>
        <w:spacing w:after="120"/>
        <w:rPr>
          <w:rFonts w:ascii="Times New Roman" w:hAnsi="Times New Roman" w:cs="Times New Roman"/>
          <w:szCs w:val="22"/>
        </w:rPr>
      </w:pPr>
      <w:r w:rsidRPr="00E479EB">
        <w:rPr>
          <w:rFonts w:ascii="Times New Roman" w:hAnsi="Times New Roman" w:cs="Times New Roman"/>
          <w:szCs w:val="22"/>
        </w:rPr>
        <w:t>Bradford, B., Jackson, J., &amp; Stanko, E. A. (2014). C</w:t>
      </w:r>
      <w:r w:rsidRPr="00E479EB">
        <w:rPr>
          <w:rFonts w:ascii="Times New Roman" w:hAnsi="Times New Roman" w:cs="Times New Roman"/>
          <w:i/>
          <w:iCs/>
          <w:szCs w:val="22"/>
        </w:rPr>
        <w:t>ontact and confidence: Revisiting the impact of public encounters with the police.</w:t>
      </w:r>
      <w:r w:rsidRPr="00E479EB">
        <w:rPr>
          <w:rFonts w:ascii="Times New Roman" w:hAnsi="Times New Roman" w:cs="Times New Roman"/>
          <w:szCs w:val="22"/>
        </w:rPr>
        <w:t xml:space="preserve"> Policing and Society, 24(3), 269-289.</w:t>
      </w:r>
    </w:p>
    <w:p w14:paraId="4682EEDC" w14:textId="77777777" w:rsidR="007A0D1A" w:rsidRPr="007A0D1A" w:rsidRDefault="007A0D1A" w:rsidP="007A0D1A">
      <w:pPr>
        <w:pStyle w:val="PlainText"/>
        <w:spacing w:after="120"/>
        <w:rPr>
          <w:rFonts w:ascii="Times New Roman" w:hAnsi="Times New Roman" w:cs="Times New Roman"/>
          <w:szCs w:val="22"/>
        </w:rPr>
      </w:pPr>
    </w:p>
    <w:p w14:paraId="15DB6E9C" w14:textId="77777777" w:rsidR="003D0EE4" w:rsidRDefault="003D0EE4"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College Of Policing (2024). </w:t>
      </w:r>
      <w:r w:rsidRPr="00E479EB">
        <w:rPr>
          <w:rFonts w:ascii="Times New Roman" w:eastAsia="Times New Roman" w:hAnsi="Times New Roman" w:cs="Times New Roman"/>
          <w:i/>
          <w:iCs/>
          <w:kern w:val="0"/>
          <w:lang w:eastAsia="en-GB"/>
          <w14:ligatures w14:val="none"/>
        </w:rPr>
        <w:t>PCSO Handbook</w:t>
      </w:r>
      <w:r w:rsidRPr="00E479EB">
        <w:rPr>
          <w:rFonts w:ascii="Times New Roman" w:eastAsia="Times New Roman" w:hAnsi="Times New Roman" w:cs="Times New Roman"/>
          <w:kern w:val="0"/>
          <w:lang w:eastAsia="en-GB"/>
          <w14:ligatures w14:val="none"/>
        </w:rPr>
        <w:t>. [online] College of Policing. Available at: https://www.college.police.uk/career-learning/joining-police/joining-pcso/handbook/foreword [Accessed 13 Feb. 2024].</w:t>
      </w:r>
    </w:p>
    <w:p w14:paraId="5E2D0E78"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1582A5C9" w14:textId="77777777" w:rsidR="00C52B5F" w:rsidRDefault="00C52B5F"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College of Policing (2022). </w:t>
      </w:r>
      <w:r w:rsidRPr="00E479EB">
        <w:rPr>
          <w:rFonts w:ascii="Times New Roman" w:eastAsia="Times New Roman" w:hAnsi="Times New Roman" w:cs="Times New Roman"/>
          <w:i/>
          <w:iCs/>
          <w:kern w:val="0"/>
          <w:lang w:eastAsia="en-GB"/>
          <w14:ligatures w14:val="none"/>
        </w:rPr>
        <w:t>Media Relations</w:t>
      </w:r>
      <w:r w:rsidRPr="00E479EB">
        <w:rPr>
          <w:rFonts w:ascii="Times New Roman" w:eastAsia="Times New Roman" w:hAnsi="Times New Roman" w:cs="Times New Roman"/>
          <w:kern w:val="0"/>
          <w:lang w:eastAsia="en-GB"/>
          <w14:ligatures w14:val="none"/>
        </w:rPr>
        <w:t xml:space="preserve">. [online] College of </w:t>
      </w:r>
      <w:proofErr w:type="gramStart"/>
      <w:r w:rsidRPr="00E479EB">
        <w:rPr>
          <w:rFonts w:ascii="Times New Roman" w:eastAsia="Times New Roman" w:hAnsi="Times New Roman" w:cs="Times New Roman"/>
          <w:kern w:val="0"/>
          <w:lang w:eastAsia="en-GB"/>
          <w14:ligatures w14:val="none"/>
        </w:rPr>
        <w:t>policing .</w:t>
      </w:r>
      <w:proofErr w:type="gramEnd"/>
      <w:r w:rsidRPr="00E479EB">
        <w:rPr>
          <w:rFonts w:ascii="Times New Roman" w:eastAsia="Times New Roman" w:hAnsi="Times New Roman" w:cs="Times New Roman"/>
          <w:kern w:val="0"/>
          <w:lang w:eastAsia="en-GB"/>
          <w14:ligatures w14:val="none"/>
        </w:rPr>
        <w:t xml:space="preserve"> Available at: https://www.college.police.uk/app/engagement-and-communication/media-relations [Accessed 20 Feb. 2024].</w:t>
      </w:r>
    </w:p>
    <w:p w14:paraId="33C98347"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4D3E0CC8" w14:textId="77777777" w:rsidR="00E479EB" w:rsidRDefault="00E479EB" w:rsidP="00E479EB">
      <w:pPr>
        <w:spacing w:after="120"/>
        <w:rPr>
          <w:rStyle w:val="Hyperlink"/>
          <w:rFonts w:ascii="Times New Roman" w:hAnsi="Times New Roman" w:cs="Times New Roman"/>
        </w:rPr>
      </w:pPr>
      <w:r w:rsidRPr="00E479EB">
        <w:rPr>
          <w:rFonts w:ascii="Times New Roman" w:hAnsi="Times New Roman" w:cs="Times New Roman"/>
          <w:smallCaps/>
        </w:rPr>
        <w:t>D</w:t>
      </w:r>
      <w:r w:rsidRPr="00E479EB">
        <w:rPr>
          <w:rFonts w:ascii="Times New Roman" w:hAnsi="Times New Roman" w:cs="Times New Roman"/>
        </w:rPr>
        <w:t xml:space="preserve">andurand, Y &amp; Chin, V. (2004) </w:t>
      </w:r>
      <w:r w:rsidRPr="00E479EB">
        <w:rPr>
          <w:rFonts w:ascii="Times New Roman" w:hAnsi="Times New Roman" w:cs="Times New Roman"/>
          <w:i/>
          <w:iCs/>
        </w:rPr>
        <w:t>Links Between Terrorism and Other Forms of Crime,</w:t>
      </w:r>
      <w:r w:rsidRPr="00E479EB">
        <w:rPr>
          <w:rFonts w:ascii="Times New Roman" w:hAnsi="Times New Roman" w:cs="Times New Roman"/>
        </w:rPr>
        <w:t xml:space="preserve"> A report submitted to: Foreign Affairs Canada and The United Nations Office on Drugs and Crime [online] Accessed 25</w:t>
      </w:r>
      <w:r w:rsidRPr="00E479EB">
        <w:rPr>
          <w:rFonts w:ascii="Times New Roman" w:hAnsi="Times New Roman" w:cs="Times New Roman"/>
          <w:vertAlign w:val="superscript"/>
        </w:rPr>
        <w:t>th</w:t>
      </w:r>
      <w:r w:rsidRPr="00E479EB">
        <w:rPr>
          <w:rFonts w:ascii="Times New Roman" w:hAnsi="Times New Roman" w:cs="Times New Roman"/>
        </w:rPr>
        <w:t xml:space="preserve"> February 2024. Available at: </w:t>
      </w:r>
      <w:hyperlink r:id="rId4" w:history="1">
        <w:r w:rsidRPr="00E479EB">
          <w:rPr>
            <w:rStyle w:val="Hyperlink"/>
            <w:rFonts w:ascii="Times New Roman" w:hAnsi="Times New Roman" w:cs="Times New Roman"/>
          </w:rPr>
          <w:t>https://www.publicsafety.gc.ca/lbrr/archives/cnmcs-plcng/cn29647-eng.pdf</w:t>
        </w:r>
      </w:hyperlink>
    </w:p>
    <w:p w14:paraId="176D3318" w14:textId="77777777" w:rsidR="007A0D1A" w:rsidRPr="00E479EB" w:rsidRDefault="007A0D1A" w:rsidP="00E479EB">
      <w:pPr>
        <w:spacing w:after="120"/>
        <w:rPr>
          <w:rFonts w:ascii="Times New Roman" w:hAnsi="Times New Roman" w:cs="Times New Roman"/>
        </w:rPr>
      </w:pPr>
    </w:p>
    <w:p w14:paraId="435EA605" w14:textId="1240BA00" w:rsidR="00E479EB" w:rsidRDefault="00E479EB" w:rsidP="00E479EB">
      <w:pPr>
        <w:spacing w:after="120"/>
        <w:rPr>
          <w:rFonts w:ascii="Times New Roman" w:hAnsi="Times New Roman" w:cs="Times New Roman"/>
        </w:rPr>
      </w:pPr>
      <w:r w:rsidRPr="00E479EB">
        <w:rPr>
          <w:rFonts w:ascii="Times New Roman" w:hAnsi="Times New Roman" w:cs="Times New Roman"/>
        </w:rPr>
        <w:t>Dishman, C (2002). "</w:t>
      </w:r>
      <w:r w:rsidRPr="00E479EB">
        <w:rPr>
          <w:rFonts w:ascii="Times New Roman" w:hAnsi="Times New Roman" w:cs="Times New Roman"/>
          <w:i/>
          <w:iCs/>
        </w:rPr>
        <w:t>Terrorism, Crime, and Transformation",</w:t>
      </w:r>
      <w:r w:rsidRPr="00E479EB">
        <w:rPr>
          <w:rFonts w:ascii="Times New Roman" w:hAnsi="Times New Roman" w:cs="Times New Roman"/>
        </w:rPr>
        <w:t xml:space="preserve"> in Griset, P.L. and Mahan, S. (Eds). </w:t>
      </w:r>
      <w:r w:rsidRPr="00E479EB">
        <w:rPr>
          <w:rFonts w:ascii="Times New Roman" w:hAnsi="Times New Roman" w:cs="Times New Roman"/>
          <w:i/>
        </w:rPr>
        <w:t>Terrorism in Perspective</w:t>
      </w:r>
      <w:r w:rsidRPr="00E479EB">
        <w:rPr>
          <w:rFonts w:ascii="Times New Roman" w:hAnsi="Times New Roman" w:cs="Times New Roman"/>
        </w:rPr>
        <w:t>, Thousand Oaks: Sage Publication.</w:t>
      </w:r>
    </w:p>
    <w:p w14:paraId="6C7DCD65" w14:textId="77777777" w:rsidR="007A0D1A" w:rsidRPr="00E479EB" w:rsidRDefault="007A0D1A" w:rsidP="00E479EB">
      <w:pPr>
        <w:spacing w:after="120"/>
        <w:rPr>
          <w:rFonts w:ascii="Times New Roman" w:hAnsi="Times New Roman" w:cs="Times New Roman"/>
        </w:rPr>
      </w:pPr>
    </w:p>
    <w:p w14:paraId="234658EB" w14:textId="582C598E" w:rsidR="00E479EB" w:rsidRDefault="00E479EB" w:rsidP="00E479EB">
      <w:pPr>
        <w:spacing w:after="120"/>
        <w:rPr>
          <w:rFonts w:ascii="Times New Roman" w:hAnsi="Times New Roman" w:cs="Times New Roman"/>
        </w:rPr>
      </w:pPr>
      <w:r w:rsidRPr="00E479EB">
        <w:rPr>
          <w:rFonts w:ascii="Times New Roman" w:hAnsi="Times New Roman" w:cs="Times New Roman"/>
        </w:rPr>
        <w:lastRenderedPageBreak/>
        <w:t xml:space="preserve">Dishman, C. (2001). </w:t>
      </w:r>
      <w:r w:rsidRPr="00E479EB">
        <w:rPr>
          <w:rFonts w:ascii="Times New Roman" w:hAnsi="Times New Roman" w:cs="Times New Roman"/>
          <w:i/>
          <w:iCs/>
        </w:rPr>
        <w:t>“Terrorism, Crime, and Transformation”</w:t>
      </w:r>
      <w:r w:rsidRPr="00E479EB">
        <w:rPr>
          <w:rFonts w:ascii="Times New Roman" w:hAnsi="Times New Roman" w:cs="Times New Roman"/>
        </w:rPr>
        <w:t xml:space="preserve">. </w:t>
      </w:r>
      <w:r w:rsidRPr="00E479EB">
        <w:rPr>
          <w:rFonts w:ascii="Times New Roman" w:hAnsi="Times New Roman" w:cs="Times New Roman"/>
          <w:i/>
        </w:rPr>
        <w:t xml:space="preserve">Studies in Conflict &amp; Terrorism, </w:t>
      </w:r>
      <w:r w:rsidRPr="00E479EB">
        <w:rPr>
          <w:rFonts w:ascii="Times New Roman" w:hAnsi="Times New Roman" w:cs="Times New Roman"/>
        </w:rPr>
        <w:t>24: 43-58</w:t>
      </w:r>
    </w:p>
    <w:p w14:paraId="1EAA4A88" w14:textId="77777777" w:rsidR="007A0D1A" w:rsidRPr="00E479EB" w:rsidRDefault="007A0D1A" w:rsidP="00E479EB">
      <w:pPr>
        <w:spacing w:after="120"/>
        <w:rPr>
          <w:rFonts w:ascii="Times New Roman" w:hAnsi="Times New Roman" w:cs="Times New Roman"/>
        </w:rPr>
      </w:pPr>
    </w:p>
    <w:p w14:paraId="43C69F4D" w14:textId="14356FC2" w:rsidR="00CE7F66" w:rsidRDefault="00CE7F66" w:rsidP="00E479EB">
      <w:pPr>
        <w:pStyle w:val="PlainText"/>
        <w:spacing w:after="120"/>
        <w:rPr>
          <w:rFonts w:ascii="Times New Roman" w:hAnsi="Times New Roman" w:cs="Times New Roman"/>
          <w:szCs w:val="22"/>
        </w:rPr>
      </w:pPr>
      <w:r w:rsidRPr="00E479EB">
        <w:rPr>
          <w:rFonts w:ascii="Times New Roman" w:hAnsi="Times New Roman" w:cs="Times New Roman"/>
          <w:szCs w:val="22"/>
        </w:rPr>
        <w:t xml:space="preserve">Dowler, K. (2003). </w:t>
      </w:r>
      <w:r w:rsidRPr="00E479EB">
        <w:rPr>
          <w:rFonts w:ascii="Times New Roman" w:hAnsi="Times New Roman" w:cs="Times New Roman"/>
          <w:i/>
          <w:iCs/>
          <w:szCs w:val="22"/>
        </w:rPr>
        <w:t>Media consumption and public attitudes toward crime and justice: The relationship between fear of crime, punitive attitudes, and perceived police effectiveness</w:t>
      </w:r>
      <w:r w:rsidRPr="00E479EB">
        <w:rPr>
          <w:rFonts w:ascii="Times New Roman" w:hAnsi="Times New Roman" w:cs="Times New Roman"/>
          <w:szCs w:val="22"/>
        </w:rPr>
        <w:t>. Journal of Criminal Justice and Popular Culture, 10(2), 109-126.</w:t>
      </w:r>
    </w:p>
    <w:p w14:paraId="63331A3E" w14:textId="77777777" w:rsidR="007A0D1A" w:rsidRPr="00E479EB" w:rsidRDefault="007A0D1A" w:rsidP="00E479EB">
      <w:pPr>
        <w:pStyle w:val="PlainText"/>
        <w:spacing w:after="120"/>
        <w:rPr>
          <w:rFonts w:ascii="Times New Roman" w:hAnsi="Times New Roman" w:cs="Times New Roman"/>
          <w:szCs w:val="22"/>
        </w:rPr>
      </w:pPr>
    </w:p>
    <w:p w14:paraId="5035232E" w14:textId="77777777" w:rsidR="002E7A3D" w:rsidRDefault="002E7A3D"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Dunham, R.G., Alpert, G.P. and McLean, K.D. (2020). </w:t>
      </w:r>
      <w:r w:rsidRPr="00E479EB">
        <w:rPr>
          <w:rFonts w:ascii="Times New Roman" w:eastAsia="Times New Roman" w:hAnsi="Times New Roman" w:cs="Times New Roman"/>
          <w:i/>
          <w:iCs/>
          <w:kern w:val="0"/>
          <w:lang w:eastAsia="en-GB"/>
          <w14:ligatures w14:val="none"/>
        </w:rPr>
        <w:t>Critical Issues in Policing: Contemporary Readings, Eighth Edition</w:t>
      </w:r>
      <w:r w:rsidRPr="00E479EB">
        <w:rPr>
          <w:rFonts w:ascii="Times New Roman" w:eastAsia="Times New Roman" w:hAnsi="Times New Roman" w:cs="Times New Roman"/>
          <w:kern w:val="0"/>
          <w:lang w:eastAsia="en-GB"/>
          <w14:ligatures w14:val="none"/>
        </w:rPr>
        <w:t xml:space="preserve">. [online] </w:t>
      </w:r>
      <w:r w:rsidRPr="00E479EB">
        <w:rPr>
          <w:rFonts w:ascii="Times New Roman" w:eastAsia="Times New Roman" w:hAnsi="Times New Roman" w:cs="Times New Roman"/>
          <w:i/>
          <w:iCs/>
          <w:kern w:val="0"/>
          <w:lang w:eastAsia="en-GB"/>
          <w14:ligatures w14:val="none"/>
        </w:rPr>
        <w:t>Google Books</w:t>
      </w:r>
      <w:r w:rsidRPr="00E479EB">
        <w:rPr>
          <w:rFonts w:ascii="Times New Roman" w:eastAsia="Times New Roman" w:hAnsi="Times New Roman" w:cs="Times New Roman"/>
          <w:kern w:val="0"/>
          <w:lang w:eastAsia="en-GB"/>
          <w14:ligatures w14:val="none"/>
        </w:rPr>
        <w:t>. Waveland Press. Available at: https://books.google.co.uk/books?hl=en&amp;lr=&amp;id=l6LwDwAAQBAJ&amp;oi=fnd&amp;pg=PA261&amp;dq=Misconduct+by+police:+A+public+perspective&amp;ots=Qr0dpP0hW5&amp;sig=TeBYCuXgczdWAjT5gXqIle5YUWs&amp;redir_esc=y#v=onepage&amp;q=Misconduct%20by%20police%3A%20A%20public%20perspective&amp;f=false [Accessed 20 Feb. 2024].</w:t>
      </w:r>
    </w:p>
    <w:p w14:paraId="4338ECA2"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05190172" w14:textId="77777777" w:rsidR="00C905E4" w:rsidRDefault="00C905E4"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Fan, M.D. (2019). </w:t>
      </w:r>
      <w:r w:rsidRPr="00E479EB">
        <w:rPr>
          <w:rFonts w:ascii="Times New Roman" w:eastAsia="Times New Roman" w:hAnsi="Times New Roman" w:cs="Times New Roman"/>
          <w:i/>
          <w:iCs/>
          <w:kern w:val="0"/>
          <w:lang w:eastAsia="en-GB"/>
          <w14:ligatures w14:val="none"/>
        </w:rPr>
        <w:t>Police Power and the Video Revolution: Proof, Policing, Privacy, and Audiovisual Big Data</w:t>
      </w:r>
      <w:r w:rsidRPr="00E479EB">
        <w:rPr>
          <w:rFonts w:ascii="Times New Roman" w:eastAsia="Times New Roman" w:hAnsi="Times New Roman" w:cs="Times New Roman"/>
          <w:kern w:val="0"/>
          <w:lang w:eastAsia="en-GB"/>
          <w14:ligatures w14:val="none"/>
        </w:rPr>
        <w:t xml:space="preserve">. [online] </w:t>
      </w:r>
      <w:r w:rsidRPr="00E479EB">
        <w:rPr>
          <w:rFonts w:ascii="Times New Roman" w:eastAsia="Times New Roman" w:hAnsi="Times New Roman" w:cs="Times New Roman"/>
          <w:i/>
          <w:iCs/>
          <w:kern w:val="0"/>
          <w:lang w:eastAsia="en-GB"/>
          <w14:ligatures w14:val="none"/>
        </w:rPr>
        <w:t>Google Books</w:t>
      </w:r>
      <w:r w:rsidRPr="00E479EB">
        <w:rPr>
          <w:rFonts w:ascii="Times New Roman" w:eastAsia="Times New Roman" w:hAnsi="Times New Roman" w:cs="Times New Roman"/>
          <w:kern w:val="0"/>
          <w:lang w:eastAsia="en-GB"/>
          <w14:ligatures w14:val="none"/>
        </w:rPr>
        <w:t>. Cambridge University Press. Available at: https://www.google.co.uk/books/edition/Police_Power_and_the_Video_Revolution/abOQDwAAQBAJ?hl=en&amp;gbpv=1&amp;dq=The+effect+of+police+body-worn+cameras+on+use+of+force+and+citizens%27+complaints+against+the+police:+A+randomized+controlled+trial.&amp;pg=PA11&amp;printsec=frontcover [Accessed 20 Feb. 2024].</w:t>
      </w:r>
    </w:p>
    <w:p w14:paraId="5B00F31A"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390E9431" w14:textId="3F1B2A8C" w:rsidR="00E479EB" w:rsidRPr="00E479EB" w:rsidRDefault="00E479EB" w:rsidP="00E479EB">
      <w:pPr>
        <w:spacing w:after="120"/>
        <w:rPr>
          <w:rFonts w:ascii="Times New Roman" w:hAnsi="Times New Roman" w:cs="Times New Roman"/>
        </w:rPr>
      </w:pPr>
      <w:proofErr w:type="spellStart"/>
      <w:r w:rsidRPr="00E479EB">
        <w:rPr>
          <w:rFonts w:ascii="Times New Roman" w:hAnsi="Times New Roman" w:cs="Times New Roman"/>
        </w:rPr>
        <w:t>Inciardi</w:t>
      </w:r>
      <w:proofErr w:type="spellEnd"/>
      <w:r w:rsidRPr="00E479EB">
        <w:rPr>
          <w:rFonts w:ascii="Times New Roman" w:hAnsi="Times New Roman" w:cs="Times New Roman"/>
        </w:rPr>
        <w:t xml:space="preserve">, J.A. (2001). </w:t>
      </w:r>
      <w:r w:rsidRPr="00E479EB">
        <w:rPr>
          <w:rFonts w:ascii="Times New Roman" w:hAnsi="Times New Roman" w:cs="Times New Roman"/>
          <w:i/>
          <w:iCs/>
        </w:rPr>
        <w:t xml:space="preserve">“Narcoterrorism: A Perspective and Commentary”, </w:t>
      </w:r>
      <w:r w:rsidRPr="00E479EB">
        <w:rPr>
          <w:rFonts w:ascii="Times New Roman" w:hAnsi="Times New Roman" w:cs="Times New Roman"/>
        </w:rPr>
        <w:t xml:space="preserve">in Kelly, R.J. and D.E. MacNamara (1991). </w:t>
      </w:r>
      <w:r w:rsidRPr="00E479EB">
        <w:rPr>
          <w:rFonts w:ascii="Times New Roman" w:hAnsi="Times New Roman" w:cs="Times New Roman"/>
          <w:i/>
        </w:rPr>
        <w:t>Perspectives on Deviance – Dominance, Degradation and Denigration</w:t>
      </w:r>
      <w:r w:rsidRPr="00E479EB">
        <w:rPr>
          <w:rFonts w:ascii="Times New Roman" w:hAnsi="Times New Roman" w:cs="Times New Roman"/>
        </w:rPr>
        <w:t>. Anderson Publishing: Cincinnati, Ohio.</w:t>
      </w:r>
    </w:p>
    <w:p w14:paraId="29F22851" w14:textId="68143120" w:rsidR="003470CB" w:rsidRDefault="0092533F"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IOPC (2020). </w:t>
      </w:r>
      <w:r w:rsidRPr="00E479EB">
        <w:rPr>
          <w:rFonts w:ascii="Times New Roman" w:eastAsia="Times New Roman" w:hAnsi="Times New Roman" w:cs="Times New Roman"/>
          <w:i/>
          <w:iCs/>
          <w:kern w:val="0"/>
          <w:lang w:eastAsia="en-GB"/>
          <w14:ligatures w14:val="none"/>
        </w:rPr>
        <w:t>Public Perceptions Tracker summary report - 2019/20 | Independent Office for Police Conduct (IOPC)</w:t>
      </w:r>
      <w:r w:rsidRPr="00E479EB">
        <w:rPr>
          <w:rFonts w:ascii="Times New Roman" w:eastAsia="Times New Roman" w:hAnsi="Times New Roman" w:cs="Times New Roman"/>
          <w:kern w:val="0"/>
          <w:lang w:eastAsia="en-GB"/>
          <w14:ligatures w14:val="none"/>
        </w:rPr>
        <w:t>. [online] www.policeconduct.gov.uk. Available at: https://www.policeconduct.gov.uk/publications/public-perceptions-tracker-summary-report-201920 [Accessed 22 Feb. 2024].</w:t>
      </w:r>
    </w:p>
    <w:p w14:paraId="63E30B34"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34741521" w14:textId="45166C88" w:rsidR="003470CB" w:rsidRDefault="00F05FD4"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IOPC (2023). </w:t>
      </w:r>
      <w:r w:rsidRPr="00E479EB">
        <w:rPr>
          <w:rFonts w:ascii="Times New Roman" w:eastAsia="Times New Roman" w:hAnsi="Times New Roman" w:cs="Times New Roman"/>
          <w:i/>
          <w:iCs/>
          <w:kern w:val="0"/>
          <w:lang w:eastAsia="en-GB"/>
          <w14:ligatures w14:val="none"/>
        </w:rPr>
        <w:t>National stop and search survey report - October 2023 | Independent Office for Police Conduct (IOPC)</w:t>
      </w:r>
      <w:r w:rsidRPr="00E479EB">
        <w:rPr>
          <w:rFonts w:ascii="Times New Roman" w:eastAsia="Times New Roman" w:hAnsi="Times New Roman" w:cs="Times New Roman"/>
          <w:kern w:val="0"/>
          <w:lang w:eastAsia="en-GB"/>
          <w14:ligatures w14:val="none"/>
        </w:rPr>
        <w:t>. [online] www.policeconduct.gov.uk. Available at: https://www.policeconduct.gov.uk/publications/national-stop-and-search-survey-report-october-2023 [Accessed 12 Feb. 2024].</w:t>
      </w:r>
    </w:p>
    <w:p w14:paraId="44E9FD04"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347C3486" w14:textId="77777777" w:rsidR="00A56721" w:rsidRDefault="00A56721" w:rsidP="00E479EB">
      <w:pPr>
        <w:pStyle w:val="NormalWeb"/>
        <w:spacing w:before="0" w:beforeAutospacing="0" w:after="120" w:afterAutospacing="0" w:line="360" w:lineRule="auto"/>
        <w:rPr>
          <w:sz w:val="22"/>
          <w:szCs w:val="22"/>
        </w:rPr>
      </w:pPr>
      <w:r w:rsidRPr="00E479EB">
        <w:rPr>
          <w:sz w:val="22"/>
          <w:szCs w:val="22"/>
        </w:rPr>
        <w:t xml:space="preserve">Jackson, J., Bradford, B., Hough, M., Kuha, J., Stares, S., Widdop, S., Fitzgerald, R., Yordanova, M. and Galev, T. (2011). Developing European Indicators of Trust in Justice. </w:t>
      </w:r>
      <w:r w:rsidRPr="00E479EB">
        <w:rPr>
          <w:i/>
          <w:iCs/>
          <w:sz w:val="22"/>
          <w:szCs w:val="22"/>
        </w:rPr>
        <w:t xml:space="preserve">European Journal of </w:t>
      </w:r>
      <w:r w:rsidRPr="00E479EB">
        <w:rPr>
          <w:i/>
          <w:iCs/>
          <w:sz w:val="22"/>
          <w:szCs w:val="22"/>
        </w:rPr>
        <w:lastRenderedPageBreak/>
        <w:t>Criminology</w:t>
      </w:r>
      <w:r w:rsidRPr="00E479EB">
        <w:rPr>
          <w:sz w:val="22"/>
          <w:szCs w:val="22"/>
        </w:rPr>
        <w:t>, [online] 8(4), pp.267–285. Available at: https://openaccess.city.ac.uk/id/eprint/643/5/Jackson%20et%20al%20-%20author%20final%20version.pdf [Accessed 12 Feb. 2024].</w:t>
      </w:r>
    </w:p>
    <w:p w14:paraId="0EBB21D5" w14:textId="77777777" w:rsidR="007A0D1A" w:rsidRPr="00E479EB" w:rsidRDefault="007A0D1A" w:rsidP="00E479EB">
      <w:pPr>
        <w:pStyle w:val="NormalWeb"/>
        <w:spacing w:before="0" w:beforeAutospacing="0" w:after="120" w:afterAutospacing="0" w:line="360" w:lineRule="auto"/>
        <w:rPr>
          <w:sz w:val="22"/>
          <w:szCs w:val="22"/>
        </w:rPr>
      </w:pPr>
    </w:p>
    <w:p w14:paraId="46BE25D7" w14:textId="4313EDB8" w:rsidR="00E479EB" w:rsidRDefault="00E479EB" w:rsidP="00E479EB">
      <w:pPr>
        <w:spacing w:after="120"/>
        <w:rPr>
          <w:rFonts w:ascii="Times New Roman" w:hAnsi="Times New Roman" w:cs="Times New Roman"/>
        </w:rPr>
      </w:pPr>
      <w:r w:rsidRPr="00E479EB">
        <w:rPr>
          <w:rFonts w:ascii="Times New Roman" w:hAnsi="Times New Roman" w:cs="Times New Roman"/>
        </w:rPr>
        <w:t xml:space="preserve">Kelty, S., Julian, R., &amp; Ross, A. (2013) </w:t>
      </w:r>
      <w:r w:rsidRPr="00E479EB">
        <w:rPr>
          <w:rFonts w:ascii="Times New Roman" w:hAnsi="Times New Roman" w:cs="Times New Roman"/>
          <w:i/>
          <w:iCs/>
        </w:rPr>
        <w:t>“Dismantling the Justice Silos: Avoiding the pitfalls and reaping the benefits of information-sharing between forensic science</w:t>
      </w:r>
      <w:r w:rsidRPr="00E479EB">
        <w:rPr>
          <w:rFonts w:ascii="Times New Roman" w:hAnsi="Times New Roman" w:cs="Times New Roman"/>
        </w:rPr>
        <w:t xml:space="preserve">, medicine and law” </w:t>
      </w:r>
      <w:r w:rsidRPr="00E479EB">
        <w:rPr>
          <w:rFonts w:ascii="Times New Roman" w:hAnsi="Times New Roman" w:cs="Times New Roman"/>
          <w:i/>
        </w:rPr>
        <w:t>Forensic Science International</w:t>
      </w:r>
      <w:r w:rsidRPr="00E479EB">
        <w:rPr>
          <w:rFonts w:ascii="Times New Roman" w:hAnsi="Times New Roman" w:cs="Times New Roman"/>
        </w:rPr>
        <w:t>, 230, 8–15</w:t>
      </w:r>
    </w:p>
    <w:p w14:paraId="71FB6866" w14:textId="77777777" w:rsidR="007A0D1A" w:rsidRPr="00E479EB" w:rsidRDefault="007A0D1A" w:rsidP="00E479EB">
      <w:pPr>
        <w:spacing w:after="120"/>
        <w:rPr>
          <w:rFonts w:ascii="Times New Roman" w:hAnsi="Times New Roman" w:cs="Times New Roman"/>
        </w:rPr>
      </w:pPr>
    </w:p>
    <w:p w14:paraId="017EDCA9" w14:textId="77777777" w:rsidR="00E479EB" w:rsidRPr="00E479EB" w:rsidRDefault="00E479EB" w:rsidP="00E479EB">
      <w:pPr>
        <w:spacing w:after="120"/>
        <w:rPr>
          <w:rFonts w:ascii="Times New Roman" w:hAnsi="Times New Roman" w:cs="Times New Roman"/>
        </w:rPr>
      </w:pPr>
      <w:r w:rsidRPr="00E479EB">
        <w:rPr>
          <w:rFonts w:ascii="Times New Roman" w:hAnsi="Times New Roman" w:cs="Times New Roman"/>
        </w:rPr>
        <w:t>Lambert, R. &amp; Parsons, T. (2016</w:t>
      </w:r>
      <w:r w:rsidRPr="00E479EB">
        <w:rPr>
          <w:rFonts w:ascii="Times New Roman" w:hAnsi="Times New Roman" w:cs="Times New Roman"/>
          <w:i/>
          <w:iCs/>
        </w:rPr>
        <w:t>) “Community-Based Counterterrorism Policing:</w:t>
      </w:r>
      <w:r w:rsidRPr="00E479EB">
        <w:rPr>
          <w:rFonts w:ascii="Times New Roman" w:hAnsi="Times New Roman" w:cs="Times New Roman"/>
        </w:rPr>
        <w:t xml:space="preserve"> Recommendations for Practitioners”, </w:t>
      </w:r>
      <w:r w:rsidRPr="00E479EB">
        <w:rPr>
          <w:rFonts w:ascii="Times New Roman" w:hAnsi="Times New Roman" w:cs="Times New Roman"/>
          <w:i/>
        </w:rPr>
        <w:t>Studies in Conflict &amp; Terrorism</w:t>
      </w:r>
      <w:r w:rsidRPr="00E479EB">
        <w:rPr>
          <w:rFonts w:ascii="Times New Roman" w:hAnsi="Times New Roman" w:cs="Times New Roman"/>
        </w:rPr>
        <w:t>, 40:12, 1054-1071</w:t>
      </w:r>
    </w:p>
    <w:p w14:paraId="2B7F67A1" w14:textId="77777777" w:rsidR="00E479EB" w:rsidRPr="00E479EB" w:rsidRDefault="00E479EB" w:rsidP="00E479EB">
      <w:pPr>
        <w:spacing w:after="120"/>
        <w:rPr>
          <w:rFonts w:ascii="Times New Roman" w:hAnsi="Times New Roman" w:cs="Times New Roman"/>
        </w:rPr>
      </w:pPr>
    </w:p>
    <w:p w14:paraId="11423872" w14:textId="1747FA7E" w:rsidR="00A56721" w:rsidRDefault="00D96974"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Lockey, S., Graham, L., Redman, T., Zheng, Y., Routledge, G. and Purves, L. (2019). The Impact of a Local Community Engagement Intervention on Residents’ Fear of Crime and Perceptions of the Police. </w:t>
      </w:r>
      <w:r w:rsidRPr="00E479EB">
        <w:rPr>
          <w:rFonts w:ascii="Times New Roman" w:eastAsia="Times New Roman" w:hAnsi="Times New Roman" w:cs="Times New Roman"/>
          <w:i/>
          <w:iCs/>
          <w:kern w:val="0"/>
          <w:lang w:eastAsia="en-GB"/>
          <w14:ligatures w14:val="none"/>
        </w:rPr>
        <w:t>International Journal of Police Science &amp; Management</w:t>
      </w:r>
      <w:r w:rsidRPr="00E479EB">
        <w:rPr>
          <w:rFonts w:ascii="Times New Roman" w:eastAsia="Times New Roman" w:hAnsi="Times New Roman" w:cs="Times New Roman"/>
          <w:kern w:val="0"/>
          <w:lang w:eastAsia="en-GB"/>
          <w14:ligatures w14:val="none"/>
        </w:rPr>
        <w:t xml:space="preserve">, 21(3), pp.168–180. </w:t>
      </w:r>
      <w:proofErr w:type="spellStart"/>
      <w:proofErr w:type="gramStart"/>
      <w:r w:rsidRPr="00E479EB">
        <w:rPr>
          <w:rFonts w:ascii="Times New Roman" w:eastAsia="Times New Roman" w:hAnsi="Times New Roman" w:cs="Times New Roman"/>
          <w:kern w:val="0"/>
          <w:lang w:eastAsia="en-GB"/>
          <w14:ligatures w14:val="none"/>
        </w:rPr>
        <w:t>doi:https</w:t>
      </w:r>
      <w:proofErr w:type="spellEnd"/>
      <w:r w:rsidRPr="00E479EB">
        <w:rPr>
          <w:rFonts w:ascii="Times New Roman" w:eastAsia="Times New Roman" w:hAnsi="Times New Roman" w:cs="Times New Roman"/>
          <w:kern w:val="0"/>
          <w:lang w:eastAsia="en-GB"/>
          <w14:ligatures w14:val="none"/>
        </w:rPr>
        <w:t>://doi.org/10.1177/1461355719856039</w:t>
      </w:r>
      <w:proofErr w:type="gramEnd"/>
      <w:r w:rsidRPr="00E479EB">
        <w:rPr>
          <w:rFonts w:ascii="Times New Roman" w:eastAsia="Times New Roman" w:hAnsi="Times New Roman" w:cs="Times New Roman"/>
          <w:kern w:val="0"/>
          <w:lang w:eastAsia="en-GB"/>
          <w14:ligatures w14:val="none"/>
        </w:rPr>
        <w:t>.</w:t>
      </w:r>
    </w:p>
    <w:p w14:paraId="585D2E5D"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41BFF63E" w14:textId="77777777" w:rsidR="00E479EB" w:rsidRPr="00E479EB" w:rsidRDefault="00E479EB" w:rsidP="00E479EB">
      <w:pPr>
        <w:spacing w:after="120"/>
        <w:rPr>
          <w:rFonts w:ascii="Times New Roman" w:hAnsi="Times New Roman" w:cs="Times New Roman"/>
        </w:rPr>
      </w:pPr>
      <w:r w:rsidRPr="00E479EB">
        <w:rPr>
          <w:rFonts w:ascii="Times New Roman" w:hAnsi="Times New Roman" w:cs="Times New Roman"/>
        </w:rPr>
        <w:t>Makarenko, T. (2004</w:t>
      </w:r>
      <w:r w:rsidRPr="00E479EB">
        <w:rPr>
          <w:rFonts w:ascii="Times New Roman" w:hAnsi="Times New Roman" w:cs="Times New Roman"/>
          <w:i/>
          <w:iCs/>
        </w:rPr>
        <w:t>) “The Crime-Terror Continuum:</w:t>
      </w:r>
      <w:r w:rsidRPr="00E479EB">
        <w:rPr>
          <w:rFonts w:ascii="Times New Roman" w:hAnsi="Times New Roman" w:cs="Times New Roman"/>
        </w:rPr>
        <w:t xml:space="preserve"> Tracing the Interplay between Transnational Organised Crime and Terrorism”, </w:t>
      </w:r>
      <w:r w:rsidRPr="00E479EB">
        <w:rPr>
          <w:rFonts w:ascii="Times New Roman" w:hAnsi="Times New Roman" w:cs="Times New Roman"/>
          <w:i/>
        </w:rPr>
        <w:t>Global Crime</w:t>
      </w:r>
      <w:r w:rsidRPr="00E479EB">
        <w:rPr>
          <w:rFonts w:ascii="Times New Roman" w:hAnsi="Times New Roman" w:cs="Times New Roman"/>
        </w:rPr>
        <w:t>, 6:1, 129-145</w:t>
      </w:r>
    </w:p>
    <w:p w14:paraId="7C568403" w14:textId="77777777" w:rsidR="00E479EB" w:rsidRPr="00E479EB" w:rsidRDefault="00E479EB" w:rsidP="00E479EB">
      <w:pPr>
        <w:spacing w:after="120"/>
        <w:rPr>
          <w:rFonts w:ascii="Times New Roman" w:hAnsi="Times New Roman" w:cs="Times New Roman"/>
        </w:rPr>
      </w:pPr>
    </w:p>
    <w:p w14:paraId="1AC45679" w14:textId="65E222DC" w:rsidR="00E479EB" w:rsidRDefault="00E479EB" w:rsidP="00E479EB">
      <w:pPr>
        <w:spacing w:after="120"/>
        <w:rPr>
          <w:rFonts w:ascii="Times New Roman" w:hAnsi="Times New Roman" w:cs="Times New Roman"/>
        </w:rPr>
      </w:pPr>
      <w:r w:rsidRPr="00E479EB">
        <w:rPr>
          <w:rFonts w:ascii="Times New Roman" w:hAnsi="Times New Roman" w:cs="Times New Roman"/>
        </w:rPr>
        <w:t xml:space="preserve">McCarthy, D. (2003). </w:t>
      </w:r>
      <w:r w:rsidRPr="00E479EB">
        <w:rPr>
          <w:rFonts w:ascii="Times New Roman" w:hAnsi="Times New Roman" w:cs="Times New Roman"/>
          <w:i/>
          <w:iCs/>
        </w:rPr>
        <w:t>“Narco-Terrorism: International Drug Trafficking and Terrorism:</w:t>
      </w:r>
      <w:r w:rsidRPr="00E479EB">
        <w:rPr>
          <w:rFonts w:ascii="Times New Roman" w:hAnsi="Times New Roman" w:cs="Times New Roman"/>
        </w:rPr>
        <w:t xml:space="preserve"> A Dangerous Mix”. Testimony of the Deputy Assistant </w:t>
      </w:r>
      <w:proofErr w:type="spellStart"/>
      <w:r w:rsidRPr="00E479EB">
        <w:rPr>
          <w:rFonts w:ascii="Times New Roman" w:hAnsi="Times New Roman" w:cs="Times New Roman"/>
        </w:rPr>
        <w:t>Secretaryfor</w:t>
      </w:r>
      <w:proofErr w:type="spellEnd"/>
      <w:r w:rsidRPr="00E479EB">
        <w:rPr>
          <w:rFonts w:ascii="Times New Roman" w:hAnsi="Times New Roman" w:cs="Times New Roman"/>
        </w:rPr>
        <w:t xml:space="preserve"> International Narcotics and Law Enforcement Affairs, U.S. Department of State, before the U.S. Senate Judiciary Committee, 20 May 2003.</w:t>
      </w:r>
    </w:p>
    <w:p w14:paraId="6AE65987" w14:textId="77777777" w:rsidR="007A0D1A" w:rsidRPr="00E479EB" w:rsidRDefault="007A0D1A" w:rsidP="00E479EB">
      <w:pPr>
        <w:spacing w:after="120"/>
        <w:rPr>
          <w:rFonts w:ascii="Times New Roman" w:hAnsi="Times New Roman" w:cs="Times New Roman"/>
        </w:rPr>
      </w:pPr>
    </w:p>
    <w:p w14:paraId="49EEB90C" w14:textId="663DCC6F" w:rsidR="007A0D1A" w:rsidRDefault="00194109"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O’Neill, M. (2015). Police Community Support Officers in England: </w:t>
      </w:r>
      <w:proofErr w:type="gramStart"/>
      <w:r w:rsidRPr="00E479EB">
        <w:rPr>
          <w:rFonts w:ascii="Times New Roman" w:eastAsia="Times New Roman" w:hAnsi="Times New Roman" w:cs="Times New Roman"/>
          <w:kern w:val="0"/>
          <w:lang w:eastAsia="en-GB"/>
          <w14:ligatures w14:val="none"/>
        </w:rPr>
        <w:t>a</w:t>
      </w:r>
      <w:proofErr w:type="gramEnd"/>
      <w:r w:rsidRPr="00E479EB">
        <w:rPr>
          <w:rFonts w:ascii="Times New Roman" w:eastAsia="Times New Roman" w:hAnsi="Times New Roman" w:cs="Times New Roman"/>
          <w:kern w:val="0"/>
          <w:lang w:eastAsia="en-GB"/>
          <w14:ligatures w14:val="none"/>
        </w:rPr>
        <w:t xml:space="preserve"> Dramaturgical Analysis. </w:t>
      </w:r>
      <w:r w:rsidRPr="00E479EB">
        <w:rPr>
          <w:rFonts w:ascii="Times New Roman" w:eastAsia="Times New Roman" w:hAnsi="Times New Roman" w:cs="Times New Roman"/>
          <w:i/>
          <w:iCs/>
          <w:kern w:val="0"/>
          <w:lang w:eastAsia="en-GB"/>
          <w14:ligatures w14:val="none"/>
        </w:rPr>
        <w:t>Policing and Society</w:t>
      </w:r>
      <w:r w:rsidRPr="00E479EB">
        <w:rPr>
          <w:rFonts w:ascii="Times New Roman" w:eastAsia="Times New Roman" w:hAnsi="Times New Roman" w:cs="Times New Roman"/>
          <w:kern w:val="0"/>
          <w:lang w:eastAsia="en-GB"/>
          <w14:ligatures w14:val="none"/>
        </w:rPr>
        <w:t xml:space="preserve">, 27(1), pp.21–39. </w:t>
      </w:r>
      <w:proofErr w:type="spellStart"/>
      <w:proofErr w:type="gramStart"/>
      <w:r w:rsidRPr="00E479EB">
        <w:rPr>
          <w:rFonts w:ascii="Times New Roman" w:eastAsia="Times New Roman" w:hAnsi="Times New Roman" w:cs="Times New Roman"/>
          <w:kern w:val="0"/>
          <w:lang w:eastAsia="en-GB"/>
          <w14:ligatures w14:val="none"/>
        </w:rPr>
        <w:t>doi:https</w:t>
      </w:r>
      <w:proofErr w:type="spellEnd"/>
      <w:r w:rsidRPr="00E479EB">
        <w:rPr>
          <w:rFonts w:ascii="Times New Roman" w:eastAsia="Times New Roman" w:hAnsi="Times New Roman" w:cs="Times New Roman"/>
          <w:kern w:val="0"/>
          <w:lang w:eastAsia="en-GB"/>
          <w14:ligatures w14:val="none"/>
        </w:rPr>
        <w:t>://doi.org/10.1080/10439463.2015.1020805</w:t>
      </w:r>
      <w:proofErr w:type="gramEnd"/>
      <w:r w:rsidRPr="00E479EB">
        <w:rPr>
          <w:rFonts w:ascii="Times New Roman" w:eastAsia="Times New Roman" w:hAnsi="Times New Roman" w:cs="Times New Roman"/>
          <w:kern w:val="0"/>
          <w:lang w:eastAsia="en-GB"/>
          <w14:ligatures w14:val="none"/>
        </w:rPr>
        <w:t>.</w:t>
      </w:r>
    </w:p>
    <w:p w14:paraId="7517D274"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52EE2520" w14:textId="59804BEB" w:rsidR="00D51561" w:rsidRDefault="00D51561"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Peak, K.J. and </w:t>
      </w:r>
      <w:proofErr w:type="spellStart"/>
      <w:r w:rsidRPr="00E479EB">
        <w:rPr>
          <w:rFonts w:ascii="Times New Roman" w:eastAsia="Times New Roman" w:hAnsi="Times New Roman" w:cs="Times New Roman"/>
          <w:kern w:val="0"/>
          <w:lang w:eastAsia="en-GB"/>
          <w14:ligatures w14:val="none"/>
        </w:rPr>
        <w:t>Glensor</w:t>
      </w:r>
      <w:proofErr w:type="spellEnd"/>
      <w:r w:rsidRPr="00E479EB">
        <w:rPr>
          <w:rFonts w:ascii="Times New Roman" w:eastAsia="Times New Roman" w:hAnsi="Times New Roman" w:cs="Times New Roman"/>
          <w:kern w:val="0"/>
          <w:lang w:eastAsia="en-GB"/>
          <w14:ligatures w14:val="none"/>
        </w:rPr>
        <w:t xml:space="preserve">, R.W. (1996). </w:t>
      </w:r>
      <w:r w:rsidRPr="00E479EB">
        <w:rPr>
          <w:rFonts w:ascii="Times New Roman" w:eastAsia="Times New Roman" w:hAnsi="Times New Roman" w:cs="Times New Roman"/>
          <w:i/>
          <w:iCs/>
          <w:kern w:val="0"/>
          <w:lang w:eastAsia="en-GB"/>
          <w14:ligatures w14:val="none"/>
        </w:rPr>
        <w:t>Community Policing and Problem Solving: Strategies and Practices | Office of Justice Programs</w:t>
      </w:r>
      <w:r w:rsidRPr="00E479EB">
        <w:rPr>
          <w:rFonts w:ascii="Times New Roman" w:eastAsia="Times New Roman" w:hAnsi="Times New Roman" w:cs="Times New Roman"/>
          <w:kern w:val="0"/>
          <w:lang w:eastAsia="en-GB"/>
          <w14:ligatures w14:val="none"/>
        </w:rPr>
        <w:t>. [online] www.ojp.gov. Available at: https://www.ojp.gov/ncjrs/virtual-library/abstracts/community-policing-and-problem-solving-strategies-and-practices [Accessed 12 Feb. 2024].</w:t>
      </w:r>
    </w:p>
    <w:p w14:paraId="2A200CB8"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182541E2" w14:textId="286520AB" w:rsidR="00E479EB" w:rsidRPr="00E479EB" w:rsidRDefault="00E479EB" w:rsidP="00E479EB">
      <w:pPr>
        <w:spacing w:after="120"/>
        <w:rPr>
          <w:rFonts w:ascii="Times New Roman" w:hAnsi="Times New Roman" w:cs="Times New Roman"/>
        </w:rPr>
      </w:pPr>
      <w:r w:rsidRPr="00E479EB">
        <w:rPr>
          <w:rFonts w:ascii="Times New Roman" w:hAnsi="Times New Roman" w:cs="Times New Roman"/>
        </w:rPr>
        <w:t>Ratcliffe, J. H. (2016). </w:t>
      </w:r>
      <w:r w:rsidRPr="00E479EB">
        <w:rPr>
          <w:rFonts w:ascii="Times New Roman" w:hAnsi="Times New Roman" w:cs="Times New Roman"/>
          <w:i/>
          <w:iCs/>
        </w:rPr>
        <w:t>Intelligence-led policing (2nd ed).</w:t>
      </w:r>
      <w:r w:rsidRPr="00E479EB">
        <w:rPr>
          <w:rFonts w:ascii="Times New Roman" w:hAnsi="Times New Roman" w:cs="Times New Roman"/>
        </w:rPr>
        <w:t xml:space="preserve"> London: Routledge.</w:t>
      </w:r>
    </w:p>
    <w:p w14:paraId="6DDD0766" w14:textId="77777777" w:rsidR="00E479EB" w:rsidRPr="00E479EB" w:rsidRDefault="00E479EB" w:rsidP="00E479EB">
      <w:pPr>
        <w:spacing w:after="120"/>
        <w:rPr>
          <w:rFonts w:ascii="Times New Roman" w:hAnsi="Times New Roman" w:cs="Times New Roman"/>
        </w:rPr>
      </w:pPr>
    </w:p>
    <w:p w14:paraId="5AEF0F7D" w14:textId="77777777" w:rsidR="00D51561" w:rsidRDefault="00D51561"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Rogers, C. (2017). </w:t>
      </w:r>
      <w:r w:rsidRPr="00E479EB">
        <w:rPr>
          <w:rFonts w:ascii="Times New Roman" w:eastAsia="Times New Roman" w:hAnsi="Times New Roman" w:cs="Times New Roman"/>
          <w:i/>
          <w:iCs/>
          <w:kern w:val="0"/>
          <w:lang w:eastAsia="en-GB"/>
          <w14:ligatures w14:val="none"/>
        </w:rPr>
        <w:t>Plural Policing - Theory and Practice</w:t>
      </w:r>
      <w:r w:rsidRPr="00E479EB">
        <w:rPr>
          <w:rFonts w:ascii="Times New Roman" w:eastAsia="Times New Roman" w:hAnsi="Times New Roman" w:cs="Times New Roman"/>
          <w:kern w:val="0"/>
          <w:lang w:eastAsia="en-GB"/>
          <w14:ligatures w14:val="none"/>
        </w:rPr>
        <w:t>. [online] r1.vlereader.com. Available at: https://r1.vlereader.com/Reader?ean=9781447326397 [Accessed 12 Feb. 2024].</w:t>
      </w:r>
    </w:p>
    <w:p w14:paraId="26C46BB1"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0B42987E" w14:textId="0A46EB50" w:rsidR="00D51561" w:rsidRDefault="00BC69F7"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Shropshire Star (2019). </w:t>
      </w:r>
      <w:r w:rsidRPr="00E479EB">
        <w:rPr>
          <w:rFonts w:ascii="Times New Roman" w:eastAsia="Times New Roman" w:hAnsi="Times New Roman" w:cs="Times New Roman"/>
          <w:i/>
          <w:iCs/>
          <w:kern w:val="0"/>
          <w:lang w:eastAsia="en-GB"/>
          <w14:ligatures w14:val="none"/>
        </w:rPr>
        <w:t>What Captured the Headlines in 2019?</w:t>
      </w:r>
      <w:r w:rsidRPr="00E479EB">
        <w:rPr>
          <w:rFonts w:ascii="Times New Roman" w:eastAsia="Times New Roman" w:hAnsi="Times New Roman" w:cs="Times New Roman"/>
          <w:kern w:val="0"/>
          <w:lang w:eastAsia="en-GB"/>
          <w14:ligatures w14:val="none"/>
        </w:rPr>
        <w:t xml:space="preserve"> [online] www.shropshirestar.com. Available at: https://www.shropshirestar.com/news/uk-news/2019/12/29/what-captured-the-headlines-in-2019/ [Accessed 21 Feb. 2024].</w:t>
      </w:r>
    </w:p>
    <w:p w14:paraId="14C3A8B3"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69447481" w14:textId="35DA143B" w:rsidR="00EE1E4C" w:rsidRDefault="00EE1E4C" w:rsidP="00E479EB">
      <w:pPr>
        <w:spacing w:after="120" w:line="360" w:lineRule="auto"/>
        <w:rPr>
          <w:rFonts w:ascii="Times New Roman" w:eastAsia="Times New Roman" w:hAnsi="Times New Roman" w:cs="Times New Roman"/>
          <w:kern w:val="0"/>
          <w:lang w:eastAsia="en-GB"/>
          <w14:ligatures w14:val="none"/>
        </w:rPr>
      </w:pPr>
      <w:proofErr w:type="spellStart"/>
      <w:r w:rsidRPr="00E479EB">
        <w:rPr>
          <w:rFonts w:ascii="Times New Roman" w:eastAsia="Times New Roman" w:hAnsi="Times New Roman" w:cs="Times New Roman"/>
          <w:kern w:val="0"/>
          <w:lang w:eastAsia="en-GB"/>
          <w14:ligatures w14:val="none"/>
        </w:rPr>
        <w:t>Skogan</w:t>
      </w:r>
      <w:proofErr w:type="spellEnd"/>
      <w:r w:rsidRPr="00E479EB">
        <w:rPr>
          <w:rFonts w:ascii="Times New Roman" w:eastAsia="Times New Roman" w:hAnsi="Times New Roman" w:cs="Times New Roman"/>
          <w:kern w:val="0"/>
          <w:lang w:eastAsia="en-GB"/>
          <w14:ligatures w14:val="none"/>
        </w:rPr>
        <w:t xml:space="preserve">, W (2017) </w:t>
      </w:r>
      <w:r w:rsidRPr="00E479EB">
        <w:rPr>
          <w:rFonts w:ascii="Times New Roman" w:eastAsia="Times New Roman" w:hAnsi="Times New Roman" w:cs="Times New Roman"/>
          <w:i/>
          <w:iCs/>
          <w:kern w:val="0"/>
          <w:lang w:eastAsia="en-GB"/>
          <w14:ligatures w14:val="none"/>
        </w:rPr>
        <w:t>Police Innovation: Contrasting Perspectives</w:t>
      </w:r>
      <w:r w:rsidRPr="00E479EB">
        <w:rPr>
          <w:rFonts w:ascii="Times New Roman" w:eastAsia="Times New Roman" w:hAnsi="Times New Roman" w:cs="Times New Roman"/>
          <w:kern w:val="0"/>
          <w:lang w:eastAsia="en-GB"/>
          <w14:ligatures w14:val="none"/>
        </w:rPr>
        <w:t>. Cambridge: Cambridge University Press</w:t>
      </w:r>
    </w:p>
    <w:p w14:paraId="6EECDDB2"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4FA6C835" w14:textId="02D73D76" w:rsidR="00E479EB" w:rsidRDefault="00E479EB" w:rsidP="00E479EB">
      <w:pPr>
        <w:spacing w:after="120"/>
        <w:rPr>
          <w:rFonts w:ascii="Times New Roman" w:hAnsi="Times New Roman" w:cs="Times New Roman"/>
        </w:rPr>
      </w:pPr>
      <w:r w:rsidRPr="00E479EB">
        <w:rPr>
          <w:rFonts w:ascii="Times New Roman" w:hAnsi="Times New Roman" w:cs="Times New Roman"/>
        </w:rPr>
        <w:t xml:space="preserve">Stohl, M (2008) </w:t>
      </w:r>
      <w:r w:rsidRPr="00E479EB">
        <w:rPr>
          <w:rFonts w:ascii="Times New Roman" w:hAnsi="Times New Roman" w:cs="Times New Roman"/>
          <w:i/>
          <w:iCs/>
        </w:rPr>
        <w:t>“Networks, terrorists and criminals:</w:t>
      </w:r>
      <w:r w:rsidRPr="00E479EB">
        <w:rPr>
          <w:rFonts w:ascii="Times New Roman" w:hAnsi="Times New Roman" w:cs="Times New Roman"/>
        </w:rPr>
        <w:t xml:space="preserve"> </w:t>
      </w:r>
      <w:r w:rsidRPr="00E479EB">
        <w:rPr>
          <w:rFonts w:ascii="Times New Roman" w:hAnsi="Times New Roman" w:cs="Times New Roman"/>
          <w:i/>
          <w:iCs/>
        </w:rPr>
        <w:t>the implications for community policing.”</w:t>
      </w:r>
      <w:r w:rsidRPr="00E479EB">
        <w:rPr>
          <w:rFonts w:ascii="Times New Roman" w:hAnsi="Times New Roman" w:cs="Times New Roman"/>
        </w:rPr>
        <w:t xml:space="preserve"> </w:t>
      </w:r>
      <w:r w:rsidRPr="00E479EB">
        <w:rPr>
          <w:rFonts w:ascii="Times New Roman" w:hAnsi="Times New Roman" w:cs="Times New Roman"/>
          <w:i/>
        </w:rPr>
        <w:t>Crime, Law, and Social Change,</w:t>
      </w:r>
      <w:r w:rsidRPr="00E479EB">
        <w:rPr>
          <w:rFonts w:ascii="Times New Roman" w:hAnsi="Times New Roman" w:cs="Times New Roman"/>
        </w:rPr>
        <w:t xml:space="preserve"> 50(1–2), 59–72</w:t>
      </w:r>
    </w:p>
    <w:p w14:paraId="35FFFA4C" w14:textId="77777777" w:rsidR="007A0D1A" w:rsidRPr="00E479EB" w:rsidRDefault="007A0D1A" w:rsidP="00E479EB">
      <w:pPr>
        <w:spacing w:after="120"/>
        <w:rPr>
          <w:rFonts w:ascii="Times New Roman" w:hAnsi="Times New Roman" w:cs="Times New Roman"/>
        </w:rPr>
      </w:pPr>
    </w:p>
    <w:p w14:paraId="0C6B6BAB" w14:textId="77614296" w:rsidR="003470CB" w:rsidRDefault="003470CB"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The Police Foundation (2016). </w:t>
      </w:r>
      <w:r w:rsidRPr="00E479EB">
        <w:rPr>
          <w:rFonts w:ascii="Times New Roman" w:eastAsia="Times New Roman" w:hAnsi="Times New Roman" w:cs="Times New Roman"/>
          <w:i/>
          <w:iCs/>
          <w:kern w:val="0"/>
          <w:lang w:eastAsia="en-GB"/>
          <w14:ligatures w14:val="none"/>
        </w:rPr>
        <w:t>Stop and Search – Getting It Right</w:t>
      </w:r>
      <w:r w:rsidRPr="00E479EB">
        <w:rPr>
          <w:rFonts w:ascii="Times New Roman" w:eastAsia="Times New Roman" w:hAnsi="Times New Roman" w:cs="Times New Roman"/>
          <w:kern w:val="0"/>
          <w:lang w:eastAsia="en-GB"/>
          <w14:ligatures w14:val="none"/>
        </w:rPr>
        <w:t>. [online] The Police Foundation. Available at: https://www.police-foundation.org.uk/2016/10/stop-and-search-getting-it-right/ [Accessed 12 Feb. 2024].</w:t>
      </w:r>
    </w:p>
    <w:p w14:paraId="706B4445"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5F9790D6" w14:textId="16363ABF" w:rsidR="001906BA" w:rsidRDefault="001906BA"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Tyler (2017) </w:t>
      </w:r>
      <w:r w:rsidR="003F148C" w:rsidRPr="00E479EB">
        <w:rPr>
          <w:rFonts w:ascii="Times New Roman" w:eastAsia="Times New Roman" w:hAnsi="Times New Roman" w:cs="Times New Roman"/>
          <w:kern w:val="0"/>
          <w:lang w:eastAsia="en-GB"/>
          <w14:ligatures w14:val="none"/>
        </w:rPr>
        <w:t>Procedural Justice and policing. Research gate:</w:t>
      </w:r>
      <w:r w:rsidR="003F148C" w:rsidRPr="00E479EB">
        <w:rPr>
          <w:rFonts w:ascii="Times New Roman" w:hAnsi="Times New Roman" w:cs="Times New Roman"/>
        </w:rPr>
        <w:t xml:space="preserve"> </w:t>
      </w:r>
      <w:r w:rsidR="003F148C" w:rsidRPr="00E479EB">
        <w:rPr>
          <w:rFonts w:ascii="Times New Roman" w:eastAsia="Times New Roman" w:hAnsi="Times New Roman" w:cs="Times New Roman"/>
          <w:kern w:val="0"/>
          <w:lang w:eastAsia="en-GB"/>
          <w14:ligatures w14:val="none"/>
        </w:rPr>
        <w:t>New Directions of Research in Fairness and Legal Authority</w:t>
      </w:r>
    </w:p>
    <w:p w14:paraId="196F98AF"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64C6906F" w14:textId="5DBE014D" w:rsidR="00FB7A68" w:rsidRDefault="00FB7A68"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Tyler, T., Fagan, J. and Geller, A. (2014). </w:t>
      </w:r>
      <w:r w:rsidRPr="00E479EB">
        <w:rPr>
          <w:rFonts w:ascii="Times New Roman" w:eastAsia="Times New Roman" w:hAnsi="Times New Roman" w:cs="Times New Roman"/>
          <w:i/>
          <w:iCs/>
          <w:kern w:val="0"/>
          <w:lang w:eastAsia="en-GB"/>
          <w14:ligatures w14:val="none"/>
        </w:rPr>
        <w:t>Street Stops and Police Legitimacy: Teachable Moments in Young Urban Men’s Legal Socialization</w:t>
      </w:r>
      <w:r w:rsidRPr="00E479EB">
        <w:rPr>
          <w:rFonts w:ascii="Times New Roman" w:eastAsia="Times New Roman" w:hAnsi="Times New Roman" w:cs="Times New Roman"/>
          <w:kern w:val="0"/>
          <w:lang w:eastAsia="en-GB"/>
          <w14:ligatures w14:val="none"/>
        </w:rPr>
        <w:t>. [online] Scholarship Archive. Available at: https://scholarship.law.columbia.edu/faculty_scholarship/1890/ [Accessed 20 Feb. 2024].</w:t>
      </w:r>
    </w:p>
    <w:p w14:paraId="03905164"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62888DCB" w14:textId="77777777" w:rsidR="00E479EB" w:rsidRPr="00E479EB" w:rsidRDefault="00E479EB" w:rsidP="00E479EB">
      <w:pPr>
        <w:spacing w:after="120"/>
        <w:rPr>
          <w:rFonts w:ascii="Times New Roman" w:hAnsi="Times New Roman" w:cs="Times New Roman"/>
          <w:bCs/>
        </w:rPr>
      </w:pPr>
      <w:r w:rsidRPr="00E479EB">
        <w:rPr>
          <w:rFonts w:ascii="Times New Roman" w:hAnsi="Times New Roman" w:cs="Times New Roman"/>
          <w:bCs/>
        </w:rPr>
        <w:t xml:space="preserve">Viano, E.C. (2020) </w:t>
      </w:r>
      <w:r w:rsidRPr="00E479EB">
        <w:rPr>
          <w:rFonts w:ascii="Times New Roman" w:hAnsi="Times New Roman" w:cs="Times New Roman"/>
          <w:bCs/>
          <w:i/>
          <w:iCs/>
        </w:rPr>
        <w:t>“Unholy Alliances and their Threat: The Convergence of Terrorism, Organized Crime and Corruption”.</w:t>
      </w:r>
      <w:r w:rsidRPr="00E479EB">
        <w:rPr>
          <w:rFonts w:ascii="Times New Roman" w:hAnsi="Times New Roman" w:cs="Times New Roman"/>
          <w:bCs/>
        </w:rPr>
        <w:t> </w:t>
      </w:r>
      <w:r w:rsidRPr="00E479EB">
        <w:rPr>
          <w:rFonts w:ascii="Times New Roman" w:hAnsi="Times New Roman" w:cs="Times New Roman"/>
          <w:bCs/>
          <w:i/>
          <w:iCs/>
        </w:rPr>
        <w:t>International Annals of Criminology, </w:t>
      </w:r>
      <w:r w:rsidRPr="00E479EB">
        <w:rPr>
          <w:rFonts w:ascii="Times New Roman" w:hAnsi="Times New Roman" w:cs="Times New Roman"/>
          <w:bCs/>
        </w:rPr>
        <w:t>58(1), 91-110.</w:t>
      </w:r>
    </w:p>
    <w:p w14:paraId="2A002497" w14:textId="77777777" w:rsidR="00E479EB" w:rsidRPr="00E479EB" w:rsidRDefault="00E479EB" w:rsidP="00E479EB">
      <w:pPr>
        <w:spacing w:after="120" w:line="360" w:lineRule="auto"/>
        <w:rPr>
          <w:rFonts w:ascii="Times New Roman" w:eastAsia="Times New Roman" w:hAnsi="Times New Roman" w:cs="Times New Roman"/>
          <w:kern w:val="0"/>
          <w:lang w:eastAsia="en-GB"/>
          <w14:ligatures w14:val="none"/>
        </w:rPr>
      </w:pPr>
    </w:p>
    <w:p w14:paraId="66706DFB" w14:textId="77777777" w:rsidR="00091EFE" w:rsidRDefault="00091EFE" w:rsidP="00E479EB">
      <w:pPr>
        <w:pStyle w:val="NormalWeb"/>
        <w:spacing w:before="0" w:beforeAutospacing="0" w:after="120" w:afterAutospacing="0" w:line="360" w:lineRule="auto"/>
        <w:rPr>
          <w:sz w:val="22"/>
          <w:szCs w:val="22"/>
        </w:rPr>
      </w:pPr>
      <w:proofErr w:type="spellStart"/>
      <w:r w:rsidRPr="00E479EB">
        <w:rPr>
          <w:sz w:val="22"/>
          <w:szCs w:val="22"/>
        </w:rPr>
        <w:t>Vomfell</w:t>
      </w:r>
      <w:proofErr w:type="spellEnd"/>
      <w:r w:rsidRPr="00E479EB">
        <w:rPr>
          <w:sz w:val="22"/>
          <w:szCs w:val="22"/>
        </w:rPr>
        <w:t xml:space="preserve">, L. and Stewart, N. (2021). Officer bias, over-patrolling and Ethnic Disparities in Stop and Search. </w:t>
      </w:r>
      <w:r w:rsidRPr="00E479EB">
        <w:rPr>
          <w:i/>
          <w:iCs/>
          <w:sz w:val="22"/>
          <w:szCs w:val="22"/>
        </w:rPr>
        <w:t>Nature Human Behaviour</w:t>
      </w:r>
      <w:r w:rsidRPr="00E479EB">
        <w:rPr>
          <w:sz w:val="22"/>
          <w:szCs w:val="22"/>
        </w:rPr>
        <w:t xml:space="preserve">, [online] 5(5), pp.566–575. </w:t>
      </w:r>
      <w:proofErr w:type="spellStart"/>
      <w:proofErr w:type="gramStart"/>
      <w:r w:rsidRPr="00E479EB">
        <w:rPr>
          <w:sz w:val="22"/>
          <w:szCs w:val="22"/>
        </w:rPr>
        <w:t>doi:https</w:t>
      </w:r>
      <w:proofErr w:type="spellEnd"/>
      <w:r w:rsidRPr="00E479EB">
        <w:rPr>
          <w:sz w:val="22"/>
          <w:szCs w:val="22"/>
        </w:rPr>
        <w:t>://doi.org/10.1038/s41562-020-01029-w</w:t>
      </w:r>
      <w:proofErr w:type="gramEnd"/>
      <w:r w:rsidRPr="00E479EB">
        <w:rPr>
          <w:sz w:val="22"/>
          <w:szCs w:val="22"/>
        </w:rPr>
        <w:t>.</w:t>
      </w:r>
    </w:p>
    <w:p w14:paraId="5559D324" w14:textId="77777777" w:rsidR="007A0D1A" w:rsidRPr="00E479EB" w:rsidRDefault="007A0D1A" w:rsidP="00E479EB">
      <w:pPr>
        <w:pStyle w:val="NormalWeb"/>
        <w:spacing w:before="0" w:beforeAutospacing="0" w:after="120" w:afterAutospacing="0" w:line="360" w:lineRule="auto"/>
        <w:rPr>
          <w:sz w:val="22"/>
          <w:szCs w:val="22"/>
        </w:rPr>
      </w:pPr>
    </w:p>
    <w:p w14:paraId="00270DCA" w14:textId="18C54849" w:rsidR="00CE7F66" w:rsidRPr="00E479EB" w:rsidRDefault="00CE7F66" w:rsidP="00E479EB">
      <w:pPr>
        <w:pStyle w:val="PlainText"/>
        <w:spacing w:after="120"/>
        <w:rPr>
          <w:rFonts w:ascii="Times New Roman" w:hAnsi="Times New Roman" w:cs="Times New Roman"/>
          <w:szCs w:val="22"/>
        </w:rPr>
      </w:pPr>
      <w:r w:rsidRPr="00E479EB">
        <w:rPr>
          <w:rFonts w:ascii="Times New Roman" w:hAnsi="Times New Roman" w:cs="Times New Roman"/>
          <w:szCs w:val="22"/>
        </w:rPr>
        <w:t xml:space="preserve">Weitzer, R., &amp; </w:t>
      </w:r>
      <w:proofErr w:type="spellStart"/>
      <w:r w:rsidRPr="00E479EB">
        <w:rPr>
          <w:rFonts w:ascii="Times New Roman" w:hAnsi="Times New Roman" w:cs="Times New Roman"/>
          <w:szCs w:val="22"/>
        </w:rPr>
        <w:t>Tuch</w:t>
      </w:r>
      <w:proofErr w:type="spellEnd"/>
      <w:r w:rsidRPr="00E479EB">
        <w:rPr>
          <w:rFonts w:ascii="Times New Roman" w:hAnsi="Times New Roman" w:cs="Times New Roman"/>
          <w:szCs w:val="22"/>
        </w:rPr>
        <w:t xml:space="preserve">, S. A. (2006). </w:t>
      </w:r>
      <w:r w:rsidRPr="00E479EB">
        <w:rPr>
          <w:rFonts w:ascii="Times New Roman" w:hAnsi="Times New Roman" w:cs="Times New Roman"/>
          <w:i/>
          <w:iCs/>
          <w:szCs w:val="22"/>
        </w:rPr>
        <w:t>Race and perceptions of police misconduct</w:t>
      </w:r>
      <w:r w:rsidRPr="00E479EB">
        <w:rPr>
          <w:rFonts w:ascii="Times New Roman" w:hAnsi="Times New Roman" w:cs="Times New Roman"/>
          <w:szCs w:val="22"/>
        </w:rPr>
        <w:t>. Social Problems, 53(3), 383-400.</w:t>
      </w:r>
    </w:p>
    <w:p w14:paraId="4A1F183C" w14:textId="77777777" w:rsidR="00CE7F66" w:rsidRPr="00E479EB" w:rsidRDefault="00CE7F66" w:rsidP="00E479EB">
      <w:pPr>
        <w:pStyle w:val="PlainText"/>
        <w:spacing w:after="120"/>
        <w:rPr>
          <w:rFonts w:ascii="Times New Roman" w:hAnsi="Times New Roman" w:cs="Times New Roman"/>
          <w:szCs w:val="22"/>
        </w:rPr>
      </w:pPr>
    </w:p>
    <w:p w14:paraId="4DA41CEF" w14:textId="77777777" w:rsidR="00624C8B" w:rsidRDefault="00624C8B"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lastRenderedPageBreak/>
        <w:t xml:space="preserve">Weitzer, R. and </w:t>
      </w:r>
      <w:proofErr w:type="spellStart"/>
      <w:r w:rsidRPr="00E479EB">
        <w:rPr>
          <w:rFonts w:ascii="Times New Roman" w:eastAsia="Times New Roman" w:hAnsi="Times New Roman" w:cs="Times New Roman"/>
          <w:kern w:val="0"/>
          <w:lang w:eastAsia="en-GB"/>
          <w14:ligatures w14:val="none"/>
        </w:rPr>
        <w:t>Tuch</w:t>
      </w:r>
      <w:proofErr w:type="spellEnd"/>
      <w:r w:rsidRPr="00E479EB">
        <w:rPr>
          <w:rFonts w:ascii="Times New Roman" w:eastAsia="Times New Roman" w:hAnsi="Times New Roman" w:cs="Times New Roman"/>
          <w:kern w:val="0"/>
          <w:lang w:eastAsia="en-GB"/>
          <w14:ligatures w14:val="none"/>
        </w:rPr>
        <w:t xml:space="preserve">, S.A. (2005). </w:t>
      </w:r>
      <w:r w:rsidRPr="00E479EB">
        <w:rPr>
          <w:rFonts w:ascii="Times New Roman" w:eastAsia="Times New Roman" w:hAnsi="Times New Roman" w:cs="Times New Roman"/>
          <w:i/>
          <w:iCs/>
          <w:kern w:val="0"/>
          <w:lang w:eastAsia="en-GB"/>
          <w14:ligatures w14:val="none"/>
        </w:rPr>
        <w:t>Determinants of Public Satisfaction with the Police.</w:t>
      </w:r>
      <w:r w:rsidRPr="00E479EB">
        <w:rPr>
          <w:rFonts w:ascii="Times New Roman" w:eastAsia="Times New Roman" w:hAnsi="Times New Roman" w:cs="Times New Roman"/>
          <w:kern w:val="0"/>
          <w:lang w:eastAsia="en-GB"/>
          <w14:ligatures w14:val="none"/>
        </w:rPr>
        <w:t xml:space="preserve"> </w:t>
      </w:r>
      <w:r w:rsidRPr="00E479EB">
        <w:rPr>
          <w:rFonts w:ascii="Times New Roman" w:eastAsia="Times New Roman" w:hAnsi="Times New Roman" w:cs="Times New Roman"/>
          <w:i/>
          <w:iCs/>
          <w:kern w:val="0"/>
          <w:lang w:eastAsia="en-GB"/>
          <w14:ligatures w14:val="none"/>
        </w:rPr>
        <w:t>Police Quarterly</w:t>
      </w:r>
      <w:r w:rsidRPr="00E479EB">
        <w:rPr>
          <w:rFonts w:ascii="Times New Roman" w:eastAsia="Times New Roman" w:hAnsi="Times New Roman" w:cs="Times New Roman"/>
          <w:kern w:val="0"/>
          <w:lang w:eastAsia="en-GB"/>
          <w14:ligatures w14:val="none"/>
        </w:rPr>
        <w:t xml:space="preserve">, 8(3), pp.279–297. </w:t>
      </w:r>
      <w:proofErr w:type="spellStart"/>
      <w:proofErr w:type="gramStart"/>
      <w:r w:rsidRPr="00E479EB">
        <w:rPr>
          <w:rFonts w:ascii="Times New Roman" w:eastAsia="Times New Roman" w:hAnsi="Times New Roman" w:cs="Times New Roman"/>
          <w:kern w:val="0"/>
          <w:lang w:eastAsia="en-GB"/>
          <w14:ligatures w14:val="none"/>
        </w:rPr>
        <w:t>doi:https</w:t>
      </w:r>
      <w:proofErr w:type="spellEnd"/>
      <w:r w:rsidRPr="00E479EB">
        <w:rPr>
          <w:rFonts w:ascii="Times New Roman" w:eastAsia="Times New Roman" w:hAnsi="Times New Roman" w:cs="Times New Roman"/>
          <w:kern w:val="0"/>
          <w:lang w:eastAsia="en-GB"/>
          <w14:ligatures w14:val="none"/>
        </w:rPr>
        <w:t>://doi.org/10.1177/1098611104271106</w:t>
      </w:r>
      <w:proofErr w:type="gramEnd"/>
      <w:r w:rsidRPr="00E479EB">
        <w:rPr>
          <w:rFonts w:ascii="Times New Roman" w:eastAsia="Times New Roman" w:hAnsi="Times New Roman" w:cs="Times New Roman"/>
          <w:kern w:val="0"/>
          <w:lang w:eastAsia="en-GB"/>
          <w14:ligatures w14:val="none"/>
        </w:rPr>
        <w:t>.</w:t>
      </w:r>
    </w:p>
    <w:p w14:paraId="6618E823" w14:textId="77777777" w:rsidR="007A0D1A" w:rsidRPr="00E479EB" w:rsidRDefault="007A0D1A" w:rsidP="00E479EB">
      <w:pPr>
        <w:spacing w:after="120" w:line="360" w:lineRule="auto"/>
        <w:rPr>
          <w:rFonts w:ascii="Times New Roman" w:eastAsia="Times New Roman" w:hAnsi="Times New Roman" w:cs="Times New Roman"/>
          <w:kern w:val="0"/>
          <w:lang w:eastAsia="en-GB"/>
          <w14:ligatures w14:val="none"/>
        </w:rPr>
      </w:pPr>
    </w:p>
    <w:p w14:paraId="234D5DA1" w14:textId="6A0DB35E" w:rsidR="00E479EB" w:rsidRDefault="00E479EB" w:rsidP="00E479EB">
      <w:pPr>
        <w:spacing w:after="120"/>
        <w:rPr>
          <w:rFonts w:ascii="Times New Roman" w:hAnsi="Times New Roman" w:cs="Times New Roman"/>
        </w:rPr>
      </w:pPr>
      <w:r w:rsidRPr="00E479EB">
        <w:rPr>
          <w:rFonts w:ascii="Times New Roman" w:hAnsi="Times New Roman" w:cs="Times New Roman"/>
        </w:rPr>
        <w:t xml:space="preserve">Wong, J.  (2022) </w:t>
      </w:r>
      <w:r w:rsidRPr="00E479EB">
        <w:rPr>
          <w:rFonts w:ascii="Times New Roman" w:hAnsi="Times New Roman" w:cs="Times New Roman"/>
          <w:i/>
          <w:iCs/>
        </w:rPr>
        <w:t>“Sharing terrorism intelligence: insights from UK law enforcement agencies,”</w:t>
      </w:r>
      <w:r w:rsidRPr="00E479EB">
        <w:rPr>
          <w:rFonts w:ascii="Times New Roman" w:hAnsi="Times New Roman" w:cs="Times New Roman"/>
        </w:rPr>
        <w:t xml:space="preserve"> </w:t>
      </w:r>
      <w:r w:rsidRPr="00E479EB">
        <w:rPr>
          <w:rFonts w:ascii="Times New Roman" w:hAnsi="Times New Roman" w:cs="Times New Roman"/>
          <w:i/>
        </w:rPr>
        <w:t>Journal of Policing, Intelligence and Counter Terrorism</w:t>
      </w:r>
      <w:r w:rsidRPr="00E479EB">
        <w:rPr>
          <w:rFonts w:ascii="Times New Roman" w:hAnsi="Times New Roman" w:cs="Times New Roman"/>
        </w:rPr>
        <w:t>, 17:2, 218-228</w:t>
      </w:r>
    </w:p>
    <w:p w14:paraId="49200AF5" w14:textId="77777777" w:rsidR="007A0D1A" w:rsidRPr="00E479EB" w:rsidRDefault="007A0D1A" w:rsidP="00E479EB">
      <w:pPr>
        <w:spacing w:after="120"/>
        <w:rPr>
          <w:rFonts w:ascii="Times New Roman" w:hAnsi="Times New Roman" w:cs="Times New Roman"/>
        </w:rPr>
      </w:pPr>
    </w:p>
    <w:p w14:paraId="49A005E2" w14:textId="77777777" w:rsidR="00BF13EF" w:rsidRPr="00E479EB" w:rsidRDefault="00BF13EF" w:rsidP="00E479EB">
      <w:pPr>
        <w:spacing w:after="120" w:line="360" w:lineRule="auto"/>
        <w:rPr>
          <w:rFonts w:ascii="Times New Roman" w:eastAsia="Times New Roman" w:hAnsi="Times New Roman" w:cs="Times New Roman"/>
          <w:kern w:val="0"/>
          <w:lang w:eastAsia="en-GB"/>
          <w14:ligatures w14:val="none"/>
        </w:rPr>
      </w:pPr>
      <w:r w:rsidRPr="00E479EB">
        <w:rPr>
          <w:rFonts w:ascii="Times New Roman" w:eastAsia="Times New Roman" w:hAnsi="Times New Roman" w:cs="Times New Roman"/>
          <w:kern w:val="0"/>
          <w:lang w:eastAsia="en-GB"/>
          <w14:ligatures w14:val="none"/>
        </w:rPr>
        <w:t xml:space="preserve">YouGov (2023). </w:t>
      </w:r>
      <w:r w:rsidRPr="00E479EB">
        <w:rPr>
          <w:rFonts w:ascii="Times New Roman" w:eastAsia="Times New Roman" w:hAnsi="Times New Roman" w:cs="Times New Roman"/>
          <w:i/>
          <w:iCs/>
          <w:kern w:val="0"/>
          <w:lang w:eastAsia="en-GB"/>
          <w14:ligatures w14:val="none"/>
        </w:rPr>
        <w:t>Are the Police Doing a Good job?</w:t>
      </w:r>
      <w:r w:rsidRPr="00E479EB">
        <w:rPr>
          <w:rFonts w:ascii="Times New Roman" w:eastAsia="Times New Roman" w:hAnsi="Times New Roman" w:cs="Times New Roman"/>
          <w:kern w:val="0"/>
          <w:lang w:eastAsia="en-GB"/>
          <w14:ligatures w14:val="none"/>
        </w:rPr>
        <w:t xml:space="preserve"> [online] yougov.co.uk. Available at: https://yougov.co.uk/topics/politics/trackers/are-the-police-doing-a-good-job [Accessed 21 Feb. 2024].</w:t>
      </w:r>
    </w:p>
    <w:p w14:paraId="6EA39314" w14:textId="77777777" w:rsidR="00241B13" w:rsidRDefault="00241B13"/>
    <w:p w14:paraId="1B1D650A" w14:textId="77777777" w:rsidR="00241B13" w:rsidRDefault="00241B13"/>
    <w:p w14:paraId="6761CA73" w14:textId="77777777" w:rsidR="00241B13" w:rsidRDefault="00241B13"/>
    <w:p w14:paraId="01BA8752" w14:textId="77777777" w:rsidR="00241B13" w:rsidRDefault="00241B13"/>
    <w:p w14:paraId="44509C33" w14:textId="77777777" w:rsidR="00241B13" w:rsidRDefault="00241B13" w:rsidP="00241B13">
      <w:pPr>
        <w:pStyle w:val="PlainText"/>
      </w:pPr>
    </w:p>
    <w:p w14:paraId="3C4821B7" w14:textId="77777777" w:rsidR="00241B13" w:rsidRDefault="00241B13" w:rsidP="00241B13">
      <w:pPr>
        <w:pStyle w:val="PlainText"/>
      </w:pPr>
    </w:p>
    <w:p w14:paraId="36424CD6" w14:textId="77777777" w:rsidR="00241B13" w:rsidRDefault="00241B13" w:rsidP="00241B13">
      <w:pPr>
        <w:pStyle w:val="PlainText"/>
      </w:pPr>
    </w:p>
    <w:p w14:paraId="288A820A" w14:textId="77777777" w:rsidR="00241B13" w:rsidRDefault="00241B13" w:rsidP="00241B13">
      <w:pPr>
        <w:pStyle w:val="PlainText"/>
      </w:pPr>
    </w:p>
    <w:p w14:paraId="64AB7A5E" w14:textId="77777777" w:rsidR="00241B13" w:rsidRDefault="00241B13" w:rsidP="00241B13">
      <w:pPr>
        <w:pStyle w:val="PlainText"/>
      </w:pPr>
    </w:p>
    <w:p w14:paraId="218265F5" w14:textId="77777777" w:rsidR="00241B13" w:rsidRDefault="00241B13" w:rsidP="00241B13">
      <w:pPr>
        <w:pStyle w:val="PlainText"/>
      </w:pPr>
    </w:p>
    <w:p w14:paraId="228E1A82" w14:textId="77777777" w:rsidR="00241B13" w:rsidRDefault="00241B13" w:rsidP="00241B13">
      <w:pPr>
        <w:pStyle w:val="PlainText"/>
      </w:pPr>
    </w:p>
    <w:p w14:paraId="621C4B51" w14:textId="77777777" w:rsidR="00241B13" w:rsidRDefault="00241B13" w:rsidP="00241B13">
      <w:pPr>
        <w:pStyle w:val="PlainText"/>
      </w:pPr>
    </w:p>
    <w:p w14:paraId="46A52968" w14:textId="77777777" w:rsidR="00241B13" w:rsidRDefault="00241B13" w:rsidP="00241B13">
      <w:pPr>
        <w:pStyle w:val="PlainText"/>
      </w:pPr>
    </w:p>
    <w:p w14:paraId="2D6ECC35" w14:textId="77777777" w:rsidR="00241B13" w:rsidRDefault="00241B13" w:rsidP="00241B13">
      <w:pPr>
        <w:pStyle w:val="PlainText"/>
      </w:pPr>
    </w:p>
    <w:p w14:paraId="0E9CDC02" w14:textId="77777777" w:rsidR="00241B13" w:rsidRDefault="00241B13" w:rsidP="00241B13">
      <w:pPr>
        <w:pStyle w:val="PlainText"/>
      </w:pPr>
    </w:p>
    <w:p w14:paraId="32B0E888" w14:textId="77777777" w:rsidR="00241B13" w:rsidRDefault="00241B13" w:rsidP="00241B13">
      <w:pPr>
        <w:pStyle w:val="PlainText"/>
      </w:pPr>
    </w:p>
    <w:p w14:paraId="47D57EE6" w14:textId="77777777" w:rsidR="00241B13" w:rsidRDefault="00241B13" w:rsidP="00241B13">
      <w:pPr>
        <w:pStyle w:val="PlainText"/>
      </w:pPr>
    </w:p>
    <w:p w14:paraId="6472210F" w14:textId="77777777" w:rsidR="00241B13" w:rsidRDefault="00241B13" w:rsidP="00241B13">
      <w:pPr>
        <w:pStyle w:val="PlainText"/>
      </w:pPr>
    </w:p>
    <w:p w14:paraId="096B1EAF" w14:textId="77777777" w:rsidR="00241B13" w:rsidRDefault="00241B13" w:rsidP="00241B13">
      <w:pPr>
        <w:pStyle w:val="PlainText"/>
      </w:pPr>
    </w:p>
    <w:p w14:paraId="6D84D811" w14:textId="77777777" w:rsidR="00241B13" w:rsidRDefault="00241B13" w:rsidP="00241B13">
      <w:pPr>
        <w:pStyle w:val="PlainText"/>
      </w:pPr>
    </w:p>
    <w:p w14:paraId="1C6202BB" w14:textId="77777777" w:rsidR="00241B13" w:rsidRDefault="00241B13" w:rsidP="00241B13">
      <w:pPr>
        <w:pStyle w:val="PlainText"/>
      </w:pPr>
    </w:p>
    <w:p w14:paraId="770F91D4" w14:textId="77777777" w:rsidR="00241B13" w:rsidRDefault="00241B13" w:rsidP="00241B13">
      <w:pPr>
        <w:pStyle w:val="PlainText"/>
      </w:pPr>
    </w:p>
    <w:p w14:paraId="2B5A6050" w14:textId="77777777" w:rsidR="00241B13" w:rsidRDefault="00241B13" w:rsidP="00241B13">
      <w:pPr>
        <w:pStyle w:val="PlainText"/>
      </w:pPr>
    </w:p>
    <w:p w14:paraId="452D9EED" w14:textId="77777777" w:rsidR="00241B13" w:rsidRDefault="00241B13" w:rsidP="00241B13">
      <w:pPr>
        <w:pStyle w:val="PlainText"/>
      </w:pPr>
    </w:p>
    <w:p w14:paraId="0236B6FA" w14:textId="77777777" w:rsidR="00241B13" w:rsidRDefault="00241B13" w:rsidP="00241B13">
      <w:pPr>
        <w:pStyle w:val="PlainText"/>
      </w:pPr>
    </w:p>
    <w:p w14:paraId="0816563D" w14:textId="77777777" w:rsidR="00241B13" w:rsidRDefault="00241B13" w:rsidP="00241B13">
      <w:pPr>
        <w:pStyle w:val="PlainText"/>
      </w:pPr>
    </w:p>
    <w:p w14:paraId="5BF7053A" w14:textId="77777777" w:rsidR="00241B13" w:rsidRDefault="00241B13" w:rsidP="00241B13">
      <w:pPr>
        <w:pStyle w:val="PlainText"/>
      </w:pPr>
    </w:p>
    <w:p w14:paraId="2E907334" w14:textId="77777777" w:rsidR="00241B13" w:rsidRDefault="00241B13" w:rsidP="00241B13">
      <w:pPr>
        <w:pStyle w:val="PlainText"/>
      </w:pPr>
    </w:p>
    <w:p w14:paraId="76A06715" w14:textId="77777777" w:rsidR="00241B13" w:rsidRDefault="00241B13" w:rsidP="00241B13">
      <w:pPr>
        <w:pStyle w:val="PlainText"/>
      </w:pPr>
    </w:p>
    <w:p w14:paraId="029F7EA1" w14:textId="77777777" w:rsidR="00241B13" w:rsidRDefault="00241B13" w:rsidP="00241B13">
      <w:pPr>
        <w:pStyle w:val="PlainText"/>
      </w:pPr>
    </w:p>
    <w:p w14:paraId="3BC98C7A" w14:textId="77777777" w:rsidR="00241B13" w:rsidRDefault="00241B13" w:rsidP="00241B13">
      <w:pPr>
        <w:pStyle w:val="PlainText"/>
      </w:pPr>
    </w:p>
    <w:p w14:paraId="3E1F01AF" w14:textId="77777777" w:rsidR="00241B13" w:rsidRDefault="00241B13" w:rsidP="00241B13">
      <w:pPr>
        <w:pStyle w:val="PlainText"/>
      </w:pPr>
    </w:p>
    <w:p w14:paraId="46906D7E" w14:textId="77777777" w:rsidR="00241B13" w:rsidRDefault="00241B13" w:rsidP="00241B13">
      <w:pPr>
        <w:pStyle w:val="PlainText"/>
      </w:pPr>
    </w:p>
    <w:p w14:paraId="75366F16" w14:textId="77777777" w:rsidR="00241B13" w:rsidRDefault="00241B13"/>
    <w:sectPr w:rsidR="00241B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D660A"/>
    <w:rsid w:val="00091EFE"/>
    <w:rsid w:val="000E1DF1"/>
    <w:rsid w:val="000F3725"/>
    <w:rsid w:val="000F622F"/>
    <w:rsid w:val="00165CF3"/>
    <w:rsid w:val="001906BA"/>
    <w:rsid w:val="00194109"/>
    <w:rsid w:val="001F7A4F"/>
    <w:rsid w:val="00241B13"/>
    <w:rsid w:val="00290D86"/>
    <w:rsid w:val="002D660A"/>
    <w:rsid w:val="002E7A3D"/>
    <w:rsid w:val="00312E30"/>
    <w:rsid w:val="003470CB"/>
    <w:rsid w:val="003827BD"/>
    <w:rsid w:val="00390104"/>
    <w:rsid w:val="003D0EE4"/>
    <w:rsid w:val="003F148C"/>
    <w:rsid w:val="00426E99"/>
    <w:rsid w:val="00465F32"/>
    <w:rsid w:val="00556DB5"/>
    <w:rsid w:val="005B5F8C"/>
    <w:rsid w:val="005E509B"/>
    <w:rsid w:val="00624C8B"/>
    <w:rsid w:val="00680870"/>
    <w:rsid w:val="007466FF"/>
    <w:rsid w:val="007A0D1A"/>
    <w:rsid w:val="00884B84"/>
    <w:rsid w:val="008B4423"/>
    <w:rsid w:val="008D1EE3"/>
    <w:rsid w:val="0092533F"/>
    <w:rsid w:val="00946E6C"/>
    <w:rsid w:val="00966308"/>
    <w:rsid w:val="009732D3"/>
    <w:rsid w:val="0098524E"/>
    <w:rsid w:val="009A7268"/>
    <w:rsid w:val="00A229CB"/>
    <w:rsid w:val="00A56721"/>
    <w:rsid w:val="00AB4C0A"/>
    <w:rsid w:val="00B543C1"/>
    <w:rsid w:val="00BC69F7"/>
    <w:rsid w:val="00BF13EF"/>
    <w:rsid w:val="00C36842"/>
    <w:rsid w:val="00C40FFA"/>
    <w:rsid w:val="00C52B5F"/>
    <w:rsid w:val="00C905E4"/>
    <w:rsid w:val="00CE7F66"/>
    <w:rsid w:val="00D51561"/>
    <w:rsid w:val="00D845C2"/>
    <w:rsid w:val="00D96974"/>
    <w:rsid w:val="00E070C3"/>
    <w:rsid w:val="00E26127"/>
    <w:rsid w:val="00E3189A"/>
    <w:rsid w:val="00E479EB"/>
    <w:rsid w:val="00EA56F6"/>
    <w:rsid w:val="00EB6C66"/>
    <w:rsid w:val="00EE1E4C"/>
    <w:rsid w:val="00F05FD4"/>
    <w:rsid w:val="00F371E8"/>
    <w:rsid w:val="00FA0EA6"/>
    <w:rsid w:val="00FB7A68"/>
    <w:rsid w:val="00FD7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D93A4"/>
  <w15:chartTrackingRefBased/>
  <w15:docId w15:val="{0675FFC5-9442-4579-BDBE-D841981F9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2D660A"/>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2D660A"/>
    <w:rPr>
      <w:rFonts w:ascii="Calibri" w:hAnsi="Calibri"/>
      <w:szCs w:val="21"/>
    </w:rPr>
  </w:style>
  <w:style w:type="paragraph" w:styleId="NormalWeb">
    <w:name w:val="Normal (Web)"/>
    <w:basedOn w:val="Normal"/>
    <w:uiPriority w:val="99"/>
    <w:semiHidden/>
    <w:unhideWhenUsed/>
    <w:rsid w:val="00091EF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C368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76690">
      <w:bodyDiv w:val="1"/>
      <w:marLeft w:val="0"/>
      <w:marRight w:val="0"/>
      <w:marTop w:val="0"/>
      <w:marBottom w:val="0"/>
      <w:divBdr>
        <w:top w:val="none" w:sz="0" w:space="0" w:color="auto"/>
        <w:left w:val="none" w:sz="0" w:space="0" w:color="auto"/>
        <w:bottom w:val="none" w:sz="0" w:space="0" w:color="auto"/>
        <w:right w:val="none" w:sz="0" w:space="0" w:color="auto"/>
      </w:divBdr>
      <w:divsChild>
        <w:div w:id="617031483">
          <w:marLeft w:val="0"/>
          <w:marRight w:val="0"/>
          <w:marTop w:val="0"/>
          <w:marBottom w:val="0"/>
          <w:divBdr>
            <w:top w:val="none" w:sz="0" w:space="0" w:color="auto"/>
            <w:left w:val="none" w:sz="0" w:space="0" w:color="auto"/>
            <w:bottom w:val="none" w:sz="0" w:space="0" w:color="auto"/>
            <w:right w:val="none" w:sz="0" w:space="0" w:color="auto"/>
          </w:divBdr>
        </w:div>
      </w:divsChild>
    </w:div>
    <w:div w:id="101656425">
      <w:bodyDiv w:val="1"/>
      <w:marLeft w:val="0"/>
      <w:marRight w:val="0"/>
      <w:marTop w:val="0"/>
      <w:marBottom w:val="0"/>
      <w:divBdr>
        <w:top w:val="none" w:sz="0" w:space="0" w:color="auto"/>
        <w:left w:val="none" w:sz="0" w:space="0" w:color="auto"/>
        <w:bottom w:val="none" w:sz="0" w:space="0" w:color="auto"/>
        <w:right w:val="none" w:sz="0" w:space="0" w:color="auto"/>
      </w:divBdr>
      <w:divsChild>
        <w:div w:id="15274662">
          <w:marLeft w:val="0"/>
          <w:marRight w:val="0"/>
          <w:marTop w:val="0"/>
          <w:marBottom w:val="0"/>
          <w:divBdr>
            <w:top w:val="none" w:sz="0" w:space="0" w:color="auto"/>
            <w:left w:val="none" w:sz="0" w:space="0" w:color="auto"/>
            <w:bottom w:val="none" w:sz="0" w:space="0" w:color="auto"/>
            <w:right w:val="none" w:sz="0" w:space="0" w:color="auto"/>
          </w:divBdr>
        </w:div>
      </w:divsChild>
    </w:div>
    <w:div w:id="361976826">
      <w:bodyDiv w:val="1"/>
      <w:marLeft w:val="0"/>
      <w:marRight w:val="0"/>
      <w:marTop w:val="0"/>
      <w:marBottom w:val="0"/>
      <w:divBdr>
        <w:top w:val="none" w:sz="0" w:space="0" w:color="auto"/>
        <w:left w:val="none" w:sz="0" w:space="0" w:color="auto"/>
        <w:bottom w:val="none" w:sz="0" w:space="0" w:color="auto"/>
        <w:right w:val="none" w:sz="0" w:space="0" w:color="auto"/>
      </w:divBdr>
      <w:divsChild>
        <w:div w:id="75322217">
          <w:marLeft w:val="0"/>
          <w:marRight w:val="0"/>
          <w:marTop w:val="0"/>
          <w:marBottom w:val="0"/>
          <w:divBdr>
            <w:top w:val="none" w:sz="0" w:space="0" w:color="auto"/>
            <w:left w:val="none" w:sz="0" w:space="0" w:color="auto"/>
            <w:bottom w:val="none" w:sz="0" w:space="0" w:color="auto"/>
            <w:right w:val="none" w:sz="0" w:space="0" w:color="auto"/>
          </w:divBdr>
        </w:div>
      </w:divsChild>
    </w:div>
    <w:div w:id="456994463">
      <w:bodyDiv w:val="1"/>
      <w:marLeft w:val="0"/>
      <w:marRight w:val="0"/>
      <w:marTop w:val="0"/>
      <w:marBottom w:val="0"/>
      <w:divBdr>
        <w:top w:val="none" w:sz="0" w:space="0" w:color="auto"/>
        <w:left w:val="none" w:sz="0" w:space="0" w:color="auto"/>
        <w:bottom w:val="none" w:sz="0" w:space="0" w:color="auto"/>
        <w:right w:val="none" w:sz="0" w:space="0" w:color="auto"/>
      </w:divBdr>
    </w:div>
    <w:div w:id="562908964">
      <w:bodyDiv w:val="1"/>
      <w:marLeft w:val="0"/>
      <w:marRight w:val="0"/>
      <w:marTop w:val="0"/>
      <w:marBottom w:val="0"/>
      <w:divBdr>
        <w:top w:val="none" w:sz="0" w:space="0" w:color="auto"/>
        <w:left w:val="none" w:sz="0" w:space="0" w:color="auto"/>
        <w:bottom w:val="none" w:sz="0" w:space="0" w:color="auto"/>
        <w:right w:val="none" w:sz="0" w:space="0" w:color="auto"/>
      </w:divBdr>
    </w:div>
    <w:div w:id="737746855">
      <w:bodyDiv w:val="1"/>
      <w:marLeft w:val="0"/>
      <w:marRight w:val="0"/>
      <w:marTop w:val="0"/>
      <w:marBottom w:val="0"/>
      <w:divBdr>
        <w:top w:val="none" w:sz="0" w:space="0" w:color="auto"/>
        <w:left w:val="none" w:sz="0" w:space="0" w:color="auto"/>
        <w:bottom w:val="none" w:sz="0" w:space="0" w:color="auto"/>
        <w:right w:val="none" w:sz="0" w:space="0" w:color="auto"/>
      </w:divBdr>
      <w:divsChild>
        <w:div w:id="974486438">
          <w:marLeft w:val="0"/>
          <w:marRight w:val="0"/>
          <w:marTop w:val="0"/>
          <w:marBottom w:val="0"/>
          <w:divBdr>
            <w:top w:val="none" w:sz="0" w:space="0" w:color="auto"/>
            <w:left w:val="none" w:sz="0" w:space="0" w:color="auto"/>
            <w:bottom w:val="none" w:sz="0" w:space="0" w:color="auto"/>
            <w:right w:val="none" w:sz="0" w:space="0" w:color="auto"/>
          </w:divBdr>
        </w:div>
      </w:divsChild>
    </w:div>
    <w:div w:id="1047681184">
      <w:bodyDiv w:val="1"/>
      <w:marLeft w:val="0"/>
      <w:marRight w:val="0"/>
      <w:marTop w:val="0"/>
      <w:marBottom w:val="0"/>
      <w:divBdr>
        <w:top w:val="none" w:sz="0" w:space="0" w:color="auto"/>
        <w:left w:val="none" w:sz="0" w:space="0" w:color="auto"/>
        <w:bottom w:val="none" w:sz="0" w:space="0" w:color="auto"/>
        <w:right w:val="none" w:sz="0" w:space="0" w:color="auto"/>
      </w:divBdr>
      <w:divsChild>
        <w:div w:id="1849444075">
          <w:marLeft w:val="0"/>
          <w:marRight w:val="0"/>
          <w:marTop w:val="0"/>
          <w:marBottom w:val="0"/>
          <w:divBdr>
            <w:top w:val="none" w:sz="0" w:space="0" w:color="auto"/>
            <w:left w:val="none" w:sz="0" w:space="0" w:color="auto"/>
            <w:bottom w:val="none" w:sz="0" w:space="0" w:color="auto"/>
            <w:right w:val="none" w:sz="0" w:space="0" w:color="auto"/>
          </w:divBdr>
        </w:div>
      </w:divsChild>
    </w:div>
    <w:div w:id="1153525262">
      <w:bodyDiv w:val="1"/>
      <w:marLeft w:val="0"/>
      <w:marRight w:val="0"/>
      <w:marTop w:val="0"/>
      <w:marBottom w:val="0"/>
      <w:divBdr>
        <w:top w:val="none" w:sz="0" w:space="0" w:color="auto"/>
        <w:left w:val="none" w:sz="0" w:space="0" w:color="auto"/>
        <w:bottom w:val="none" w:sz="0" w:space="0" w:color="auto"/>
        <w:right w:val="none" w:sz="0" w:space="0" w:color="auto"/>
      </w:divBdr>
      <w:divsChild>
        <w:div w:id="1051660181">
          <w:marLeft w:val="0"/>
          <w:marRight w:val="0"/>
          <w:marTop w:val="0"/>
          <w:marBottom w:val="0"/>
          <w:divBdr>
            <w:top w:val="none" w:sz="0" w:space="0" w:color="auto"/>
            <w:left w:val="none" w:sz="0" w:space="0" w:color="auto"/>
            <w:bottom w:val="none" w:sz="0" w:space="0" w:color="auto"/>
            <w:right w:val="none" w:sz="0" w:space="0" w:color="auto"/>
          </w:divBdr>
        </w:div>
      </w:divsChild>
    </w:div>
    <w:div w:id="1181120567">
      <w:bodyDiv w:val="1"/>
      <w:marLeft w:val="0"/>
      <w:marRight w:val="0"/>
      <w:marTop w:val="0"/>
      <w:marBottom w:val="0"/>
      <w:divBdr>
        <w:top w:val="none" w:sz="0" w:space="0" w:color="auto"/>
        <w:left w:val="none" w:sz="0" w:space="0" w:color="auto"/>
        <w:bottom w:val="none" w:sz="0" w:space="0" w:color="auto"/>
        <w:right w:val="none" w:sz="0" w:space="0" w:color="auto"/>
      </w:divBdr>
      <w:divsChild>
        <w:div w:id="288707451">
          <w:marLeft w:val="0"/>
          <w:marRight w:val="0"/>
          <w:marTop w:val="0"/>
          <w:marBottom w:val="0"/>
          <w:divBdr>
            <w:top w:val="none" w:sz="0" w:space="0" w:color="auto"/>
            <w:left w:val="none" w:sz="0" w:space="0" w:color="auto"/>
            <w:bottom w:val="none" w:sz="0" w:space="0" w:color="auto"/>
            <w:right w:val="none" w:sz="0" w:space="0" w:color="auto"/>
          </w:divBdr>
        </w:div>
      </w:divsChild>
    </w:div>
    <w:div w:id="1217861416">
      <w:bodyDiv w:val="1"/>
      <w:marLeft w:val="0"/>
      <w:marRight w:val="0"/>
      <w:marTop w:val="0"/>
      <w:marBottom w:val="0"/>
      <w:divBdr>
        <w:top w:val="none" w:sz="0" w:space="0" w:color="auto"/>
        <w:left w:val="none" w:sz="0" w:space="0" w:color="auto"/>
        <w:bottom w:val="none" w:sz="0" w:space="0" w:color="auto"/>
        <w:right w:val="none" w:sz="0" w:space="0" w:color="auto"/>
      </w:divBdr>
      <w:divsChild>
        <w:div w:id="1825664113">
          <w:marLeft w:val="0"/>
          <w:marRight w:val="0"/>
          <w:marTop w:val="0"/>
          <w:marBottom w:val="0"/>
          <w:divBdr>
            <w:top w:val="none" w:sz="0" w:space="0" w:color="auto"/>
            <w:left w:val="none" w:sz="0" w:space="0" w:color="auto"/>
            <w:bottom w:val="none" w:sz="0" w:space="0" w:color="auto"/>
            <w:right w:val="none" w:sz="0" w:space="0" w:color="auto"/>
          </w:divBdr>
        </w:div>
      </w:divsChild>
    </w:div>
    <w:div w:id="1227455362">
      <w:bodyDiv w:val="1"/>
      <w:marLeft w:val="0"/>
      <w:marRight w:val="0"/>
      <w:marTop w:val="0"/>
      <w:marBottom w:val="0"/>
      <w:divBdr>
        <w:top w:val="none" w:sz="0" w:space="0" w:color="auto"/>
        <w:left w:val="none" w:sz="0" w:space="0" w:color="auto"/>
        <w:bottom w:val="none" w:sz="0" w:space="0" w:color="auto"/>
        <w:right w:val="none" w:sz="0" w:space="0" w:color="auto"/>
      </w:divBdr>
      <w:divsChild>
        <w:div w:id="1511144170">
          <w:marLeft w:val="0"/>
          <w:marRight w:val="0"/>
          <w:marTop w:val="0"/>
          <w:marBottom w:val="0"/>
          <w:divBdr>
            <w:top w:val="none" w:sz="0" w:space="0" w:color="auto"/>
            <w:left w:val="none" w:sz="0" w:space="0" w:color="auto"/>
            <w:bottom w:val="none" w:sz="0" w:space="0" w:color="auto"/>
            <w:right w:val="none" w:sz="0" w:space="0" w:color="auto"/>
          </w:divBdr>
        </w:div>
      </w:divsChild>
    </w:div>
    <w:div w:id="1257516379">
      <w:bodyDiv w:val="1"/>
      <w:marLeft w:val="0"/>
      <w:marRight w:val="0"/>
      <w:marTop w:val="0"/>
      <w:marBottom w:val="0"/>
      <w:divBdr>
        <w:top w:val="none" w:sz="0" w:space="0" w:color="auto"/>
        <w:left w:val="none" w:sz="0" w:space="0" w:color="auto"/>
        <w:bottom w:val="none" w:sz="0" w:space="0" w:color="auto"/>
        <w:right w:val="none" w:sz="0" w:space="0" w:color="auto"/>
      </w:divBdr>
      <w:divsChild>
        <w:div w:id="26948924">
          <w:marLeft w:val="0"/>
          <w:marRight w:val="0"/>
          <w:marTop w:val="0"/>
          <w:marBottom w:val="0"/>
          <w:divBdr>
            <w:top w:val="none" w:sz="0" w:space="0" w:color="auto"/>
            <w:left w:val="none" w:sz="0" w:space="0" w:color="auto"/>
            <w:bottom w:val="none" w:sz="0" w:space="0" w:color="auto"/>
            <w:right w:val="none" w:sz="0" w:space="0" w:color="auto"/>
          </w:divBdr>
        </w:div>
      </w:divsChild>
    </w:div>
    <w:div w:id="1445802388">
      <w:bodyDiv w:val="1"/>
      <w:marLeft w:val="0"/>
      <w:marRight w:val="0"/>
      <w:marTop w:val="0"/>
      <w:marBottom w:val="0"/>
      <w:divBdr>
        <w:top w:val="none" w:sz="0" w:space="0" w:color="auto"/>
        <w:left w:val="none" w:sz="0" w:space="0" w:color="auto"/>
        <w:bottom w:val="none" w:sz="0" w:space="0" w:color="auto"/>
        <w:right w:val="none" w:sz="0" w:space="0" w:color="auto"/>
      </w:divBdr>
      <w:divsChild>
        <w:div w:id="1985699665">
          <w:marLeft w:val="0"/>
          <w:marRight w:val="0"/>
          <w:marTop w:val="0"/>
          <w:marBottom w:val="0"/>
          <w:divBdr>
            <w:top w:val="none" w:sz="0" w:space="0" w:color="auto"/>
            <w:left w:val="none" w:sz="0" w:space="0" w:color="auto"/>
            <w:bottom w:val="none" w:sz="0" w:space="0" w:color="auto"/>
            <w:right w:val="none" w:sz="0" w:space="0" w:color="auto"/>
          </w:divBdr>
        </w:div>
      </w:divsChild>
    </w:div>
    <w:div w:id="1506168946">
      <w:bodyDiv w:val="1"/>
      <w:marLeft w:val="0"/>
      <w:marRight w:val="0"/>
      <w:marTop w:val="0"/>
      <w:marBottom w:val="0"/>
      <w:divBdr>
        <w:top w:val="none" w:sz="0" w:space="0" w:color="auto"/>
        <w:left w:val="none" w:sz="0" w:space="0" w:color="auto"/>
        <w:bottom w:val="none" w:sz="0" w:space="0" w:color="auto"/>
        <w:right w:val="none" w:sz="0" w:space="0" w:color="auto"/>
      </w:divBdr>
      <w:divsChild>
        <w:div w:id="1094597532">
          <w:marLeft w:val="0"/>
          <w:marRight w:val="0"/>
          <w:marTop w:val="0"/>
          <w:marBottom w:val="0"/>
          <w:divBdr>
            <w:top w:val="none" w:sz="0" w:space="0" w:color="auto"/>
            <w:left w:val="none" w:sz="0" w:space="0" w:color="auto"/>
            <w:bottom w:val="none" w:sz="0" w:space="0" w:color="auto"/>
            <w:right w:val="none" w:sz="0" w:space="0" w:color="auto"/>
          </w:divBdr>
        </w:div>
      </w:divsChild>
    </w:div>
    <w:div w:id="1545562024">
      <w:bodyDiv w:val="1"/>
      <w:marLeft w:val="0"/>
      <w:marRight w:val="0"/>
      <w:marTop w:val="0"/>
      <w:marBottom w:val="0"/>
      <w:divBdr>
        <w:top w:val="none" w:sz="0" w:space="0" w:color="auto"/>
        <w:left w:val="none" w:sz="0" w:space="0" w:color="auto"/>
        <w:bottom w:val="none" w:sz="0" w:space="0" w:color="auto"/>
        <w:right w:val="none" w:sz="0" w:space="0" w:color="auto"/>
      </w:divBdr>
      <w:divsChild>
        <w:div w:id="12534781">
          <w:marLeft w:val="0"/>
          <w:marRight w:val="0"/>
          <w:marTop w:val="0"/>
          <w:marBottom w:val="0"/>
          <w:divBdr>
            <w:top w:val="none" w:sz="0" w:space="0" w:color="auto"/>
            <w:left w:val="none" w:sz="0" w:space="0" w:color="auto"/>
            <w:bottom w:val="none" w:sz="0" w:space="0" w:color="auto"/>
            <w:right w:val="none" w:sz="0" w:space="0" w:color="auto"/>
          </w:divBdr>
        </w:div>
      </w:divsChild>
    </w:div>
    <w:div w:id="1549344011">
      <w:bodyDiv w:val="1"/>
      <w:marLeft w:val="0"/>
      <w:marRight w:val="0"/>
      <w:marTop w:val="0"/>
      <w:marBottom w:val="0"/>
      <w:divBdr>
        <w:top w:val="none" w:sz="0" w:space="0" w:color="auto"/>
        <w:left w:val="none" w:sz="0" w:space="0" w:color="auto"/>
        <w:bottom w:val="none" w:sz="0" w:space="0" w:color="auto"/>
        <w:right w:val="none" w:sz="0" w:space="0" w:color="auto"/>
      </w:divBdr>
      <w:divsChild>
        <w:div w:id="1443525349">
          <w:marLeft w:val="0"/>
          <w:marRight w:val="0"/>
          <w:marTop w:val="0"/>
          <w:marBottom w:val="0"/>
          <w:divBdr>
            <w:top w:val="none" w:sz="0" w:space="0" w:color="auto"/>
            <w:left w:val="none" w:sz="0" w:space="0" w:color="auto"/>
            <w:bottom w:val="none" w:sz="0" w:space="0" w:color="auto"/>
            <w:right w:val="none" w:sz="0" w:space="0" w:color="auto"/>
          </w:divBdr>
        </w:div>
      </w:divsChild>
    </w:div>
    <w:div w:id="1555309621">
      <w:bodyDiv w:val="1"/>
      <w:marLeft w:val="0"/>
      <w:marRight w:val="0"/>
      <w:marTop w:val="0"/>
      <w:marBottom w:val="0"/>
      <w:divBdr>
        <w:top w:val="none" w:sz="0" w:space="0" w:color="auto"/>
        <w:left w:val="none" w:sz="0" w:space="0" w:color="auto"/>
        <w:bottom w:val="none" w:sz="0" w:space="0" w:color="auto"/>
        <w:right w:val="none" w:sz="0" w:space="0" w:color="auto"/>
      </w:divBdr>
    </w:div>
    <w:div w:id="1833175719">
      <w:bodyDiv w:val="1"/>
      <w:marLeft w:val="0"/>
      <w:marRight w:val="0"/>
      <w:marTop w:val="0"/>
      <w:marBottom w:val="0"/>
      <w:divBdr>
        <w:top w:val="none" w:sz="0" w:space="0" w:color="auto"/>
        <w:left w:val="none" w:sz="0" w:space="0" w:color="auto"/>
        <w:bottom w:val="none" w:sz="0" w:space="0" w:color="auto"/>
        <w:right w:val="none" w:sz="0" w:space="0" w:color="auto"/>
      </w:divBdr>
      <w:divsChild>
        <w:div w:id="134180965">
          <w:marLeft w:val="0"/>
          <w:marRight w:val="0"/>
          <w:marTop w:val="0"/>
          <w:marBottom w:val="0"/>
          <w:divBdr>
            <w:top w:val="none" w:sz="0" w:space="0" w:color="auto"/>
            <w:left w:val="none" w:sz="0" w:space="0" w:color="auto"/>
            <w:bottom w:val="none" w:sz="0" w:space="0" w:color="auto"/>
            <w:right w:val="none" w:sz="0" w:space="0" w:color="auto"/>
          </w:divBdr>
        </w:div>
      </w:divsChild>
    </w:div>
    <w:div w:id="1955016179">
      <w:bodyDiv w:val="1"/>
      <w:marLeft w:val="0"/>
      <w:marRight w:val="0"/>
      <w:marTop w:val="0"/>
      <w:marBottom w:val="0"/>
      <w:divBdr>
        <w:top w:val="none" w:sz="0" w:space="0" w:color="auto"/>
        <w:left w:val="none" w:sz="0" w:space="0" w:color="auto"/>
        <w:bottom w:val="none" w:sz="0" w:space="0" w:color="auto"/>
        <w:right w:val="none" w:sz="0" w:space="0" w:color="auto"/>
      </w:divBdr>
    </w:div>
    <w:div w:id="1991861777">
      <w:bodyDiv w:val="1"/>
      <w:marLeft w:val="0"/>
      <w:marRight w:val="0"/>
      <w:marTop w:val="0"/>
      <w:marBottom w:val="0"/>
      <w:divBdr>
        <w:top w:val="none" w:sz="0" w:space="0" w:color="auto"/>
        <w:left w:val="none" w:sz="0" w:space="0" w:color="auto"/>
        <w:bottom w:val="none" w:sz="0" w:space="0" w:color="auto"/>
        <w:right w:val="none" w:sz="0" w:space="0" w:color="auto"/>
      </w:divBdr>
      <w:divsChild>
        <w:div w:id="1711760277">
          <w:marLeft w:val="0"/>
          <w:marRight w:val="0"/>
          <w:marTop w:val="0"/>
          <w:marBottom w:val="0"/>
          <w:divBdr>
            <w:top w:val="none" w:sz="0" w:space="0" w:color="auto"/>
            <w:left w:val="none" w:sz="0" w:space="0" w:color="auto"/>
            <w:bottom w:val="none" w:sz="0" w:space="0" w:color="auto"/>
            <w:right w:val="none" w:sz="0" w:space="0" w:color="auto"/>
          </w:divBdr>
        </w:div>
      </w:divsChild>
    </w:div>
    <w:div w:id="2005232803">
      <w:bodyDiv w:val="1"/>
      <w:marLeft w:val="0"/>
      <w:marRight w:val="0"/>
      <w:marTop w:val="0"/>
      <w:marBottom w:val="0"/>
      <w:divBdr>
        <w:top w:val="none" w:sz="0" w:space="0" w:color="auto"/>
        <w:left w:val="none" w:sz="0" w:space="0" w:color="auto"/>
        <w:bottom w:val="none" w:sz="0" w:space="0" w:color="auto"/>
        <w:right w:val="none" w:sz="0" w:space="0" w:color="auto"/>
      </w:divBdr>
      <w:divsChild>
        <w:div w:id="1485471669">
          <w:marLeft w:val="0"/>
          <w:marRight w:val="0"/>
          <w:marTop w:val="0"/>
          <w:marBottom w:val="0"/>
          <w:divBdr>
            <w:top w:val="none" w:sz="0" w:space="0" w:color="auto"/>
            <w:left w:val="none" w:sz="0" w:space="0" w:color="auto"/>
            <w:bottom w:val="none" w:sz="0" w:space="0" w:color="auto"/>
            <w:right w:val="none" w:sz="0" w:space="0" w:color="auto"/>
          </w:divBdr>
        </w:div>
      </w:divsChild>
    </w:div>
    <w:div w:id="2027096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publicsafety.gc.ca/lbrr/archives/cnmcs-plcng/cn29647-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5160</Words>
  <Characters>29418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Demery,Alicia swp8328</dc:creator>
  <cp:keywords/>
  <dc:description/>
  <cp:lastModifiedBy>Demery,Alicia swp8328</cp:lastModifiedBy>
  <cp:revision>3</cp:revision>
  <dcterms:created xsi:type="dcterms:W3CDTF">2024-02-29T05:51:00Z</dcterms:created>
  <dcterms:modified xsi:type="dcterms:W3CDTF">2024-03-04T16:40:00Z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2024-02-06T15:53:37Z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d9006a94-9e22-4904-b0b5-583ed424a49d</vt:lpwstr>
  </property>
  <property fmtid="{D5CDD505-2E9C-101B-9397-08002B2CF9AE}" pid="8" name="MSIP_Label_66cf8fe5-b7b7-4df7-b38d-1c61ac2f6639_ContentBits">
    <vt:lpwstr>0</vt:lpwstr>
  </property>
</Properties>
</file>