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21206541"/>
        <w:docPartObj>
          <w:docPartGallery w:val="Cover Pages"/>
          <w:docPartUnique/>
        </w:docPartObj>
      </w:sdtPr>
      <w:sdtContent>
        <w:p w14:paraId="5C4FC4F5" w14:textId="2EE6E23E" w:rsidR="00DF0812" w:rsidRDefault="00DF0812" w:rsidP="005F1944">
          <w:pPr>
            <w:jc w:val="both"/>
          </w:pPr>
          <w:r>
            <w:rPr>
              <w:noProof/>
            </w:rPr>
            <mc:AlternateContent>
              <mc:Choice Requires="wpg">
                <w:drawing>
                  <wp:anchor distT="0" distB="0" distL="114300" distR="114300" simplePos="0" relativeHeight="251659264" behindDoc="0" locked="0" layoutInCell="1" allowOverlap="1" wp14:anchorId="75197F27" wp14:editId="1997BEB5">
                    <wp:simplePos x="0" y="0"/>
                    <wp:positionH relativeFrom="page">
                      <wp:align>right</wp:align>
                    </wp:positionH>
                    <wp:positionV relativeFrom="page">
                      <wp:align>top</wp:align>
                    </wp:positionV>
                    <wp:extent cx="3113670" cy="10058400"/>
                    <wp:effectExtent l="0" t="0" r="5080" b="1397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002060"/>
                              </a:solidFill>
                              <a:ln w="9525">
                                <a:solidFill>
                                  <a:srgbClr val="D8D8D8"/>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11-24T00:00:00Z">
                                      <w:dateFormat w:val="yyyy"/>
                                      <w:lid w:val="en-US"/>
                                      <w:storeMappedDataAs w:val="dateTime"/>
                                      <w:calendar w:val="gregorian"/>
                                    </w:date>
                                  </w:sdtPr>
                                  <w:sdtContent>
                                    <w:p w14:paraId="68A68D9B" w14:textId="33DF6868" w:rsidR="00DF0812" w:rsidRDefault="00DF0812">
                                      <w:pPr>
                                        <w:pStyle w:val="NoSpacing"/>
                                        <w:rPr>
                                          <w:color w:val="FFFFFF" w:themeColor="background1"/>
                                          <w:sz w:val="96"/>
                                          <w:szCs w:val="96"/>
                                        </w:rPr>
                                      </w:pPr>
                                      <w:r>
                                        <w:rPr>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725CF6B" w14:textId="264C9F4A" w:rsidR="00DF0812" w:rsidRDefault="00DF0812">
                                      <w:pPr>
                                        <w:pStyle w:val="NoSpacing"/>
                                        <w:spacing w:line="360" w:lineRule="auto"/>
                                        <w:rPr>
                                          <w:color w:val="FFFFFF" w:themeColor="background1"/>
                                        </w:rPr>
                                      </w:pPr>
                                      <w:r>
                                        <w:rPr>
                                          <w:color w:val="FFFFFF" w:themeColor="background1"/>
                                        </w:rPr>
                                        <w:t>Darina Tsoneva</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092F4AA" w14:textId="72E8D87C" w:rsidR="00DF0812" w:rsidRDefault="00DF0812">
                                      <w:pPr>
                                        <w:pStyle w:val="NoSpacing"/>
                                        <w:spacing w:line="360" w:lineRule="auto"/>
                                        <w:rPr>
                                          <w:color w:val="FFFFFF" w:themeColor="background1"/>
                                        </w:rPr>
                                      </w:pPr>
                                      <w:r w:rsidRPr="00DF0812">
                                        <w:rPr>
                                          <w:color w:val="FFFFFF" w:themeColor="background1"/>
                                        </w:rPr>
                                        <w:t>University of Wales Trinity Saint David</w:t>
                                      </w:r>
                                      <w:r>
                                        <w:rPr>
                                          <w:color w:val="FFFFFF" w:themeColor="background1"/>
                                        </w:rPr>
                                        <w:t xml:space="preserve"> ACC4024</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5-11-24T00:00:00Z">
                                      <w:dateFormat w:val="M/d/yyyy"/>
                                      <w:lid w:val="en-US"/>
                                      <w:storeMappedDataAs w:val="dateTime"/>
                                      <w:calendar w:val="gregorian"/>
                                    </w:date>
                                  </w:sdtPr>
                                  <w:sdtContent>
                                    <w:p w14:paraId="50C111D2" w14:textId="62446B69" w:rsidR="00DF0812" w:rsidRDefault="00DF0812">
                                      <w:pPr>
                                        <w:pStyle w:val="NoSpacing"/>
                                        <w:spacing w:line="360" w:lineRule="auto"/>
                                        <w:rPr>
                                          <w:color w:val="FFFFFF" w:themeColor="background1"/>
                                        </w:rPr>
                                      </w:pPr>
                                      <w:r>
                                        <w:rPr>
                                          <w:color w:val="FFFFFF" w:themeColor="background1"/>
                                        </w:rPr>
                                        <w:t>11/24/2025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5197F27" id="Group 252"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rggwMAALQMAAAOAAAAZHJzL2Uyb0RvYy54bWzUV21v2zYQ/j5g/4Hg98V6sWRZiFIUSRsM&#10;yNpiXfedoqgXlCI5ko6c/fodSVlx4g5ru6ZFbEDx8eV499xzj5jzF/uRo1umzSBFheOzCCMmqGwG&#10;0VX4wx+vfykwMpaIhnApWIXvmMEvLn7+6XxSJUtkL3nDNAInwpSTqnBvrSpXK0N7NhJzJhUTMNlK&#10;PRILpu5WjSYTeB/5KomifDVJ3SgtKTMGRq/CJL7w/tuWUfu2bQ2ziFcYYrP+qf2zds/VxTkpO01U&#10;P9A5DPIVUYxkEHDo4uqKWIJ2ejhxNQ5USyNbe0bluJJtO1Dmc4Bs4uhRNtda7pTPpSunTi0wAbSP&#10;cPpqt/TN7bVW79U7DUhMqgMsvOVy2bd6dH8hSrT3kN0tkLG9RRQG0zhO8w0gS2EujqKsWEczqrQH&#10;6E820v7Vf21dHY5ePQhoUkARc4+C+X8ovO+JYh5cUwIK7zQamgqvsy1GgoxA1d+BPER0nCE/2DBD&#10;gTg3Q9dbx3g7UMIdf1xc4MBh6NAy6kbSjwYJednDdvZSazn1jDQQb+zWQ1ZHG5xhYCuqp99kA8eS&#10;nZWeSp8Df5wW2To7RX+BkJRKG3vN5IjcjwpryMq7J7c3xrpw7pe48BWx9vXA+by8+fgnpOo3tN0l&#10;Dxm65mRgoFsCbUUoZcLmfg3fjZBFGM8j+IQGg2HHBb8c+HEYJlz1JIwWh1EIxze/8++DW46t/+X8&#10;uov92Z/lbXbikp4TnQviahBqWcvmDuqhZRALV2pgmtR/YzSBUFTY/LUjmmHEfxVQ0228Xjtl8cY6&#10;2yRg6OOZ+niGCAquKkytxigYlzbo0U5pxy3HElcIIV8CE9rB18ixJMQ1hwuNEKJ9+o7IIaGTjoDB&#10;70f9OFnn2xijU/lJtpsYqPMtG8BIPjSuA3wz665eiB5FSRTydiQ9XsYFmoAJWZL50j2YM8curgr3&#10;9SrwyMU4WHgR8mGssO+FuXOccLwSDWBNSksGHn7D+Vz8GOLaZ0NbIMwpbb0CPxDgp1NsL86fYm0a&#10;bbdFnAfWJulm4xQkSPFB9L9QtYV0jHUuDu+ToA52X+/nPv1CWUvzbOM6P+haXCRFsQjbwQrKdrAO&#10;0lY/G4YkpwzZfkdZAzxB0fJNHkex1wRSLteqqNhm8fxiT4o0TeGO9WQM8TefpTOeE1H8DRGuxkD8&#10;B3fvY9s3xf0/Gxf/AAAA//8DAFBLAwQUAAYACAAAACEADXZdht0AAAAGAQAADwAAAGRycy9kb3du&#10;cmV2LnhtbEyPwU7DMBBE70j8g7VI3KgNlNKEOBVCirhwoe2h3Jx4SVLsdRS7bfr3LFzgMtJqRjNv&#10;i9XknTjiGPtAGm5nCgRSE2xPrYbtprpZgojJkDUuEGo4Y4RVeXlRmNyGE73jcZ1awSUUc6OhS2nI&#10;pYxNh97EWRiQ2PsMozeJz7GVdjQnLvdO3im1kN70xAudGfClw+ZrffAa/G5f7dw2az8q91gv9pvs&#10;/PaaaX19NT0/gUg4pb8w/OAzOpTMVIcD2SicBn4k/Sp780zdg6g59LCcK5BlIf/jl98AAAD//wMA&#10;UEsBAi0AFAAGAAgAAAAhALaDOJL+AAAA4QEAABMAAAAAAAAAAAAAAAAAAAAAAFtDb250ZW50X1R5&#10;cGVzXS54bWxQSwECLQAUAAYACAAAACEAOP0h/9YAAACUAQAACwAAAAAAAAAAAAAAAAAvAQAAX3Jl&#10;bHMvLnJlbHNQSwECLQAUAAYACAAAACEAS4+K4IMDAAC0DAAADgAAAAAAAAAAAAAAAAAuAgAAZHJz&#10;L2Uyb0RvYy54bWxQSwECLQAUAAYACAAAACEADXZdht0AAAAGAQAADwAAAAAAAAAAAAAAAADdBQAA&#10;ZHJzL2Rvd25yZXYueG1sUEsFBgAAAAAEAAQA8wAAAOc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Eq3wgAAANwAAAAPAAAAZHJzL2Rvd25yZXYueG1sRE/dasIw&#10;FL4X9g7hDLyz6cbQ0RnFDSejF4JtH+DQnP5oc1KSqN2efrkY7PLj+19vJzOIGznfW1bwlKQgiGur&#10;e24VVOXn4hWED8gaB8uk4Js8bDcPszVm2t75RLcitCKGsM9QQRfCmEnp644M+sSOxJFrrDMYInSt&#10;1A7vMdwM8jlNl9Jgz7Ghw5E+OqovxdUoCPsmx/xQnd2qtsNx1/y8j3mp1Pxx2r2BCDSFf/Gf+0sr&#10;eFnG+fFMPAJy8wsAAP//AwBQSwECLQAUAAYACAAAACEA2+H2y+4AAACFAQAAEwAAAAAAAAAAAAAA&#10;AAAAAAAAW0NvbnRlbnRfVHlwZXNdLnhtbFBLAQItABQABgAIAAAAIQBa9CxbvwAAABUBAAALAAAA&#10;AAAAAAAAAAAAAB8BAABfcmVscy8ucmVsc1BLAQItABQABgAIAAAAIQCBGEq3wgAAANwAAAAPAAAA&#10;AAAAAAAAAAAAAAcCAABkcnMvZG93bnJldi54bWxQSwUGAAAAAAMAAwC3AAAA9gIAAAAA&#10;" fillcolor="#002060"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11-24T00:00:00Z">
                                <w:dateFormat w:val="yyyy"/>
                                <w:lid w:val="en-US"/>
                                <w:storeMappedDataAs w:val="dateTime"/>
                                <w:calendar w:val="gregorian"/>
                              </w:date>
                            </w:sdtPr>
                            <w:sdtContent>
                              <w:p w14:paraId="68A68D9B" w14:textId="33DF6868" w:rsidR="00DF0812" w:rsidRDefault="00DF0812">
                                <w:pPr>
                                  <w:pStyle w:val="NoSpacing"/>
                                  <w:rPr>
                                    <w:color w:val="FFFFFF" w:themeColor="background1"/>
                                    <w:sz w:val="96"/>
                                    <w:szCs w:val="96"/>
                                  </w:rPr>
                                </w:pPr>
                                <w:r>
                                  <w:rPr>
                                    <w:color w:val="FFFFFF" w:themeColor="background1"/>
                                    <w:sz w:val="96"/>
                                    <w:szCs w:val="96"/>
                                  </w:rPr>
                                  <w:t>2025</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725CF6B" w14:textId="264C9F4A" w:rsidR="00DF0812" w:rsidRDefault="00DF0812">
                                <w:pPr>
                                  <w:pStyle w:val="NoSpacing"/>
                                  <w:spacing w:line="360" w:lineRule="auto"/>
                                  <w:rPr>
                                    <w:color w:val="FFFFFF" w:themeColor="background1"/>
                                  </w:rPr>
                                </w:pPr>
                                <w:r>
                                  <w:rPr>
                                    <w:color w:val="FFFFFF" w:themeColor="background1"/>
                                  </w:rPr>
                                  <w:t>Darina Tsoneva</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092F4AA" w14:textId="72E8D87C" w:rsidR="00DF0812" w:rsidRDefault="00DF0812">
                                <w:pPr>
                                  <w:pStyle w:val="NoSpacing"/>
                                  <w:spacing w:line="360" w:lineRule="auto"/>
                                  <w:rPr>
                                    <w:color w:val="FFFFFF" w:themeColor="background1"/>
                                  </w:rPr>
                                </w:pPr>
                                <w:r w:rsidRPr="00DF0812">
                                  <w:rPr>
                                    <w:color w:val="FFFFFF" w:themeColor="background1"/>
                                  </w:rPr>
                                  <w:t>University of Wales Trinity Saint David</w:t>
                                </w:r>
                                <w:r>
                                  <w:rPr>
                                    <w:color w:val="FFFFFF" w:themeColor="background1"/>
                                  </w:rPr>
                                  <w:t xml:space="preserve"> ACC4024</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5-11-24T00:00:00Z">
                                <w:dateFormat w:val="M/d/yyyy"/>
                                <w:lid w:val="en-US"/>
                                <w:storeMappedDataAs w:val="dateTime"/>
                                <w:calendar w:val="gregorian"/>
                              </w:date>
                            </w:sdtPr>
                            <w:sdtContent>
                              <w:p w14:paraId="50C111D2" w14:textId="62446B69" w:rsidR="00DF0812" w:rsidRDefault="00DF0812">
                                <w:pPr>
                                  <w:pStyle w:val="NoSpacing"/>
                                  <w:spacing w:line="360" w:lineRule="auto"/>
                                  <w:rPr>
                                    <w:color w:val="FFFFFF" w:themeColor="background1"/>
                                  </w:rPr>
                                </w:pPr>
                                <w:r>
                                  <w:rPr>
                                    <w:color w:val="FFFFFF" w:themeColor="background1"/>
                                  </w:rPr>
                                  <w:t>11/24/2025</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3D926DE3" wp14:editId="358E668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0918E9B" w14:textId="5E72FA1C" w:rsidR="00DF0812" w:rsidRPr="00DF0812" w:rsidRDefault="00DF0812">
                                    <w:pPr>
                                      <w:pStyle w:val="NoSpacing"/>
                                      <w:jc w:val="right"/>
                                      <w:rPr>
                                        <w:color w:val="FFFFFF" w:themeColor="background1"/>
                                        <w:sz w:val="56"/>
                                        <w:szCs w:val="56"/>
                                      </w:rPr>
                                    </w:pPr>
                                    <w:r w:rsidRPr="00DF0812">
                                      <w:rPr>
                                        <w:color w:val="FFFFFF" w:themeColor="background1"/>
                                        <w:sz w:val="56"/>
                                        <w:szCs w:val="56"/>
                                      </w:rPr>
                                      <w:t>Networks and Cyber Security Essentials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D926DE3" id="Rectangle 16" o:spid="_x0000_s1031" style="position:absolute;left:0;text-align:left;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0918E9B" w14:textId="5E72FA1C" w:rsidR="00DF0812" w:rsidRPr="00DF0812" w:rsidRDefault="00DF0812">
                              <w:pPr>
                                <w:pStyle w:val="NoSpacing"/>
                                <w:jc w:val="right"/>
                                <w:rPr>
                                  <w:color w:val="FFFFFF" w:themeColor="background1"/>
                                  <w:sz w:val="56"/>
                                  <w:szCs w:val="56"/>
                                </w:rPr>
                              </w:pPr>
                              <w:r w:rsidRPr="00DF0812">
                                <w:rPr>
                                  <w:color w:val="FFFFFF" w:themeColor="background1"/>
                                  <w:sz w:val="56"/>
                                  <w:szCs w:val="56"/>
                                </w:rPr>
                                <w:t>Networks and Cyber Security Essentials</w:t>
                              </w:r>
                            </w:p>
                          </w:sdtContent>
                        </w:sdt>
                      </w:txbxContent>
                    </v:textbox>
                    <w10:wrap anchorx="page" anchory="page"/>
                  </v:rect>
                </w:pict>
              </mc:Fallback>
            </mc:AlternateContent>
          </w:r>
        </w:p>
        <w:p w14:paraId="2A7F624F" w14:textId="1D67252D" w:rsidR="00DF0812" w:rsidRDefault="00DF0812">
          <w:r>
            <w:rPr>
              <w:noProof/>
            </w:rPr>
            <w:drawing>
              <wp:anchor distT="0" distB="0" distL="114300" distR="114300" simplePos="0" relativeHeight="251660288" behindDoc="0" locked="0" layoutInCell="0" allowOverlap="1" wp14:anchorId="32FFD9FA" wp14:editId="107DEC56">
                <wp:simplePos x="0" y="0"/>
                <wp:positionH relativeFrom="page">
                  <wp:align>right</wp:align>
                </wp:positionH>
                <wp:positionV relativeFrom="page">
                  <wp:posOffset>3848100</wp:posOffset>
                </wp:positionV>
                <wp:extent cx="5792826" cy="2989580"/>
                <wp:effectExtent l="0" t="0" r="0" b="127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92826" cy="2989580"/>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sdt>
      <w:sdtPr>
        <w:rPr>
          <w:rFonts w:asciiTheme="minorHAnsi" w:eastAsiaTheme="minorHAnsi" w:hAnsiTheme="minorHAnsi" w:cstheme="minorBidi"/>
          <w:color w:val="auto"/>
          <w:kern w:val="2"/>
          <w:sz w:val="24"/>
          <w:szCs w:val="24"/>
          <w:lang w:val="en-GB"/>
          <w14:ligatures w14:val="standardContextual"/>
        </w:rPr>
        <w:id w:val="752156294"/>
        <w:docPartObj>
          <w:docPartGallery w:val="Table of Contents"/>
          <w:docPartUnique/>
        </w:docPartObj>
      </w:sdtPr>
      <w:sdtEndPr>
        <w:rPr>
          <w:b/>
          <w:bCs/>
          <w:noProof/>
        </w:rPr>
      </w:sdtEndPr>
      <w:sdtContent>
        <w:p w14:paraId="50903722" w14:textId="195614D6" w:rsidR="002254C6" w:rsidRDefault="002254C6">
          <w:pPr>
            <w:pStyle w:val="TOCHeading"/>
          </w:pPr>
          <w:r>
            <w:t>Contents</w:t>
          </w:r>
        </w:p>
        <w:p w14:paraId="146A20DC" w14:textId="27146BF3" w:rsidR="002254C6" w:rsidRDefault="002254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689232" w:history="1">
            <w:r w:rsidRPr="00B85E29">
              <w:rPr>
                <w:rStyle w:val="Hyperlink"/>
                <w:noProof/>
              </w:rPr>
              <w:t>Introduction</w:t>
            </w:r>
            <w:r>
              <w:rPr>
                <w:noProof/>
                <w:webHidden/>
              </w:rPr>
              <w:tab/>
            </w:r>
            <w:r>
              <w:rPr>
                <w:noProof/>
                <w:webHidden/>
              </w:rPr>
              <w:fldChar w:fldCharType="begin"/>
            </w:r>
            <w:r>
              <w:rPr>
                <w:noProof/>
                <w:webHidden/>
              </w:rPr>
              <w:instrText xml:space="preserve"> PAGEREF _Toc213689232 \h </w:instrText>
            </w:r>
            <w:r>
              <w:rPr>
                <w:noProof/>
                <w:webHidden/>
              </w:rPr>
            </w:r>
            <w:r>
              <w:rPr>
                <w:noProof/>
                <w:webHidden/>
              </w:rPr>
              <w:fldChar w:fldCharType="separate"/>
            </w:r>
            <w:r>
              <w:rPr>
                <w:noProof/>
                <w:webHidden/>
              </w:rPr>
              <w:t>1</w:t>
            </w:r>
            <w:r>
              <w:rPr>
                <w:noProof/>
                <w:webHidden/>
              </w:rPr>
              <w:fldChar w:fldCharType="end"/>
            </w:r>
          </w:hyperlink>
        </w:p>
        <w:p w14:paraId="467B5331" w14:textId="60A363C3" w:rsidR="002254C6" w:rsidRDefault="002254C6">
          <w:pPr>
            <w:pStyle w:val="TOC1"/>
            <w:tabs>
              <w:tab w:val="right" w:leader="dot" w:pos="9016"/>
            </w:tabs>
            <w:rPr>
              <w:rFonts w:eastAsiaTheme="minorEastAsia"/>
              <w:noProof/>
              <w:lang w:eastAsia="en-GB"/>
            </w:rPr>
          </w:pPr>
          <w:hyperlink w:anchor="_Toc213689233" w:history="1">
            <w:r w:rsidRPr="00B85E29">
              <w:rPr>
                <w:rStyle w:val="Hyperlink"/>
                <w:noProof/>
              </w:rPr>
              <w:t>Identification of Threats</w:t>
            </w:r>
            <w:r>
              <w:rPr>
                <w:noProof/>
                <w:webHidden/>
              </w:rPr>
              <w:tab/>
            </w:r>
            <w:r>
              <w:rPr>
                <w:noProof/>
                <w:webHidden/>
              </w:rPr>
              <w:fldChar w:fldCharType="begin"/>
            </w:r>
            <w:r>
              <w:rPr>
                <w:noProof/>
                <w:webHidden/>
              </w:rPr>
              <w:instrText xml:space="preserve"> PAGEREF _Toc213689233 \h </w:instrText>
            </w:r>
            <w:r>
              <w:rPr>
                <w:noProof/>
                <w:webHidden/>
              </w:rPr>
            </w:r>
            <w:r>
              <w:rPr>
                <w:noProof/>
                <w:webHidden/>
              </w:rPr>
              <w:fldChar w:fldCharType="separate"/>
            </w:r>
            <w:r>
              <w:rPr>
                <w:noProof/>
                <w:webHidden/>
              </w:rPr>
              <w:t>3</w:t>
            </w:r>
            <w:r>
              <w:rPr>
                <w:noProof/>
                <w:webHidden/>
              </w:rPr>
              <w:fldChar w:fldCharType="end"/>
            </w:r>
          </w:hyperlink>
        </w:p>
        <w:p w14:paraId="04334C48" w14:textId="17D10EFC" w:rsidR="002254C6" w:rsidRDefault="002254C6">
          <w:pPr>
            <w:pStyle w:val="TOC1"/>
            <w:tabs>
              <w:tab w:val="right" w:leader="dot" w:pos="9016"/>
            </w:tabs>
            <w:rPr>
              <w:rFonts w:eastAsiaTheme="minorEastAsia"/>
              <w:noProof/>
              <w:lang w:eastAsia="en-GB"/>
            </w:rPr>
          </w:pPr>
          <w:hyperlink w:anchor="_Toc213689234" w:history="1">
            <w:r w:rsidRPr="00B85E29">
              <w:rPr>
                <w:rStyle w:val="Hyperlink"/>
                <w:noProof/>
              </w:rPr>
              <w:t>External Threats</w:t>
            </w:r>
            <w:r>
              <w:rPr>
                <w:noProof/>
                <w:webHidden/>
              </w:rPr>
              <w:tab/>
            </w:r>
            <w:r>
              <w:rPr>
                <w:noProof/>
                <w:webHidden/>
              </w:rPr>
              <w:fldChar w:fldCharType="begin"/>
            </w:r>
            <w:r>
              <w:rPr>
                <w:noProof/>
                <w:webHidden/>
              </w:rPr>
              <w:instrText xml:space="preserve"> PAGEREF _Toc213689234 \h </w:instrText>
            </w:r>
            <w:r>
              <w:rPr>
                <w:noProof/>
                <w:webHidden/>
              </w:rPr>
            </w:r>
            <w:r>
              <w:rPr>
                <w:noProof/>
                <w:webHidden/>
              </w:rPr>
              <w:fldChar w:fldCharType="separate"/>
            </w:r>
            <w:r>
              <w:rPr>
                <w:noProof/>
                <w:webHidden/>
              </w:rPr>
              <w:t>3</w:t>
            </w:r>
            <w:r>
              <w:rPr>
                <w:noProof/>
                <w:webHidden/>
              </w:rPr>
              <w:fldChar w:fldCharType="end"/>
            </w:r>
          </w:hyperlink>
        </w:p>
        <w:p w14:paraId="3F021297" w14:textId="7A4145E9" w:rsidR="002254C6" w:rsidRDefault="002254C6">
          <w:pPr>
            <w:pStyle w:val="TOC1"/>
            <w:tabs>
              <w:tab w:val="right" w:leader="dot" w:pos="9016"/>
            </w:tabs>
            <w:rPr>
              <w:rFonts w:eastAsiaTheme="minorEastAsia"/>
              <w:noProof/>
              <w:lang w:eastAsia="en-GB"/>
            </w:rPr>
          </w:pPr>
          <w:hyperlink w:anchor="_Toc213689235" w:history="1">
            <w:r w:rsidRPr="00B85E29">
              <w:rPr>
                <w:rStyle w:val="Hyperlink"/>
                <w:noProof/>
              </w:rPr>
              <w:t>Internal Threats</w:t>
            </w:r>
            <w:r>
              <w:rPr>
                <w:noProof/>
                <w:webHidden/>
              </w:rPr>
              <w:tab/>
            </w:r>
            <w:r>
              <w:rPr>
                <w:noProof/>
                <w:webHidden/>
              </w:rPr>
              <w:fldChar w:fldCharType="begin"/>
            </w:r>
            <w:r>
              <w:rPr>
                <w:noProof/>
                <w:webHidden/>
              </w:rPr>
              <w:instrText xml:space="preserve"> PAGEREF _Toc213689235 \h </w:instrText>
            </w:r>
            <w:r>
              <w:rPr>
                <w:noProof/>
                <w:webHidden/>
              </w:rPr>
            </w:r>
            <w:r>
              <w:rPr>
                <w:noProof/>
                <w:webHidden/>
              </w:rPr>
              <w:fldChar w:fldCharType="separate"/>
            </w:r>
            <w:r>
              <w:rPr>
                <w:noProof/>
                <w:webHidden/>
              </w:rPr>
              <w:t>4</w:t>
            </w:r>
            <w:r>
              <w:rPr>
                <w:noProof/>
                <w:webHidden/>
              </w:rPr>
              <w:fldChar w:fldCharType="end"/>
            </w:r>
          </w:hyperlink>
        </w:p>
        <w:p w14:paraId="4D8FF9AE" w14:textId="425EB01C" w:rsidR="002254C6" w:rsidRDefault="002254C6">
          <w:pPr>
            <w:pStyle w:val="TOC1"/>
            <w:tabs>
              <w:tab w:val="right" w:leader="dot" w:pos="9016"/>
            </w:tabs>
            <w:rPr>
              <w:rFonts w:eastAsiaTheme="minorEastAsia"/>
              <w:noProof/>
              <w:lang w:eastAsia="en-GB"/>
            </w:rPr>
          </w:pPr>
          <w:hyperlink w:anchor="_Toc213689236" w:history="1">
            <w:r w:rsidRPr="00B85E29">
              <w:rPr>
                <w:rStyle w:val="Hyperlink"/>
                <w:noProof/>
              </w:rPr>
              <w:t>Security Policies for FSL</w:t>
            </w:r>
            <w:r>
              <w:rPr>
                <w:noProof/>
                <w:webHidden/>
              </w:rPr>
              <w:tab/>
            </w:r>
            <w:r>
              <w:rPr>
                <w:noProof/>
                <w:webHidden/>
              </w:rPr>
              <w:fldChar w:fldCharType="begin"/>
            </w:r>
            <w:r>
              <w:rPr>
                <w:noProof/>
                <w:webHidden/>
              </w:rPr>
              <w:instrText xml:space="preserve"> PAGEREF _Toc213689236 \h </w:instrText>
            </w:r>
            <w:r>
              <w:rPr>
                <w:noProof/>
                <w:webHidden/>
              </w:rPr>
            </w:r>
            <w:r>
              <w:rPr>
                <w:noProof/>
                <w:webHidden/>
              </w:rPr>
              <w:fldChar w:fldCharType="separate"/>
            </w:r>
            <w:r>
              <w:rPr>
                <w:noProof/>
                <w:webHidden/>
              </w:rPr>
              <w:t>5</w:t>
            </w:r>
            <w:r>
              <w:rPr>
                <w:noProof/>
                <w:webHidden/>
              </w:rPr>
              <w:fldChar w:fldCharType="end"/>
            </w:r>
          </w:hyperlink>
        </w:p>
        <w:p w14:paraId="276A6559" w14:textId="4E401A63" w:rsidR="002254C6" w:rsidRDefault="002254C6">
          <w:pPr>
            <w:pStyle w:val="TOC1"/>
            <w:tabs>
              <w:tab w:val="right" w:leader="dot" w:pos="9016"/>
            </w:tabs>
            <w:rPr>
              <w:rFonts w:eastAsiaTheme="minorEastAsia"/>
              <w:noProof/>
              <w:lang w:eastAsia="en-GB"/>
            </w:rPr>
          </w:pPr>
          <w:hyperlink w:anchor="_Toc213689237" w:history="1">
            <w:r w:rsidRPr="00B85E29">
              <w:rPr>
                <w:rStyle w:val="Hyperlink"/>
                <w:noProof/>
              </w:rPr>
              <w:t>Mitigation Measures and Implementation</w:t>
            </w:r>
            <w:r>
              <w:rPr>
                <w:noProof/>
                <w:webHidden/>
              </w:rPr>
              <w:tab/>
            </w:r>
            <w:r>
              <w:rPr>
                <w:noProof/>
                <w:webHidden/>
              </w:rPr>
              <w:fldChar w:fldCharType="begin"/>
            </w:r>
            <w:r>
              <w:rPr>
                <w:noProof/>
                <w:webHidden/>
              </w:rPr>
              <w:instrText xml:space="preserve"> PAGEREF _Toc213689237 \h </w:instrText>
            </w:r>
            <w:r>
              <w:rPr>
                <w:noProof/>
                <w:webHidden/>
              </w:rPr>
            </w:r>
            <w:r>
              <w:rPr>
                <w:noProof/>
                <w:webHidden/>
              </w:rPr>
              <w:fldChar w:fldCharType="separate"/>
            </w:r>
            <w:r>
              <w:rPr>
                <w:noProof/>
                <w:webHidden/>
              </w:rPr>
              <w:t>6</w:t>
            </w:r>
            <w:r>
              <w:rPr>
                <w:noProof/>
                <w:webHidden/>
              </w:rPr>
              <w:fldChar w:fldCharType="end"/>
            </w:r>
          </w:hyperlink>
        </w:p>
        <w:p w14:paraId="37BED8B4" w14:textId="3C0DB2BD" w:rsidR="002254C6" w:rsidRDefault="002254C6">
          <w:pPr>
            <w:pStyle w:val="TOC1"/>
            <w:tabs>
              <w:tab w:val="right" w:leader="dot" w:pos="9016"/>
            </w:tabs>
            <w:rPr>
              <w:rFonts w:eastAsiaTheme="minorEastAsia"/>
              <w:noProof/>
              <w:lang w:eastAsia="en-GB"/>
            </w:rPr>
          </w:pPr>
          <w:hyperlink w:anchor="_Toc213689238" w:history="1">
            <w:r w:rsidRPr="00B85E29">
              <w:rPr>
                <w:rStyle w:val="Hyperlink"/>
                <w:noProof/>
              </w:rPr>
              <w:t>Monitoring and Incident Response</w:t>
            </w:r>
            <w:r>
              <w:rPr>
                <w:noProof/>
                <w:webHidden/>
              </w:rPr>
              <w:tab/>
            </w:r>
            <w:r>
              <w:rPr>
                <w:noProof/>
                <w:webHidden/>
              </w:rPr>
              <w:fldChar w:fldCharType="begin"/>
            </w:r>
            <w:r>
              <w:rPr>
                <w:noProof/>
                <w:webHidden/>
              </w:rPr>
              <w:instrText xml:space="preserve"> PAGEREF _Toc213689238 \h </w:instrText>
            </w:r>
            <w:r>
              <w:rPr>
                <w:noProof/>
                <w:webHidden/>
              </w:rPr>
            </w:r>
            <w:r>
              <w:rPr>
                <w:noProof/>
                <w:webHidden/>
              </w:rPr>
              <w:fldChar w:fldCharType="separate"/>
            </w:r>
            <w:r>
              <w:rPr>
                <w:noProof/>
                <w:webHidden/>
              </w:rPr>
              <w:t>8</w:t>
            </w:r>
            <w:r>
              <w:rPr>
                <w:noProof/>
                <w:webHidden/>
              </w:rPr>
              <w:fldChar w:fldCharType="end"/>
            </w:r>
          </w:hyperlink>
        </w:p>
        <w:p w14:paraId="2F8C5545" w14:textId="255AAE99" w:rsidR="002254C6" w:rsidRDefault="002254C6">
          <w:pPr>
            <w:pStyle w:val="TOC1"/>
            <w:tabs>
              <w:tab w:val="right" w:leader="dot" w:pos="9016"/>
            </w:tabs>
            <w:rPr>
              <w:rFonts w:eastAsiaTheme="minorEastAsia"/>
              <w:noProof/>
              <w:lang w:eastAsia="en-GB"/>
            </w:rPr>
          </w:pPr>
          <w:hyperlink w:anchor="_Toc213689239" w:history="1">
            <w:r w:rsidRPr="00B85E29">
              <w:rPr>
                <w:rStyle w:val="Hyperlink"/>
                <w:noProof/>
              </w:rPr>
              <w:t>Training and Awareness Program</w:t>
            </w:r>
            <w:r>
              <w:rPr>
                <w:noProof/>
                <w:webHidden/>
              </w:rPr>
              <w:tab/>
            </w:r>
            <w:r>
              <w:rPr>
                <w:noProof/>
                <w:webHidden/>
              </w:rPr>
              <w:fldChar w:fldCharType="begin"/>
            </w:r>
            <w:r>
              <w:rPr>
                <w:noProof/>
                <w:webHidden/>
              </w:rPr>
              <w:instrText xml:space="preserve"> PAGEREF _Toc213689239 \h </w:instrText>
            </w:r>
            <w:r>
              <w:rPr>
                <w:noProof/>
                <w:webHidden/>
              </w:rPr>
            </w:r>
            <w:r>
              <w:rPr>
                <w:noProof/>
                <w:webHidden/>
              </w:rPr>
              <w:fldChar w:fldCharType="separate"/>
            </w:r>
            <w:r>
              <w:rPr>
                <w:noProof/>
                <w:webHidden/>
              </w:rPr>
              <w:t>9</w:t>
            </w:r>
            <w:r>
              <w:rPr>
                <w:noProof/>
                <w:webHidden/>
              </w:rPr>
              <w:fldChar w:fldCharType="end"/>
            </w:r>
          </w:hyperlink>
        </w:p>
        <w:p w14:paraId="35B016C7" w14:textId="5D328238" w:rsidR="002254C6" w:rsidRDefault="002254C6">
          <w:pPr>
            <w:pStyle w:val="TOC1"/>
            <w:tabs>
              <w:tab w:val="right" w:leader="dot" w:pos="9016"/>
            </w:tabs>
            <w:rPr>
              <w:rFonts w:eastAsiaTheme="minorEastAsia"/>
              <w:noProof/>
              <w:lang w:eastAsia="en-GB"/>
            </w:rPr>
          </w:pPr>
          <w:hyperlink w:anchor="_Toc213689240" w:history="1">
            <w:r w:rsidRPr="00B85E29">
              <w:rPr>
                <w:rStyle w:val="Hyperlink"/>
                <w:noProof/>
              </w:rPr>
              <w:t>Implementation Roadmap</w:t>
            </w:r>
            <w:r>
              <w:rPr>
                <w:noProof/>
                <w:webHidden/>
              </w:rPr>
              <w:tab/>
            </w:r>
            <w:r>
              <w:rPr>
                <w:noProof/>
                <w:webHidden/>
              </w:rPr>
              <w:fldChar w:fldCharType="begin"/>
            </w:r>
            <w:r>
              <w:rPr>
                <w:noProof/>
                <w:webHidden/>
              </w:rPr>
              <w:instrText xml:space="preserve"> PAGEREF _Toc213689240 \h </w:instrText>
            </w:r>
            <w:r>
              <w:rPr>
                <w:noProof/>
                <w:webHidden/>
              </w:rPr>
            </w:r>
            <w:r>
              <w:rPr>
                <w:noProof/>
                <w:webHidden/>
              </w:rPr>
              <w:fldChar w:fldCharType="separate"/>
            </w:r>
            <w:r>
              <w:rPr>
                <w:noProof/>
                <w:webHidden/>
              </w:rPr>
              <w:t>10</w:t>
            </w:r>
            <w:r>
              <w:rPr>
                <w:noProof/>
                <w:webHidden/>
              </w:rPr>
              <w:fldChar w:fldCharType="end"/>
            </w:r>
          </w:hyperlink>
        </w:p>
        <w:p w14:paraId="3F669A8C" w14:textId="0EAFA898" w:rsidR="002254C6" w:rsidRDefault="002254C6">
          <w:pPr>
            <w:pStyle w:val="TOC1"/>
            <w:tabs>
              <w:tab w:val="right" w:leader="dot" w:pos="9016"/>
            </w:tabs>
            <w:rPr>
              <w:rFonts w:eastAsiaTheme="minorEastAsia"/>
              <w:noProof/>
              <w:lang w:eastAsia="en-GB"/>
            </w:rPr>
          </w:pPr>
          <w:hyperlink w:anchor="_Toc213689241" w:history="1">
            <w:r w:rsidRPr="00B85E29">
              <w:rPr>
                <w:rStyle w:val="Hyperlink"/>
                <w:noProof/>
              </w:rPr>
              <w:t>Strategic Benefits and Closing</w:t>
            </w:r>
            <w:r>
              <w:rPr>
                <w:noProof/>
                <w:webHidden/>
              </w:rPr>
              <w:tab/>
            </w:r>
            <w:r>
              <w:rPr>
                <w:noProof/>
                <w:webHidden/>
              </w:rPr>
              <w:fldChar w:fldCharType="begin"/>
            </w:r>
            <w:r>
              <w:rPr>
                <w:noProof/>
                <w:webHidden/>
              </w:rPr>
              <w:instrText xml:space="preserve"> PAGEREF _Toc213689241 \h </w:instrText>
            </w:r>
            <w:r>
              <w:rPr>
                <w:noProof/>
                <w:webHidden/>
              </w:rPr>
            </w:r>
            <w:r>
              <w:rPr>
                <w:noProof/>
                <w:webHidden/>
              </w:rPr>
              <w:fldChar w:fldCharType="separate"/>
            </w:r>
            <w:r>
              <w:rPr>
                <w:noProof/>
                <w:webHidden/>
              </w:rPr>
              <w:t>11</w:t>
            </w:r>
            <w:r>
              <w:rPr>
                <w:noProof/>
                <w:webHidden/>
              </w:rPr>
              <w:fldChar w:fldCharType="end"/>
            </w:r>
          </w:hyperlink>
        </w:p>
        <w:p w14:paraId="5E43C6EC" w14:textId="4978BF94" w:rsidR="002254C6" w:rsidRDefault="002254C6">
          <w:pPr>
            <w:pStyle w:val="TOC1"/>
            <w:tabs>
              <w:tab w:val="right" w:leader="dot" w:pos="9016"/>
            </w:tabs>
            <w:rPr>
              <w:rFonts w:eastAsiaTheme="minorEastAsia"/>
              <w:noProof/>
              <w:lang w:eastAsia="en-GB"/>
            </w:rPr>
          </w:pPr>
          <w:hyperlink w:anchor="_Toc213689242" w:history="1">
            <w:r w:rsidRPr="00B85E29">
              <w:rPr>
                <w:rStyle w:val="Hyperlink"/>
                <w:noProof/>
              </w:rPr>
              <w:t>Conclusion</w:t>
            </w:r>
            <w:r>
              <w:rPr>
                <w:noProof/>
                <w:webHidden/>
              </w:rPr>
              <w:tab/>
            </w:r>
            <w:r>
              <w:rPr>
                <w:noProof/>
                <w:webHidden/>
              </w:rPr>
              <w:fldChar w:fldCharType="begin"/>
            </w:r>
            <w:r>
              <w:rPr>
                <w:noProof/>
                <w:webHidden/>
              </w:rPr>
              <w:instrText xml:space="preserve"> PAGEREF _Toc213689242 \h </w:instrText>
            </w:r>
            <w:r>
              <w:rPr>
                <w:noProof/>
                <w:webHidden/>
              </w:rPr>
            </w:r>
            <w:r>
              <w:rPr>
                <w:noProof/>
                <w:webHidden/>
              </w:rPr>
              <w:fldChar w:fldCharType="separate"/>
            </w:r>
            <w:r>
              <w:rPr>
                <w:noProof/>
                <w:webHidden/>
              </w:rPr>
              <w:t>11</w:t>
            </w:r>
            <w:r>
              <w:rPr>
                <w:noProof/>
                <w:webHidden/>
              </w:rPr>
              <w:fldChar w:fldCharType="end"/>
            </w:r>
          </w:hyperlink>
        </w:p>
        <w:p w14:paraId="479FE0E7" w14:textId="6933324F" w:rsidR="002254C6" w:rsidRDefault="002254C6">
          <w:r>
            <w:rPr>
              <w:b/>
              <w:bCs/>
              <w:noProof/>
            </w:rPr>
            <w:fldChar w:fldCharType="end"/>
          </w:r>
        </w:p>
      </w:sdtContent>
    </w:sdt>
    <w:p w14:paraId="530BE3E2" w14:textId="77777777" w:rsidR="00264B5A" w:rsidRDefault="00264B5A" w:rsidP="00DA26DB"/>
    <w:p w14:paraId="1AA4BEF5" w14:textId="2DD85BE7" w:rsidR="00264B5A" w:rsidRDefault="00264B5A" w:rsidP="002254C6">
      <w:pPr>
        <w:pStyle w:val="Heading1"/>
      </w:pPr>
      <w:bookmarkStart w:id="0" w:name="_Toc213689232"/>
      <w:r>
        <w:t>Introduction</w:t>
      </w:r>
      <w:bookmarkEnd w:id="0"/>
    </w:p>
    <w:p w14:paraId="503106F6" w14:textId="27E49551" w:rsidR="008B2693" w:rsidRPr="008B2693" w:rsidRDefault="003B027D" w:rsidP="002254C6">
      <w:pPr>
        <w:jc w:val="both"/>
      </w:pPr>
      <w:proofErr w:type="spellStart"/>
      <w:r w:rsidRPr="003B027D">
        <w:t>FinSecure</w:t>
      </w:r>
      <w:proofErr w:type="spellEnd"/>
      <w:r w:rsidRPr="003B027D">
        <w:t xml:space="preserve"> Ltd (FSL) manages sensitive financial and operational data, making cybersecurity critical for client trust, regulatory compliance, and business continuity. Recent incidents, including phishing and unauthorised network access, revealed gaps in its security framework. This report proposes a comprehensive information security strategy integrating </w:t>
      </w:r>
      <w:r w:rsidRPr="003B027D">
        <w:rPr>
          <w:b/>
          <w:bCs/>
        </w:rPr>
        <w:t>ISO/IEC 27001</w:t>
      </w:r>
      <w:r w:rsidRPr="003B027D">
        <w:t xml:space="preserve">, the </w:t>
      </w:r>
      <w:r w:rsidRPr="003B027D">
        <w:rPr>
          <w:b/>
          <w:bCs/>
        </w:rPr>
        <w:t>NIST Cybersecurity Framework</w:t>
      </w:r>
      <w:r w:rsidRPr="003B027D">
        <w:t xml:space="preserve">, and GDPR principles. It identifies internal and external threats, establishes policies for access control, cloud security, incident response, and vendor risk, and outlines mitigation, monitoring, and employee training programs. The goal is to shift FSL from a reactive to a </w:t>
      </w:r>
      <w:r w:rsidRPr="003B027D">
        <w:rPr>
          <w:b/>
          <w:bCs/>
        </w:rPr>
        <w:t>proactive, risk-based, and compliance-driven cybersecurity posture</w:t>
      </w:r>
      <w:r w:rsidRPr="003B027D">
        <w:t>.</w:t>
      </w:r>
    </w:p>
    <w:p w14:paraId="0CB6F7B2" w14:textId="6E55457A" w:rsidR="0093187C" w:rsidRPr="008B2693" w:rsidRDefault="008B2693" w:rsidP="002254C6">
      <w:pPr>
        <w:pStyle w:val="Heading1"/>
      </w:pPr>
      <w:bookmarkStart w:id="1" w:name="_Toc213689233"/>
      <w:r w:rsidRPr="008B2693">
        <w:t>Identification of Threats</w:t>
      </w:r>
      <w:bookmarkEnd w:id="1"/>
    </w:p>
    <w:p w14:paraId="2AAE7EC5" w14:textId="77777777" w:rsidR="008B2693" w:rsidRPr="00420E5E" w:rsidRDefault="008B2693" w:rsidP="002254C6">
      <w:pPr>
        <w:jc w:val="both"/>
      </w:pPr>
      <w:r w:rsidRPr="00420E5E">
        <w:t>To design an effective security framework, FSL must first identify the potential threat landscape that could compromise its systems, data, or personnel. These are categorized into external and internal threats.</w:t>
      </w:r>
    </w:p>
    <w:p w14:paraId="57D7029A" w14:textId="58573B40" w:rsidR="009765E9" w:rsidRDefault="008B2693" w:rsidP="00E81DD9">
      <w:pPr>
        <w:pStyle w:val="Heading2"/>
      </w:pPr>
      <w:bookmarkStart w:id="2" w:name="_Toc213689234"/>
      <w:r w:rsidRPr="008B2693">
        <w:lastRenderedPageBreak/>
        <w:t>External Threats</w:t>
      </w:r>
      <w:bookmarkEnd w:id="2"/>
    </w:p>
    <w:p w14:paraId="0E1C8993" w14:textId="0FED3BB6" w:rsidR="009765E9" w:rsidRDefault="009765E9" w:rsidP="002254C6">
      <w:pPr>
        <w:jc w:val="both"/>
        <w:rPr>
          <w:b/>
          <w:bCs/>
        </w:rPr>
      </w:pPr>
      <w:r w:rsidRPr="009765E9">
        <w:rPr>
          <w:b/>
          <w:bCs/>
          <w:noProof/>
        </w:rPr>
        <w:drawing>
          <wp:inline distT="0" distB="0" distL="0" distR="0" wp14:anchorId="1B1879AE" wp14:editId="5BF381FC">
            <wp:extent cx="5731510" cy="3267075"/>
            <wp:effectExtent l="0" t="0" r="2540" b="9525"/>
            <wp:docPr id="24087452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60068" name="Picture 1" descr="A screen shot of a computer&#10;&#10;AI-generated content may be incorrect."/>
                    <pic:cNvPicPr/>
                  </pic:nvPicPr>
                  <pic:blipFill>
                    <a:blip r:embed="rId11"/>
                    <a:stretch>
                      <a:fillRect/>
                    </a:stretch>
                  </pic:blipFill>
                  <pic:spPr>
                    <a:xfrm>
                      <a:off x="0" y="0"/>
                      <a:ext cx="5731510" cy="3267075"/>
                    </a:xfrm>
                    <a:prstGeom prst="rect">
                      <a:avLst/>
                    </a:prstGeom>
                  </pic:spPr>
                </pic:pic>
              </a:graphicData>
            </a:graphic>
          </wp:inline>
        </w:drawing>
      </w:r>
    </w:p>
    <w:p w14:paraId="3EB58F9F" w14:textId="623C109F" w:rsidR="00420E5E" w:rsidRPr="00CA01B6" w:rsidRDefault="00CA01B6" w:rsidP="002254C6">
      <w:pPr>
        <w:jc w:val="both"/>
      </w:pPr>
      <w:r w:rsidRPr="00CA01B6">
        <w:t xml:space="preserve">Financial institutions like FSL are at </w:t>
      </w:r>
      <w:proofErr w:type="gramStart"/>
      <w:r w:rsidRPr="00CA01B6">
        <w:t>serious danger</w:t>
      </w:r>
      <w:proofErr w:type="gramEnd"/>
      <w:r w:rsidRPr="00CA01B6">
        <w:t xml:space="preserve"> from external threats that target their operations, data, and systems. Phishing and social engineering are frequent techniques used by cybercriminals to pose as reliable organizations </w:t>
      </w:r>
      <w:proofErr w:type="gramStart"/>
      <w:r w:rsidRPr="00CA01B6">
        <w:t>in order to</w:t>
      </w:r>
      <w:proofErr w:type="gramEnd"/>
      <w:r w:rsidRPr="00CA01B6">
        <w:t xml:space="preserve"> get login passwords or fool staff members into sending money. In the financial industry, spear-phishing campaigns and business email compromise (BEC) are especially harmful. Attacks using malware and ransomware, which are malicious programs created to encrypt data or interfere with operations until a ransom is paid, are also common. Criminals can now more easily launch such attacks because to the growth of Ransomware-as-a-Service (RaaS). The goal of distributed denial-of-service (DDoS) and denial-of-service (DoS) attacks is to overload internet systems, preventing financial services from being available. Attackers can also obtain unauthorized access or carry out malicious operations via taking use of software vulnerabilities, such as unpatched apps or zero-day bugs. The supply chain and third parties</w:t>
      </w:r>
      <w:r>
        <w:t xml:space="preserve">. </w:t>
      </w:r>
      <w:r w:rsidRPr="00CA01B6">
        <w:t>The goal of distributed denial-of-service</w:t>
      </w:r>
      <w:r>
        <w:t xml:space="preserve"> </w:t>
      </w:r>
      <w:r w:rsidRPr="00CA01B6">
        <w:t>(DDoS)</w:t>
      </w:r>
      <w:r>
        <w:t xml:space="preserve"> </w:t>
      </w:r>
      <w:r w:rsidRPr="00CA01B6">
        <w:t>and</w:t>
      </w:r>
      <w:r>
        <w:t xml:space="preserve"> </w:t>
      </w:r>
      <w:r w:rsidRPr="00CA01B6">
        <w:t>denial-of-service</w:t>
      </w:r>
      <w:r>
        <w:t xml:space="preserve"> </w:t>
      </w:r>
      <w:r w:rsidRPr="00CA01B6">
        <w:t>(DoS)</w:t>
      </w:r>
      <w:r>
        <w:t xml:space="preserve"> </w:t>
      </w:r>
      <w:r w:rsidRPr="00CA01B6">
        <w:t>attacks</w:t>
      </w:r>
      <w:r>
        <w:t xml:space="preserve"> </w:t>
      </w:r>
      <w:r w:rsidRPr="00CA01B6">
        <w:t>is</w:t>
      </w:r>
      <w:r>
        <w:t xml:space="preserve"> </w:t>
      </w:r>
      <w:r w:rsidRPr="00CA01B6">
        <w:t>to</w:t>
      </w:r>
      <w:r>
        <w:t xml:space="preserve"> </w:t>
      </w:r>
      <w:r w:rsidRPr="00CA01B6">
        <w:t>overload</w:t>
      </w:r>
      <w:r>
        <w:t xml:space="preserve"> </w:t>
      </w:r>
      <w:r w:rsidRPr="00CA01B6">
        <w:t>internet</w:t>
      </w:r>
      <w:r>
        <w:t xml:space="preserve"> </w:t>
      </w:r>
      <w:r w:rsidRPr="00CA01B6">
        <w:t>systems,</w:t>
      </w:r>
      <w:r>
        <w:t xml:space="preserve"> </w:t>
      </w:r>
      <w:r w:rsidRPr="00CA01B6">
        <w:t>preventing</w:t>
      </w:r>
      <w:r>
        <w:t xml:space="preserve"> </w:t>
      </w:r>
      <w:r w:rsidRPr="00CA01B6">
        <w:t>financial</w:t>
      </w:r>
      <w:r>
        <w:t xml:space="preserve"> </w:t>
      </w:r>
      <w:r w:rsidRPr="00CA01B6">
        <w:t>services</w:t>
      </w:r>
      <w:r>
        <w:t xml:space="preserve"> </w:t>
      </w:r>
      <w:r w:rsidRPr="00CA01B6">
        <w:t>from being available.</w:t>
      </w:r>
      <w:r>
        <w:t xml:space="preserve"> </w:t>
      </w:r>
      <w:r w:rsidRPr="00CA01B6">
        <w:t>Attackers</w:t>
      </w:r>
      <w:r>
        <w:t xml:space="preserve"> </w:t>
      </w:r>
      <w:r w:rsidRPr="00CA01B6">
        <w:t>can also obtain unauthorized</w:t>
      </w:r>
      <w:r>
        <w:t xml:space="preserve"> </w:t>
      </w:r>
      <w:r w:rsidRPr="00CA01B6">
        <w:t>access</w:t>
      </w:r>
      <w:r>
        <w:t xml:space="preserve"> </w:t>
      </w:r>
      <w:r w:rsidRPr="00CA01B6">
        <w:t>or</w:t>
      </w:r>
      <w:r>
        <w:t xml:space="preserve"> </w:t>
      </w:r>
      <w:proofErr w:type="gramStart"/>
      <w:r w:rsidRPr="00CA01B6">
        <w:t>carry</w:t>
      </w:r>
      <w:r>
        <w:t xml:space="preserve">  </w:t>
      </w:r>
      <w:r w:rsidRPr="00CA01B6">
        <w:t>out</w:t>
      </w:r>
      <w:proofErr w:type="gramEnd"/>
      <w:r>
        <w:t xml:space="preserve"> </w:t>
      </w:r>
      <w:r w:rsidRPr="00CA01B6">
        <w:t>malicious</w:t>
      </w:r>
      <w:r>
        <w:t xml:space="preserve"> </w:t>
      </w:r>
      <w:r w:rsidRPr="00CA01B6">
        <w:t>operations</w:t>
      </w:r>
      <w:r>
        <w:t xml:space="preserve"> </w:t>
      </w:r>
      <w:r w:rsidRPr="00CA01B6">
        <w:t>via</w:t>
      </w:r>
      <w:r>
        <w:t xml:space="preserve"> </w:t>
      </w:r>
      <w:r w:rsidRPr="00CA01B6">
        <w:t>taking use of</w:t>
      </w:r>
      <w:r>
        <w:t xml:space="preserve"> </w:t>
      </w:r>
      <w:r w:rsidRPr="00CA01B6">
        <w:t>software vulnerabilities,</w:t>
      </w:r>
      <w:r>
        <w:t xml:space="preserve"> </w:t>
      </w:r>
      <w:r w:rsidRPr="00CA01B6">
        <w:t>such as unpatched</w:t>
      </w:r>
      <w:r>
        <w:t xml:space="preserve"> </w:t>
      </w:r>
      <w:r w:rsidRPr="00CA01B6">
        <w:t>apps</w:t>
      </w:r>
      <w:r>
        <w:t xml:space="preserve"> </w:t>
      </w:r>
      <w:r w:rsidRPr="00CA01B6">
        <w:t>or</w:t>
      </w:r>
      <w:r>
        <w:t xml:space="preserve"> </w:t>
      </w:r>
      <w:r w:rsidRPr="00CA01B6">
        <w:t>zero-day</w:t>
      </w:r>
      <w:r>
        <w:t xml:space="preserve"> </w:t>
      </w:r>
      <w:r w:rsidRPr="00CA01B6">
        <w:t>bugs.</w:t>
      </w:r>
      <w:r>
        <w:t xml:space="preserve"> </w:t>
      </w:r>
      <w:r w:rsidRPr="00CA01B6">
        <w:t>Indirect risks are created by supply chain and third-party</w:t>
      </w:r>
      <w:r>
        <w:t xml:space="preserve"> </w:t>
      </w:r>
      <w:r w:rsidRPr="00CA01B6">
        <w:t>attacks</w:t>
      </w:r>
      <w:r>
        <w:t xml:space="preserve"> </w:t>
      </w:r>
      <w:r w:rsidRPr="00CA01B6">
        <w:t>that</w:t>
      </w:r>
      <w:r>
        <w:t xml:space="preserve"> </w:t>
      </w:r>
      <w:r w:rsidRPr="00CA01B6">
        <w:t>target</w:t>
      </w:r>
      <w:r>
        <w:t xml:space="preserve"> </w:t>
      </w:r>
      <w:r w:rsidRPr="00CA01B6">
        <w:t>partners</w:t>
      </w:r>
      <w:r>
        <w:t xml:space="preserve"> </w:t>
      </w:r>
      <w:r w:rsidRPr="00CA01B6">
        <w:t>or</w:t>
      </w:r>
      <w:r>
        <w:t xml:space="preserve"> </w:t>
      </w:r>
      <w:r w:rsidRPr="00CA01B6">
        <w:t>vendors</w:t>
      </w:r>
      <w:r>
        <w:t xml:space="preserve"> </w:t>
      </w:r>
      <w:r w:rsidRPr="00CA01B6">
        <w:t>with</w:t>
      </w:r>
      <w:r>
        <w:t xml:space="preserve"> </w:t>
      </w:r>
      <w:r w:rsidRPr="00CA01B6">
        <w:t>network</w:t>
      </w:r>
      <w:r>
        <w:t xml:space="preserve"> </w:t>
      </w:r>
      <w:r w:rsidRPr="00CA01B6">
        <w:t>access.</w:t>
      </w:r>
      <w:r w:rsidR="00264B5A">
        <w:t xml:space="preserve"> </w:t>
      </w:r>
      <w:r w:rsidRPr="00CA01B6">
        <w:t>Brute</w:t>
      </w:r>
      <w:r w:rsidR="00420E5E">
        <w:t xml:space="preserve"> </w:t>
      </w:r>
      <w:r w:rsidRPr="00CA01B6">
        <w:t>force</w:t>
      </w:r>
      <w:r w:rsidR="00420E5E">
        <w:t xml:space="preserve"> </w:t>
      </w:r>
      <w:r w:rsidRPr="00CA01B6">
        <w:t>attacks</w:t>
      </w:r>
      <w:r w:rsidR="00420E5E">
        <w:t xml:space="preserve"> </w:t>
      </w:r>
      <w:r w:rsidRPr="00CA01B6">
        <w:t>and</w:t>
      </w:r>
      <w:r w:rsidR="00420E5E">
        <w:t xml:space="preserve"> </w:t>
      </w:r>
      <w:r w:rsidRPr="00CA01B6">
        <w:t>automated</w:t>
      </w:r>
      <w:r w:rsidR="00420E5E">
        <w:t xml:space="preserve"> </w:t>
      </w:r>
      <w:r w:rsidRPr="00CA01B6">
        <w:t>credential</w:t>
      </w:r>
      <w:r w:rsidR="00420E5E">
        <w:t xml:space="preserve"> </w:t>
      </w:r>
      <w:r w:rsidRPr="00CA01B6">
        <w:t>stuffing</w:t>
      </w:r>
      <w:r w:rsidR="00420E5E">
        <w:t xml:space="preserve"> </w:t>
      </w:r>
      <w:r w:rsidRPr="00CA01B6">
        <w:t>compromise accounts</w:t>
      </w:r>
      <w:r w:rsidR="00420E5E">
        <w:t xml:space="preserve"> </w:t>
      </w:r>
      <w:r w:rsidRPr="00CA01B6">
        <w:t>by using</w:t>
      </w:r>
      <w:r w:rsidR="00420E5E">
        <w:t xml:space="preserve"> </w:t>
      </w:r>
      <w:r w:rsidRPr="00CA01B6">
        <w:t>credentials</w:t>
      </w:r>
      <w:r w:rsidR="00420E5E">
        <w:t xml:space="preserve"> </w:t>
      </w:r>
      <w:r w:rsidRPr="00CA01B6">
        <w:t>that</w:t>
      </w:r>
      <w:r w:rsidR="00420E5E">
        <w:t xml:space="preserve"> </w:t>
      </w:r>
      <w:r w:rsidRPr="00CA01B6">
        <w:t>have</w:t>
      </w:r>
      <w:r w:rsidR="00420E5E">
        <w:t xml:space="preserve"> </w:t>
      </w:r>
      <w:r w:rsidRPr="00CA01B6">
        <w:t>been acquired</w:t>
      </w:r>
      <w:r w:rsidR="00420E5E">
        <w:t xml:space="preserve"> </w:t>
      </w:r>
      <w:r w:rsidRPr="00CA01B6">
        <w:t>from</w:t>
      </w:r>
      <w:r w:rsidR="00420E5E">
        <w:t xml:space="preserve"> </w:t>
      </w:r>
      <w:r w:rsidRPr="00CA01B6">
        <w:t>data</w:t>
      </w:r>
      <w:r w:rsidR="00420E5E">
        <w:t xml:space="preserve"> </w:t>
      </w:r>
      <w:r w:rsidRPr="00CA01B6">
        <w:t>breaches.</w:t>
      </w:r>
      <w:r w:rsidR="00420E5E">
        <w:t xml:space="preserve"> </w:t>
      </w:r>
      <w:r w:rsidRPr="00CA01B6">
        <w:t>Lastly,</w:t>
      </w:r>
      <w:r>
        <w:t xml:space="preserve"> </w:t>
      </w:r>
      <w:r w:rsidRPr="00CA01B6">
        <w:t>sensitive</w:t>
      </w:r>
      <w:r>
        <w:t xml:space="preserve"> </w:t>
      </w:r>
      <w:r w:rsidRPr="00CA01B6">
        <w:t>financial</w:t>
      </w:r>
      <w:r>
        <w:t xml:space="preserve"> </w:t>
      </w:r>
      <w:r w:rsidRPr="00CA01B6">
        <w:t>and</w:t>
      </w:r>
      <w:r>
        <w:t xml:space="preserve"> </w:t>
      </w:r>
      <w:r w:rsidRPr="00CA01B6">
        <w:t>personal</w:t>
      </w:r>
      <w:r w:rsidR="00264B5A">
        <w:t xml:space="preserve"> </w:t>
      </w:r>
      <w:r w:rsidRPr="00CA01B6">
        <w:t>data are at risk</w:t>
      </w:r>
      <w:r w:rsidR="00420E5E">
        <w:t xml:space="preserve"> </w:t>
      </w:r>
      <w:r w:rsidRPr="00CA01B6">
        <w:t>of regulatory penalties under regulations like the GDPR and reputational damage due to data breaches and information leaks.</w:t>
      </w:r>
      <w:r>
        <w:t xml:space="preserve"> </w:t>
      </w:r>
      <w:r w:rsidRPr="00CA01B6">
        <w:t>Employee</w:t>
      </w:r>
      <w:r>
        <w:t xml:space="preserve"> </w:t>
      </w:r>
      <w:r w:rsidRPr="00CA01B6">
        <w:t>training,</w:t>
      </w:r>
      <w:r w:rsidR="00756CF3">
        <w:t xml:space="preserve"> </w:t>
      </w:r>
      <w:r w:rsidRPr="00CA01B6">
        <w:t>strong</w:t>
      </w:r>
      <w:r>
        <w:t xml:space="preserve"> </w:t>
      </w:r>
      <w:r w:rsidRPr="00CA01B6">
        <w:t>cybersecurity</w:t>
      </w:r>
      <w:r>
        <w:t xml:space="preserve"> </w:t>
      </w:r>
      <w:r w:rsidRPr="00CA01B6">
        <w:t>safeguards,</w:t>
      </w:r>
      <w:r>
        <w:t xml:space="preserve"> </w:t>
      </w:r>
      <w:r w:rsidRPr="00CA01B6">
        <w:t>frequent patching, multi-factor authentication,</w:t>
      </w:r>
      <w:r>
        <w:t xml:space="preserve"> </w:t>
      </w:r>
      <w:r w:rsidRPr="00CA01B6">
        <w:t>and</w:t>
      </w:r>
      <w:r>
        <w:t xml:space="preserve"> </w:t>
      </w:r>
      <w:r w:rsidRPr="00CA01B6">
        <w:t>careful</w:t>
      </w:r>
      <w:r>
        <w:t xml:space="preserve"> </w:t>
      </w:r>
      <w:r w:rsidRPr="00CA01B6">
        <w:t>system</w:t>
      </w:r>
      <w:r>
        <w:t xml:space="preserve"> </w:t>
      </w:r>
      <w:r w:rsidRPr="00CA01B6">
        <w:t>and</w:t>
      </w:r>
      <w:r>
        <w:t xml:space="preserve"> </w:t>
      </w:r>
      <w:r w:rsidRPr="00CA01B6">
        <w:lastRenderedPageBreak/>
        <w:t>third</w:t>
      </w:r>
      <w:r>
        <w:t>-</w:t>
      </w:r>
      <w:r w:rsidRPr="00CA01B6">
        <w:t>party</w:t>
      </w:r>
      <w:r>
        <w:t xml:space="preserve"> </w:t>
      </w:r>
      <w:r w:rsidRPr="00CA01B6">
        <w:t>connection</w:t>
      </w:r>
      <w:r>
        <w:t xml:space="preserve"> </w:t>
      </w:r>
      <w:r w:rsidRPr="00CA01B6">
        <w:t>monitoring</w:t>
      </w:r>
      <w:r>
        <w:t xml:space="preserve"> </w:t>
      </w:r>
      <w:r w:rsidRPr="00CA01B6">
        <w:t>are</w:t>
      </w:r>
      <w:r>
        <w:t xml:space="preserve"> </w:t>
      </w:r>
      <w:r w:rsidRPr="00CA01B6">
        <w:t>all</w:t>
      </w:r>
      <w:r>
        <w:t xml:space="preserve"> </w:t>
      </w:r>
      <w:r w:rsidRPr="00CA01B6">
        <w:t>necessary</w:t>
      </w:r>
      <w:r>
        <w:t xml:space="preserve"> </w:t>
      </w:r>
      <w:r w:rsidRPr="00CA01B6">
        <w:t>to mitigate these risks.</w:t>
      </w:r>
      <w:r>
        <w:t xml:space="preserve"> </w:t>
      </w:r>
      <w:r w:rsidRPr="00CA01B6">
        <w:t>It</w:t>
      </w:r>
      <w:r>
        <w:t xml:space="preserve"> </w:t>
      </w:r>
      <w:r w:rsidRPr="00CA01B6">
        <w:t>takes</w:t>
      </w:r>
      <w:r>
        <w:t xml:space="preserve"> </w:t>
      </w:r>
      <w:r w:rsidRPr="00CA01B6">
        <w:t>proactive</w:t>
      </w:r>
      <w:r>
        <w:t xml:space="preserve"> </w:t>
      </w:r>
      <w:r w:rsidRPr="00CA01B6">
        <w:t>management</w:t>
      </w:r>
      <w:r>
        <w:t xml:space="preserve"> </w:t>
      </w:r>
      <w:r w:rsidRPr="00CA01B6">
        <w:t>to protect</w:t>
      </w:r>
      <w:r>
        <w:t xml:space="preserve"> </w:t>
      </w:r>
      <w:r w:rsidRPr="00CA01B6">
        <w:t>financial</w:t>
      </w:r>
      <w:r>
        <w:t xml:space="preserve"> </w:t>
      </w:r>
      <w:r w:rsidRPr="00CA01B6">
        <w:t>operations</w:t>
      </w:r>
      <w:r>
        <w:t xml:space="preserve"> </w:t>
      </w:r>
      <w:r w:rsidRPr="00CA01B6">
        <w:t>and</w:t>
      </w:r>
      <w:r>
        <w:t xml:space="preserve"> </w:t>
      </w:r>
      <w:r w:rsidRPr="00CA01B6">
        <w:t>maintain stakeholder trust.</w:t>
      </w:r>
    </w:p>
    <w:p w14:paraId="4263B4B5" w14:textId="2A9757C9" w:rsidR="0093187C" w:rsidRPr="008B2693" w:rsidRDefault="0093187C" w:rsidP="002254C6">
      <w:pPr>
        <w:jc w:val="both"/>
        <w:rPr>
          <w:b/>
          <w:bCs/>
        </w:rPr>
      </w:pPr>
      <w:r>
        <w:rPr>
          <w:noProof/>
        </w:rPr>
        <w:drawing>
          <wp:inline distT="0" distB="0" distL="0" distR="0" wp14:anchorId="0B0F8AF2" wp14:editId="52EA54A3">
            <wp:extent cx="5731510" cy="3223895"/>
            <wp:effectExtent l="0" t="0" r="2540" b="0"/>
            <wp:docPr id="13537852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8525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5E1BE39" w14:textId="783362F3" w:rsidR="00420E5E" w:rsidRDefault="00420E5E" w:rsidP="00E81DD9">
      <w:pPr>
        <w:pStyle w:val="Heading2"/>
      </w:pPr>
      <w:r w:rsidRPr="008B2693">
        <w:t xml:space="preserve"> </w:t>
      </w:r>
      <w:bookmarkStart w:id="3" w:name="_Toc213689235"/>
      <w:r w:rsidRPr="008B2693">
        <w:t>Internal Threats</w:t>
      </w:r>
      <w:bookmarkEnd w:id="3"/>
    </w:p>
    <w:p w14:paraId="191C8331" w14:textId="77777777" w:rsidR="00420E5E" w:rsidRDefault="00420E5E" w:rsidP="002254C6">
      <w:pPr>
        <w:jc w:val="both"/>
      </w:pPr>
    </w:p>
    <w:p w14:paraId="19CA482B" w14:textId="115F8921" w:rsidR="00420E5E" w:rsidRPr="00420E5E" w:rsidRDefault="00420E5E" w:rsidP="002254C6">
      <w:pPr>
        <w:jc w:val="both"/>
      </w:pPr>
      <w:r w:rsidRPr="00420E5E">
        <w:t>Internal Cybersecurity Threats and Their Impact on the CIA Triad</w:t>
      </w:r>
    </w:p>
    <w:p w14:paraId="5570C81F" w14:textId="4E7B34B0" w:rsidR="00420E5E" w:rsidRPr="00420E5E" w:rsidRDefault="00420E5E" w:rsidP="002254C6">
      <w:pPr>
        <w:jc w:val="both"/>
      </w:pPr>
      <w:r w:rsidRPr="00420E5E">
        <w:t xml:space="preserve">Internal threats pose significant risks to organizations like FSL because they originate from within the company. Malicious insider activity involves disgruntled or opportunistic employees exploiting their access to steal or alter sensitive data. Accidental data leakage can occur when employees mistakenly share confidential information through misconfigured cloud storage, email, or portable </w:t>
      </w:r>
      <w:r w:rsidR="002254C6" w:rsidRPr="00420E5E">
        <w:t>devices. Privilege</w:t>
      </w:r>
      <w:r w:rsidRPr="00420E5E">
        <w:t xml:space="preserve"> escalation and access mismanagement arise when users retain unnecessary permissions, increasing the chance of data misuse or unauthorized access. Similarly, unsecured remote work and shadow IT create vulnerabilities, as personal or unapproved devices may expose systems to malware or data loss. Negligence and lack of awareness, such as using weak passwords or ignoring security protocols, make employees easy targets for cybercriminals. Finally, inadequate offboarding procedures can leave former employees with active accounts, allowing potential </w:t>
      </w:r>
      <w:r w:rsidR="002254C6" w:rsidRPr="00420E5E">
        <w:t>misuse. These</w:t>
      </w:r>
      <w:r w:rsidRPr="00420E5E">
        <w:t xml:space="preserve"> internal threats affect all three components of the CIA Triad. Confidentiality is compromised through data leaks and insider theft; integrity is threatened by unauthorized data manipulation or malware; and availability suffers when insider actions or poor security practices disrupt system operations. Managing these risks requires strong policies, access controls, and employee training to maintain organizational resilience.</w:t>
      </w:r>
    </w:p>
    <w:p w14:paraId="2488A2F6" w14:textId="3FCF19AE" w:rsidR="008B2693" w:rsidRPr="008B2693" w:rsidRDefault="008B2693" w:rsidP="002254C6">
      <w:pPr>
        <w:pStyle w:val="Heading1"/>
      </w:pPr>
    </w:p>
    <w:p w14:paraId="28E07483" w14:textId="084BF824" w:rsidR="008B2693" w:rsidRPr="002254C6" w:rsidRDefault="008B2693" w:rsidP="002254C6">
      <w:pPr>
        <w:pStyle w:val="Heading1"/>
      </w:pPr>
      <w:bookmarkStart w:id="4" w:name="_Toc213689236"/>
      <w:r w:rsidRPr="002254C6">
        <w:t>Security Policies for FSL</w:t>
      </w:r>
      <w:bookmarkEnd w:id="4"/>
    </w:p>
    <w:p w14:paraId="47659B46" w14:textId="60CD2DA8" w:rsidR="0093187C" w:rsidRDefault="0093187C" w:rsidP="002254C6">
      <w:pPr>
        <w:jc w:val="both"/>
        <w:rPr>
          <w:b/>
          <w:bCs/>
        </w:rPr>
      </w:pPr>
      <w:r w:rsidRPr="0093187C">
        <w:rPr>
          <w:b/>
          <w:bCs/>
          <w:noProof/>
        </w:rPr>
        <w:drawing>
          <wp:inline distT="0" distB="0" distL="0" distR="0" wp14:anchorId="3A5D7DD8" wp14:editId="101DD2CF">
            <wp:extent cx="5731510" cy="3223260"/>
            <wp:effectExtent l="0" t="0" r="2540" b="0"/>
            <wp:docPr id="2097217680" name="Picture 1" descr="A close-up of a computer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17680" name="Picture 1" descr="A close-up of a computer server&#10;&#10;AI-generated content may be incorrect."/>
                    <pic:cNvPicPr/>
                  </pic:nvPicPr>
                  <pic:blipFill>
                    <a:blip r:embed="rId14"/>
                    <a:stretch>
                      <a:fillRect/>
                    </a:stretch>
                  </pic:blipFill>
                  <pic:spPr>
                    <a:xfrm>
                      <a:off x="0" y="0"/>
                      <a:ext cx="5731510" cy="3223260"/>
                    </a:xfrm>
                    <a:prstGeom prst="rect">
                      <a:avLst/>
                    </a:prstGeom>
                  </pic:spPr>
                </pic:pic>
              </a:graphicData>
            </a:graphic>
          </wp:inline>
        </w:drawing>
      </w:r>
    </w:p>
    <w:p w14:paraId="45E28175" w14:textId="78BD05CC" w:rsidR="008B2693" w:rsidRPr="008B2693" w:rsidRDefault="0003095C" w:rsidP="002254C6">
      <w:pPr>
        <w:jc w:val="both"/>
      </w:pPr>
      <w:r w:rsidRPr="0003095C">
        <w:t>This slide outlines key Strategic Security Policies that guide an organization’s cybersecurity framework and ensure consistent protection of information assets.</w:t>
      </w:r>
      <w:r>
        <w:t xml:space="preserve"> </w:t>
      </w:r>
      <w:r w:rsidRPr="0003095C">
        <w:t>The Access Control Policy defines how users gain access to systems and data. It emphasizes Multi-Factor Authentication (MFA), the principle of least privilege, and Just-In-Time (JIT) access to minimize unauthorized use of accounts and reduce insider threats.</w:t>
      </w:r>
      <w:r w:rsidR="003700B2">
        <w:t xml:space="preserve"> </w:t>
      </w:r>
      <w:r w:rsidRPr="0003095C">
        <w:t>The Cloud Security Policy focuses on protecting cloud environments through Cloud Security Posture Management (CSPM), data encryption, and API monitoring. These measures ensure that cloud configurations are secure, sensitive data remains encrypted, and APIs are continuously monitored for malicious activity or misuse.</w:t>
      </w:r>
      <w:r>
        <w:t xml:space="preserve"> </w:t>
      </w:r>
      <w:r w:rsidR="00476999" w:rsidRPr="00476999">
        <w:t>The Incident Response Policy, adapted from the NIST SP 800-61 (2023) framework, establishes a structured process for detection, containment, eradication, and recovery. This standard is widely adopted because it balances technical rigour with organizational learning, ensuring that post-incident reviews strengthen future resilience (NIST, 2023).</w:t>
      </w:r>
      <w:r w:rsidRPr="0003095C">
        <w:t xml:space="preserve"> It ensures that organizations can respond quickly to minimize damage, recover operations, and learn from each event to strengthen future defences.</w:t>
      </w:r>
      <w:r>
        <w:t xml:space="preserve"> </w:t>
      </w:r>
      <w:r w:rsidR="00E81DD9" w:rsidRPr="00E81DD9">
        <w:t>The Vendor Risk Policy, aligned with NIST SP 800-161 (2023) and ISO/IEC 27036, governs third-party risk management through continuous vendor assessments and contractual controls. These frameworks are preferred over ad-hoc reviews because they provide measurable criteria for supplier compliance and help prevent supply-chain attacks, one of the fastest-growing vectors in the financial sector (ENISA, 2024)</w:t>
      </w:r>
      <w:r w:rsidR="00E81DD9">
        <w:t xml:space="preserve">. </w:t>
      </w:r>
      <w:r w:rsidRPr="0003095C">
        <w:t>It ensures that vendors adhere to security standards and do not introduce vulnerabilities into the organization’s systems.</w:t>
      </w:r>
      <w:r>
        <w:t xml:space="preserve"> </w:t>
      </w:r>
      <w:r w:rsidRPr="0003095C">
        <w:t xml:space="preserve">Together, these </w:t>
      </w:r>
      <w:r w:rsidRPr="0003095C">
        <w:lastRenderedPageBreak/>
        <w:t>policies create a strong governance foundation for managing access, cloud environments, incident handling, and third-party risks effectively.</w:t>
      </w:r>
      <w:r w:rsidR="006026C1">
        <w:t xml:space="preserve"> </w:t>
      </w:r>
      <w:r w:rsidR="008B2693" w:rsidRPr="008B2693">
        <w:t xml:space="preserve">A comprehensive set of </w:t>
      </w:r>
      <w:r w:rsidR="008B2693" w:rsidRPr="00420E5E">
        <w:t>security policies</w:t>
      </w:r>
      <w:r w:rsidR="008B2693" w:rsidRPr="008B2693">
        <w:t xml:space="preserve"> forms the foundation for consistent, enforceable, and auditable security practices. The following policies are aligned with </w:t>
      </w:r>
      <w:r w:rsidR="008B2693" w:rsidRPr="00420E5E">
        <w:t>ISO/IEC 27001 and NIST SP 800-53</w:t>
      </w:r>
      <w:r w:rsidR="008B2693" w:rsidRPr="008B2693">
        <w:t xml:space="preserve"> control families.</w:t>
      </w:r>
    </w:p>
    <w:p w14:paraId="73261493" w14:textId="77777777" w:rsidR="00345F8D" w:rsidRDefault="00345F8D" w:rsidP="002254C6">
      <w:pPr>
        <w:jc w:val="both"/>
        <w:rPr>
          <w:b/>
          <w:bCs/>
        </w:rPr>
      </w:pPr>
    </w:p>
    <w:p w14:paraId="6FD1AC41" w14:textId="268FBBD8" w:rsidR="008B2693" w:rsidRPr="00420E5E" w:rsidRDefault="008B2693" w:rsidP="002254C6">
      <w:pPr>
        <w:pStyle w:val="Heading1"/>
      </w:pPr>
      <w:bookmarkStart w:id="5" w:name="_Toc213689237"/>
      <w:r w:rsidRPr="008B2693">
        <w:t>Mitigation Measures and Implementation</w:t>
      </w:r>
      <w:bookmarkEnd w:id="5"/>
    </w:p>
    <w:p w14:paraId="7522C7B9" w14:textId="05AD9EFD" w:rsidR="0093187C" w:rsidRDefault="0093187C" w:rsidP="002254C6">
      <w:pPr>
        <w:jc w:val="both"/>
        <w:rPr>
          <w:b/>
          <w:bCs/>
        </w:rPr>
      </w:pPr>
      <w:r w:rsidRPr="0093187C">
        <w:rPr>
          <w:b/>
          <w:bCs/>
          <w:noProof/>
        </w:rPr>
        <w:drawing>
          <wp:inline distT="0" distB="0" distL="0" distR="0" wp14:anchorId="70B907CE" wp14:editId="0B7CED8D">
            <wp:extent cx="5731510" cy="3209290"/>
            <wp:effectExtent l="0" t="0" r="2540" b="0"/>
            <wp:docPr id="9101834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83464" name="Picture 1" descr="A screenshot of a computer&#10;&#10;AI-generated content may be incorrect."/>
                    <pic:cNvPicPr/>
                  </pic:nvPicPr>
                  <pic:blipFill>
                    <a:blip r:embed="rId15"/>
                    <a:stretch>
                      <a:fillRect/>
                    </a:stretch>
                  </pic:blipFill>
                  <pic:spPr>
                    <a:xfrm>
                      <a:off x="0" y="0"/>
                      <a:ext cx="5731510" cy="3209290"/>
                    </a:xfrm>
                    <a:prstGeom prst="rect">
                      <a:avLst/>
                    </a:prstGeom>
                  </pic:spPr>
                </pic:pic>
              </a:graphicData>
            </a:graphic>
          </wp:inline>
        </w:drawing>
      </w:r>
    </w:p>
    <w:p w14:paraId="5226774C" w14:textId="77777777" w:rsidR="00E81DD9" w:rsidRDefault="006026C1" w:rsidP="006026C1">
      <w:pPr>
        <w:jc w:val="both"/>
      </w:pPr>
      <w:r w:rsidRPr="006026C1">
        <w:t>This slide outlines key technical measures organizations use to defend against common cybersecurity threats through a layered approach. To combat ransomware, Endpoint Detection and Response (EDR) and Extended Detection and Response (XDR) tools continuously monitor endpoints for malicious activity, while network segmentation limits lateral spread if an infection occurs. Phishing and vishing attacks are mitigated through email security protocols such as DMARC, SPF, and DKIM, which verify sender authenticity and block fraudulent messages.</w:t>
      </w:r>
      <w:r>
        <w:t xml:space="preserve"> </w:t>
      </w:r>
      <w:r w:rsidRPr="006026C1">
        <w:t>For cloud environments, Cloud Security Posture Management (CSPM) tools detect and remediate misconfigurations—a leading cause of data breaches—by providing continuous monitoring and compliance enforcement. Insider threats are addressed using Privileged Access Management (PAM) to secure high-level accounts, alongside Data Loss Prevention (DLP) systems to prevent unauthorized data transfers or leaks.</w:t>
      </w:r>
      <w:r w:rsidR="00E81DD9">
        <w:t xml:space="preserve"> </w:t>
      </w:r>
      <w:r w:rsidRPr="006026C1">
        <w:t xml:space="preserve">Unauthorized access and credential abuse are reduced through strict identity and access management. Role-Based Access Control (RBAC) enforces the principle of least privilege, Multi-Factor Authentication (MFA) protects remote and administrative accounts, and PAM monitors high-privilege user activity. Regular access reviews and automated account deactivation during offboarding </w:t>
      </w:r>
      <w:r w:rsidRPr="006026C1">
        <w:lastRenderedPageBreak/>
        <w:t>further minimize risk.</w:t>
      </w:r>
      <w:r>
        <w:t xml:space="preserve"> </w:t>
      </w:r>
      <w:r w:rsidRPr="006026C1">
        <w:t xml:space="preserve">Network security employs segmentation, firewalls, IDS/IPS, Web Application Firewalls (WAF), and encrypted communications (TLS 1.3) to prevent internal and external threats. </w:t>
      </w:r>
      <w:r w:rsidR="00E81DD9">
        <w:t xml:space="preserve"> </w:t>
      </w:r>
    </w:p>
    <w:p w14:paraId="3D0A3DC3" w14:textId="1B7427C5" w:rsidR="00E81DD9" w:rsidRDefault="00E81DD9" w:rsidP="006026C1">
      <w:pPr>
        <w:jc w:val="both"/>
      </w:pPr>
      <w:r w:rsidRPr="0093187C">
        <w:rPr>
          <w:b/>
          <w:bCs/>
          <w:noProof/>
        </w:rPr>
        <w:drawing>
          <wp:inline distT="0" distB="0" distL="0" distR="0" wp14:anchorId="340C57F7" wp14:editId="429A100D">
            <wp:extent cx="5731510" cy="3190875"/>
            <wp:effectExtent l="0" t="0" r="2540" b="9525"/>
            <wp:docPr id="1881144488"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345732" name="Picture 1" descr="A diagram of a company&#10;&#10;AI-generated content may be incorrect."/>
                    <pic:cNvPicPr/>
                  </pic:nvPicPr>
                  <pic:blipFill>
                    <a:blip r:embed="rId16"/>
                    <a:stretch>
                      <a:fillRect/>
                    </a:stretch>
                  </pic:blipFill>
                  <pic:spPr>
                    <a:xfrm>
                      <a:off x="0" y="0"/>
                      <a:ext cx="5731510" cy="3190875"/>
                    </a:xfrm>
                    <a:prstGeom prst="rect">
                      <a:avLst/>
                    </a:prstGeom>
                  </pic:spPr>
                </pic:pic>
              </a:graphicData>
            </a:graphic>
          </wp:inline>
        </w:drawing>
      </w:r>
    </w:p>
    <w:p w14:paraId="467BCDEA" w14:textId="43555E2A" w:rsidR="006026C1" w:rsidRDefault="006026C1" w:rsidP="006026C1">
      <w:pPr>
        <w:jc w:val="both"/>
      </w:pPr>
      <w:r w:rsidRPr="006026C1">
        <w:t>Zero Trust Network Access (ZTNA), SIEM monitoring, threat intelligence, and periodic penetration testing strengthen resilience.</w:t>
      </w:r>
      <w:r>
        <w:t xml:space="preserve"> </w:t>
      </w:r>
      <w:r w:rsidRPr="006026C1">
        <w:t>Data protection and GDPR compliance rely on AES-256 encryption, DLP for email and cloud, audit trails, data minimization, and secure disposal practices. A Data Protection Officer (DPO) oversees compliance, supported by privacy impact assessments.</w:t>
      </w:r>
      <w:r>
        <w:t xml:space="preserve"> </w:t>
      </w:r>
      <w:r w:rsidRPr="006026C1">
        <w:t xml:space="preserve">Insider threats and human error are managed with User </w:t>
      </w:r>
      <w:proofErr w:type="spellStart"/>
      <w:r w:rsidRPr="006026C1">
        <w:t>Behavior</w:t>
      </w:r>
      <w:proofErr w:type="spellEnd"/>
      <w:r w:rsidRPr="006026C1">
        <w:t xml:space="preserve"> Analytics (UBA), device and USB controls, employee background checks, and whistleblowing channels. Continuous monitoring and audits ensure policy adherence.</w:t>
      </w:r>
      <w:r>
        <w:t xml:space="preserve"> </w:t>
      </w:r>
      <w:r w:rsidRPr="006026C1">
        <w:t>Together, these strategies provide comprehensive protection across endpoints, networks, emails, cloud systems, and internal operations, reducing exposure to cyber threats, enhancing accountability, and ensuring regulatory compliance.</w:t>
      </w:r>
    </w:p>
    <w:p w14:paraId="5946C8E9" w14:textId="77777777" w:rsidR="00E81DD9" w:rsidRPr="006026C1" w:rsidRDefault="00E81DD9" w:rsidP="006026C1">
      <w:pPr>
        <w:jc w:val="both"/>
      </w:pPr>
    </w:p>
    <w:p w14:paraId="505D4FFC" w14:textId="1FD35A29" w:rsidR="008B2693" w:rsidRPr="008B2693" w:rsidRDefault="008B2693" w:rsidP="002254C6">
      <w:pPr>
        <w:jc w:val="both"/>
      </w:pPr>
    </w:p>
    <w:p w14:paraId="02F220BE" w14:textId="64BE5869" w:rsidR="008B2693" w:rsidRDefault="008B2693" w:rsidP="002254C6">
      <w:pPr>
        <w:pStyle w:val="Heading1"/>
      </w:pPr>
      <w:bookmarkStart w:id="6" w:name="_Toc213689238"/>
      <w:r w:rsidRPr="008B2693">
        <w:lastRenderedPageBreak/>
        <w:t>Monitoring and Incident Response</w:t>
      </w:r>
      <w:bookmarkEnd w:id="6"/>
    </w:p>
    <w:p w14:paraId="525646CD" w14:textId="7FD63CA2" w:rsidR="0093187C" w:rsidRDefault="0093187C" w:rsidP="002254C6">
      <w:pPr>
        <w:jc w:val="both"/>
        <w:rPr>
          <w:b/>
          <w:bCs/>
        </w:rPr>
      </w:pPr>
      <w:r w:rsidRPr="0093187C">
        <w:rPr>
          <w:b/>
          <w:bCs/>
          <w:noProof/>
        </w:rPr>
        <w:drawing>
          <wp:inline distT="0" distB="0" distL="0" distR="0" wp14:anchorId="58E101D2" wp14:editId="7B50E3FE">
            <wp:extent cx="5731510" cy="3249930"/>
            <wp:effectExtent l="0" t="0" r="2540" b="7620"/>
            <wp:docPr id="750815608" name="Picture 1" descr="A black and white poster with blue circl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15608" name="Picture 1" descr="A black and white poster with blue circles and white text&#10;&#10;AI-generated content may be incorrect."/>
                    <pic:cNvPicPr/>
                  </pic:nvPicPr>
                  <pic:blipFill>
                    <a:blip r:embed="rId17"/>
                    <a:stretch>
                      <a:fillRect/>
                    </a:stretch>
                  </pic:blipFill>
                  <pic:spPr>
                    <a:xfrm>
                      <a:off x="0" y="0"/>
                      <a:ext cx="5731510" cy="3249930"/>
                    </a:xfrm>
                    <a:prstGeom prst="rect">
                      <a:avLst/>
                    </a:prstGeom>
                  </pic:spPr>
                </pic:pic>
              </a:graphicData>
            </a:graphic>
          </wp:inline>
        </w:drawing>
      </w:r>
    </w:p>
    <w:p w14:paraId="41C5F28F" w14:textId="525C1AF7" w:rsidR="00264B5A" w:rsidRPr="00264B5A" w:rsidRDefault="00264B5A" w:rsidP="002254C6">
      <w:pPr>
        <w:jc w:val="both"/>
      </w:pPr>
      <w:r w:rsidRPr="00264B5A">
        <w:t>This slide focuses on Monitoring and Incident Response, which are essential parts of a strong cybersecurity strategy.</w:t>
      </w:r>
      <w:r w:rsidR="00E81DD9">
        <w:t xml:space="preserve"> </w:t>
      </w:r>
      <w:r w:rsidRPr="00264B5A">
        <w:t>SIEM (Security Information and Event Management) tools collect and analyse log data from various systems such as servers, applications, and firewalls. They help security teams identify unusual patterns or suspicious activities by correlating events across the network. This provides real-time visibility into potential threats and enables early detection of security incidents.</w:t>
      </w:r>
      <w:r w:rsidR="00345F8D">
        <w:t xml:space="preserve"> </w:t>
      </w:r>
      <w:r w:rsidRPr="00264B5A">
        <w:t>SOAR (Security Orchestration, Automation, and Response) enhances the incident response process by automating repetitive tasks, triaging alerts, and managing incident workflows. SOAR platforms use predefined playbooks to ensure consistent and efficient responses to different types of security incidents, reducing response time and human error.</w:t>
      </w:r>
      <w:r w:rsidR="00345F8D">
        <w:t xml:space="preserve"> </w:t>
      </w:r>
      <w:r w:rsidRPr="00264B5A">
        <w:t>The slide also highlights the importance of threat intelligence feeds from trusted sources like CISA Known Exploited Vulnerabilities (KEV) and MITRE ATT&amp;CK. These feeds provide valuable information about current attack methods and known vulnerabilities, helping organizations stay proactive in their defence strategies.</w:t>
      </w:r>
      <w:r w:rsidR="00345F8D">
        <w:t xml:space="preserve"> </w:t>
      </w:r>
      <w:r w:rsidRPr="00264B5A">
        <w:t>Overall, the integration of SIEM, SOAR, and threat intelligence allows security teams to monitor their environments effectively, detect incidents quickly, and respond efficiently. This combination strengthens an organization’s ability to protect its systems, minimize damage, and maintain business continuity during cyber threats.</w:t>
      </w:r>
    </w:p>
    <w:p w14:paraId="7D8F8352" w14:textId="77777777" w:rsidR="00264B5A" w:rsidRPr="008B2693" w:rsidRDefault="00264B5A" w:rsidP="002254C6">
      <w:pPr>
        <w:jc w:val="both"/>
        <w:rPr>
          <w:b/>
          <w:bCs/>
        </w:rPr>
      </w:pPr>
    </w:p>
    <w:p w14:paraId="04197053" w14:textId="4D086FEE" w:rsidR="008B2693" w:rsidRPr="0093187C" w:rsidRDefault="008B2693" w:rsidP="002254C6">
      <w:pPr>
        <w:pStyle w:val="Heading1"/>
      </w:pPr>
      <w:bookmarkStart w:id="7" w:name="_Toc213689239"/>
      <w:r w:rsidRPr="0093187C">
        <w:lastRenderedPageBreak/>
        <w:t>Training and Awareness Program</w:t>
      </w:r>
      <w:bookmarkEnd w:id="7"/>
    </w:p>
    <w:p w14:paraId="1AB5D711" w14:textId="44420FA4" w:rsidR="0093187C" w:rsidRDefault="0093187C" w:rsidP="002254C6">
      <w:pPr>
        <w:ind w:left="360"/>
        <w:jc w:val="both"/>
        <w:rPr>
          <w:b/>
          <w:bCs/>
        </w:rPr>
      </w:pPr>
      <w:r w:rsidRPr="0093187C">
        <w:rPr>
          <w:noProof/>
        </w:rPr>
        <w:drawing>
          <wp:inline distT="0" distB="0" distL="0" distR="0" wp14:anchorId="355EDB79" wp14:editId="18AB5881">
            <wp:extent cx="5731510" cy="3235325"/>
            <wp:effectExtent l="0" t="0" r="2540" b="3175"/>
            <wp:docPr id="482845057"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45057" name="Picture 1" descr="A close-up of a computer screen&#10;&#10;AI-generated content may be incorrect."/>
                    <pic:cNvPicPr/>
                  </pic:nvPicPr>
                  <pic:blipFill>
                    <a:blip r:embed="rId18"/>
                    <a:stretch>
                      <a:fillRect/>
                    </a:stretch>
                  </pic:blipFill>
                  <pic:spPr>
                    <a:xfrm>
                      <a:off x="0" y="0"/>
                      <a:ext cx="5731510" cy="3235325"/>
                    </a:xfrm>
                    <a:prstGeom prst="rect">
                      <a:avLst/>
                    </a:prstGeom>
                  </pic:spPr>
                </pic:pic>
              </a:graphicData>
            </a:graphic>
          </wp:inline>
        </w:drawing>
      </w:r>
    </w:p>
    <w:p w14:paraId="6B1CF1E5" w14:textId="77777777" w:rsidR="00E81DD9" w:rsidRDefault="00E81DD9" w:rsidP="002254C6">
      <w:pPr>
        <w:ind w:left="360"/>
        <w:jc w:val="both"/>
        <w:rPr>
          <w:b/>
          <w:bCs/>
        </w:rPr>
      </w:pPr>
    </w:p>
    <w:p w14:paraId="73B6D179" w14:textId="31015EB0" w:rsidR="00DE4554" w:rsidRPr="00DE4554" w:rsidRDefault="00DE4554" w:rsidP="00DE4554">
      <w:pPr>
        <w:jc w:val="both"/>
      </w:pPr>
      <w:r w:rsidRPr="00DE4554">
        <w:t xml:space="preserve">Human error is consistently the leading cause of cybersecurity incidents, making a comprehensive training and awareness program essential for </w:t>
      </w:r>
      <w:proofErr w:type="spellStart"/>
      <w:r w:rsidRPr="00DE4554">
        <w:t>FinSecure</w:t>
      </w:r>
      <w:proofErr w:type="spellEnd"/>
      <w:r w:rsidRPr="00DE4554">
        <w:t xml:space="preserve"> Ltd (FSL). The primary objectives of the program are to enhance employee understanding of cyber threats, ensure strict compliance with security policies, and reduce the risk of incidents arising from negligence, phishing attacks, or other social engineering tactics. A well-structured training program is critical not only to protect sensitive financial and operational data but also to foster a culture of security mindfulness throughout the </w:t>
      </w:r>
      <w:proofErr w:type="spellStart"/>
      <w:proofErr w:type="gramStart"/>
      <w:r w:rsidRPr="00DE4554">
        <w:t>organisation.All</w:t>
      </w:r>
      <w:proofErr w:type="spellEnd"/>
      <w:proofErr w:type="gramEnd"/>
      <w:r w:rsidRPr="00DE4554">
        <w:t xml:space="preserve"> new employees undergo an Onboarding Security Induction, which introduces fundamental cybersecurity principles, company policies, and expected </w:t>
      </w:r>
      <w:proofErr w:type="spellStart"/>
      <w:r w:rsidRPr="00DE4554">
        <w:t>behaviors</w:t>
      </w:r>
      <w:proofErr w:type="spellEnd"/>
      <w:r w:rsidRPr="00DE4554">
        <w:t xml:space="preserve"> for safe handling of data and systems. This induction ensures that employees start with a clear understanding of their responsibilities and the potential risks associated with mishandling information. Following onboarding, annual refresher training reinforces key topics such as phishing awareness, secure password management, data protection regulations, and safe use of company systems. This continuous learning approach helps employees remain aware of evolving threats and maintain high compliance </w:t>
      </w:r>
      <w:proofErr w:type="spellStart"/>
      <w:proofErr w:type="gramStart"/>
      <w:r w:rsidRPr="00DE4554">
        <w:t>standards.To</w:t>
      </w:r>
      <w:proofErr w:type="spellEnd"/>
      <w:proofErr w:type="gramEnd"/>
      <w:r w:rsidRPr="00DE4554">
        <w:t xml:space="preserve"> reinforce practical awareness, the program incorporates quarterly phishing simulations. These simulations mimic real-world phishing scenarios to test employees’ ability to recognize and respond appropriately to malicious emails or messages. Performance metrics from these exercises, such as click rates and reporting </w:t>
      </w:r>
      <w:proofErr w:type="spellStart"/>
      <w:r w:rsidRPr="00DE4554">
        <w:t>behavior</w:t>
      </w:r>
      <w:proofErr w:type="spellEnd"/>
      <w:r w:rsidRPr="00DE4554">
        <w:t>, provide actionable insights into areas requiring additional focus.</w:t>
      </w:r>
    </w:p>
    <w:p w14:paraId="478EFB14" w14:textId="77777777" w:rsidR="00DE4554" w:rsidRPr="00DE4554" w:rsidRDefault="00DE4554" w:rsidP="00DE4554">
      <w:pPr>
        <w:jc w:val="both"/>
      </w:pPr>
      <w:r w:rsidRPr="00DE4554">
        <w:lastRenderedPageBreak/>
        <w:t>Additionally, semi-annual role-based training is conducted to address the specific needs of different teams within FSL. Developers, system administrators, finance personnel, and executives face tailored modules that cover risks and security responsibilities unique to their roles. For instance, developers receive training on secure coding practices, while finance staff are educated on fraud detection and social engineering attacks.</w:t>
      </w:r>
    </w:p>
    <w:p w14:paraId="53430C4D" w14:textId="77777777" w:rsidR="00DE4554" w:rsidRPr="00DE4554" w:rsidRDefault="00DE4554" w:rsidP="00DE4554">
      <w:pPr>
        <w:jc w:val="both"/>
      </w:pPr>
      <w:r w:rsidRPr="00DE4554">
        <w:t>Biannual incident response exercises are used to test readiness and communication channels during simulated security incidents. These exercises allow staff to practice reporting, escalation, and collaboration in a controlled environment, ensuring operational resilience during real incidents.</w:t>
      </w:r>
    </w:p>
    <w:p w14:paraId="4E3BBE3D" w14:textId="77777777" w:rsidR="00DE4554" w:rsidRPr="00DE4554" w:rsidRDefault="00DE4554" w:rsidP="00DE4554">
      <w:pPr>
        <w:jc w:val="both"/>
      </w:pPr>
      <w:r w:rsidRPr="00DE4554">
        <w:t>The program also includes ongoing awareness initiatives, such as security newsletters, posters, and internal communications that highlight best practices and emerging threats. Effectiveness is tracked through multiple metrics, including training completion rates, results of phishing simulations, feedback surveys, and quarterly compliance reports reviewed by the Security Manager.</w:t>
      </w:r>
    </w:p>
    <w:p w14:paraId="64FE02F3" w14:textId="611E0920" w:rsidR="00DE4554" w:rsidRPr="00DE4554" w:rsidRDefault="00DE4554" w:rsidP="00DE4554">
      <w:pPr>
        <w:jc w:val="both"/>
        <w:rPr>
          <w:b/>
          <w:bCs/>
        </w:rPr>
      </w:pPr>
      <w:r>
        <w:t xml:space="preserve"> </w:t>
      </w:r>
      <w:r w:rsidRPr="00DE4554">
        <w:t>Collectively, this multi-layered approach fosters a security-conscious culture across FSL, mitigates risks associated with human error, and strengthens the company’s overall cybersecurity posture. By continuously educating staff, simulating realistic threats, and reinforcing security responsibilities, FSL ensures that employees are active participants in safeguarding organizational assets, ultimately supporting regulatory compliance, operational resilience, and long-term trust with clients and stakeholders.</w:t>
      </w:r>
    </w:p>
    <w:p w14:paraId="7F74CE39" w14:textId="77777777" w:rsidR="0078768D" w:rsidRPr="0093187C" w:rsidRDefault="0078768D" w:rsidP="002254C6">
      <w:pPr>
        <w:pStyle w:val="ListParagraph"/>
        <w:jc w:val="both"/>
        <w:rPr>
          <w:b/>
          <w:bCs/>
        </w:rPr>
      </w:pPr>
    </w:p>
    <w:p w14:paraId="4A7526EA" w14:textId="0D6FB050" w:rsidR="008B2693" w:rsidRPr="008B2693" w:rsidRDefault="008B2693" w:rsidP="002254C6">
      <w:pPr>
        <w:jc w:val="both"/>
      </w:pPr>
    </w:p>
    <w:p w14:paraId="0B62BCF9" w14:textId="44CFFC3B" w:rsidR="008B2693" w:rsidRDefault="008B2693" w:rsidP="002254C6">
      <w:pPr>
        <w:pStyle w:val="Heading1"/>
      </w:pPr>
      <w:bookmarkStart w:id="8" w:name="_Toc213689240"/>
      <w:r w:rsidRPr="0093187C">
        <w:lastRenderedPageBreak/>
        <w:t xml:space="preserve">Implementation </w:t>
      </w:r>
      <w:r w:rsidR="00420E5E">
        <w:t>Roadmap</w:t>
      </w:r>
      <w:bookmarkEnd w:id="8"/>
    </w:p>
    <w:p w14:paraId="5AE4CD7E" w14:textId="1DE14B5A" w:rsidR="001B4CF3" w:rsidRPr="0093187C" w:rsidRDefault="001B4CF3" w:rsidP="002254C6">
      <w:pPr>
        <w:pStyle w:val="ListParagraph"/>
        <w:jc w:val="both"/>
        <w:rPr>
          <w:b/>
          <w:bCs/>
        </w:rPr>
      </w:pPr>
      <w:r>
        <w:rPr>
          <w:noProof/>
        </w:rPr>
        <w:drawing>
          <wp:inline distT="0" distB="0" distL="0" distR="0" wp14:anchorId="671483ED" wp14:editId="6869884B">
            <wp:extent cx="5731510" cy="3223895"/>
            <wp:effectExtent l="0" t="0" r="2540" b="0"/>
            <wp:docPr id="4423207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2076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050FA514" w14:textId="22192CA3" w:rsidR="00DE4554" w:rsidRPr="00DE4554" w:rsidRDefault="00DE4554" w:rsidP="00DE4554">
      <w:pPr>
        <w:jc w:val="both"/>
      </w:pPr>
      <w:r w:rsidRPr="00DE4554">
        <w:t xml:space="preserve">The cybersecurity implementation roadmap for </w:t>
      </w:r>
      <w:proofErr w:type="spellStart"/>
      <w:r w:rsidRPr="00DE4554">
        <w:t>FinSecure</w:t>
      </w:r>
      <w:proofErr w:type="spellEnd"/>
      <w:r w:rsidRPr="00DE4554">
        <w:t xml:space="preserve"> Ltd (FSL) outlines a structured, phased approach to strengthen the company’s security posture over a one-year period. By sequencing initiatives strategically, the roadmap ensures that foundational controls are established first, followed by advanced solutions, continuous monitoring, and personnel training, providing both immediate risk reduction and long-term resilience.</w:t>
      </w:r>
    </w:p>
    <w:p w14:paraId="7F0C1150" w14:textId="77777777" w:rsidR="00DE4554" w:rsidRDefault="00DE4554" w:rsidP="00DE4554">
      <w:pPr>
        <w:jc w:val="both"/>
      </w:pPr>
      <w:r w:rsidRPr="00DE4554">
        <w:t>Q1–Q2: Strengthening the Security Foundation</w:t>
      </w:r>
    </w:p>
    <w:p w14:paraId="443CB008" w14:textId="027EAD47" w:rsidR="00DE4554" w:rsidRPr="00DE4554" w:rsidRDefault="00DE4554" w:rsidP="00DE4554">
      <w:pPr>
        <w:jc w:val="both"/>
      </w:pPr>
      <w:r w:rsidRPr="00DE4554">
        <w:t>The first two quarters focus on building a robust security foundation. Key initiatives include the deployment of Multi-Factor Authentication (MFA) across all critical systems to enhance identity verification and reduce the risk of account compromise. Endpoint Detection and Response (EDR) tools will be rolled out to monitor, detect, and respond to threats at the device level, providing early warning and mitigating potential incidents. Access control mechanisms will be reinforced through role-based access controls (RBAC) and Just-In-Time (JIT) access policies, ensuring that employees and contractors have the minimum necessary privileges to perform their roles. These foundational steps are critical to preventing unauthorized access and establishing a baseline of security hygiene.</w:t>
      </w:r>
    </w:p>
    <w:p w14:paraId="48360286" w14:textId="77777777" w:rsidR="00DE4554" w:rsidRDefault="00DE4554" w:rsidP="00DE4554">
      <w:pPr>
        <w:jc w:val="both"/>
      </w:pPr>
      <w:r w:rsidRPr="00DE4554">
        <w:t>Q3: Enhancing Cloud and Privileged Access Security</w:t>
      </w:r>
    </w:p>
    <w:p w14:paraId="6739EC7C" w14:textId="5B0BBA93" w:rsidR="00DE4554" w:rsidRPr="00DE4554" w:rsidRDefault="00DE4554" w:rsidP="00DE4554">
      <w:pPr>
        <w:jc w:val="both"/>
      </w:pPr>
      <w:r w:rsidRPr="00DE4554">
        <w:t xml:space="preserve">In Q3, the focus shifts to securing cloud environments and high-privilege accounts. Cloud Security Posture Management (CSPM) solutions will be deployed to continuously monitor cloud configurations, detect misconfigurations, and enforce compliance standards. Simultaneously, Privileged Access Management (PAM) systems will be </w:t>
      </w:r>
      <w:r w:rsidRPr="00DE4554">
        <w:lastRenderedPageBreak/>
        <w:t>implemented to safeguard administrative accounts and sensitive credentials, monitor privileged activity, and prevent insider threats. These measures strengthen the security of both on-premises and cloud resources while reducing the risk of data breaches and operational disruption.</w:t>
      </w:r>
    </w:p>
    <w:p w14:paraId="11EABDF4" w14:textId="77777777" w:rsidR="00DE4554" w:rsidRDefault="00DE4554" w:rsidP="00DE4554">
      <w:pPr>
        <w:jc w:val="both"/>
      </w:pPr>
      <w:r w:rsidRPr="00DE4554">
        <w:t>Q4: Advanced Monitoring, Response, and Training</w:t>
      </w:r>
    </w:p>
    <w:p w14:paraId="34323920" w14:textId="7585EF36" w:rsidR="00DE4554" w:rsidRPr="00DE4554" w:rsidRDefault="00DE4554" w:rsidP="00DE4554">
      <w:pPr>
        <w:jc w:val="both"/>
      </w:pPr>
      <w:r w:rsidRPr="00DE4554">
        <w:t>In the final quarter, Security Information and Event Management (SIEM) and Security Orchestration, Automation, and Response (SOAR) systems will be integrated to provide centralized threat monitoring, automated incident response workflows, and actionable intelligence. This ensures faster detection, investigation, and mitigation of cyber incidents. Additionally, the cybersecurity training and awareness program will be expanded to reinforce employee knowledge, promote a security-conscious culture, and reduce human error.</w:t>
      </w:r>
    </w:p>
    <w:p w14:paraId="05C63F92" w14:textId="77777777" w:rsidR="00DE4554" w:rsidRPr="00DE4554" w:rsidRDefault="00DE4554" w:rsidP="00DE4554">
      <w:pPr>
        <w:jc w:val="both"/>
      </w:pPr>
      <w:r w:rsidRPr="00DE4554">
        <w:t>By following this phased roadmap, FSL ensures that security initiatives build on one another, aligning technical controls with organizational processes. This approach maximizes operational effectiveness, regulatory compliance, and long-term resilience, enabling FSL to proactively defend against evolving cyber threats while maintaining business continuity.</w:t>
      </w:r>
    </w:p>
    <w:p w14:paraId="34621AB2" w14:textId="21816755" w:rsidR="00DF240B" w:rsidRPr="00DE4554" w:rsidRDefault="00DF240B" w:rsidP="002254C6">
      <w:pPr>
        <w:pStyle w:val="ListParagraph"/>
        <w:jc w:val="both"/>
      </w:pPr>
    </w:p>
    <w:p w14:paraId="3E52D0EF" w14:textId="5BB247BE" w:rsidR="0093187C" w:rsidRPr="00DF240B" w:rsidRDefault="00DF240B" w:rsidP="002254C6">
      <w:pPr>
        <w:pStyle w:val="Heading1"/>
      </w:pPr>
      <w:bookmarkStart w:id="9" w:name="_Toc213689241"/>
      <w:r>
        <w:t>Strategic Benefits and Closing</w:t>
      </w:r>
      <w:bookmarkEnd w:id="9"/>
    </w:p>
    <w:p w14:paraId="5167432E" w14:textId="6A7F6032" w:rsidR="001B4CF3" w:rsidRPr="001B4CF3" w:rsidRDefault="001B4CF3" w:rsidP="002254C6">
      <w:pPr>
        <w:pStyle w:val="ListParagraph"/>
        <w:jc w:val="both"/>
        <w:rPr>
          <w:b/>
          <w:bCs/>
        </w:rPr>
      </w:pPr>
      <w:r>
        <w:rPr>
          <w:noProof/>
        </w:rPr>
        <w:drawing>
          <wp:inline distT="0" distB="0" distL="0" distR="0" wp14:anchorId="339A4DE2" wp14:editId="4ACFCFD8">
            <wp:extent cx="5731510" cy="3223895"/>
            <wp:effectExtent l="0" t="0" r="2540" b="0"/>
            <wp:docPr id="18462758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7582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EACE9F6" w14:textId="77777777" w:rsidR="00DF240B" w:rsidRDefault="00DF240B" w:rsidP="002254C6">
      <w:pPr>
        <w:jc w:val="both"/>
      </w:pPr>
    </w:p>
    <w:p w14:paraId="25BA59E5" w14:textId="47283B5F" w:rsidR="008B2693" w:rsidRDefault="00DF240B" w:rsidP="002254C6">
      <w:pPr>
        <w:jc w:val="both"/>
      </w:pPr>
      <w:proofErr w:type="spellStart"/>
      <w:r>
        <w:lastRenderedPageBreak/>
        <w:t>FinSecure</w:t>
      </w:r>
      <w:proofErr w:type="spellEnd"/>
      <w:r>
        <w:t xml:space="preserve"> Ltd. (FSL) gains substantial long-term strategic advantages from</w:t>
      </w:r>
      <w:r w:rsidR="002254C6">
        <w:t xml:space="preserve"> </w:t>
      </w:r>
      <w:r>
        <w:t>the application of an organized cybersecurity architecture. By improving</w:t>
      </w:r>
      <w:r w:rsidR="002254C6">
        <w:t xml:space="preserve"> </w:t>
      </w:r>
      <w:r>
        <w:t>data protection, proactive risk management, and regulatory compliance,</w:t>
      </w:r>
      <w:r w:rsidR="002254C6">
        <w:t xml:space="preserve"> </w:t>
      </w:r>
      <w:r>
        <w:t>it reduces the financial costs associated with breaches. Faster incident</w:t>
      </w:r>
      <w:r w:rsidR="002254C6">
        <w:t xml:space="preserve"> </w:t>
      </w:r>
      <w:r>
        <w:t>detection and response, less system downtime, and business continuity</w:t>
      </w:r>
      <w:r w:rsidR="002254C6">
        <w:t xml:space="preserve"> </w:t>
      </w:r>
      <w:r>
        <w:t>are all made possible by the operational integration of SIEM, SOAR, and</w:t>
      </w:r>
      <w:r w:rsidR="002254C6">
        <w:t xml:space="preserve"> </w:t>
      </w:r>
      <w:r>
        <w:t xml:space="preserve">continuous monitoring. By promoting a culture of responsibility </w:t>
      </w:r>
      <w:r w:rsidR="002254C6">
        <w:t>and alertness</w:t>
      </w:r>
      <w:r>
        <w:t>, these actions increase resilience against both internal and</w:t>
      </w:r>
      <w:r w:rsidR="002254C6">
        <w:t xml:space="preserve"> </w:t>
      </w:r>
      <w:r>
        <w:t xml:space="preserve">external </w:t>
      </w:r>
      <w:proofErr w:type="gramStart"/>
      <w:r>
        <w:t>dangers .</w:t>
      </w:r>
      <w:proofErr w:type="gramEnd"/>
      <w:r>
        <w:t xml:space="preserve"> In terms of reputation, FSL strengthens stakeholder</w:t>
      </w:r>
      <w:r w:rsidR="002254C6">
        <w:t xml:space="preserve"> </w:t>
      </w:r>
      <w:r>
        <w:t>and client trust by upholding ISO and NIST standards and proving GDPR</w:t>
      </w:r>
      <w:r w:rsidR="002254C6">
        <w:t xml:space="preserve"> </w:t>
      </w:r>
      <w:r>
        <w:t>compliance. The company's legitimacy and competitive advantage in the</w:t>
      </w:r>
      <w:r w:rsidR="002254C6">
        <w:t xml:space="preserve"> </w:t>
      </w:r>
      <w:r>
        <w:t>financial sector are improved by a secure digital</w:t>
      </w:r>
      <w:r w:rsidR="002254C6">
        <w:t xml:space="preserve"> </w:t>
      </w:r>
      <w:r>
        <w:t>environment.</w:t>
      </w:r>
      <w:r w:rsidR="002254C6">
        <w:rPr>
          <w:lang w:val="bg-BG"/>
        </w:rPr>
        <w:t xml:space="preserve"> </w:t>
      </w:r>
      <w:r w:rsidR="002254C6">
        <w:t>G</w:t>
      </w:r>
      <w:r>
        <w:t>uaranteeing long-term security, compliance with</w:t>
      </w:r>
      <w:r w:rsidR="002254C6">
        <w:t xml:space="preserve"> </w:t>
      </w:r>
      <w:r>
        <w:t>regulations, and a strong basis for upcoming digital expansion and</w:t>
      </w:r>
      <w:r w:rsidR="002254C6">
        <w:t xml:space="preserve"> </w:t>
      </w:r>
      <w:r>
        <w:t>innovation.</w:t>
      </w:r>
    </w:p>
    <w:p w14:paraId="49AA2901" w14:textId="77777777" w:rsidR="00DF240B" w:rsidRPr="002254C6" w:rsidRDefault="00DF240B" w:rsidP="002254C6">
      <w:pPr>
        <w:pStyle w:val="Heading1"/>
      </w:pPr>
      <w:bookmarkStart w:id="10" w:name="_Toc213689242"/>
      <w:r w:rsidRPr="002254C6">
        <w:t>Conclusion</w:t>
      </w:r>
      <w:bookmarkEnd w:id="10"/>
    </w:p>
    <w:p w14:paraId="404CE47B" w14:textId="6A11294E" w:rsidR="00751995" w:rsidRDefault="00DF240B" w:rsidP="002254C6">
      <w:pPr>
        <w:jc w:val="both"/>
      </w:pPr>
      <w:r>
        <w:t>In conclusion, this cybersecurity strategy establishes a comprehensive and sustainable</w:t>
      </w:r>
      <w:r w:rsidR="002254C6">
        <w:rPr>
          <w:lang w:val="bg-BG"/>
        </w:rPr>
        <w:t xml:space="preserve"> </w:t>
      </w:r>
      <w:r>
        <w:t xml:space="preserve">foundation for </w:t>
      </w:r>
      <w:proofErr w:type="spellStart"/>
      <w:r>
        <w:t>FinSecure</w:t>
      </w:r>
      <w:proofErr w:type="spellEnd"/>
      <w:r>
        <w:t xml:space="preserve"> Ltd (FSL) to protect its digital assets, ensure regulatory</w:t>
      </w:r>
      <w:r w:rsidR="002254C6">
        <w:rPr>
          <w:lang w:val="bg-BG"/>
        </w:rPr>
        <w:t xml:space="preserve"> </w:t>
      </w:r>
      <w:r>
        <w:t>compliance, and enhance operational resilience. Through the integration of ISO/IEC 27001</w:t>
      </w:r>
      <w:r w:rsidR="002254C6">
        <w:rPr>
          <w:lang w:val="bg-BG"/>
        </w:rPr>
        <w:t xml:space="preserve"> </w:t>
      </w:r>
      <w:r>
        <w:t>and NIST frameworks, the company aligns with internationally recognized best practices to</w:t>
      </w:r>
      <w:r w:rsidR="002254C6">
        <w:rPr>
          <w:lang w:val="bg-BG"/>
        </w:rPr>
        <w:t xml:space="preserve"> </w:t>
      </w:r>
      <w:r>
        <w:t xml:space="preserve">manage risks, respond to incidents, and continuously improve its </w:t>
      </w:r>
      <w:proofErr w:type="spellStart"/>
      <w:proofErr w:type="gramStart"/>
      <w:r>
        <w:t>defenses</w:t>
      </w:r>
      <w:proofErr w:type="spellEnd"/>
      <w:r w:rsidR="002254C6">
        <w:rPr>
          <w:lang w:val="bg-BG"/>
        </w:rPr>
        <w:t xml:space="preserve"> </w:t>
      </w:r>
      <w:r>
        <w:t>.</w:t>
      </w:r>
      <w:proofErr w:type="gramEnd"/>
      <w:r>
        <w:t xml:space="preserve"> The</w:t>
      </w:r>
      <w:r w:rsidR="002254C6">
        <w:rPr>
          <w:lang w:val="bg-BG"/>
        </w:rPr>
        <w:t xml:space="preserve"> </w:t>
      </w:r>
      <w:r>
        <w:t>implementation of technical controls—such as SIEM, SOAR, PAM, and CSPM—combined</w:t>
      </w:r>
      <w:r w:rsidR="002254C6">
        <w:rPr>
          <w:lang w:val="bg-BG"/>
        </w:rPr>
        <w:t xml:space="preserve"> </w:t>
      </w:r>
      <w:r>
        <w:t>with continuous monitoring and employee awareness programs, provides a layered and</w:t>
      </w:r>
      <w:r w:rsidR="002254C6">
        <w:rPr>
          <w:lang w:val="bg-BG"/>
        </w:rPr>
        <w:t xml:space="preserve"> </w:t>
      </w:r>
      <w:r>
        <w:t xml:space="preserve">adaptive security </w:t>
      </w:r>
      <w:proofErr w:type="gramStart"/>
      <w:r>
        <w:t>model .</w:t>
      </w:r>
      <w:proofErr w:type="gramEnd"/>
      <w:r>
        <w:t xml:space="preserve"> Furthermore, fostering a culture of cybersecurity awareness</w:t>
      </w:r>
      <w:r w:rsidR="002254C6">
        <w:rPr>
          <w:lang w:val="bg-BG"/>
        </w:rPr>
        <w:t xml:space="preserve"> </w:t>
      </w:r>
      <w:r>
        <w:t>across all organizational levels mitigates human error, which remains a major threat vector. This report emphasizes that cybersecurity is not a one-time initiative but an ongoing</w:t>
      </w:r>
      <w:r w:rsidR="002254C6">
        <w:rPr>
          <w:lang w:val="bg-BG"/>
        </w:rPr>
        <w:t xml:space="preserve"> </w:t>
      </w:r>
      <w:r>
        <w:t>commitment requiring leadership support, periodic reviews, and technological evolution.</w:t>
      </w:r>
      <w:r w:rsidR="002254C6">
        <w:rPr>
          <w:lang w:val="bg-BG"/>
        </w:rPr>
        <w:t xml:space="preserve"> </w:t>
      </w:r>
      <w:r>
        <w:t xml:space="preserve">By maintaining proactive </w:t>
      </w:r>
      <w:proofErr w:type="spellStart"/>
      <w:r>
        <w:t>defense</w:t>
      </w:r>
      <w:proofErr w:type="spellEnd"/>
      <w:r>
        <w:t xml:space="preserve"> mechanisms and regular policy updates, FSL can achieve</w:t>
      </w:r>
      <w:r w:rsidR="002254C6">
        <w:rPr>
          <w:lang w:val="bg-BG"/>
        </w:rPr>
        <w:t xml:space="preserve"> </w:t>
      </w:r>
      <w:r>
        <w:t>a robust, compliant, and resilient cybersecurity posture capable of adapting to future digital</w:t>
      </w:r>
      <w:r w:rsidR="002254C6">
        <w:rPr>
          <w:lang w:val="bg-BG"/>
        </w:rPr>
        <w:t xml:space="preserve"> </w:t>
      </w:r>
      <w:r>
        <w:t>challenges.</w:t>
      </w:r>
    </w:p>
    <w:p w14:paraId="4387F67F" w14:textId="0B3A90D3" w:rsidR="006026C1" w:rsidRDefault="006026C1" w:rsidP="006026C1">
      <w:pPr>
        <w:pStyle w:val="Heading1"/>
      </w:pPr>
      <w:r>
        <w:t xml:space="preserve"> References</w:t>
      </w:r>
    </w:p>
    <w:p w14:paraId="6F590EEC" w14:textId="77777777" w:rsidR="006026C1" w:rsidRPr="006026C1" w:rsidRDefault="006026C1" w:rsidP="006026C1">
      <w:r w:rsidRPr="006026C1">
        <w:t>[1]</w:t>
      </w:r>
    </w:p>
    <w:p w14:paraId="469E6986" w14:textId="77777777" w:rsidR="006026C1" w:rsidRPr="006026C1" w:rsidRDefault="006026C1" w:rsidP="006026C1">
      <w:r w:rsidRPr="006026C1">
        <w:t>P. Regulation, “General data protection regulation,” vol. 25, pp. 1–5, 2018.</w:t>
      </w:r>
    </w:p>
    <w:p w14:paraId="464301D6" w14:textId="77777777" w:rsidR="006026C1" w:rsidRPr="006026C1" w:rsidRDefault="006026C1" w:rsidP="006026C1">
      <w:r w:rsidRPr="006026C1">
        <w:t>[2]</w:t>
      </w:r>
    </w:p>
    <w:p w14:paraId="13AA4583" w14:textId="77777777" w:rsidR="006026C1" w:rsidRPr="006026C1" w:rsidRDefault="006026C1" w:rsidP="006026C1">
      <w:r w:rsidRPr="006026C1">
        <w:t>D. L. Shinder, </w:t>
      </w:r>
      <w:r w:rsidRPr="006026C1">
        <w:rPr>
          <w:i/>
          <w:iCs/>
        </w:rPr>
        <w:t>Computer networking essentials</w:t>
      </w:r>
      <w:r w:rsidRPr="006026C1">
        <w:t>. Cisco Press, 2001.</w:t>
      </w:r>
    </w:p>
    <w:p w14:paraId="0639731B" w14:textId="77777777" w:rsidR="006026C1" w:rsidRPr="006026C1" w:rsidRDefault="006026C1" w:rsidP="006026C1">
      <w:r w:rsidRPr="006026C1">
        <w:t>[3]</w:t>
      </w:r>
    </w:p>
    <w:p w14:paraId="65019558" w14:textId="77777777" w:rsidR="006026C1" w:rsidRPr="006026C1" w:rsidRDefault="006026C1" w:rsidP="006026C1">
      <w:r w:rsidRPr="006026C1">
        <w:t>F. D. Protection, “General data protection regulation (GDPR),” vol. 24, no. 1, 2018.</w:t>
      </w:r>
    </w:p>
    <w:p w14:paraId="08CB3633" w14:textId="77777777" w:rsidR="006026C1" w:rsidRPr="006026C1" w:rsidRDefault="006026C1" w:rsidP="006026C1">
      <w:r w:rsidRPr="006026C1">
        <w:lastRenderedPageBreak/>
        <w:t>[4]</w:t>
      </w:r>
    </w:p>
    <w:p w14:paraId="76EB0536" w14:textId="77777777" w:rsidR="006026C1" w:rsidRPr="006026C1" w:rsidRDefault="006026C1" w:rsidP="006026C1">
      <w:r w:rsidRPr="006026C1">
        <w:t>U. States. S. of Documents, </w:t>
      </w:r>
      <w:r w:rsidRPr="006026C1">
        <w:rPr>
          <w:i/>
          <w:iCs/>
        </w:rPr>
        <w:t>National Institute of Standards and Technology</w:t>
      </w:r>
      <w:r w:rsidRPr="006026C1">
        <w:t>. US Government Printing Office, 1992.</w:t>
      </w:r>
    </w:p>
    <w:p w14:paraId="3133DBC9" w14:textId="77777777" w:rsidR="006026C1" w:rsidRPr="006026C1" w:rsidRDefault="006026C1" w:rsidP="006026C1">
      <w:r w:rsidRPr="006026C1">
        <w:t>[5]</w:t>
      </w:r>
    </w:p>
    <w:p w14:paraId="2D83688A" w14:textId="77777777" w:rsidR="006026C1" w:rsidRPr="006026C1" w:rsidRDefault="006026C1" w:rsidP="006026C1">
      <w:r w:rsidRPr="006026C1">
        <w:t xml:space="preserve">L. </w:t>
      </w:r>
      <w:proofErr w:type="spellStart"/>
      <w:r w:rsidRPr="006026C1">
        <w:t>Ertaul</w:t>
      </w:r>
      <w:proofErr w:type="spellEnd"/>
      <w:r w:rsidRPr="006026C1">
        <w:t>, L. H. Encinas, and E. El-Sheikh, “Computer and Network Security Essentials”.</w:t>
      </w:r>
    </w:p>
    <w:p w14:paraId="254E4AA7" w14:textId="77777777" w:rsidR="006026C1" w:rsidRPr="006026C1" w:rsidRDefault="006026C1" w:rsidP="006026C1">
      <w:r w:rsidRPr="006026C1">
        <w:t>[6]</w:t>
      </w:r>
    </w:p>
    <w:p w14:paraId="4792BE50" w14:textId="77777777" w:rsidR="006026C1" w:rsidRPr="006026C1" w:rsidRDefault="006026C1" w:rsidP="006026C1">
      <w:r w:rsidRPr="006026C1">
        <w:t>E.-H. Nah </w:t>
      </w:r>
      <w:r w:rsidRPr="006026C1">
        <w:rPr>
          <w:i/>
          <w:iCs/>
        </w:rPr>
        <w:t>et al.</w:t>
      </w:r>
      <w:r w:rsidRPr="006026C1">
        <w:t>, “International organization for standardization (ISO) 15189,” vol. 37, no. 5, pp. 365–370, 2017.</w:t>
      </w:r>
    </w:p>
    <w:p w14:paraId="639BCE24" w14:textId="77777777" w:rsidR="006026C1" w:rsidRPr="006026C1" w:rsidRDefault="006026C1" w:rsidP="006026C1">
      <w:r w:rsidRPr="006026C1">
        <w:t>[7]</w:t>
      </w:r>
    </w:p>
    <w:p w14:paraId="6B401511" w14:textId="77777777" w:rsidR="006026C1" w:rsidRPr="006026C1" w:rsidRDefault="006026C1" w:rsidP="006026C1">
      <w:r w:rsidRPr="006026C1">
        <w:t xml:space="preserve">I. Lella, E. </w:t>
      </w:r>
      <w:proofErr w:type="spellStart"/>
      <w:r w:rsidRPr="006026C1">
        <w:t>Tsekmezoglou</w:t>
      </w:r>
      <w:proofErr w:type="spellEnd"/>
      <w:r w:rsidRPr="006026C1">
        <w:t>, R. S. Naydenov, and C. Ciobanu, “European Union Agency for Cyber Security (ENISA) Threat Landscape,” 2022.</w:t>
      </w:r>
    </w:p>
    <w:p w14:paraId="14750CCA" w14:textId="77777777" w:rsidR="006026C1" w:rsidRPr="006026C1" w:rsidRDefault="006026C1" w:rsidP="006026C1">
      <w:r w:rsidRPr="006026C1">
        <w:t>[8]</w:t>
      </w:r>
    </w:p>
    <w:p w14:paraId="69784C2A" w14:textId="77777777" w:rsidR="006026C1" w:rsidRPr="006026C1" w:rsidRDefault="006026C1" w:rsidP="006026C1">
      <w:r w:rsidRPr="006026C1">
        <w:t>F. C. Authority, “Financial Conduct Authority,” 2018.</w:t>
      </w:r>
    </w:p>
    <w:p w14:paraId="470EDC98" w14:textId="77777777" w:rsidR="006026C1" w:rsidRPr="006026C1" w:rsidRDefault="006026C1" w:rsidP="006026C1">
      <w:r w:rsidRPr="006026C1">
        <w:t>[9]</w:t>
      </w:r>
    </w:p>
    <w:p w14:paraId="20319E4B" w14:textId="77777777" w:rsidR="006026C1" w:rsidRPr="006026C1" w:rsidRDefault="006026C1" w:rsidP="006026C1">
      <w:r w:rsidRPr="006026C1">
        <w:t>S. Bartha, R. Ballantine, and D. Aspinall, “Measuring Cyber Essentials Security Policies,” presented at the Proceedings of the 17th Cyber Security Experimentation and Test Workshop, 2024, pp. 17–26.</w:t>
      </w:r>
    </w:p>
    <w:p w14:paraId="2A926C61" w14:textId="77777777" w:rsidR="006026C1" w:rsidRPr="006026C1" w:rsidRDefault="006026C1" w:rsidP="006026C1">
      <w:r w:rsidRPr="006026C1">
        <w:t>[10]</w:t>
      </w:r>
    </w:p>
    <w:p w14:paraId="4E548381" w14:textId="77777777" w:rsidR="006026C1" w:rsidRPr="006026C1" w:rsidRDefault="006026C1" w:rsidP="006026C1">
      <w:r w:rsidRPr="006026C1">
        <w:t xml:space="preserve">S. A. </w:t>
      </w:r>
      <w:proofErr w:type="spellStart"/>
      <w:r w:rsidRPr="006026C1">
        <w:t>Bialous</w:t>
      </w:r>
      <w:proofErr w:type="spellEnd"/>
      <w:r w:rsidRPr="006026C1">
        <w:t xml:space="preserve"> and D. Yach, “Whose standard is it, anyway? How the tobacco industry determines the International Organization for Standardization (ISO) standards for tobacco and tobacco products,” vol. 10, no. 2, pp. 96–104, 2001.</w:t>
      </w:r>
    </w:p>
    <w:p w14:paraId="26D76B97" w14:textId="77777777" w:rsidR="008B2693" w:rsidRPr="008B2693" w:rsidRDefault="008B2693" w:rsidP="002254C6">
      <w:pPr>
        <w:jc w:val="both"/>
      </w:pPr>
    </w:p>
    <w:p w14:paraId="5D556594" w14:textId="56BC04D0" w:rsidR="008B2693" w:rsidRPr="008B2693" w:rsidRDefault="00865FD0">
      <w:pPr>
        <w:rPr>
          <w:sz w:val="52"/>
          <w:szCs w:val="52"/>
        </w:rPr>
      </w:pPr>
      <w:r w:rsidRPr="00865FD0">
        <w:rPr>
          <w:noProof/>
          <w:sz w:val="52"/>
          <w:szCs w:val="52"/>
        </w:rPr>
        <w:lastRenderedPageBreak/>
        <w:drawing>
          <wp:inline distT="0" distB="0" distL="0" distR="0" wp14:anchorId="06118C96" wp14:editId="082BD273">
            <wp:extent cx="5731510" cy="2915920"/>
            <wp:effectExtent l="0" t="0" r="2540" b="0"/>
            <wp:docPr id="103119656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196567" name="Picture 1" descr="A screenshot of a computer program&#10;&#10;AI-generated content may be incorrect."/>
                    <pic:cNvPicPr/>
                  </pic:nvPicPr>
                  <pic:blipFill>
                    <a:blip r:embed="rId23"/>
                    <a:stretch>
                      <a:fillRect/>
                    </a:stretch>
                  </pic:blipFill>
                  <pic:spPr>
                    <a:xfrm>
                      <a:off x="0" y="0"/>
                      <a:ext cx="5731510" cy="2915920"/>
                    </a:xfrm>
                    <a:prstGeom prst="rect">
                      <a:avLst/>
                    </a:prstGeom>
                  </pic:spPr>
                </pic:pic>
              </a:graphicData>
            </a:graphic>
          </wp:inline>
        </w:drawing>
      </w:r>
    </w:p>
    <w:sectPr w:rsidR="008B2693" w:rsidRPr="008B2693" w:rsidSect="00DF08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1274F" w14:textId="77777777" w:rsidR="0067011A" w:rsidRDefault="0067011A" w:rsidP="008C37B6">
      <w:pPr>
        <w:spacing w:after="0" w:line="240" w:lineRule="auto"/>
      </w:pPr>
      <w:r>
        <w:separator/>
      </w:r>
    </w:p>
  </w:endnote>
  <w:endnote w:type="continuationSeparator" w:id="0">
    <w:p w14:paraId="45BD0790" w14:textId="77777777" w:rsidR="0067011A" w:rsidRDefault="0067011A" w:rsidP="008C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BE2BF" w14:textId="77777777" w:rsidR="0067011A" w:rsidRDefault="0067011A" w:rsidP="008C37B6">
      <w:pPr>
        <w:spacing w:after="0" w:line="240" w:lineRule="auto"/>
      </w:pPr>
      <w:r>
        <w:separator/>
      </w:r>
    </w:p>
  </w:footnote>
  <w:footnote w:type="continuationSeparator" w:id="0">
    <w:p w14:paraId="4CF6EAEB" w14:textId="77777777" w:rsidR="0067011A" w:rsidRDefault="0067011A" w:rsidP="008C3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E02BF"/>
    <w:multiLevelType w:val="multilevel"/>
    <w:tmpl w:val="1D1E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84253"/>
    <w:multiLevelType w:val="multilevel"/>
    <w:tmpl w:val="4AA6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52410"/>
    <w:multiLevelType w:val="multilevel"/>
    <w:tmpl w:val="40405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FF3B4D"/>
    <w:multiLevelType w:val="multilevel"/>
    <w:tmpl w:val="5D2C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239E4"/>
    <w:multiLevelType w:val="multilevel"/>
    <w:tmpl w:val="434C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83ADC"/>
    <w:multiLevelType w:val="multilevel"/>
    <w:tmpl w:val="72E4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C5E9A"/>
    <w:multiLevelType w:val="multilevel"/>
    <w:tmpl w:val="178C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F4BA4"/>
    <w:multiLevelType w:val="multilevel"/>
    <w:tmpl w:val="18B4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53D7D"/>
    <w:multiLevelType w:val="multilevel"/>
    <w:tmpl w:val="35A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84771"/>
    <w:multiLevelType w:val="multilevel"/>
    <w:tmpl w:val="F5B8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36521"/>
    <w:multiLevelType w:val="multilevel"/>
    <w:tmpl w:val="E820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10251D"/>
    <w:multiLevelType w:val="multilevel"/>
    <w:tmpl w:val="151E8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9D59D8"/>
    <w:multiLevelType w:val="multilevel"/>
    <w:tmpl w:val="D3AA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E72B4"/>
    <w:multiLevelType w:val="multilevel"/>
    <w:tmpl w:val="684A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242D7"/>
    <w:multiLevelType w:val="multilevel"/>
    <w:tmpl w:val="E0D8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773ACA"/>
    <w:multiLevelType w:val="multilevel"/>
    <w:tmpl w:val="1962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D23FC9"/>
    <w:multiLevelType w:val="multilevel"/>
    <w:tmpl w:val="6F4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013509"/>
    <w:multiLevelType w:val="multilevel"/>
    <w:tmpl w:val="B254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776B99"/>
    <w:multiLevelType w:val="multilevel"/>
    <w:tmpl w:val="3690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A729ED"/>
    <w:multiLevelType w:val="multilevel"/>
    <w:tmpl w:val="532E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F682B"/>
    <w:multiLevelType w:val="multilevel"/>
    <w:tmpl w:val="FB90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656C14"/>
    <w:multiLevelType w:val="multilevel"/>
    <w:tmpl w:val="1428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7A74B3"/>
    <w:multiLevelType w:val="multilevel"/>
    <w:tmpl w:val="9AE6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AD4DDC"/>
    <w:multiLevelType w:val="multilevel"/>
    <w:tmpl w:val="825E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986879">
    <w:abstractNumId w:val="2"/>
  </w:num>
  <w:num w:numId="2" w16cid:durableId="1241329470">
    <w:abstractNumId w:val="11"/>
  </w:num>
  <w:num w:numId="3" w16cid:durableId="1977948650">
    <w:abstractNumId w:val="7"/>
  </w:num>
  <w:num w:numId="4" w16cid:durableId="436369781">
    <w:abstractNumId w:val="13"/>
  </w:num>
  <w:num w:numId="5" w16cid:durableId="119225453">
    <w:abstractNumId w:val="15"/>
  </w:num>
  <w:num w:numId="6" w16cid:durableId="2047173309">
    <w:abstractNumId w:val="18"/>
  </w:num>
  <w:num w:numId="7" w16cid:durableId="223416929">
    <w:abstractNumId w:val="8"/>
  </w:num>
  <w:num w:numId="8" w16cid:durableId="1432386382">
    <w:abstractNumId w:val="14"/>
  </w:num>
  <w:num w:numId="9" w16cid:durableId="203102167">
    <w:abstractNumId w:val="6"/>
  </w:num>
  <w:num w:numId="10" w16cid:durableId="1657031294">
    <w:abstractNumId w:val="19"/>
  </w:num>
  <w:num w:numId="11" w16cid:durableId="15428489">
    <w:abstractNumId w:val="3"/>
  </w:num>
  <w:num w:numId="12" w16cid:durableId="528185073">
    <w:abstractNumId w:val="9"/>
  </w:num>
  <w:num w:numId="13" w16cid:durableId="1060715568">
    <w:abstractNumId w:val="10"/>
  </w:num>
  <w:num w:numId="14" w16cid:durableId="956638513">
    <w:abstractNumId w:val="12"/>
  </w:num>
  <w:num w:numId="15" w16cid:durableId="1276791222">
    <w:abstractNumId w:val="1"/>
  </w:num>
  <w:num w:numId="16" w16cid:durableId="1563785029">
    <w:abstractNumId w:val="0"/>
  </w:num>
  <w:num w:numId="17" w16cid:durableId="1456170523">
    <w:abstractNumId w:val="16"/>
  </w:num>
  <w:num w:numId="18" w16cid:durableId="911696588">
    <w:abstractNumId w:val="20"/>
  </w:num>
  <w:num w:numId="19" w16cid:durableId="1252616291">
    <w:abstractNumId w:val="21"/>
  </w:num>
  <w:num w:numId="20" w16cid:durableId="63651127">
    <w:abstractNumId w:val="17"/>
  </w:num>
  <w:num w:numId="21" w16cid:durableId="403723093">
    <w:abstractNumId w:val="5"/>
  </w:num>
  <w:num w:numId="22" w16cid:durableId="121074864">
    <w:abstractNumId w:val="4"/>
  </w:num>
  <w:num w:numId="23" w16cid:durableId="679894478">
    <w:abstractNumId w:val="22"/>
  </w:num>
  <w:num w:numId="24" w16cid:durableId="1267777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27"/>
    <w:rsid w:val="00020D76"/>
    <w:rsid w:val="0003095C"/>
    <w:rsid w:val="00195BE6"/>
    <w:rsid w:val="001B4CF3"/>
    <w:rsid w:val="001C5668"/>
    <w:rsid w:val="001E3B07"/>
    <w:rsid w:val="002254C6"/>
    <w:rsid w:val="00264B5A"/>
    <w:rsid w:val="00265F00"/>
    <w:rsid w:val="002D6686"/>
    <w:rsid w:val="00345F8D"/>
    <w:rsid w:val="003700B2"/>
    <w:rsid w:val="0037398C"/>
    <w:rsid w:val="003B027D"/>
    <w:rsid w:val="003B162C"/>
    <w:rsid w:val="00420E5E"/>
    <w:rsid w:val="00476999"/>
    <w:rsid w:val="00496584"/>
    <w:rsid w:val="004D39E8"/>
    <w:rsid w:val="005F1944"/>
    <w:rsid w:val="006026C1"/>
    <w:rsid w:val="00640E15"/>
    <w:rsid w:val="0067011A"/>
    <w:rsid w:val="006848BA"/>
    <w:rsid w:val="00751995"/>
    <w:rsid w:val="00756CF3"/>
    <w:rsid w:val="0076328D"/>
    <w:rsid w:val="00765491"/>
    <w:rsid w:val="0078768D"/>
    <w:rsid w:val="00865FD0"/>
    <w:rsid w:val="008A1FD9"/>
    <w:rsid w:val="008B2693"/>
    <w:rsid w:val="008C37B6"/>
    <w:rsid w:val="0093187C"/>
    <w:rsid w:val="009765E9"/>
    <w:rsid w:val="009D7B20"/>
    <w:rsid w:val="00A158E4"/>
    <w:rsid w:val="00AD78A5"/>
    <w:rsid w:val="00B75E81"/>
    <w:rsid w:val="00BB5D3F"/>
    <w:rsid w:val="00BF510F"/>
    <w:rsid w:val="00C64C77"/>
    <w:rsid w:val="00CA01B6"/>
    <w:rsid w:val="00DA26DB"/>
    <w:rsid w:val="00DE4554"/>
    <w:rsid w:val="00DF0812"/>
    <w:rsid w:val="00DF240B"/>
    <w:rsid w:val="00E1416B"/>
    <w:rsid w:val="00E51296"/>
    <w:rsid w:val="00E81DD9"/>
    <w:rsid w:val="00EA2227"/>
    <w:rsid w:val="00EB68E2"/>
    <w:rsid w:val="00ED12BB"/>
    <w:rsid w:val="00FE5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5B3D3"/>
  <w15:chartTrackingRefBased/>
  <w15:docId w15:val="{86542BB0-82A0-4867-83ED-31B5C3F4A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227"/>
    <w:rPr>
      <w:rFonts w:eastAsiaTheme="majorEastAsia" w:cstheme="majorBidi"/>
      <w:color w:val="272727" w:themeColor="text1" w:themeTint="D8"/>
    </w:rPr>
  </w:style>
  <w:style w:type="paragraph" w:styleId="Title">
    <w:name w:val="Title"/>
    <w:basedOn w:val="Normal"/>
    <w:next w:val="Normal"/>
    <w:link w:val="TitleChar"/>
    <w:uiPriority w:val="10"/>
    <w:qFormat/>
    <w:rsid w:val="00EA2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227"/>
    <w:pPr>
      <w:spacing w:before="160"/>
      <w:jc w:val="center"/>
    </w:pPr>
    <w:rPr>
      <w:i/>
      <w:iCs/>
      <w:color w:val="404040" w:themeColor="text1" w:themeTint="BF"/>
    </w:rPr>
  </w:style>
  <w:style w:type="character" w:customStyle="1" w:styleId="QuoteChar">
    <w:name w:val="Quote Char"/>
    <w:basedOn w:val="DefaultParagraphFont"/>
    <w:link w:val="Quote"/>
    <w:uiPriority w:val="29"/>
    <w:rsid w:val="00EA2227"/>
    <w:rPr>
      <w:i/>
      <w:iCs/>
      <w:color w:val="404040" w:themeColor="text1" w:themeTint="BF"/>
    </w:rPr>
  </w:style>
  <w:style w:type="paragraph" w:styleId="ListParagraph">
    <w:name w:val="List Paragraph"/>
    <w:basedOn w:val="Normal"/>
    <w:uiPriority w:val="34"/>
    <w:qFormat/>
    <w:rsid w:val="00EA2227"/>
    <w:pPr>
      <w:ind w:left="720"/>
      <w:contextualSpacing/>
    </w:pPr>
  </w:style>
  <w:style w:type="character" w:styleId="IntenseEmphasis">
    <w:name w:val="Intense Emphasis"/>
    <w:basedOn w:val="DefaultParagraphFont"/>
    <w:uiPriority w:val="21"/>
    <w:qFormat/>
    <w:rsid w:val="00EA2227"/>
    <w:rPr>
      <w:i/>
      <w:iCs/>
      <w:color w:val="0F4761" w:themeColor="accent1" w:themeShade="BF"/>
    </w:rPr>
  </w:style>
  <w:style w:type="paragraph" w:styleId="IntenseQuote">
    <w:name w:val="Intense Quote"/>
    <w:basedOn w:val="Normal"/>
    <w:next w:val="Normal"/>
    <w:link w:val="IntenseQuoteChar"/>
    <w:uiPriority w:val="30"/>
    <w:qFormat/>
    <w:rsid w:val="00EA2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227"/>
    <w:rPr>
      <w:i/>
      <w:iCs/>
      <w:color w:val="0F4761" w:themeColor="accent1" w:themeShade="BF"/>
    </w:rPr>
  </w:style>
  <w:style w:type="character" w:styleId="IntenseReference">
    <w:name w:val="Intense Reference"/>
    <w:basedOn w:val="DefaultParagraphFont"/>
    <w:uiPriority w:val="32"/>
    <w:qFormat/>
    <w:rsid w:val="00EA2227"/>
    <w:rPr>
      <w:b/>
      <w:bCs/>
      <w:smallCaps/>
      <w:color w:val="0F4761" w:themeColor="accent1" w:themeShade="BF"/>
      <w:spacing w:val="5"/>
    </w:rPr>
  </w:style>
  <w:style w:type="paragraph" w:styleId="NoSpacing">
    <w:name w:val="No Spacing"/>
    <w:link w:val="NoSpacingChar"/>
    <w:uiPriority w:val="1"/>
    <w:qFormat/>
    <w:rsid w:val="00DF081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F0812"/>
    <w:rPr>
      <w:rFonts w:eastAsiaTheme="minorEastAsia"/>
      <w:kern w:val="0"/>
      <w:sz w:val="22"/>
      <w:szCs w:val="22"/>
      <w:lang w:val="en-US"/>
      <w14:ligatures w14:val="none"/>
    </w:rPr>
  </w:style>
  <w:style w:type="paragraph" w:styleId="NormalWeb">
    <w:name w:val="Normal (Web)"/>
    <w:basedOn w:val="Normal"/>
    <w:uiPriority w:val="99"/>
    <w:semiHidden/>
    <w:unhideWhenUsed/>
    <w:rsid w:val="007876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8768D"/>
    <w:rPr>
      <w:b/>
      <w:bCs/>
    </w:rPr>
  </w:style>
  <w:style w:type="paragraph" w:styleId="TOCHeading">
    <w:name w:val="TOC Heading"/>
    <w:basedOn w:val="Heading1"/>
    <w:next w:val="Normal"/>
    <w:uiPriority w:val="39"/>
    <w:unhideWhenUsed/>
    <w:qFormat/>
    <w:rsid w:val="002254C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254C6"/>
    <w:pPr>
      <w:spacing w:after="100"/>
    </w:pPr>
  </w:style>
  <w:style w:type="character" w:styleId="Hyperlink">
    <w:name w:val="Hyperlink"/>
    <w:basedOn w:val="DefaultParagraphFont"/>
    <w:uiPriority w:val="99"/>
    <w:unhideWhenUsed/>
    <w:rsid w:val="002254C6"/>
    <w:rPr>
      <w:color w:val="467886" w:themeColor="hyperlink"/>
      <w:u w:val="single"/>
    </w:rPr>
  </w:style>
  <w:style w:type="paragraph" w:styleId="Header">
    <w:name w:val="header"/>
    <w:basedOn w:val="Normal"/>
    <w:link w:val="HeaderChar"/>
    <w:uiPriority w:val="99"/>
    <w:unhideWhenUsed/>
    <w:rsid w:val="008C3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7B6"/>
  </w:style>
  <w:style w:type="paragraph" w:styleId="Footer">
    <w:name w:val="footer"/>
    <w:basedOn w:val="Normal"/>
    <w:link w:val="FooterChar"/>
    <w:uiPriority w:val="99"/>
    <w:unhideWhenUsed/>
    <w:rsid w:val="008C3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sv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jp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png"/><Relationship Id="rId22" Type="http://schemas.openxmlformats.org/officeDocument/2006/relationships/image" Target="media/image1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ADE75E-89A1-43AF-B41E-BD37330D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15</Pages>
  <Words>2882</Words>
  <Characters>18452</Characters>
  <Application>Microsoft Office Word</Application>
  <DocSecurity>0</DocSecurity>
  <Lines>329</Lines>
  <Paragraphs>74</Paragraphs>
  <ScaleCrop>false</ScaleCrop>
  <HeadingPairs>
    <vt:vector size="2" baseType="variant">
      <vt:variant>
        <vt:lpstr>Title</vt:lpstr>
      </vt:variant>
      <vt:variant>
        <vt:i4>1</vt:i4>
      </vt:variant>
    </vt:vector>
  </HeadingPairs>
  <TitlesOfParts>
    <vt:vector size="1" baseType="lpstr">
      <vt:lpstr>Networks and Cyber Security Essentials</vt:lpstr>
    </vt:vector>
  </TitlesOfParts>
  <Company>University of Wales Trinity Saint David ACC4024</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Darina Tsoneva</dc:creator>
  <cp:keywords/>
  <dc:description/>
  <cp:lastModifiedBy>Nikola Velev</cp:lastModifiedBy>
  <cp:revision>13</cp:revision>
  <dcterms:created xsi:type="dcterms:W3CDTF">2025-10-09T18:42:00Z</dcterms:created>
  <dcterms:modified xsi:type="dcterms:W3CDTF">2025-12-15T16:31:00Z</dcterms:modified>
</cp:coreProperties>
</file>