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B4AC0" w:rsidRPr="00EA0B5A" w:rsidRDefault="00000000">
      <w:pPr>
        <w:spacing w:beforeLines="200" w:before="624" w:after="40" w:line="480" w:lineRule="auto"/>
        <w:ind w:firstLineChars="200" w:firstLine="1440"/>
        <w:jc w:val="center"/>
        <w:rPr>
          <w:rFonts w:ascii="Times New Roman" w:hAnsi="Times New Roman" w:cs="Times New Roman"/>
          <w:sz w:val="72"/>
          <w:szCs w:val="72"/>
        </w:rPr>
      </w:pPr>
      <w:r w:rsidRPr="00EA0B5A">
        <w:rPr>
          <w:rFonts w:ascii="Times New Roman" w:hAnsi="Times New Roman" w:cs="Times New Roman"/>
          <w:sz w:val="72"/>
          <w:szCs w:val="72"/>
        </w:rPr>
        <w:t>A Critical Analysis of Marks &amp; Spencer’s Acquisition of Gist Limited</w:t>
      </w:r>
    </w:p>
    <w:p w:rsidR="002B4AC0" w:rsidRPr="00EA0B5A" w:rsidRDefault="002B4AC0">
      <w:pPr>
        <w:spacing w:beforeLines="200" w:before="624" w:after="40" w:line="480" w:lineRule="auto"/>
        <w:ind w:firstLineChars="200" w:firstLine="480"/>
        <w:rPr>
          <w:rFonts w:ascii="Times New Roman" w:hAnsi="Times New Roman" w:cs="Times New Roman"/>
          <w:sz w:val="24"/>
        </w:rPr>
      </w:pP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sz w:val="28"/>
          <w:szCs w:val="28"/>
        </w:rPr>
        <w:t>Lecturer: Badir Miftah</w:t>
      </w: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sz w:val="28"/>
          <w:szCs w:val="28"/>
        </w:rPr>
        <w:t>Module code: BMBM6007</w:t>
      </w: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sz w:val="28"/>
          <w:szCs w:val="28"/>
        </w:rPr>
        <w:t>Student name: Xiangjun Chen</w:t>
      </w:r>
    </w:p>
    <w:p w:rsidR="002B4AC0"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hint="eastAsia"/>
          <w:sz w:val="28"/>
          <w:szCs w:val="28"/>
        </w:rPr>
        <w:t>Student ID: 2503716</w:t>
      </w:r>
    </w:p>
    <w:p w:rsidR="00A0795C" w:rsidRPr="00A0795C" w:rsidRDefault="00A0795C">
      <w:pPr>
        <w:spacing w:beforeLines="200" w:before="624" w:after="40" w:line="480" w:lineRule="auto"/>
        <w:ind w:firstLineChars="200" w:firstLine="560"/>
        <w:jc w:val="center"/>
        <w:rPr>
          <w:rFonts w:ascii="Times New Roman" w:hAnsi="Times New Roman" w:cs="Times New Roman" w:hint="eastAsia"/>
          <w:sz w:val="28"/>
          <w:szCs w:val="28"/>
        </w:rPr>
      </w:pPr>
      <w:r>
        <w:rPr>
          <w:rFonts w:ascii="Times New Roman" w:hAnsi="Times New Roman" w:cs="Times New Roman"/>
          <w:sz w:val="28"/>
          <w:szCs w:val="28"/>
        </w:rPr>
        <w:t>D</w:t>
      </w:r>
      <w:r>
        <w:rPr>
          <w:rFonts w:ascii="Times New Roman" w:hAnsi="Times New Roman" w:cs="Times New Roman" w:hint="eastAsia"/>
          <w:sz w:val="28"/>
          <w:szCs w:val="28"/>
        </w:rPr>
        <w:t>ate Submitted: 27 March 2026</w:t>
      </w:r>
    </w:p>
    <w:p w:rsidR="002B4AC0" w:rsidRPr="00EA0B5A" w:rsidRDefault="006C052A">
      <w:pPr>
        <w:widowControl/>
        <w:spacing w:beforeLines="200" w:before="624" w:after="40" w:line="480" w:lineRule="auto"/>
        <w:ind w:firstLineChars="200" w:firstLine="1120"/>
        <w:rPr>
          <w:rFonts w:ascii="Times New Roman" w:hAnsi="Times New Roman" w:cs="Times New Roman"/>
          <w:sz w:val="56"/>
          <w:szCs w:val="56"/>
        </w:rPr>
      </w:pPr>
      <w:r w:rsidRPr="00EA0B5A">
        <w:rPr>
          <w:rFonts w:ascii="Times New Roman" w:hAnsi="Times New Roman" w:cs="Times New Roman"/>
          <w:sz w:val="56"/>
          <w:szCs w:val="56"/>
        </w:rPr>
        <w:br w:type="page"/>
      </w:r>
    </w:p>
    <w:p w:rsidR="002B4AC0" w:rsidRPr="00EA0B5A" w:rsidRDefault="00000000">
      <w:pPr>
        <w:spacing w:beforeLines="200" w:before="624" w:after="40" w:line="480" w:lineRule="auto"/>
        <w:ind w:firstLineChars="200" w:firstLine="480"/>
        <w:rPr>
          <w:rFonts w:ascii="Times New Roman" w:hAnsi="Times New Roman" w:cs="Times New Roman"/>
          <w:b/>
          <w:bCs/>
          <w:sz w:val="24"/>
        </w:rPr>
      </w:pPr>
      <w:r w:rsidRPr="00EA0B5A">
        <w:rPr>
          <w:rFonts w:ascii="Times New Roman" w:hAnsi="Times New Roman" w:cs="Times New Roman"/>
          <w:b/>
          <w:bCs/>
          <w:sz w:val="24"/>
        </w:rPr>
        <w:lastRenderedPageBreak/>
        <w:t>catalogue</w:t>
      </w:r>
    </w:p>
    <w:sdt>
      <w:sdtPr>
        <w:rPr>
          <w:rFonts w:ascii="宋体" w:eastAsia="宋体" w:hAnsi="宋体"/>
          <w:sz w:val="21"/>
        </w:rPr>
        <w:id w:val="147450921"/>
        <w15:color w:val="DBDBDB"/>
        <w:docPartObj>
          <w:docPartGallery w:val="Table of Contents"/>
          <w:docPartUnique/>
        </w:docPartObj>
      </w:sdtPr>
      <w:sdtContent>
        <w:p w:rsidR="002B4AC0" w:rsidRPr="00EA0B5A" w:rsidRDefault="002B4AC0">
          <w:pPr>
            <w:spacing w:after="0" w:line="240" w:lineRule="auto"/>
            <w:jc w:val="center"/>
          </w:pPr>
        </w:p>
        <w:p w:rsidR="002B4AC0" w:rsidRPr="00EA0B5A" w:rsidRDefault="00000000">
          <w:pPr>
            <w:pStyle w:val="TOC1"/>
            <w:tabs>
              <w:tab w:val="right" w:leader="dot" w:pos="8306"/>
            </w:tabs>
          </w:pPr>
          <w:r w:rsidRPr="00EA0B5A">
            <w:fldChar w:fldCharType="begin"/>
          </w:r>
          <w:r w:rsidRPr="00EA0B5A">
            <w:instrText xml:space="preserve">TOC \o "1-1" \h \u </w:instrText>
          </w:r>
          <w:r w:rsidRPr="00EA0B5A">
            <w:fldChar w:fldCharType="separate"/>
          </w:r>
          <w:hyperlink w:anchor="_Toc5578" w:history="1">
            <w:r w:rsidR="002B4AC0" w:rsidRPr="00EA0B5A">
              <w:rPr>
                <w:rFonts w:ascii="Times New Roman" w:hAnsi="Times New Roman" w:cs="Times New Roman" w:hint="eastAsia"/>
                <w:bCs/>
                <w:szCs w:val="28"/>
              </w:rPr>
              <w:t xml:space="preserve">1.1 </w:t>
            </w:r>
            <w:r w:rsidR="002B4AC0" w:rsidRPr="00EA0B5A">
              <w:rPr>
                <w:rFonts w:ascii="Times New Roman" w:hAnsi="Times New Roman" w:cs="Times New Roman"/>
                <w:bCs/>
                <w:szCs w:val="28"/>
              </w:rPr>
              <w:t>Executive Summary</w:t>
            </w:r>
            <w:r w:rsidR="002B4AC0" w:rsidRPr="00EA0B5A">
              <w:tab/>
            </w:r>
            <w:r w:rsidR="002B4AC0" w:rsidRPr="00EA0B5A">
              <w:fldChar w:fldCharType="begin"/>
            </w:r>
            <w:r w:rsidR="002B4AC0" w:rsidRPr="00EA0B5A">
              <w:instrText xml:space="preserve"> PAGEREF _Toc5578 \h </w:instrText>
            </w:r>
            <w:r w:rsidR="002B4AC0" w:rsidRPr="00EA0B5A">
              <w:fldChar w:fldCharType="separate"/>
            </w:r>
            <w:r w:rsidR="002B4AC0" w:rsidRPr="00EA0B5A">
              <w:t>3</w:t>
            </w:r>
            <w:r w:rsidR="002B4AC0" w:rsidRPr="00EA0B5A">
              <w:fldChar w:fldCharType="end"/>
            </w:r>
          </w:hyperlink>
        </w:p>
        <w:p w:rsidR="002B4AC0" w:rsidRPr="00EA0B5A" w:rsidRDefault="002B4AC0">
          <w:pPr>
            <w:pStyle w:val="TOC1"/>
            <w:tabs>
              <w:tab w:val="right" w:leader="dot" w:pos="8306"/>
            </w:tabs>
          </w:pPr>
          <w:hyperlink w:anchor="_Toc18917" w:history="1">
            <w:r w:rsidRPr="00EA0B5A">
              <w:rPr>
                <w:rFonts w:ascii="Times New Roman" w:hAnsi="Times New Roman" w:cs="Times New Roman" w:hint="eastAsia"/>
                <w:bCs/>
                <w:szCs w:val="28"/>
              </w:rPr>
              <w:t xml:space="preserve">2.1 </w:t>
            </w:r>
            <w:r w:rsidRPr="00EA0B5A">
              <w:rPr>
                <w:rFonts w:ascii="Times New Roman" w:hAnsi="Times New Roman" w:cs="Times New Roman"/>
                <w:bCs/>
                <w:szCs w:val="28"/>
              </w:rPr>
              <w:t>Introduction</w:t>
            </w:r>
            <w:r w:rsidRPr="00EA0B5A">
              <w:tab/>
            </w:r>
            <w:r w:rsidRPr="00EA0B5A">
              <w:fldChar w:fldCharType="begin"/>
            </w:r>
            <w:r w:rsidRPr="00EA0B5A">
              <w:instrText xml:space="preserve"> PAGEREF _Toc18917 \h </w:instrText>
            </w:r>
            <w:r w:rsidRPr="00EA0B5A">
              <w:fldChar w:fldCharType="separate"/>
            </w:r>
            <w:r w:rsidRPr="00EA0B5A">
              <w:t>4</w:t>
            </w:r>
            <w:r w:rsidRPr="00EA0B5A">
              <w:fldChar w:fldCharType="end"/>
            </w:r>
          </w:hyperlink>
        </w:p>
        <w:p w:rsidR="002B4AC0" w:rsidRPr="00EA0B5A" w:rsidRDefault="002B4AC0">
          <w:pPr>
            <w:pStyle w:val="TOC1"/>
            <w:tabs>
              <w:tab w:val="right" w:leader="dot" w:pos="8306"/>
            </w:tabs>
          </w:pPr>
          <w:hyperlink w:anchor="_Toc26780" w:history="1">
            <w:r w:rsidRPr="00EA0B5A">
              <w:rPr>
                <w:rFonts w:ascii="Times New Roman" w:hAnsi="Times New Roman" w:cs="Times New Roman" w:hint="eastAsia"/>
                <w:bCs/>
                <w:szCs w:val="28"/>
              </w:rPr>
              <w:t xml:space="preserve">3.1 </w:t>
            </w:r>
            <w:r w:rsidRPr="00EA0B5A">
              <w:rPr>
                <w:rFonts w:ascii="Times New Roman" w:hAnsi="Times New Roman" w:cs="Times New Roman"/>
                <w:bCs/>
                <w:szCs w:val="28"/>
              </w:rPr>
              <w:t>Economies of Scale</w:t>
            </w:r>
            <w:r w:rsidRPr="00EA0B5A">
              <w:tab/>
            </w:r>
            <w:r w:rsidRPr="00EA0B5A">
              <w:fldChar w:fldCharType="begin"/>
            </w:r>
            <w:r w:rsidRPr="00EA0B5A">
              <w:instrText xml:space="preserve"> PAGEREF _Toc26780 \h </w:instrText>
            </w:r>
            <w:r w:rsidRPr="00EA0B5A">
              <w:fldChar w:fldCharType="separate"/>
            </w:r>
            <w:r w:rsidRPr="00EA0B5A">
              <w:t>5</w:t>
            </w:r>
            <w:r w:rsidRPr="00EA0B5A">
              <w:fldChar w:fldCharType="end"/>
            </w:r>
          </w:hyperlink>
        </w:p>
        <w:p w:rsidR="002B4AC0" w:rsidRPr="00EA0B5A" w:rsidRDefault="002B4AC0">
          <w:pPr>
            <w:pStyle w:val="TOC1"/>
            <w:tabs>
              <w:tab w:val="right" w:leader="dot" w:pos="8306"/>
            </w:tabs>
          </w:pPr>
          <w:hyperlink w:anchor="_Toc24910" w:history="1">
            <w:r w:rsidRPr="00EA0B5A">
              <w:rPr>
                <w:rFonts w:ascii="Times New Roman" w:hAnsi="Times New Roman" w:cs="Times New Roman" w:hint="eastAsia"/>
                <w:bCs/>
                <w:szCs w:val="28"/>
              </w:rPr>
              <w:t xml:space="preserve">4.1 </w:t>
            </w:r>
            <w:r w:rsidRPr="00EA0B5A">
              <w:rPr>
                <w:rFonts w:ascii="Times New Roman" w:hAnsi="Times New Roman" w:cs="Times New Roman"/>
                <w:bCs/>
                <w:szCs w:val="28"/>
              </w:rPr>
              <w:t>Elimination of Inefficiencies</w:t>
            </w:r>
            <w:r w:rsidRPr="00EA0B5A">
              <w:tab/>
            </w:r>
            <w:r w:rsidRPr="00EA0B5A">
              <w:fldChar w:fldCharType="begin"/>
            </w:r>
            <w:r w:rsidRPr="00EA0B5A">
              <w:instrText xml:space="preserve"> PAGEREF _Toc24910 \h </w:instrText>
            </w:r>
            <w:r w:rsidRPr="00EA0B5A">
              <w:fldChar w:fldCharType="separate"/>
            </w:r>
            <w:r w:rsidRPr="00EA0B5A">
              <w:t>6</w:t>
            </w:r>
            <w:r w:rsidRPr="00EA0B5A">
              <w:fldChar w:fldCharType="end"/>
            </w:r>
          </w:hyperlink>
        </w:p>
        <w:p w:rsidR="002B4AC0" w:rsidRPr="00EA0B5A" w:rsidRDefault="002B4AC0">
          <w:pPr>
            <w:pStyle w:val="TOC1"/>
            <w:tabs>
              <w:tab w:val="right" w:leader="dot" w:pos="8306"/>
            </w:tabs>
          </w:pPr>
          <w:hyperlink w:anchor="_Toc9960" w:history="1">
            <w:r w:rsidRPr="00EA0B5A">
              <w:rPr>
                <w:rFonts w:ascii="Times New Roman" w:hAnsi="Times New Roman" w:cs="Times New Roman" w:hint="eastAsia"/>
                <w:bCs/>
                <w:szCs w:val="28"/>
              </w:rPr>
              <w:t xml:space="preserve">5.1 </w:t>
            </w:r>
            <w:r w:rsidRPr="00EA0B5A">
              <w:rPr>
                <w:rFonts w:ascii="Times New Roman" w:hAnsi="Times New Roman" w:cs="Times New Roman"/>
                <w:bCs/>
                <w:szCs w:val="28"/>
              </w:rPr>
              <w:t>Surplus Cash</w:t>
            </w:r>
            <w:r w:rsidRPr="00EA0B5A">
              <w:tab/>
            </w:r>
            <w:r w:rsidRPr="00EA0B5A">
              <w:fldChar w:fldCharType="begin"/>
            </w:r>
            <w:r w:rsidRPr="00EA0B5A">
              <w:instrText xml:space="preserve"> PAGEREF _Toc9960 \h </w:instrText>
            </w:r>
            <w:r w:rsidRPr="00EA0B5A">
              <w:fldChar w:fldCharType="separate"/>
            </w:r>
            <w:r w:rsidRPr="00EA0B5A">
              <w:t>6</w:t>
            </w:r>
            <w:r w:rsidRPr="00EA0B5A">
              <w:fldChar w:fldCharType="end"/>
            </w:r>
          </w:hyperlink>
        </w:p>
        <w:p w:rsidR="002B4AC0" w:rsidRPr="00EA0B5A" w:rsidRDefault="002B4AC0">
          <w:pPr>
            <w:pStyle w:val="TOC1"/>
            <w:tabs>
              <w:tab w:val="right" w:leader="dot" w:pos="8306"/>
            </w:tabs>
          </w:pPr>
          <w:hyperlink w:anchor="_Toc31870" w:history="1">
            <w:r w:rsidRPr="00EA0B5A">
              <w:rPr>
                <w:rFonts w:ascii="Times New Roman" w:hAnsi="Times New Roman" w:cs="Times New Roman" w:hint="eastAsia"/>
                <w:bCs/>
                <w:szCs w:val="28"/>
              </w:rPr>
              <w:t xml:space="preserve">6.1 </w:t>
            </w:r>
            <w:r w:rsidRPr="00EA0B5A">
              <w:rPr>
                <w:rFonts w:ascii="Times New Roman" w:hAnsi="Times New Roman" w:cs="Times New Roman"/>
                <w:bCs/>
                <w:szCs w:val="28"/>
              </w:rPr>
              <w:t>Market Power</w:t>
            </w:r>
            <w:r w:rsidRPr="00EA0B5A">
              <w:tab/>
            </w:r>
            <w:r w:rsidRPr="00EA0B5A">
              <w:fldChar w:fldCharType="begin"/>
            </w:r>
            <w:r w:rsidRPr="00EA0B5A">
              <w:instrText xml:space="preserve"> PAGEREF _Toc31870 \h </w:instrText>
            </w:r>
            <w:r w:rsidRPr="00EA0B5A">
              <w:fldChar w:fldCharType="separate"/>
            </w:r>
            <w:r w:rsidRPr="00EA0B5A">
              <w:t>7</w:t>
            </w:r>
            <w:r w:rsidRPr="00EA0B5A">
              <w:fldChar w:fldCharType="end"/>
            </w:r>
          </w:hyperlink>
        </w:p>
        <w:p w:rsidR="002B4AC0" w:rsidRPr="00EA0B5A" w:rsidRDefault="002B4AC0">
          <w:pPr>
            <w:pStyle w:val="TOC1"/>
            <w:tabs>
              <w:tab w:val="right" w:leader="dot" w:pos="8306"/>
            </w:tabs>
          </w:pPr>
          <w:hyperlink w:anchor="_Toc10303" w:history="1">
            <w:r w:rsidRPr="00EA0B5A">
              <w:rPr>
                <w:rFonts w:ascii="Times New Roman" w:hAnsi="Times New Roman" w:cs="Times New Roman" w:hint="eastAsia"/>
                <w:bCs/>
                <w:szCs w:val="28"/>
              </w:rPr>
              <w:t xml:space="preserve">7.1 </w:t>
            </w:r>
            <w:r w:rsidRPr="00EA0B5A">
              <w:rPr>
                <w:rFonts w:ascii="Times New Roman" w:hAnsi="Times New Roman" w:cs="Times New Roman"/>
                <w:bCs/>
                <w:szCs w:val="28"/>
              </w:rPr>
              <w:t>Combining Complementary Resources</w:t>
            </w:r>
            <w:r w:rsidRPr="00EA0B5A">
              <w:tab/>
            </w:r>
            <w:r w:rsidRPr="00EA0B5A">
              <w:fldChar w:fldCharType="begin"/>
            </w:r>
            <w:r w:rsidRPr="00EA0B5A">
              <w:instrText xml:space="preserve"> PAGEREF _Toc10303 \h </w:instrText>
            </w:r>
            <w:r w:rsidRPr="00EA0B5A">
              <w:fldChar w:fldCharType="separate"/>
            </w:r>
            <w:r w:rsidRPr="00EA0B5A">
              <w:t>8</w:t>
            </w:r>
            <w:r w:rsidRPr="00EA0B5A">
              <w:fldChar w:fldCharType="end"/>
            </w:r>
          </w:hyperlink>
        </w:p>
        <w:p w:rsidR="002B4AC0" w:rsidRPr="00EA0B5A" w:rsidRDefault="002B4AC0">
          <w:pPr>
            <w:pStyle w:val="TOC1"/>
            <w:tabs>
              <w:tab w:val="right" w:leader="dot" w:pos="8306"/>
            </w:tabs>
          </w:pPr>
          <w:hyperlink w:anchor="_Toc96" w:history="1">
            <w:r w:rsidRPr="00EA0B5A">
              <w:rPr>
                <w:rFonts w:ascii="Times New Roman" w:hAnsi="Times New Roman" w:cs="Times New Roman" w:hint="eastAsia"/>
                <w:bCs/>
                <w:szCs w:val="28"/>
              </w:rPr>
              <w:t xml:space="preserve">10.1 </w:t>
            </w:r>
            <w:r w:rsidRPr="00EA0B5A">
              <w:rPr>
                <w:rFonts w:ascii="Times New Roman" w:hAnsi="Times New Roman" w:cs="Times New Roman"/>
                <w:bCs/>
                <w:szCs w:val="28"/>
              </w:rPr>
              <w:t>Diversification</w:t>
            </w:r>
            <w:r w:rsidRPr="00EA0B5A">
              <w:tab/>
            </w:r>
            <w:r w:rsidRPr="00EA0B5A">
              <w:fldChar w:fldCharType="begin"/>
            </w:r>
            <w:r w:rsidRPr="00EA0B5A">
              <w:instrText xml:space="preserve"> PAGEREF _Toc96 \h </w:instrText>
            </w:r>
            <w:r w:rsidRPr="00EA0B5A">
              <w:fldChar w:fldCharType="separate"/>
            </w:r>
            <w:r w:rsidRPr="00EA0B5A">
              <w:t>10</w:t>
            </w:r>
            <w:r w:rsidRPr="00EA0B5A">
              <w:fldChar w:fldCharType="end"/>
            </w:r>
          </w:hyperlink>
        </w:p>
        <w:p w:rsidR="002B4AC0" w:rsidRPr="00EA0B5A" w:rsidRDefault="002B4AC0">
          <w:pPr>
            <w:pStyle w:val="TOC1"/>
            <w:tabs>
              <w:tab w:val="right" w:leader="dot" w:pos="8306"/>
            </w:tabs>
          </w:pPr>
          <w:hyperlink w:anchor="_Toc765" w:history="1">
            <w:r w:rsidRPr="00EA0B5A">
              <w:rPr>
                <w:rFonts w:ascii="Times New Roman" w:hAnsi="Times New Roman" w:cs="Times New Roman" w:hint="eastAsia"/>
                <w:bCs/>
                <w:szCs w:val="28"/>
              </w:rPr>
              <w:t xml:space="preserve">11.1 </w:t>
            </w:r>
            <w:r w:rsidRPr="00EA0B5A">
              <w:rPr>
                <w:rFonts w:ascii="Times New Roman" w:hAnsi="Times New Roman" w:cs="Times New Roman"/>
                <w:bCs/>
                <w:szCs w:val="28"/>
              </w:rPr>
              <w:t>Regulatory Framework</w:t>
            </w:r>
            <w:r w:rsidRPr="00EA0B5A">
              <w:tab/>
            </w:r>
            <w:r w:rsidRPr="00EA0B5A">
              <w:fldChar w:fldCharType="begin"/>
            </w:r>
            <w:r w:rsidRPr="00EA0B5A">
              <w:instrText xml:space="preserve"> PAGEREF _Toc765 \h </w:instrText>
            </w:r>
            <w:r w:rsidRPr="00EA0B5A">
              <w:fldChar w:fldCharType="separate"/>
            </w:r>
            <w:r w:rsidRPr="00EA0B5A">
              <w:t>11</w:t>
            </w:r>
            <w:r w:rsidRPr="00EA0B5A">
              <w:fldChar w:fldCharType="end"/>
            </w:r>
          </w:hyperlink>
        </w:p>
        <w:p w:rsidR="002B4AC0" w:rsidRPr="00EA0B5A" w:rsidRDefault="002B4AC0">
          <w:pPr>
            <w:pStyle w:val="TOC1"/>
            <w:tabs>
              <w:tab w:val="right" w:leader="dot" w:pos="8306"/>
            </w:tabs>
          </w:pPr>
          <w:hyperlink w:anchor="_Toc17047" w:history="1">
            <w:r w:rsidRPr="00EA0B5A">
              <w:rPr>
                <w:rFonts w:ascii="Times New Roman" w:hAnsi="Times New Roman" w:cs="Times New Roman" w:hint="eastAsia"/>
                <w:bCs/>
                <w:szCs w:val="28"/>
              </w:rPr>
              <w:t xml:space="preserve">12.1 </w:t>
            </w:r>
            <w:r w:rsidRPr="00EA0B5A">
              <w:rPr>
                <w:rFonts w:ascii="Times New Roman" w:hAnsi="Times New Roman" w:cs="Times New Roman"/>
                <w:bCs/>
                <w:szCs w:val="28"/>
              </w:rPr>
              <w:t>Shareholder Wealth</w:t>
            </w:r>
            <w:r w:rsidRPr="00EA0B5A">
              <w:tab/>
            </w:r>
            <w:r w:rsidRPr="00EA0B5A">
              <w:fldChar w:fldCharType="begin"/>
            </w:r>
            <w:r w:rsidRPr="00EA0B5A">
              <w:instrText xml:space="preserve"> PAGEREF _Toc17047 \h </w:instrText>
            </w:r>
            <w:r w:rsidRPr="00EA0B5A">
              <w:fldChar w:fldCharType="separate"/>
            </w:r>
            <w:r w:rsidRPr="00EA0B5A">
              <w:t>11</w:t>
            </w:r>
            <w:r w:rsidRPr="00EA0B5A">
              <w:fldChar w:fldCharType="end"/>
            </w:r>
          </w:hyperlink>
        </w:p>
        <w:p w:rsidR="002B4AC0" w:rsidRPr="00EA0B5A" w:rsidRDefault="002B4AC0">
          <w:pPr>
            <w:pStyle w:val="TOC1"/>
            <w:tabs>
              <w:tab w:val="right" w:leader="dot" w:pos="8306"/>
            </w:tabs>
          </w:pPr>
          <w:hyperlink w:anchor="_Toc13349" w:history="1">
            <w:r w:rsidRPr="00EA0B5A">
              <w:rPr>
                <w:rFonts w:ascii="Times New Roman" w:hAnsi="Times New Roman" w:cs="Times New Roman" w:hint="eastAsia"/>
                <w:bCs/>
                <w:szCs w:val="28"/>
              </w:rPr>
              <w:t xml:space="preserve">13.1 </w:t>
            </w:r>
            <w:r w:rsidRPr="00EA0B5A">
              <w:rPr>
                <w:rFonts w:ascii="Times New Roman" w:hAnsi="Times New Roman" w:cs="Times New Roman"/>
                <w:bCs/>
                <w:szCs w:val="28"/>
              </w:rPr>
              <w:t>Conclusion</w:t>
            </w:r>
            <w:r w:rsidRPr="00EA0B5A">
              <w:tab/>
            </w:r>
            <w:r w:rsidRPr="00EA0B5A">
              <w:fldChar w:fldCharType="begin"/>
            </w:r>
            <w:r w:rsidRPr="00EA0B5A">
              <w:instrText xml:space="preserve"> PAGEREF _Toc13349 \h </w:instrText>
            </w:r>
            <w:r w:rsidRPr="00EA0B5A">
              <w:fldChar w:fldCharType="separate"/>
            </w:r>
            <w:r w:rsidRPr="00EA0B5A">
              <w:t>12</w:t>
            </w:r>
            <w:r w:rsidRPr="00EA0B5A">
              <w:fldChar w:fldCharType="end"/>
            </w:r>
          </w:hyperlink>
        </w:p>
        <w:p w:rsidR="002B4AC0" w:rsidRPr="00EA0B5A" w:rsidRDefault="002B4AC0">
          <w:pPr>
            <w:pStyle w:val="TOC1"/>
            <w:tabs>
              <w:tab w:val="right" w:leader="dot" w:pos="8306"/>
            </w:tabs>
          </w:pPr>
          <w:hyperlink w:anchor="_Toc31325" w:history="1">
            <w:r w:rsidRPr="00EA0B5A">
              <w:rPr>
                <w:rFonts w:ascii="Times New Roman" w:hAnsi="Times New Roman" w:cs="Times New Roman" w:hint="eastAsia"/>
                <w:bCs/>
                <w:szCs w:val="28"/>
              </w:rPr>
              <w:t xml:space="preserve">14.1 </w:t>
            </w:r>
            <w:r w:rsidRPr="00EA0B5A">
              <w:rPr>
                <w:rFonts w:ascii="Times New Roman" w:hAnsi="Times New Roman" w:cs="Times New Roman"/>
                <w:bCs/>
                <w:szCs w:val="28"/>
              </w:rPr>
              <w:t>Reference List</w:t>
            </w:r>
            <w:r w:rsidRPr="00EA0B5A">
              <w:tab/>
            </w:r>
            <w:r w:rsidRPr="00EA0B5A">
              <w:fldChar w:fldCharType="begin"/>
            </w:r>
            <w:r w:rsidRPr="00EA0B5A">
              <w:instrText xml:space="preserve"> PAGEREF _Toc31325 \h </w:instrText>
            </w:r>
            <w:r w:rsidRPr="00EA0B5A">
              <w:fldChar w:fldCharType="separate"/>
            </w:r>
            <w:r w:rsidRPr="00EA0B5A">
              <w:t>13</w:t>
            </w:r>
            <w:r w:rsidRPr="00EA0B5A">
              <w:fldChar w:fldCharType="end"/>
            </w:r>
          </w:hyperlink>
        </w:p>
        <w:p w:rsidR="002B4AC0" w:rsidRPr="00EA0B5A" w:rsidRDefault="00000000">
          <w:r w:rsidRPr="00EA0B5A">
            <w:fldChar w:fldCharType="end"/>
          </w:r>
        </w:p>
      </w:sdtContent>
    </w:sdt>
    <w:p w:rsidR="002B4AC0" w:rsidRPr="00EA0B5A" w:rsidRDefault="002B4AC0"/>
    <w:p w:rsidR="002B4AC0" w:rsidRPr="00EA0B5A" w:rsidRDefault="00000000">
      <w:pPr>
        <w:widowControl/>
        <w:spacing w:beforeLines="200" w:before="624" w:after="40" w:line="480" w:lineRule="auto"/>
        <w:ind w:firstLineChars="200" w:firstLine="480"/>
        <w:rPr>
          <w:rFonts w:ascii="Times New Roman" w:hAnsi="Times New Roman" w:cs="Times New Roman"/>
          <w:sz w:val="24"/>
        </w:rPr>
      </w:pPr>
      <w:r w:rsidRPr="00EA0B5A">
        <w:rPr>
          <w:rFonts w:ascii="Times New Roman" w:hAnsi="Times New Roman" w:cs="Times New Roman"/>
          <w:sz w:val="24"/>
        </w:rPr>
        <w:br w:type="page"/>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0" w:name="_Toc5578"/>
      <w:r w:rsidRPr="00EA0B5A">
        <w:rPr>
          <w:rFonts w:ascii="Times New Roman" w:hAnsi="Times New Roman" w:cs="Times New Roman" w:hint="eastAsia"/>
          <w:b/>
          <w:bCs/>
          <w:sz w:val="28"/>
          <w:szCs w:val="28"/>
        </w:rPr>
        <w:lastRenderedPageBreak/>
        <w:t xml:space="preserve">1.1 </w:t>
      </w:r>
      <w:r w:rsidRPr="00EA0B5A">
        <w:rPr>
          <w:rFonts w:ascii="Times New Roman" w:hAnsi="Times New Roman" w:cs="Times New Roman"/>
          <w:b/>
          <w:bCs/>
          <w:sz w:val="28"/>
          <w:szCs w:val="28"/>
        </w:rPr>
        <w:t>Executive Summary</w:t>
      </w:r>
      <w:bookmarkEnd w:id="0"/>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This report assesses whether Marks &amp; Spencer’s 2022 acquisition of Gist achieved the strategic and financial aims originally advanced in support of the deal. Drawing on efficiency-based M&amp;A theory, transaction-cost and internalisation arguments, the resource-based view, free-cash-flow theory and shareholder-wealth analysis, it finds that the deal was a success for the president, but this success was not unreserved. The most persuasive explanation is neither diversification nor managerial empire-building. Rather, M&amp;S internalised a logistics business that was already integral to the day-to-day performance of M&amp;S Food. When the transaction is announced, Gist was described as M&amp;S’s principal food logistics partner and the company also argued that the transaction would be earnings accretive and would accelerate supply-chain modernisation. And then, it indicates that the deal removed a burdensome cost-plus arrangement and annual management fees of roughly £25 million, delivered payback ahead of expectations by 2024, and by 2025 had improved logistics service while contributing more than £60 million to profit. Taken together, these results are consistent with a core judgement in academic research. When the assets of the target company are highly related to the core business of the acquirer and the coordination after the acquisition is realised through the active restructuring of the coordination mechanism, rather than being taken for granted, the merger and acquisition coordination is more credible.</w:t>
      </w:r>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Nevertheless, the acquisition success will rely on the further development of the follow-up work. The data indicate that economies of scale have been achieved, some inefficiencies eliminated, complementary resources have been combined, quicker development of operations and short-term financial advantages. Nonetheless, M&amp;S also acknowledges that the network remains outdated and costly. Therefore the change in ownership has not addressed the underlying structural issue of the food supply chain. The excess-cash account is equally unconvincing: even though the deal </w:t>
      </w:r>
      <w:r w:rsidRPr="00EA0B5A">
        <w:rPr>
          <w:rFonts w:ascii="Times New Roman" w:hAnsi="Times New Roman" w:cs="Times New Roman"/>
          <w:sz w:val="24"/>
        </w:rPr>
        <w:lastRenderedPageBreak/>
        <w:t xml:space="preserve">was funded out of existing cash balances, the post-transactional cash effect and the ongoing capital discipline of the group are not easily explained by a free-cash-flow story. Diversification is less effective as an explanation because the acquisition increased vertical integration instead of taking M&amp;S into an unrelated business line. There were apparently few regulatory obstacles and the transaction was approved. In the meantime, it appears that shareholder wealth has taken a better course, although it is hard to give full credit. Since broader turnaround indicators within M&amp;S food and the wider group were also helping performance. Altogether, the acquisition must be considered strategically viable and financially prospective, but not yet entirely demonstrated. Whether or not it can convert initial saving and service benefits into a sustainable, structurally cheaper distribution network which continues to deliver returns above the cost of continued investment and integration will determine its ultimate success.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1" w:name="_Toc18917"/>
      <w:r w:rsidRPr="00EA0B5A">
        <w:rPr>
          <w:rFonts w:ascii="Times New Roman" w:hAnsi="Times New Roman" w:cs="Times New Roman" w:hint="eastAsia"/>
          <w:b/>
          <w:bCs/>
          <w:sz w:val="28"/>
          <w:szCs w:val="28"/>
        </w:rPr>
        <w:t xml:space="preserve">2.1 </w:t>
      </w:r>
      <w:r w:rsidRPr="00EA0B5A">
        <w:rPr>
          <w:rFonts w:ascii="Times New Roman" w:hAnsi="Times New Roman" w:cs="Times New Roman"/>
          <w:b/>
          <w:bCs/>
          <w:sz w:val="28"/>
          <w:szCs w:val="28"/>
        </w:rPr>
        <w:t>Introduction</w:t>
      </w:r>
      <w:bookmarkEnd w:id="1"/>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The 2022 acquisition of Gist by Marks and Spencer provides a good case to consider whether a vertically integrated acquisition can add value by means of tighter control over operations as opposed to mere growth. Gist was already the main contract logistics provider to M&amp;S Food before the transaction and M&amp;S introduced the deal as an opportunity to accelerate supply-chain change, eliminate an expensive legacy contractual system and acquire a strategically significant segment of food distribution directly. The case is analytically important since it involves internalisation of a function that is already near the core of operating model of M&amp;S Food. The issue at hand is not whether acquisition necessarily produces growth but whether ownership can enhance coordination, minimize unnecessary frictions and deliver a more favorable financial result than further arm-length contracting. Since the merger clearance had been completed in September 2022. There is now enough post-acquisition evidence to evaluate these claims critically. This report is founded on the </w:t>
      </w:r>
      <w:r w:rsidRPr="00EA0B5A">
        <w:rPr>
          <w:rFonts w:ascii="Times New Roman" w:hAnsi="Times New Roman" w:cs="Times New Roman"/>
          <w:sz w:val="24"/>
        </w:rPr>
        <w:lastRenderedPageBreak/>
        <w:t xml:space="preserve">efficiency and synergy arguments, the transaction costs and internalisation logic, the fundamental concept of resources, the theory of free cash flow and the consideration of shareholders wealth. It examines whether the Gist acquisition increased efficiency, improved financial performance and created long term value. Nonetheless, what matters is whether such early gains will be able to continue in the long term.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2" w:name="_Toc26780"/>
      <w:r w:rsidRPr="00EA0B5A">
        <w:rPr>
          <w:rFonts w:ascii="Times New Roman" w:hAnsi="Times New Roman" w:cs="Times New Roman" w:hint="eastAsia"/>
          <w:b/>
          <w:bCs/>
          <w:sz w:val="28"/>
          <w:szCs w:val="28"/>
        </w:rPr>
        <w:t xml:space="preserve">3.1 </w:t>
      </w:r>
      <w:r w:rsidRPr="00EA0B5A">
        <w:rPr>
          <w:rFonts w:ascii="Times New Roman" w:hAnsi="Times New Roman" w:cs="Times New Roman"/>
          <w:b/>
          <w:bCs/>
          <w:sz w:val="28"/>
          <w:szCs w:val="28"/>
        </w:rPr>
        <w:t>Economies of Scale</w:t>
      </w:r>
      <w:bookmarkEnd w:id="2"/>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economies of scale are plausible in this case since M&amp;S internalised a logistics network already central to the Food operations instead of purchasing unrelated volume. Gist had 8 main and 10 secondary distribution centers of M&amp;S Food and the old contract was costly and expired in 2027; ownership thus provided an instant path to eliminate contractual margin, streamline processes and control future network investment(Marks and Spencer Group plc, 2022a). This reasoning is applicable to synergy theory which states that acquisitions generate value when shared ownership enhance coordination and enable firms to achieve synergies better(Feldman and Hernandez, 2022). This is particularly probable where the assets and capabilities of the target company are directly associated with the core business of the acquirer(Lee et al.,2018). Besides, M&amp;S studies also indicate that the results of deals are more likely to be positive in case where there is relatedness and effective integration(Renneboog and Vansteenkiste, 2019). Post-completion evidence is encouraging but not conclusive. According to M&amp;S, the deal would be accretive to earnings within its first full year, then it announced savings of 70 million in 2024 and a profit contribution of over 60 million by 2025(Marks and Spencer Group plc, 2024b; Marks and Spencer Group plc, 2025a). Nevertheless, M&amp;S also confessed that the network was outdated and expensive to serve. The outcome is a partial success: fee elimination and increased throughput seem to be real, but full scale economies still rely on depot investment, systems upgrades and broader redesign.</w:t>
      </w:r>
    </w:p>
    <w:p w:rsidR="002B4AC0" w:rsidRPr="00EA0B5A" w:rsidRDefault="00000000">
      <w:pPr>
        <w:spacing w:beforeLines="200" w:before="624" w:after="40" w:line="360" w:lineRule="auto"/>
        <w:ind w:firstLineChars="200" w:firstLine="560"/>
        <w:outlineLvl w:val="0"/>
        <w:rPr>
          <w:rFonts w:ascii="Times New Roman" w:hAnsi="Times New Roman" w:cs="Times New Roman"/>
          <w:sz w:val="24"/>
        </w:rPr>
      </w:pPr>
      <w:bookmarkStart w:id="3" w:name="_Toc24910"/>
      <w:r w:rsidRPr="00EA0B5A">
        <w:rPr>
          <w:rFonts w:ascii="Times New Roman" w:hAnsi="Times New Roman" w:cs="Times New Roman" w:hint="eastAsia"/>
          <w:b/>
          <w:bCs/>
          <w:sz w:val="28"/>
          <w:szCs w:val="28"/>
        </w:rPr>
        <w:lastRenderedPageBreak/>
        <w:t xml:space="preserve">4.1 </w:t>
      </w:r>
      <w:r w:rsidRPr="00EA0B5A">
        <w:rPr>
          <w:rFonts w:ascii="Times New Roman" w:hAnsi="Times New Roman" w:cs="Times New Roman"/>
          <w:b/>
          <w:bCs/>
          <w:sz w:val="28"/>
          <w:szCs w:val="28"/>
        </w:rPr>
        <w:t>Elimination of Inefficiencies</w:t>
      </w:r>
      <w:bookmarkEnd w:id="3"/>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The more persuasive argument of the deal is in eliminating inefficiencies as opposed to size. M&amp;S relied on a major supplier before the acquisition, but it had to make decisions regarding forecasting, ordering and network using an old contract that undermined incentives and showed down response. Transaction-cost logic can be used to explain why this was important: vertically related activities tend to lose value due to fragmented information, duplicated governance and slower decision-making when firms are still contractually separate(Joskow, 2025). Feldman and Hernandez(2022) point out this argument is also in line with synergy theory, which puts emphasis on the fact that post-merger value is reliant on whether coordination has been enhanced or not following ownership change. Studies on post-acquisition learning similarly indicate that operational benefits do not occur automatically but rather they rely on the manner in which companies restructure routines and integration processes once they have completed(Zollo and Singh, 2004). a new routine-dynamics view arrives at the same conclusion by demonstrating that the realisation of synergy relies on active reworking of systems, incentives and day-to-day practices(Mirc et al., 2023). The evidence after the deal indicates that there was significant albeit partial progress. M&amp;S associated higher Food profitability with structural cost savings and Gist acquisition in 2024 and in 2025 reported increased logistics service and profit increase of more than 60 million(Marks and Spencer Group plc, 2024a; Marks and Spencer Group plc, 2025a). Nevertheless, increasing volumes were continuing to strain operations implying that additional investment in forecasting, allocation and warehouse capacity was still required. Control improved, deep operating bottlenecks did not disappear. According to this criterion, then, the acquisition appears to be directionally successful, but not complete.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4" w:name="_Toc9960"/>
      <w:r w:rsidRPr="00EA0B5A">
        <w:rPr>
          <w:rFonts w:ascii="Times New Roman" w:hAnsi="Times New Roman" w:cs="Times New Roman" w:hint="eastAsia"/>
          <w:b/>
          <w:bCs/>
          <w:sz w:val="28"/>
          <w:szCs w:val="28"/>
        </w:rPr>
        <w:t xml:space="preserve">5.1 </w:t>
      </w:r>
      <w:r w:rsidRPr="00EA0B5A">
        <w:rPr>
          <w:rFonts w:ascii="Times New Roman" w:hAnsi="Times New Roman" w:cs="Times New Roman"/>
          <w:b/>
          <w:bCs/>
          <w:sz w:val="28"/>
          <w:szCs w:val="28"/>
        </w:rPr>
        <w:t>Surplus Cash</w:t>
      </w:r>
      <w:bookmarkEnd w:id="4"/>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lastRenderedPageBreak/>
        <w:t xml:space="preserve">Excess cash should be viewed as an enabling condition, but not the driving force. The free-cash-flow argument by Jensen(1986) cautions that managers who have too much liquidity can acquire companies just to grow, even though the value of shareholders is not certain. However, this account is less persuasive when the target is operationally connected and where the acquisition addresses a particular coordination issue instead of supporting managerial empire-building. In the case of M&amp;S, there was liquidity: in 2021/22, free cash flow amounted to 699.2 million and net debt excluding lease liabilities had decreased to 420 million(Marks and Spencer Group plc, 2022c). Nonetheless, it was not a casual commitment. It was a deal of 145 million upfront with additional deferred consideration and undermine the surplus-cash explanation. Operating free cash flow declined to 170.4 million in 2022/23 and Gist resulted in a cash outflow of 102.8 million; by 2023/24, M&amp;S was still focusing on balance-sheet strength, investment ability and disciplined capital allocation(Marks and Spencer Group plc, 2023a; Marks and Spencer Group plc, 2024a). liquidity enabled the timing, yet the evidence is more supportive of a strategic rationale than a cash-burning one.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5" w:name="_Toc31870"/>
      <w:r w:rsidRPr="00EA0B5A">
        <w:rPr>
          <w:rFonts w:ascii="Times New Roman" w:hAnsi="Times New Roman" w:cs="Times New Roman" w:hint="eastAsia"/>
          <w:b/>
          <w:bCs/>
          <w:sz w:val="28"/>
          <w:szCs w:val="28"/>
        </w:rPr>
        <w:t xml:space="preserve">6.1 </w:t>
      </w:r>
      <w:r w:rsidRPr="00EA0B5A">
        <w:rPr>
          <w:rFonts w:ascii="Times New Roman" w:hAnsi="Times New Roman" w:cs="Times New Roman"/>
          <w:b/>
          <w:bCs/>
          <w:sz w:val="28"/>
          <w:szCs w:val="28"/>
        </w:rPr>
        <w:t>Market Power</w:t>
      </w:r>
      <w:bookmarkEnd w:id="5"/>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Market power has little explanatory power. In the merger theory, it tends to be more convincing in horizontal transactions, where competitors merge and concentration increases directly. This transaction was different. Gist was not a rival food retailer, but a logistics provider already integrated into the supply chain of M&amp;S. That is important as vertical mergers tend to pose a narrower question: can the merged company pre-empt rivals by controlling inputs or customers, or is the main effect enhanced coordination efficiency? The second reading was strongly endorsed by the Irish competition authority. It did not find any horizontal overlap, determined that the deal mainly internalised an existing vertical relationship, found that Gist had a share in third-party grocery logistics in the State and found that many other companies were </w:t>
      </w:r>
      <w:r w:rsidRPr="00EA0B5A">
        <w:rPr>
          <w:rFonts w:ascii="Times New Roman" w:hAnsi="Times New Roman" w:cs="Times New Roman"/>
          <w:sz w:val="24"/>
        </w:rPr>
        <w:lastRenderedPageBreak/>
        <w:t xml:space="preserve">already vertically integrated or could switch providers at low cost(Competition and Consumer Protection Commission, 2022). the authority decided that there would be no significant reduction in competition. Any increase in the bargaining position of M&amp;S seems to be nearer to the transaction-cost efficiency than anti-competitive market power, therefore, the motive of market-power is weak.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6" w:name="_Toc10303"/>
      <w:r w:rsidRPr="00EA0B5A">
        <w:rPr>
          <w:rFonts w:ascii="Times New Roman" w:hAnsi="Times New Roman" w:cs="Times New Roman" w:hint="eastAsia"/>
          <w:b/>
          <w:bCs/>
          <w:sz w:val="28"/>
          <w:szCs w:val="28"/>
        </w:rPr>
        <w:t xml:space="preserve">7.1 </w:t>
      </w:r>
      <w:r w:rsidRPr="00EA0B5A">
        <w:rPr>
          <w:rFonts w:ascii="Times New Roman" w:hAnsi="Times New Roman" w:cs="Times New Roman"/>
          <w:b/>
          <w:bCs/>
          <w:sz w:val="28"/>
          <w:szCs w:val="28"/>
        </w:rPr>
        <w:t>Combining Complementary Resources</w:t>
      </w:r>
      <w:bookmarkEnd w:id="6"/>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complementary resources combination is a far better explanation. Value, as viewed through the prism of resources, is created when various yet related assets are more productive in their joint use than in their individual use. This can be explained by synergy theory which holds that acquisitions generate value because they bring together assets that are more useful under shared ownership than they were individually (Feldman and Hernandez, 2022). Supply-chain studies also indicate that there is a possibility of enhancing financial performance and customer value through closer alignment between commercial activities and operational execution (Chae et al., 2022). The fit was evident in this deal. M&amp;S had brand power, visibility of demand, category expertise and expanding Food channels; Gist provided temperature-controlled logistics platform, warehouse facilities and managerial skills already integrated into daily delivery (Marks and Spencer Group plc, 2022a). Simply put, M&amp;S did not purchase duplication but complementarity. That view is supported by post-acquisition evidence. According to M&amp;S, Gist has achieved savings of up to 70 million pounds and was paying back faster than expected; it said that it received improved logistics service and over 60 million pounds of profit contribution (Marks and Spencer Group plc, 2024b; Marks and Spencer Group plc, 2025a). However, the benefits were not automatic. The network was outdated and costly and further gains relied on prediction systems, supplier alliances and depot investment. It was a true complementarity; the total value still relies upon orchestration.</w:t>
      </w:r>
    </w:p>
    <w:p w:rsidR="002B4AC0" w:rsidRPr="00EA0B5A" w:rsidRDefault="00000000">
      <w:pPr>
        <w:spacing w:beforeLines="200" w:before="624" w:after="40" w:line="360" w:lineRule="auto"/>
        <w:ind w:firstLineChars="200" w:firstLine="560"/>
        <w:rPr>
          <w:rFonts w:ascii="Times New Roman" w:hAnsi="Times New Roman" w:cs="Times New Roman"/>
          <w:b/>
          <w:bCs/>
          <w:sz w:val="28"/>
          <w:szCs w:val="28"/>
        </w:rPr>
      </w:pPr>
      <w:r w:rsidRPr="00EA0B5A">
        <w:rPr>
          <w:rFonts w:ascii="Times New Roman" w:hAnsi="Times New Roman" w:cs="Times New Roman" w:hint="eastAsia"/>
          <w:b/>
          <w:bCs/>
          <w:sz w:val="28"/>
          <w:szCs w:val="28"/>
        </w:rPr>
        <w:lastRenderedPageBreak/>
        <w:t xml:space="preserve">8.1 </w:t>
      </w:r>
      <w:r w:rsidRPr="00EA0B5A">
        <w:rPr>
          <w:rFonts w:ascii="Times New Roman" w:hAnsi="Times New Roman" w:cs="Times New Roman"/>
          <w:b/>
          <w:bCs/>
          <w:sz w:val="28"/>
          <w:szCs w:val="28"/>
        </w:rPr>
        <w:t>Speed of Growth</w:t>
      </w:r>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rate of growth is believable, though in a particular way. The acquisition was not aimed at buying growth per se but it seems to have eliminated a logistics bottleneck within an already growing Food business. According to M&amp;A theory, the acquisitions may speed up development by offering access to resources and routines that would require years to develop internally. Nevertheless, faster does not generate value unless the integration is coordinated with the underlying logic of synergy (Chaturvedi and Weigelt, 2024). This situation mostly applies to this case. M&amp;S thinks that despite the fact that food sales are still increasing due to stronger sales, bigger stores, and other channels like Ocado Retail and franchise cooperation, the original contract cost is high, which restricts growth and investment (Marks and Spencer Group plc, 2022a). Post-acquisition evidence is broadly supportive. In 2023/24, Food sales increased by 13.0% and adjusted operating profit increased dramatically; M&amp;S also stated Gist was producing rapid payback and forming the foundation of a long-term modernisation programme (Marks and Spencer Group plc, 2024a). By 2025, the increase in volumes and better logistics service indicated more rapid operational expansion, but not the growth caused by Gist alone (Marks and Spencer Group plc, 2025a). Thus, it is a persuasive case but conditional.</w:t>
      </w:r>
    </w:p>
    <w:p w:rsidR="002B4AC0" w:rsidRPr="00EA0B5A" w:rsidRDefault="00000000">
      <w:pPr>
        <w:spacing w:beforeLines="200" w:before="624" w:after="40" w:line="360" w:lineRule="auto"/>
        <w:ind w:firstLineChars="200" w:firstLine="560"/>
        <w:rPr>
          <w:rFonts w:ascii="Times New Roman" w:hAnsi="Times New Roman" w:cs="Times New Roman"/>
          <w:b/>
          <w:bCs/>
          <w:sz w:val="28"/>
          <w:szCs w:val="28"/>
        </w:rPr>
      </w:pPr>
      <w:r w:rsidRPr="00EA0B5A">
        <w:rPr>
          <w:rFonts w:ascii="Times New Roman" w:hAnsi="Times New Roman" w:cs="Times New Roman" w:hint="eastAsia"/>
          <w:b/>
          <w:bCs/>
          <w:sz w:val="28"/>
          <w:szCs w:val="28"/>
        </w:rPr>
        <w:t xml:space="preserve">9.1 </w:t>
      </w:r>
      <w:r w:rsidRPr="00EA0B5A">
        <w:rPr>
          <w:rFonts w:ascii="Times New Roman" w:hAnsi="Times New Roman" w:cs="Times New Roman"/>
          <w:b/>
          <w:bCs/>
          <w:sz w:val="28"/>
          <w:szCs w:val="28"/>
        </w:rPr>
        <w:t>Financial Benefits</w:t>
      </w:r>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One of the success factors is financial benefits. The original case of M&amp;S was exceptionally tangible: the purchased business had created approximately 55 million pro forma EBITDA in 2021, most of which were associated with management fees that would be passed on to M&amp;S in the previous contract and these fees would vanish upon consolidation (Marks and Spencer Group plc, 2022a). This reasoning aligns with more general M&amp;A evidence indicating that deal performance tends to be higher </w:t>
      </w:r>
      <w:r w:rsidRPr="00EA0B5A">
        <w:rPr>
          <w:rFonts w:ascii="Times New Roman" w:hAnsi="Times New Roman" w:cs="Times New Roman"/>
          <w:sz w:val="24"/>
        </w:rPr>
        <w:lastRenderedPageBreak/>
        <w:t>when acquisitions are based on relatedness and successful integration as opposed to mere expansion (Renneboog and Vansteenkiste, 2019). This interpretation is also supported by the synergy theory, which implies that value is determined by whether post-deal coordination actually transforms such opportunities into realised gains(Feldman and Hernandez, 2022). The results are encouraging. Gist has added to Food operating profit in 2022/23, but it also reported a cash outflow of acquisition of 102.8 million (Marks and Spencer Group plc, 2023a). In 2024, management claimed payback was faster than expected and higher than its cost of capital and hurdle rates; AGM materials subsequently quantified savings at 70 million (Marks and Spencer Group plc, 2024a; Marks and Spencer Group plc, 2024b). The acquisition enhanced logistics service by 2025 and added over 60 million to profit (Marks and Spencer Group plc, 2025a). Hence, they ought to be interpreted as actualised synergies in a larger turnaround, rather than magic of deals.</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7" w:name="_Toc96"/>
      <w:r w:rsidRPr="00EA0B5A">
        <w:rPr>
          <w:rFonts w:ascii="Times New Roman" w:hAnsi="Times New Roman" w:cs="Times New Roman" w:hint="eastAsia"/>
          <w:b/>
          <w:bCs/>
          <w:sz w:val="28"/>
          <w:szCs w:val="28"/>
        </w:rPr>
        <w:t xml:space="preserve">10.1 </w:t>
      </w:r>
      <w:r w:rsidRPr="00EA0B5A">
        <w:rPr>
          <w:rFonts w:ascii="Times New Roman" w:hAnsi="Times New Roman" w:cs="Times New Roman"/>
          <w:b/>
          <w:bCs/>
          <w:sz w:val="28"/>
          <w:szCs w:val="28"/>
        </w:rPr>
        <w:t>Diversification</w:t>
      </w:r>
      <w:bookmarkEnd w:id="7"/>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Diversification is among the least plausible reasons. Diversified acquisitions in principle can decrease volatility of income, create new markets or financial synergies. Practically, the literature is conservative, since unrelated expansion tends to yield poor or inconclusive findings when compared to acquisitions based on operational relatedness. More generally, Renneboog and Vansteenkiste (2019) demonstrate that M&amp;A performance is more likely to be better with the presence of relatedness and successful integration. The M&amp;S-Gist transaction does not appear to be a significant diversification step. Gist was already the main logistics provider to M&amp;S Food, and M&amp;S constantly positioned the acquisition as an attempt to modernise food distribution, but not to enter a new business line (Marks and Spencer Group plc, 2022a). Further disclosures support such an interpretation: management focused on service enhancement, supply-chain modernisation and profit contribution, rather than portfolio balancing or revenue generated by a separate logistics platform (Marks and </w:t>
      </w:r>
      <w:r w:rsidRPr="00EA0B5A">
        <w:rPr>
          <w:rFonts w:ascii="Times New Roman" w:hAnsi="Times New Roman" w:cs="Times New Roman"/>
          <w:sz w:val="24"/>
        </w:rPr>
        <w:lastRenderedPageBreak/>
        <w:t>Spencer Group plc, 2025a). There is a slim qualification. Vertical integration can help to minimize dependence on third-party suppliers and distribute risk slightly in operations. But it is not the same as diversification as one of the key motives. On the contrary, the deal made strategic  concentration stronger by binding M&amp;S closer to its food supply chain.</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8" w:name="_Toc765"/>
      <w:r w:rsidRPr="00EA0B5A">
        <w:rPr>
          <w:rFonts w:ascii="Times New Roman" w:hAnsi="Times New Roman" w:cs="Times New Roman" w:hint="eastAsia"/>
          <w:b/>
          <w:bCs/>
          <w:sz w:val="28"/>
          <w:szCs w:val="28"/>
        </w:rPr>
        <w:t xml:space="preserve">11.1 </w:t>
      </w:r>
      <w:r w:rsidRPr="00EA0B5A">
        <w:rPr>
          <w:rFonts w:ascii="Times New Roman" w:hAnsi="Times New Roman" w:cs="Times New Roman"/>
          <w:b/>
          <w:bCs/>
          <w:sz w:val="28"/>
          <w:szCs w:val="28"/>
        </w:rPr>
        <w:t>Regulatory Framework</w:t>
      </w:r>
      <w:bookmarkEnd w:id="8"/>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regulatory framework has an impact on the speed and form of transactions, but it is not a major obstacle. M&amp;S disclosed the deal as a Class 2 transaction under the UK Listing Rules and made completion conditional on carve - out steps and merger approvals. It then confirmed the completion on 30 September 2022 (Marks and Spencer Group plc, 2022a; Marks and Spencer Group plc, 2022b). Ireland gave the clearest regulatory test. The CCPC found no horizontal overlap and mainly treated the deal as internalizing an existing vertical relationship. It concluded that Gist neither served M&amp;S competitors there nor held a market position capable of materially distorting competition (Competition and Consumer Protection Commission, 2022). In this report, the regulatory outcome supports an efficiency -based interpretation more than a market - power explanation. But clearance does not prove value creation. It shows only that the deal was lawful and had low competition risk. Regulation cut down execution uncertainty, but it did not bring about the savings, improvements, or profit gains.</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9" w:name="_Toc17047"/>
      <w:r w:rsidRPr="00EA0B5A">
        <w:rPr>
          <w:rFonts w:ascii="Times New Roman" w:hAnsi="Times New Roman" w:cs="Times New Roman" w:hint="eastAsia"/>
          <w:b/>
          <w:bCs/>
          <w:sz w:val="28"/>
          <w:szCs w:val="28"/>
        </w:rPr>
        <w:t xml:space="preserve">12.1 </w:t>
      </w:r>
      <w:r w:rsidRPr="00EA0B5A">
        <w:rPr>
          <w:rFonts w:ascii="Times New Roman" w:hAnsi="Times New Roman" w:cs="Times New Roman"/>
          <w:b/>
          <w:bCs/>
          <w:sz w:val="28"/>
          <w:szCs w:val="28"/>
        </w:rPr>
        <w:t>Shareholder Wealth</w:t>
      </w:r>
      <w:bookmarkEnd w:id="9"/>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The most difficult test is the shareholder wealth since it requires answering the question of whether the present value of benefits was more than the purchase price, integration costs and execution risk. That standard is demanding. More general M&amp;A </w:t>
      </w:r>
      <w:r w:rsidRPr="00EA0B5A">
        <w:rPr>
          <w:rFonts w:ascii="Times New Roman" w:hAnsi="Times New Roman" w:cs="Times New Roman"/>
          <w:sz w:val="24"/>
        </w:rPr>
        <w:lastRenderedPageBreak/>
        <w:t>studies indicate that returns on acquirer are mixed instead of positive (Renneboog and Vansteenkiste, 2019). The evidence in the logistics service industry is slightly more optimistic though, with Kiesel et al. (2017) discovering small but significant abnormal short-term returns among acquirers in various logistics subsectors. According to what Martha said, according to Reuters(2022), the stock price declined by approximately 2 percent on the day when the transaction was announced, which means that investors did not consider the transaction as an instant accident. In the long run however, operating evidence became more favorable. Adjusted ROCE increased to 14.1% in 2023/24 compared to 10.6%, adjusted basic EPS increased to 24.6p compared to 16.9p, and the dividend was reinstated at 3.0p; M&amp;S also reported Gist and store renewal were paying back faster than anticipated and beyond internal hurdle rates(Marks and Spencer Group plc, 2024a; Marks and Spencer Group plc, 2024c). The adjusted earnings per share will rise to 31.9 pence again, the adjusted return on capital will rise to 16.4% and annual dividend will rise to 3.6 pence(Marks and Spencer Group plc, 2025a; Marks and Spencer Group plc, 2025b) by fiscal year 2024/25. Gist was not the only driver, yet it seems to have helped the shareholders wealth. Despite the scepticism of announcement-day, which indicated uncertainty about integration, subsequent increases in ROCE, EPS and dividends indicate that capital was eventually used effectively with time.</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10" w:name="_Toc13349"/>
      <w:r w:rsidRPr="00EA0B5A">
        <w:rPr>
          <w:rFonts w:ascii="Times New Roman" w:hAnsi="Times New Roman" w:cs="Times New Roman" w:hint="eastAsia"/>
          <w:b/>
          <w:bCs/>
          <w:sz w:val="28"/>
          <w:szCs w:val="28"/>
        </w:rPr>
        <w:t xml:space="preserve">13.1 </w:t>
      </w:r>
      <w:r w:rsidRPr="00EA0B5A">
        <w:rPr>
          <w:rFonts w:ascii="Times New Roman" w:hAnsi="Times New Roman" w:cs="Times New Roman"/>
          <w:b/>
          <w:bCs/>
          <w:sz w:val="28"/>
          <w:szCs w:val="28"/>
        </w:rPr>
        <w:t>Conclusion</w:t>
      </w:r>
      <w:bookmarkEnd w:id="10"/>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All in all, the purchase of Gist can be evaluated as a strategically sound and financially viable move, but not yet entirely justified. The most powerful one is internalisation. Gist was already at the core of M&amp;S Food and the deal eliminated an expensive legacy structure and provided M&amp;S with direct access to an essential logistics network (Marks and Spencer Group plc, 2022a). The post-deal evidence proves actual gains on cost retention, coordination, complementary capability and profit contribution. Regulatory clearance also supports the perception that it was more </w:t>
      </w:r>
      <w:r w:rsidRPr="00EA0B5A">
        <w:rPr>
          <w:rFonts w:ascii="Times New Roman" w:hAnsi="Times New Roman" w:cs="Times New Roman"/>
          <w:sz w:val="24"/>
        </w:rPr>
        <w:lastRenderedPageBreak/>
        <w:t>of an efficiency-seeking vertical acquisition than a market-power play (Competition and Consumer Protection Commission, 2022). Moreover, M&amp;S subsequently stated that Gist was contributing significantly to profit and service enhancement, which justifies the argument that some portion of the expected value has already been achieved (Marks and Spencer Group plc, 2025a). However, the success case is still conditional. The network remains aged, volume expansion is stressing operations, and additional growth will rely on prediction systems, supplier relationships, depot capacity and continued operation (Marks and Spencer Group plc, 2024b; Marks and Spencer Group plc, 2025a). The acquisition has thus proved to be the beginning of a longer restructuring process. It has generated value in direction and partially, but its overall success lies in whether early savings can be turned into a sustainable, cheaper supply chain and ultimately sustainable shareholder returns instead of disappearing after initial integration.</w:t>
      </w:r>
    </w:p>
    <w:p w:rsidR="002B4AC0" w:rsidRPr="00EA0B5A" w:rsidRDefault="00000000">
      <w:pPr>
        <w:spacing w:beforeLines="200" w:before="624" w:after="40" w:line="480" w:lineRule="auto"/>
        <w:ind w:firstLineChars="200" w:firstLine="560"/>
        <w:outlineLvl w:val="0"/>
        <w:rPr>
          <w:rFonts w:ascii="Times New Roman" w:hAnsi="Times New Roman" w:cs="Times New Roman"/>
          <w:b/>
          <w:bCs/>
          <w:sz w:val="28"/>
          <w:szCs w:val="28"/>
        </w:rPr>
      </w:pPr>
      <w:bookmarkStart w:id="11" w:name="_Toc31325"/>
      <w:r w:rsidRPr="00EA0B5A">
        <w:rPr>
          <w:rFonts w:ascii="Times New Roman" w:hAnsi="Times New Roman" w:cs="Times New Roman" w:hint="eastAsia"/>
          <w:b/>
          <w:bCs/>
          <w:sz w:val="28"/>
          <w:szCs w:val="28"/>
        </w:rPr>
        <w:t xml:space="preserve">14.1 </w:t>
      </w:r>
      <w:r w:rsidRPr="00EA0B5A">
        <w:rPr>
          <w:rFonts w:ascii="Times New Roman" w:hAnsi="Times New Roman" w:cs="Times New Roman"/>
          <w:b/>
          <w:bCs/>
          <w:sz w:val="28"/>
          <w:szCs w:val="28"/>
        </w:rPr>
        <w:t>Reference List</w:t>
      </w:r>
      <w:bookmarkEnd w:id="11"/>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Chae, S., Son, B.-G., Yan, T. and Yang, Y.S. (2022) ‘Supply chains and the success of M&amp;As: Investigating the effect of structural equivalence of mergingfirms’ supplier and  customer bases’, International Journal of Operations &amp; Production Management, 42(8), pp. 1272–1293.</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Chaturvedi, T. and Weigelt, C. (2024) ‘Operating synergy and post-acquisition integration in corporate acquisitions: A resource reconfiguration perspective’, Long Range Planning, 57(3), article 102428.</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lastRenderedPageBreak/>
        <w:t xml:space="preserve">Competition and Consumer Protection Commission (2022) Determination of merger notification M/22/034 – M&amp;S/Gist: Proposed acquisition by Marks and Spencer Group plc of sole control of Gist Limited. Available at: </w:t>
      </w:r>
      <w:hyperlink r:id="rId8" w:history="1">
        <w:r w:rsidR="002B4AC0" w:rsidRPr="00EA0B5A">
          <w:rPr>
            <w:rStyle w:val="a9"/>
            <w:rFonts w:ascii="Times New Roman" w:hAnsi="Times New Roman" w:cs="Times New Roman"/>
            <w:sz w:val="24"/>
          </w:rPr>
          <w:t>https://www.ccpc.ie/business/wp-content/uploads/sites/3/2022/08/2022.12.12-M.22.034-MS-Gist-PUBLIC-DET.pdf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Feldman, E.R. and Hernandez, E. (2022) ‘Synergy in mergers and acquisitions: Typology, life cycles, and value’, Academy of Management Review, 47(4), pp. 549–578.</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Jensen, M.C. (1986) ‘Agency costs of free cash flow, corporate finance, and takeovers’, American Economic Review, 76(2), pp. 323–329.</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Joskow, P.L. (2025) ‘Vertical integration’, in Ménard, C. and Shirley, M.M. (eds.) Handbook of New Institutional Economics. Cham: Springer, pp. 417–446.</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Kiesel, F., Ries, J.M. and Tielmann, A. (2017) ‘The impact of mergers and acquisitions on shareholders’ wealth in the logistics service industry’, International Journal of Production Economics, 193, pp. 781–797.</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Lee, K.H., Mauer, D.C. and Xu, E.Q. (2018) ‘Human capital relatedness and mergers and acquisitions’, Journal of Financial Economics, 129(1), pp. 111–135.</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lastRenderedPageBreak/>
        <w:t xml:space="preserve">Marks and Spencer Group plc (2022a) ‘Marks and Spencer to acquire Gist as part of accelerating its Food supply chain transformation’, Press release, 21 July. Available at: </w:t>
      </w:r>
      <w:hyperlink r:id="rId9" w:history="1">
        <w:r w:rsidR="002B4AC0" w:rsidRPr="00EA0B5A">
          <w:rPr>
            <w:rStyle w:val="a9"/>
            <w:rFonts w:ascii="Times New Roman" w:hAnsi="Times New Roman" w:cs="Times New Roman"/>
            <w:sz w:val="24"/>
          </w:rPr>
          <w:t>https://corporate.marksandspencer.com/newsroom/press-releases/marks-and-spencer-acquire-gist-part-accelerating-its-food-supply-chain</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(2022b) Half year results for 26 weeks ended 1 October 2022. Available at: </w:t>
      </w:r>
      <w:hyperlink r:id="rId10" w:history="1">
        <w:r w:rsidR="002B4AC0" w:rsidRPr="00EA0B5A">
          <w:rPr>
            <w:rStyle w:val="a9"/>
            <w:rFonts w:ascii="Times New Roman" w:hAnsi="Times New Roman" w:cs="Times New Roman"/>
            <w:sz w:val="24"/>
          </w:rPr>
          <w:t>https://corporate.marksandspencer.com/newsroom/press-releases/half-year-results-26-weeks-ended-1-october-2022</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(2022c) Annual report and financial statements 2022. Available at: </w:t>
      </w:r>
      <w:hyperlink r:id="rId11" w:history="1">
        <w:r w:rsidR="002B4AC0" w:rsidRPr="00EA0B5A">
          <w:rPr>
            <w:rStyle w:val="a9"/>
            <w:rFonts w:ascii="Times New Roman" w:hAnsi="Times New Roman" w:cs="Times New Roman"/>
            <w:sz w:val="24"/>
          </w:rPr>
          <w:t>https://corporate.marksandspencer.com/sites/marksandspencer/files/Annual%20reports/m-and-s_ar22_full-ar.pdf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(2023a) Annual report and financial statements2023. Available at: </w:t>
      </w:r>
      <w:hyperlink r:id="rId12" w:history="1">
        <w:r w:rsidR="002B4AC0" w:rsidRPr="00EA0B5A">
          <w:rPr>
            <w:rStyle w:val="a9"/>
            <w:rFonts w:ascii="Times New Roman" w:hAnsi="Times New Roman" w:cs="Times New Roman"/>
            <w:sz w:val="24"/>
          </w:rPr>
          <w:t>https://corporate.marksandspencer.com/sites/marksandspencer/files/2023-06/M-and-S-2023-Annual-Report.pdf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(2024a) Full year results for 52 weeks ended 30 March 2024. Available at: </w:t>
      </w:r>
      <w:hyperlink r:id="rId13" w:history="1">
        <w:r w:rsidR="002B4AC0" w:rsidRPr="00EA0B5A">
          <w:rPr>
            <w:rStyle w:val="a9"/>
            <w:rFonts w:ascii="Times New Roman" w:hAnsi="Times New Roman" w:cs="Times New Roman"/>
            <w:sz w:val="24"/>
          </w:rPr>
          <w:t>https://corporate.marksandspencer.com/newsroom/press-releases/marks-and-spencer-group-plc-full-year-results-52-weeks-ended-30-march-2024</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(2024b) AGM FAQs. Available at: </w:t>
      </w:r>
      <w:hyperlink r:id="rId14" w:history="1">
        <w:r w:rsidR="002B4AC0" w:rsidRPr="00EA0B5A">
          <w:rPr>
            <w:rStyle w:val="a9"/>
            <w:rFonts w:ascii="Times New Roman" w:hAnsi="Times New Roman" w:cs="Times New Roman"/>
            <w:sz w:val="24"/>
          </w:rPr>
          <w:t>https://corporate.marksandspencer.com/investors/shareholder-centre/agm-faqs</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(2024c) Annual report and financial statements2024. Available at: </w:t>
      </w:r>
      <w:hyperlink r:id="rId15" w:history="1">
        <w:r w:rsidR="002B4AC0" w:rsidRPr="00EA0B5A">
          <w:rPr>
            <w:rStyle w:val="a9"/>
            <w:rFonts w:ascii="Times New Roman" w:hAnsi="Times New Roman" w:cs="Times New Roman"/>
            <w:sz w:val="24"/>
          </w:rPr>
          <w:t>https://corporate.marksandspencer.com/sites/marksandspencer/files/2024-06/M-and-S-2024-Annual-Report.pdf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(2025a) Full year results for 52 weeks ended 29 March 2025. Available at: </w:t>
      </w:r>
      <w:hyperlink r:id="rId16" w:history="1">
        <w:r w:rsidR="002B4AC0" w:rsidRPr="00EA0B5A">
          <w:rPr>
            <w:rStyle w:val="a9"/>
            <w:rFonts w:ascii="Times New Roman" w:hAnsi="Times New Roman" w:cs="Times New Roman"/>
            <w:sz w:val="24"/>
          </w:rPr>
          <w:t>https://corporate.marksandspencer.com/newsroom/press-releases/full-year-results-52-weeks-ended-29-march-2025</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(2025b) Annual report and financial statements 2025. Available at: </w:t>
      </w:r>
      <w:hyperlink r:id="rId17" w:history="1">
        <w:r w:rsidR="002B4AC0" w:rsidRPr="00EA0B5A">
          <w:rPr>
            <w:rStyle w:val="a9"/>
            <w:rFonts w:ascii="Times New Roman" w:hAnsi="Times New Roman" w:cs="Times New Roman"/>
            <w:sz w:val="24"/>
          </w:rPr>
          <w:t>https://corporate.marksandspencer.com/sites/marksandspencer/files/2025-05/Marks-and-Spencer-Group-plc-Annual-Report-and-Financial-Statements-2025_INTERACTIVE_FINAL.pdf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lastRenderedPageBreak/>
        <w:t>Mirc, N., Sele, K., Rouzies, A. and Angwin, D.N. (2023) ‘From fit to fitting: A routine dynamics perspective on M&amp;A synergy realization’, Organization Studies, 44(9), pp. 1465–1490.</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Renneboog, L. and Vansteenkiste, C. (2019) ‘Failure and success in mergers and acquisitions’, Journal of Corporate Finance, 58, pp. 650–699.</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Reuters (2022) ‘Britain’s M&amp;S seeks food supply chain control with $173-mln Gist buyout’, 21 July. Available at: </w:t>
      </w:r>
      <w:hyperlink r:id="rId18" w:history="1">
        <w:r w:rsidR="002B4AC0" w:rsidRPr="00EA0B5A">
          <w:rPr>
            <w:rStyle w:val="a9"/>
            <w:rFonts w:ascii="Times New Roman" w:hAnsi="Times New Roman" w:cs="Times New Roman"/>
            <w:sz w:val="24"/>
          </w:rPr>
          <w:t>https://www.reuters.com/markets/deals/britains-ms-buy-logistics-firm-gist-2022-07-21/</w:t>
        </w:r>
      </w:hyperlink>
    </w:p>
    <w:p w:rsidR="002B4AC0"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Zollo, M. and Singh, H. (2004) ‘Deliberate learning in corporate acquisitions: post-acquisition strategies and integration capability in U.S. bank mergers’, Strategic Management Journal, 25(13), pp. 1233–1256.</w:t>
      </w:r>
    </w:p>
    <w:sectPr w:rsidR="002B4AC0">
      <w:footerReference w:type="default" r:id="rId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6BC4" w:rsidRPr="00EA0B5A" w:rsidRDefault="001B6BC4">
      <w:pPr>
        <w:spacing w:line="240" w:lineRule="auto"/>
      </w:pPr>
      <w:r w:rsidRPr="00EA0B5A">
        <w:separator/>
      </w:r>
    </w:p>
  </w:endnote>
  <w:endnote w:type="continuationSeparator" w:id="0">
    <w:p w:rsidR="001B6BC4" w:rsidRPr="00EA0B5A" w:rsidRDefault="001B6BC4">
      <w:pPr>
        <w:spacing w:line="240" w:lineRule="auto"/>
      </w:pPr>
      <w:r w:rsidRPr="00EA0B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4AC0" w:rsidRPr="00EA0B5A" w:rsidRDefault="00000000">
    <w:pPr>
      <w:pStyle w:val="a3"/>
    </w:pPr>
    <w:r w:rsidRPr="00EA0B5A">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B4AC0" w:rsidRPr="00EA0B5A" w:rsidRDefault="00000000">
                          <w:pPr>
                            <w:pStyle w:val="a3"/>
                          </w:pPr>
                          <w:r w:rsidRPr="00EA0B5A">
                            <w:fldChar w:fldCharType="begin"/>
                          </w:r>
                          <w:r w:rsidRPr="00EA0B5A">
                            <w:instrText xml:space="preserve"> PAGE  \* MERGEFORMAT </w:instrText>
                          </w:r>
                          <w:r w:rsidRPr="00EA0B5A">
                            <w:fldChar w:fldCharType="separate"/>
                          </w:r>
                          <w:r w:rsidRPr="00EA0B5A">
                            <w:t>1</w:t>
                          </w:r>
                          <w:r w:rsidRPr="00EA0B5A">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2B4AC0" w:rsidRPr="00EA0B5A" w:rsidRDefault="00000000">
                    <w:pPr>
                      <w:pStyle w:val="a3"/>
                    </w:pPr>
                    <w:r w:rsidRPr="00EA0B5A">
                      <w:fldChar w:fldCharType="begin"/>
                    </w:r>
                    <w:r w:rsidRPr="00EA0B5A">
                      <w:instrText xml:space="preserve"> PAGE  \* MERGEFORMAT </w:instrText>
                    </w:r>
                    <w:r w:rsidRPr="00EA0B5A">
                      <w:fldChar w:fldCharType="separate"/>
                    </w:r>
                    <w:r w:rsidRPr="00EA0B5A">
                      <w:t>1</w:t>
                    </w:r>
                    <w:r w:rsidRPr="00EA0B5A">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6BC4" w:rsidRPr="00EA0B5A" w:rsidRDefault="001B6BC4">
      <w:pPr>
        <w:spacing w:after="0"/>
      </w:pPr>
      <w:r w:rsidRPr="00EA0B5A">
        <w:separator/>
      </w:r>
    </w:p>
  </w:footnote>
  <w:footnote w:type="continuationSeparator" w:id="0">
    <w:p w:rsidR="001B6BC4" w:rsidRPr="00EA0B5A" w:rsidRDefault="001B6BC4">
      <w:pPr>
        <w:spacing w:after="0"/>
      </w:pPr>
      <w:r w:rsidRPr="00EA0B5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7A1F9A"/>
    <w:multiLevelType w:val="singleLevel"/>
    <w:tmpl w:val="A37A1F9A"/>
    <w:lvl w:ilvl="0">
      <w:start w:val="1"/>
      <w:numFmt w:val="decimal"/>
      <w:lvlText w:val="[%1]"/>
      <w:lvlJc w:val="left"/>
      <w:pPr>
        <w:tabs>
          <w:tab w:val="left" w:pos="420"/>
        </w:tabs>
        <w:ind w:left="425" w:hanging="425"/>
      </w:pPr>
      <w:rPr>
        <w:rFonts w:hint="default"/>
      </w:rPr>
    </w:lvl>
  </w:abstractNum>
  <w:num w:numId="1" w16cid:durableId="142634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355"/>
    <w:rsid w:val="00087A5A"/>
    <w:rsid w:val="001B6BC4"/>
    <w:rsid w:val="001F56E6"/>
    <w:rsid w:val="00205621"/>
    <w:rsid w:val="002B4AC0"/>
    <w:rsid w:val="00303079"/>
    <w:rsid w:val="0039454D"/>
    <w:rsid w:val="00404647"/>
    <w:rsid w:val="004A6288"/>
    <w:rsid w:val="004D621E"/>
    <w:rsid w:val="004F20A9"/>
    <w:rsid w:val="00566D9F"/>
    <w:rsid w:val="006C052A"/>
    <w:rsid w:val="006F3F5F"/>
    <w:rsid w:val="007008F5"/>
    <w:rsid w:val="00791D17"/>
    <w:rsid w:val="007A562B"/>
    <w:rsid w:val="00897CEF"/>
    <w:rsid w:val="008C1519"/>
    <w:rsid w:val="009171A7"/>
    <w:rsid w:val="00936C07"/>
    <w:rsid w:val="009A394E"/>
    <w:rsid w:val="00A0795C"/>
    <w:rsid w:val="00AC6038"/>
    <w:rsid w:val="00BA6355"/>
    <w:rsid w:val="00D17466"/>
    <w:rsid w:val="00E4719D"/>
    <w:rsid w:val="00EA0B5A"/>
    <w:rsid w:val="01100BB3"/>
    <w:rsid w:val="01245BEB"/>
    <w:rsid w:val="01454703"/>
    <w:rsid w:val="014C11BF"/>
    <w:rsid w:val="0152585C"/>
    <w:rsid w:val="016B6EF3"/>
    <w:rsid w:val="01863F3E"/>
    <w:rsid w:val="01C737CC"/>
    <w:rsid w:val="01D94415"/>
    <w:rsid w:val="028B28BE"/>
    <w:rsid w:val="02B90834"/>
    <w:rsid w:val="033743E6"/>
    <w:rsid w:val="035E7A94"/>
    <w:rsid w:val="03695E25"/>
    <w:rsid w:val="0385300A"/>
    <w:rsid w:val="03AB4F52"/>
    <w:rsid w:val="03AB7901"/>
    <w:rsid w:val="03D71CDD"/>
    <w:rsid w:val="046205AC"/>
    <w:rsid w:val="04913BFF"/>
    <w:rsid w:val="04AA5FAE"/>
    <w:rsid w:val="04E069E2"/>
    <w:rsid w:val="04EC5FA1"/>
    <w:rsid w:val="052D0F89"/>
    <w:rsid w:val="05336716"/>
    <w:rsid w:val="06120D5A"/>
    <w:rsid w:val="066F5147"/>
    <w:rsid w:val="068C21CA"/>
    <w:rsid w:val="0695567D"/>
    <w:rsid w:val="06CE055A"/>
    <w:rsid w:val="06D84848"/>
    <w:rsid w:val="070F27A4"/>
    <w:rsid w:val="0729554C"/>
    <w:rsid w:val="072E19D4"/>
    <w:rsid w:val="0751611A"/>
    <w:rsid w:val="07557695"/>
    <w:rsid w:val="07B61CB8"/>
    <w:rsid w:val="07E64191"/>
    <w:rsid w:val="08125467"/>
    <w:rsid w:val="081D1C70"/>
    <w:rsid w:val="08261F6C"/>
    <w:rsid w:val="08716B68"/>
    <w:rsid w:val="0875556E"/>
    <w:rsid w:val="087B46E2"/>
    <w:rsid w:val="087E3BC1"/>
    <w:rsid w:val="0899556A"/>
    <w:rsid w:val="08B35053"/>
    <w:rsid w:val="091A0EC7"/>
    <w:rsid w:val="0923440D"/>
    <w:rsid w:val="092669FE"/>
    <w:rsid w:val="094A101C"/>
    <w:rsid w:val="095216D9"/>
    <w:rsid w:val="09684E9E"/>
    <w:rsid w:val="09E717C0"/>
    <w:rsid w:val="0A420FE1"/>
    <w:rsid w:val="0A8068C8"/>
    <w:rsid w:val="0AA310F7"/>
    <w:rsid w:val="0AB2510E"/>
    <w:rsid w:val="0AD6045E"/>
    <w:rsid w:val="0AE65372"/>
    <w:rsid w:val="0AEC1EBC"/>
    <w:rsid w:val="0B0665A9"/>
    <w:rsid w:val="0B50723E"/>
    <w:rsid w:val="0B5C3209"/>
    <w:rsid w:val="0BBA4D6D"/>
    <w:rsid w:val="0BC72462"/>
    <w:rsid w:val="0C25027D"/>
    <w:rsid w:val="0C301811"/>
    <w:rsid w:val="0C89471E"/>
    <w:rsid w:val="0C9C593D"/>
    <w:rsid w:val="0C9F3B69"/>
    <w:rsid w:val="0CA84FD3"/>
    <w:rsid w:val="0CB573FE"/>
    <w:rsid w:val="0CE95A3D"/>
    <w:rsid w:val="0D3C55C3"/>
    <w:rsid w:val="0D406A75"/>
    <w:rsid w:val="0D7348C3"/>
    <w:rsid w:val="0DCF2FD1"/>
    <w:rsid w:val="0E184392"/>
    <w:rsid w:val="0E4B7C02"/>
    <w:rsid w:val="0E5E559E"/>
    <w:rsid w:val="0EB14497"/>
    <w:rsid w:val="0EF44B98"/>
    <w:rsid w:val="0EFC47BF"/>
    <w:rsid w:val="0F3223B5"/>
    <w:rsid w:val="0F4D2FB0"/>
    <w:rsid w:val="0F595F24"/>
    <w:rsid w:val="0FCA5C57"/>
    <w:rsid w:val="0FD31E0C"/>
    <w:rsid w:val="0FF860F6"/>
    <w:rsid w:val="1007595A"/>
    <w:rsid w:val="1019220A"/>
    <w:rsid w:val="107864D4"/>
    <w:rsid w:val="107E5FE4"/>
    <w:rsid w:val="108E4939"/>
    <w:rsid w:val="10AC3EE9"/>
    <w:rsid w:val="10D348B7"/>
    <w:rsid w:val="10D91402"/>
    <w:rsid w:val="10FE5858"/>
    <w:rsid w:val="11CC653F"/>
    <w:rsid w:val="11CC79B6"/>
    <w:rsid w:val="11D82663"/>
    <w:rsid w:val="121C45C0"/>
    <w:rsid w:val="122C44D9"/>
    <w:rsid w:val="122C466D"/>
    <w:rsid w:val="122D253E"/>
    <w:rsid w:val="123B4727"/>
    <w:rsid w:val="12540B79"/>
    <w:rsid w:val="12747CFC"/>
    <w:rsid w:val="127627C9"/>
    <w:rsid w:val="129164B0"/>
    <w:rsid w:val="132316DC"/>
    <w:rsid w:val="132B66B5"/>
    <w:rsid w:val="13471EBE"/>
    <w:rsid w:val="135F757C"/>
    <w:rsid w:val="13835254"/>
    <w:rsid w:val="13A62C02"/>
    <w:rsid w:val="13A67498"/>
    <w:rsid w:val="13B751E9"/>
    <w:rsid w:val="13C775FF"/>
    <w:rsid w:val="14360F37"/>
    <w:rsid w:val="1448175F"/>
    <w:rsid w:val="14537870"/>
    <w:rsid w:val="145C324B"/>
    <w:rsid w:val="14711B9F"/>
    <w:rsid w:val="15163F4D"/>
    <w:rsid w:val="152B2749"/>
    <w:rsid w:val="1568403C"/>
    <w:rsid w:val="158562DB"/>
    <w:rsid w:val="15F6029A"/>
    <w:rsid w:val="16377EF0"/>
    <w:rsid w:val="16D47753"/>
    <w:rsid w:val="16F861BD"/>
    <w:rsid w:val="175A1010"/>
    <w:rsid w:val="17C533AC"/>
    <w:rsid w:val="17D06B76"/>
    <w:rsid w:val="17D7279A"/>
    <w:rsid w:val="180E1588"/>
    <w:rsid w:val="18402509"/>
    <w:rsid w:val="186325E7"/>
    <w:rsid w:val="18CB39A2"/>
    <w:rsid w:val="192774D6"/>
    <w:rsid w:val="19292A5B"/>
    <w:rsid w:val="192E76E9"/>
    <w:rsid w:val="19383404"/>
    <w:rsid w:val="193F18FA"/>
    <w:rsid w:val="195B19B9"/>
    <w:rsid w:val="196F4647"/>
    <w:rsid w:val="1977452F"/>
    <w:rsid w:val="199D1C93"/>
    <w:rsid w:val="1A1A0363"/>
    <w:rsid w:val="1A22498A"/>
    <w:rsid w:val="1A4534CB"/>
    <w:rsid w:val="1ABD6DCA"/>
    <w:rsid w:val="1AD81A1B"/>
    <w:rsid w:val="1AE81CB5"/>
    <w:rsid w:val="1AFC1DF0"/>
    <w:rsid w:val="1B462E07"/>
    <w:rsid w:val="1B6E7990"/>
    <w:rsid w:val="1B9C4ECD"/>
    <w:rsid w:val="1C037E84"/>
    <w:rsid w:val="1C197E29"/>
    <w:rsid w:val="1C455B7D"/>
    <w:rsid w:val="1C57790E"/>
    <w:rsid w:val="1C6238D6"/>
    <w:rsid w:val="1C7A6962"/>
    <w:rsid w:val="1C8C2366"/>
    <w:rsid w:val="1C9F42B5"/>
    <w:rsid w:val="1CB2537C"/>
    <w:rsid w:val="1CC87EC7"/>
    <w:rsid w:val="1D1F3483"/>
    <w:rsid w:val="1D557168"/>
    <w:rsid w:val="1E070D5B"/>
    <w:rsid w:val="1E0C6237"/>
    <w:rsid w:val="1E225C80"/>
    <w:rsid w:val="1E6F24FC"/>
    <w:rsid w:val="1E7F528E"/>
    <w:rsid w:val="1E9D55C9"/>
    <w:rsid w:val="1F432E07"/>
    <w:rsid w:val="1F4D40E8"/>
    <w:rsid w:val="1F7669BF"/>
    <w:rsid w:val="1F9622E8"/>
    <w:rsid w:val="1FCF2808"/>
    <w:rsid w:val="1FDC04D4"/>
    <w:rsid w:val="201758B3"/>
    <w:rsid w:val="20354669"/>
    <w:rsid w:val="20427E78"/>
    <w:rsid w:val="2043117D"/>
    <w:rsid w:val="20587BD4"/>
    <w:rsid w:val="208863EE"/>
    <w:rsid w:val="20916CFE"/>
    <w:rsid w:val="211C5408"/>
    <w:rsid w:val="216B7513"/>
    <w:rsid w:val="219F22A0"/>
    <w:rsid w:val="21B66B78"/>
    <w:rsid w:val="21C73978"/>
    <w:rsid w:val="21EB5F66"/>
    <w:rsid w:val="21FE3EC0"/>
    <w:rsid w:val="221C4286"/>
    <w:rsid w:val="222327E3"/>
    <w:rsid w:val="224C2A45"/>
    <w:rsid w:val="22692BF3"/>
    <w:rsid w:val="2277369B"/>
    <w:rsid w:val="22B61C24"/>
    <w:rsid w:val="22CA78A2"/>
    <w:rsid w:val="247761DD"/>
    <w:rsid w:val="24D334FA"/>
    <w:rsid w:val="24E24A8F"/>
    <w:rsid w:val="24F05029"/>
    <w:rsid w:val="25036248"/>
    <w:rsid w:val="25365872"/>
    <w:rsid w:val="25562CAE"/>
    <w:rsid w:val="264B1BD6"/>
    <w:rsid w:val="266B4556"/>
    <w:rsid w:val="267D7507"/>
    <w:rsid w:val="269840E0"/>
    <w:rsid w:val="26A73075"/>
    <w:rsid w:val="26C919D8"/>
    <w:rsid w:val="26E32EDA"/>
    <w:rsid w:val="27562504"/>
    <w:rsid w:val="278C7E70"/>
    <w:rsid w:val="280651B5"/>
    <w:rsid w:val="280D4F46"/>
    <w:rsid w:val="281B5EB5"/>
    <w:rsid w:val="281D4B96"/>
    <w:rsid w:val="28D248D7"/>
    <w:rsid w:val="293D3C3C"/>
    <w:rsid w:val="293D5638"/>
    <w:rsid w:val="29447208"/>
    <w:rsid w:val="2954525D"/>
    <w:rsid w:val="295761E2"/>
    <w:rsid w:val="298634AE"/>
    <w:rsid w:val="29CF1324"/>
    <w:rsid w:val="29E028C3"/>
    <w:rsid w:val="29F700B4"/>
    <w:rsid w:val="2A012DB3"/>
    <w:rsid w:val="2A40035E"/>
    <w:rsid w:val="2A4B1F72"/>
    <w:rsid w:val="2AC87329"/>
    <w:rsid w:val="2B0A3225"/>
    <w:rsid w:val="2B1F5069"/>
    <w:rsid w:val="2B616237"/>
    <w:rsid w:val="2BA13879"/>
    <w:rsid w:val="2BB53743"/>
    <w:rsid w:val="2C55584A"/>
    <w:rsid w:val="2C5957A0"/>
    <w:rsid w:val="2C784B05"/>
    <w:rsid w:val="2C95120B"/>
    <w:rsid w:val="2CB36875"/>
    <w:rsid w:val="2CBC4779"/>
    <w:rsid w:val="2D65477E"/>
    <w:rsid w:val="2D8B36B2"/>
    <w:rsid w:val="2DA00CDE"/>
    <w:rsid w:val="2DA2135E"/>
    <w:rsid w:val="2DFE5985"/>
    <w:rsid w:val="2DFF1297"/>
    <w:rsid w:val="2DFF79A0"/>
    <w:rsid w:val="2E735BC5"/>
    <w:rsid w:val="2EDA6898"/>
    <w:rsid w:val="2EE20276"/>
    <w:rsid w:val="2EFE78AF"/>
    <w:rsid w:val="2F544078"/>
    <w:rsid w:val="2FC25361"/>
    <w:rsid w:val="2FF77F3F"/>
    <w:rsid w:val="30495D5B"/>
    <w:rsid w:val="305314A0"/>
    <w:rsid w:val="30A026DD"/>
    <w:rsid w:val="30CB701E"/>
    <w:rsid w:val="30E30E41"/>
    <w:rsid w:val="310F0A0C"/>
    <w:rsid w:val="31272204"/>
    <w:rsid w:val="312F6D42"/>
    <w:rsid w:val="3153482E"/>
    <w:rsid w:val="318A158D"/>
    <w:rsid w:val="31B23A98"/>
    <w:rsid w:val="31B93423"/>
    <w:rsid w:val="322317CE"/>
    <w:rsid w:val="32414601"/>
    <w:rsid w:val="324F5469"/>
    <w:rsid w:val="325F308C"/>
    <w:rsid w:val="327C3161"/>
    <w:rsid w:val="328E13E8"/>
    <w:rsid w:val="329E499A"/>
    <w:rsid w:val="32D765AA"/>
    <w:rsid w:val="334D3839"/>
    <w:rsid w:val="335413D8"/>
    <w:rsid w:val="3358764C"/>
    <w:rsid w:val="33FA5D38"/>
    <w:rsid w:val="34371239"/>
    <w:rsid w:val="344E5133"/>
    <w:rsid w:val="345A5CB3"/>
    <w:rsid w:val="3507028C"/>
    <w:rsid w:val="3544426A"/>
    <w:rsid w:val="35551AFE"/>
    <w:rsid w:val="356B252F"/>
    <w:rsid w:val="35980CEA"/>
    <w:rsid w:val="359F2D15"/>
    <w:rsid w:val="359F36FD"/>
    <w:rsid w:val="35D8418C"/>
    <w:rsid w:val="360E245F"/>
    <w:rsid w:val="36306DF5"/>
    <w:rsid w:val="3650732A"/>
    <w:rsid w:val="369C19A7"/>
    <w:rsid w:val="36A238B1"/>
    <w:rsid w:val="371E0691"/>
    <w:rsid w:val="37397F6D"/>
    <w:rsid w:val="37531E81"/>
    <w:rsid w:val="379344BE"/>
    <w:rsid w:val="37992B44"/>
    <w:rsid w:val="37B07EDB"/>
    <w:rsid w:val="37B35C4A"/>
    <w:rsid w:val="37CF5A51"/>
    <w:rsid w:val="37FF7F7F"/>
    <w:rsid w:val="381E4F28"/>
    <w:rsid w:val="382074F6"/>
    <w:rsid w:val="383A2C4D"/>
    <w:rsid w:val="38595180"/>
    <w:rsid w:val="386B671F"/>
    <w:rsid w:val="38BC7B10"/>
    <w:rsid w:val="38DC4808"/>
    <w:rsid w:val="38F00B77"/>
    <w:rsid w:val="39781027"/>
    <w:rsid w:val="398B4D6E"/>
    <w:rsid w:val="399030A9"/>
    <w:rsid w:val="39A209AA"/>
    <w:rsid w:val="39CA62DC"/>
    <w:rsid w:val="39D701A2"/>
    <w:rsid w:val="3A561743"/>
    <w:rsid w:val="3A663D9E"/>
    <w:rsid w:val="3A985A30"/>
    <w:rsid w:val="3AB04704"/>
    <w:rsid w:val="3AC04D69"/>
    <w:rsid w:val="3AE60D36"/>
    <w:rsid w:val="3B15087C"/>
    <w:rsid w:val="3B360779"/>
    <w:rsid w:val="3B640E61"/>
    <w:rsid w:val="3B800474"/>
    <w:rsid w:val="3BAA0D70"/>
    <w:rsid w:val="3BD44BE6"/>
    <w:rsid w:val="3BF8338C"/>
    <w:rsid w:val="3C0B0719"/>
    <w:rsid w:val="3C240A39"/>
    <w:rsid w:val="3C301DBC"/>
    <w:rsid w:val="3C6F5636"/>
    <w:rsid w:val="3C733AB9"/>
    <w:rsid w:val="3C7B6ECA"/>
    <w:rsid w:val="3C9C2E0B"/>
    <w:rsid w:val="3CF946C7"/>
    <w:rsid w:val="3D0F3E62"/>
    <w:rsid w:val="3D200983"/>
    <w:rsid w:val="3D323F8C"/>
    <w:rsid w:val="3D4C5F1D"/>
    <w:rsid w:val="3D6D6452"/>
    <w:rsid w:val="3DA62FBE"/>
    <w:rsid w:val="3E2B4C00"/>
    <w:rsid w:val="3E7C2C31"/>
    <w:rsid w:val="3E833A1C"/>
    <w:rsid w:val="3E8E5630"/>
    <w:rsid w:val="3ECE1E84"/>
    <w:rsid w:val="40192BB8"/>
    <w:rsid w:val="4057711B"/>
    <w:rsid w:val="408A525F"/>
    <w:rsid w:val="40AB4593"/>
    <w:rsid w:val="40BB2F2B"/>
    <w:rsid w:val="41283EAE"/>
    <w:rsid w:val="41975402"/>
    <w:rsid w:val="41D64E66"/>
    <w:rsid w:val="41DC2355"/>
    <w:rsid w:val="41FE3CD2"/>
    <w:rsid w:val="421C6B06"/>
    <w:rsid w:val="422468A6"/>
    <w:rsid w:val="42515CDB"/>
    <w:rsid w:val="434D32D2"/>
    <w:rsid w:val="43661FA0"/>
    <w:rsid w:val="43AC0369"/>
    <w:rsid w:val="43C845C3"/>
    <w:rsid w:val="43CB1CC4"/>
    <w:rsid w:val="43D8485D"/>
    <w:rsid w:val="448469AD"/>
    <w:rsid w:val="448922D2"/>
    <w:rsid w:val="448E7078"/>
    <w:rsid w:val="44A25816"/>
    <w:rsid w:val="44BE3F3F"/>
    <w:rsid w:val="44F05780"/>
    <w:rsid w:val="4530540F"/>
    <w:rsid w:val="453A6A23"/>
    <w:rsid w:val="458614D2"/>
    <w:rsid w:val="45B5636D"/>
    <w:rsid w:val="45D9530F"/>
    <w:rsid w:val="45E8203F"/>
    <w:rsid w:val="45F34E5C"/>
    <w:rsid w:val="460C6A8A"/>
    <w:rsid w:val="461C0986"/>
    <w:rsid w:val="4640090D"/>
    <w:rsid w:val="464E5266"/>
    <w:rsid w:val="46B5697F"/>
    <w:rsid w:val="46DF42D1"/>
    <w:rsid w:val="46E65FF8"/>
    <w:rsid w:val="47365564"/>
    <w:rsid w:val="47576496"/>
    <w:rsid w:val="47A81715"/>
    <w:rsid w:val="47E67906"/>
    <w:rsid w:val="47FC1154"/>
    <w:rsid w:val="48230C74"/>
    <w:rsid w:val="48264E6C"/>
    <w:rsid w:val="482E7CFA"/>
    <w:rsid w:val="48452CF3"/>
    <w:rsid w:val="484D3044"/>
    <w:rsid w:val="48B56CDA"/>
    <w:rsid w:val="48C43A71"/>
    <w:rsid w:val="49115D6F"/>
    <w:rsid w:val="492646D7"/>
    <w:rsid w:val="495A7600"/>
    <w:rsid w:val="4A087424"/>
    <w:rsid w:val="4A7A403C"/>
    <w:rsid w:val="4A9F427C"/>
    <w:rsid w:val="4AC17717"/>
    <w:rsid w:val="4B3115EC"/>
    <w:rsid w:val="4B5052C4"/>
    <w:rsid w:val="4B692E0F"/>
    <w:rsid w:val="4B831755"/>
    <w:rsid w:val="4BB00C01"/>
    <w:rsid w:val="4BB40B4C"/>
    <w:rsid w:val="4BE64593"/>
    <w:rsid w:val="4C0D7D31"/>
    <w:rsid w:val="4C0E1ED4"/>
    <w:rsid w:val="4C1D4241"/>
    <w:rsid w:val="4C644E61"/>
    <w:rsid w:val="4C982BE0"/>
    <w:rsid w:val="4CE20FB3"/>
    <w:rsid w:val="4CE8270D"/>
    <w:rsid w:val="4D41354B"/>
    <w:rsid w:val="4D5B341E"/>
    <w:rsid w:val="4D5E2AFB"/>
    <w:rsid w:val="4DC4071C"/>
    <w:rsid w:val="4DE6755C"/>
    <w:rsid w:val="4E6232FD"/>
    <w:rsid w:val="4EBF2AC2"/>
    <w:rsid w:val="4ECE0819"/>
    <w:rsid w:val="4EF51B27"/>
    <w:rsid w:val="4F20019F"/>
    <w:rsid w:val="4F4A4C24"/>
    <w:rsid w:val="4F7003C5"/>
    <w:rsid w:val="5012466D"/>
    <w:rsid w:val="50852442"/>
    <w:rsid w:val="50EB0ACD"/>
    <w:rsid w:val="50FA66E7"/>
    <w:rsid w:val="510B0C00"/>
    <w:rsid w:val="51276734"/>
    <w:rsid w:val="51524FFA"/>
    <w:rsid w:val="51AF590D"/>
    <w:rsid w:val="51BA38B2"/>
    <w:rsid w:val="51FA450E"/>
    <w:rsid w:val="520B3DAC"/>
    <w:rsid w:val="5219254C"/>
    <w:rsid w:val="52295F56"/>
    <w:rsid w:val="5298101C"/>
    <w:rsid w:val="52AA425C"/>
    <w:rsid w:val="52BF774F"/>
    <w:rsid w:val="52CC4866"/>
    <w:rsid w:val="536A3BE7"/>
    <w:rsid w:val="539B3C3A"/>
    <w:rsid w:val="53C127F5"/>
    <w:rsid w:val="53DB6C22"/>
    <w:rsid w:val="53F62C89"/>
    <w:rsid w:val="54124B7D"/>
    <w:rsid w:val="541B7A0B"/>
    <w:rsid w:val="54722160"/>
    <w:rsid w:val="54A54920"/>
    <w:rsid w:val="54DD2D7F"/>
    <w:rsid w:val="54FE505B"/>
    <w:rsid w:val="55002ADD"/>
    <w:rsid w:val="55145A25"/>
    <w:rsid w:val="55561106"/>
    <w:rsid w:val="55A95BC1"/>
    <w:rsid w:val="55D909B9"/>
    <w:rsid w:val="55DB6BD7"/>
    <w:rsid w:val="560611D3"/>
    <w:rsid w:val="564000C1"/>
    <w:rsid w:val="564E40DA"/>
    <w:rsid w:val="56586A47"/>
    <w:rsid w:val="567C69FC"/>
    <w:rsid w:val="570064CA"/>
    <w:rsid w:val="57295110"/>
    <w:rsid w:val="57561CEC"/>
    <w:rsid w:val="57784E8F"/>
    <w:rsid w:val="578135A0"/>
    <w:rsid w:val="57A027D0"/>
    <w:rsid w:val="57A90EE1"/>
    <w:rsid w:val="57BD2100"/>
    <w:rsid w:val="586D7199"/>
    <w:rsid w:val="586E7784"/>
    <w:rsid w:val="58A23677"/>
    <w:rsid w:val="58B05FA8"/>
    <w:rsid w:val="58E37964"/>
    <w:rsid w:val="58F803BB"/>
    <w:rsid w:val="59464082"/>
    <w:rsid w:val="59666DFD"/>
    <w:rsid w:val="59841A6C"/>
    <w:rsid w:val="59DF6902"/>
    <w:rsid w:val="5A177392"/>
    <w:rsid w:val="5A19415E"/>
    <w:rsid w:val="5A2B26AD"/>
    <w:rsid w:val="5A4A4207"/>
    <w:rsid w:val="5A9621C3"/>
    <w:rsid w:val="5A9E7DED"/>
    <w:rsid w:val="5AD2718F"/>
    <w:rsid w:val="5ADE51A0"/>
    <w:rsid w:val="5AEF0CBE"/>
    <w:rsid w:val="5B0E4973"/>
    <w:rsid w:val="5B770D52"/>
    <w:rsid w:val="5BD966BD"/>
    <w:rsid w:val="5BE057BD"/>
    <w:rsid w:val="5BED3C02"/>
    <w:rsid w:val="5C09140A"/>
    <w:rsid w:val="5C144A38"/>
    <w:rsid w:val="5C1D7DDF"/>
    <w:rsid w:val="5C3160B8"/>
    <w:rsid w:val="5C8F0E4B"/>
    <w:rsid w:val="5C8F2968"/>
    <w:rsid w:val="5C9B41FC"/>
    <w:rsid w:val="5CA359EF"/>
    <w:rsid w:val="5CC475BF"/>
    <w:rsid w:val="5CE14ED3"/>
    <w:rsid w:val="5D0019A2"/>
    <w:rsid w:val="5D211424"/>
    <w:rsid w:val="5D336958"/>
    <w:rsid w:val="5D40278C"/>
    <w:rsid w:val="5D425C8F"/>
    <w:rsid w:val="5D504390"/>
    <w:rsid w:val="5D620FB6"/>
    <w:rsid w:val="5D8E02C3"/>
    <w:rsid w:val="5D953C8D"/>
    <w:rsid w:val="5DD3777C"/>
    <w:rsid w:val="5E276AD2"/>
    <w:rsid w:val="5E3B5468"/>
    <w:rsid w:val="5E5644D2"/>
    <w:rsid w:val="5E633F6A"/>
    <w:rsid w:val="5E8E5BA5"/>
    <w:rsid w:val="5EC24E86"/>
    <w:rsid w:val="5EDE29EE"/>
    <w:rsid w:val="5EF868BC"/>
    <w:rsid w:val="5F002C5F"/>
    <w:rsid w:val="5F0B2CFC"/>
    <w:rsid w:val="5F5159EF"/>
    <w:rsid w:val="5F8E5B3F"/>
    <w:rsid w:val="5FA550D5"/>
    <w:rsid w:val="5FB50E2A"/>
    <w:rsid w:val="5FE61E48"/>
    <w:rsid w:val="606B613C"/>
    <w:rsid w:val="60AE592B"/>
    <w:rsid w:val="60F81759"/>
    <w:rsid w:val="613B10FE"/>
    <w:rsid w:val="61407419"/>
    <w:rsid w:val="616E5D6A"/>
    <w:rsid w:val="61A35B4E"/>
    <w:rsid w:val="61AB438C"/>
    <w:rsid w:val="61B14255"/>
    <w:rsid w:val="61C251E9"/>
    <w:rsid w:val="61D11928"/>
    <w:rsid w:val="62112B44"/>
    <w:rsid w:val="622C6B2F"/>
    <w:rsid w:val="625352F3"/>
    <w:rsid w:val="628D44A1"/>
    <w:rsid w:val="62972189"/>
    <w:rsid w:val="629F065A"/>
    <w:rsid w:val="62ED61DB"/>
    <w:rsid w:val="62F200E4"/>
    <w:rsid w:val="63337393"/>
    <w:rsid w:val="634023E1"/>
    <w:rsid w:val="63E158FC"/>
    <w:rsid w:val="63F35708"/>
    <w:rsid w:val="64025D52"/>
    <w:rsid w:val="640370CF"/>
    <w:rsid w:val="64135FBD"/>
    <w:rsid w:val="643D0D5F"/>
    <w:rsid w:val="6455344C"/>
    <w:rsid w:val="64634AC2"/>
    <w:rsid w:val="64B63248"/>
    <w:rsid w:val="64FD7A36"/>
    <w:rsid w:val="65270084"/>
    <w:rsid w:val="654A6B98"/>
    <w:rsid w:val="654B3DC0"/>
    <w:rsid w:val="65901D4A"/>
    <w:rsid w:val="65960337"/>
    <w:rsid w:val="659A1AD6"/>
    <w:rsid w:val="65C06580"/>
    <w:rsid w:val="65D138A0"/>
    <w:rsid w:val="65D53C9F"/>
    <w:rsid w:val="65E02BB4"/>
    <w:rsid w:val="65EA5BC3"/>
    <w:rsid w:val="66976477"/>
    <w:rsid w:val="66AD290B"/>
    <w:rsid w:val="66E5373F"/>
    <w:rsid w:val="67130B29"/>
    <w:rsid w:val="671604B0"/>
    <w:rsid w:val="671F5370"/>
    <w:rsid w:val="675D1E04"/>
    <w:rsid w:val="676079C6"/>
    <w:rsid w:val="67B669F8"/>
    <w:rsid w:val="67BA5B91"/>
    <w:rsid w:val="67D23E38"/>
    <w:rsid w:val="682B021D"/>
    <w:rsid w:val="68693CFB"/>
    <w:rsid w:val="689C09B0"/>
    <w:rsid w:val="68B74A5D"/>
    <w:rsid w:val="68E95959"/>
    <w:rsid w:val="69090FE4"/>
    <w:rsid w:val="690A31E2"/>
    <w:rsid w:val="695E2C6C"/>
    <w:rsid w:val="69732145"/>
    <w:rsid w:val="697D7C9D"/>
    <w:rsid w:val="69EC28D0"/>
    <w:rsid w:val="6A1B4537"/>
    <w:rsid w:val="6A374C70"/>
    <w:rsid w:val="6A516757"/>
    <w:rsid w:val="6A5A2853"/>
    <w:rsid w:val="6A5C65B8"/>
    <w:rsid w:val="6A6B3457"/>
    <w:rsid w:val="6A862E1C"/>
    <w:rsid w:val="6A8A23D9"/>
    <w:rsid w:val="6B2D5880"/>
    <w:rsid w:val="6BA70286"/>
    <w:rsid w:val="6BA8732E"/>
    <w:rsid w:val="6BED6CE1"/>
    <w:rsid w:val="6BFB6191"/>
    <w:rsid w:val="6BFF0BC1"/>
    <w:rsid w:val="6C0B5D4D"/>
    <w:rsid w:val="6C4B5929"/>
    <w:rsid w:val="6C4C203A"/>
    <w:rsid w:val="6C9C27CD"/>
    <w:rsid w:val="6CB16327"/>
    <w:rsid w:val="6CDB6426"/>
    <w:rsid w:val="6D0A5D26"/>
    <w:rsid w:val="6D1D2712"/>
    <w:rsid w:val="6D326272"/>
    <w:rsid w:val="6D3754BB"/>
    <w:rsid w:val="6D515497"/>
    <w:rsid w:val="6D74531F"/>
    <w:rsid w:val="6D913610"/>
    <w:rsid w:val="6DE17AA3"/>
    <w:rsid w:val="6DFC1D81"/>
    <w:rsid w:val="6E0C4D26"/>
    <w:rsid w:val="6E0D4219"/>
    <w:rsid w:val="6E573394"/>
    <w:rsid w:val="6E644C28"/>
    <w:rsid w:val="6E685A82"/>
    <w:rsid w:val="6E723F57"/>
    <w:rsid w:val="6EC2352C"/>
    <w:rsid w:val="6EDE2373"/>
    <w:rsid w:val="6F0F36AB"/>
    <w:rsid w:val="6F811B7C"/>
    <w:rsid w:val="6F8F6914"/>
    <w:rsid w:val="6FBC64DE"/>
    <w:rsid w:val="6FC70638"/>
    <w:rsid w:val="6FCD43AB"/>
    <w:rsid w:val="7002794D"/>
    <w:rsid w:val="70666977"/>
    <w:rsid w:val="70D16026"/>
    <w:rsid w:val="715C7816"/>
    <w:rsid w:val="71874A5E"/>
    <w:rsid w:val="71A80DCB"/>
    <w:rsid w:val="71B50581"/>
    <w:rsid w:val="71F66BDB"/>
    <w:rsid w:val="71FD71C8"/>
    <w:rsid w:val="7202744B"/>
    <w:rsid w:val="72271C09"/>
    <w:rsid w:val="7293150A"/>
    <w:rsid w:val="72946F8C"/>
    <w:rsid w:val="72DA014C"/>
    <w:rsid w:val="72FA21B3"/>
    <w:rsid w:val="73035041"/>
    <w:rsid w:val="730F1B77"/>
    <w:rsid w:val="7312785A"/>
    <w:rsid w:val="732C4B81"/>
    <w:rsid w:val="7344172C"/>
    <w:rsid w:val="73A77DFA"/>
    <w:rsid w:val="73E4432F"/>
    <w:rsid w:val="74181387"/>
    <w:rsid w:val="74306915"/>
    <w:rsid w:val="74404E17"/>
    <w:rsid w:val="74572508"/>
    <w:rsid w:val="746E7D9F"/>
    <w:rsid w:val="74AE17FA"/>
    <w:rsid w:val="74B67F0B"/>
    <w:rsid w:val="74D00AB5"/>
    <w:rsid w:val="74EF608F"/>
    <w:rsid w:val="75022669"/>
    <w:rsid w:val="752419D7"/>
    <w:rsid w:val="754664F5"/>
    <w:rsid w:val="756B5A45"/>
    <w:rsid w:val="75AF4751"/>
    <w:rsid w:val="75CE7892"/>
    <w:rsid w:val="75ED292B"/>
    <w:rsid w:val="76560579"/>
    <w:rsid w:val="765B27BA"/>
    <w:rsid w:val="765F3E69"/>
    <w:rsid w:val="767E27C6"/>
    <w:rsid w:val="768A5F2A"/>
    <w:rsid w:val="7692201F"/>
    <w:rsid w:val="7700708A"/>
    <w:rsid w:val="7702305E"/>
    <w:rsid w:val="771317C1"/>
    <w:rsid w:val="780A6AF9"/>
    <w:rsid w:val="784831E4"/>
    <w:rsid w:val="7864694E"/>
    <w:rsid w:val="7869596B"/>
    <w:rsid w:val="786B044B"/>
    <w:rsid w:val="786B0499"/>
    <w:rsid w:val="786C0D80"/>
    <w:rsid w:val="789C76BF"/>
    <w:rsid w:val="78AE679B"/>
    <w:rsid w:val="78D50209"/>
    <w:rsid w:val="78ED7993"/>
    <w:rsid w:val="793501EA"/>
    <w:rsid w:val="7940345B"/>
    <w:rsid w:val="79443502"/>
    <w:rsid w:val="79500E30"/>
    <w:rsid w:val="79663B59"/>
    <w:rsid w:val="799106C2"/>
    <w:rsid w:val="79AB4EB5"/>
    <w:rsid w:val="79B7759D"/>
    <w:rsid w:val="79F17A2D"/>
    <w:rsid w:val="7AC8442B"/>
    <w:rsid w:val="7B0A68E9"/>
    <w:rsid w:val="7B3A7F1B"/>
    <w:rsid w:val="7B615DFB"/>
    <w:rsid w:val="7B641AEE"/>
    <w:rsid w:val="7B6A670A"/>
    <w:rsid w:val="7BB26AFF"/>
    <w:rsid w:val="7C1822AA"/>
    <w:rsid w:val="7C8D24B0"/>
    <w:rsid w:val="7C9E4116"/>
    <w:rsid w:val="7CA5738C"/>
    <w:rsid w:val="7CC51E3F"/>
    <w:rsid w:val="7CEC7720"/>
    <w:rsid w:val="7D177742"/>
    <w:rsid w:val="7D360E79"/>
    <w:rsid w:val="7DA90991"/>
    <w:rsid w:val="7DBF1DA8"/>
    <w:rsid w:val="7DCA593B"/>
    <w:rsid w:val="7DEC4F3D"/>
    <w:rsid w:val="7E334BFF"/>
    <w:rsid w:val="7E36681D"/>
    <w:rsid w:val="7E9114B5"/>
    <w:rsid w:val="7E9E281F"/>
    <w:rsid w:val="7EED054A"/>
    <w:rsid w:val="7EF27C8A"/>
    <w:rsid w:val="7F082813"/>
    <w:rsid w:val="7F944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AF55FE"/>
  <w15:docId w15:val="{1F8529D2-5004-4227-891E-D8871C3BC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noProof/>
      <w:kern w:val="2"/>
      <w:sz w:val="22"/>
      <w:szCs w:val="24"/>
      <w:lang w:val="en-GB"/>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pPr>
    <w:rPr>
      <w:sz w:val="18"/>
    </w:rPr>
  </w:style>
  <w:style w:type="paragraph" w:styleId="a4">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TOC1">
    <w:name w:val="toc 1"/>
    <w:basedOn w:val="a"/>
    <w:next w:val="a"/>
    <w:uiPriority w:val="39"/>
    <w:semiHidden/>
    <w:unhideWhenUsed/>
    <w:qFormat/>
  </w:style>
  <w:style w:type="paragraph" w:styleId="a5">
    <w:name w:val="Subtitle"/>
    <w:basedOn w:val="a"/>
    <w:next w:val="a"/>
    <w:link w:val="a6"/>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9">
    <w:name w:val="Hyperlink"/>
    <w:basedOn w:val="a0"/>
    <w:uiPriority w:val="99"/>
    <w:semiHidden/>
    <w:unhideWhenUsed/>
    <w:qFormat/>
    <w:rPr>
      <w:color w:val="0000FF"/>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8">
    <w:name w:val="标题 字符"/>
    <w:basedOn w:val="a0"/>
    <w:link w:val="a7"/>
    <w:uiPriority w:val="10"/>
    <w:qFormat/>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pPr>
      <w:spacing w:before="160"/>
      <w:jc w:val="center"/>
    </w:pPr>
    <w:rPr>
      <w:i/>
      <w:iCs/>
      <w:color w:val="404040" w:themeColor="text1" w:themeTint="BF"/>
    </w:rPr>
  </w:style>
  <w:style w:type="character" w:customStyle="1" w:styleId="ab">
    <w:name w:val="引用 字符"/>
    <w:basedOn w:val="a0"/>
    <w:link w:val="aa"/>
    <w:uiPriority w:val="29"/>
    <w:qFormat/>
    <w:rPr>
      <w:i/>
      <w:iCs/>
      <w:color w:val="404040" w:themeColor="text1" w:themeTint="BF"/>
    </w:rPr>
  </w:style>
  <w:style w:type="paragraph" w:styleId="ac">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d">
    <w:name w:val="Intense Quote"/>
    <w:basedOn w:val="a"/>
    <w:next w:val="a"/>
    <w:link w:val="a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cpc.ie/business/wp-content/uploads/sites/3/2022/08/2022.12.12-M.22.034-MS-Gist-PUBLIC-DET.pdf" TargetMode="External"/><Relationship Id="rId13" Type="http://schemas.openxmlformats.org/officeDocument/2006/relationships/hyperlink" Target="https://corporate.marksandspencer.com/newsroom/press-releases/marks-and-spencer-group-plc-full-year-results-52-weeks-ended-30-march-2024" TargetMode="External"/><Relationship Id="rId18" Type="http://schemas.openxmlformats.org/officeDocument/2006/relationships/hyperlink" Target="https://www.reuters.com/markets/deals/britains-ms-buy-logistics-firm-gist-2022-07-2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rporate.marksandspencer.com/sites/marksandspencer/files/2023-06/M-and-S-2023-Annual-Report.pdf" TargetMode="External"/><Relationship Id="rId17" Type="http://schemas.openxmlformats.org/officeDocument/2006/relationships/hyperlink" Target="https://corporate.marksandspencer.com/sites/marksandspencer/files/2025-05/Marks-and-Spencer-Group-plc-Annual-Report-and-Financial-Statements-2025_INTERACTIVE_FINAL.pdf" TargetMode="External"/><Relationship Id="rId2" Type="http://schemas.openxmlformats.org/officeDocument/2006/relationships/numbering" Target="numbering.xml"/><Relationship Id="rId16" Type="http://schemas.openxmlformats.org/officeDocument/2006/relationships/hyperlink" Target="https://corporate.marksandspencer.com/newsroom/press-releases/full-year-results-52-weeks-ended-29-march-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sites/marksandspencer/files/Annual%20reports/m-and-s_ar22_full-ar.pdf" TargetMode="External"/><Relationship Id="rId5" Type="http://schemas.openxmlformats.org/officeDocument/2006/relationships/webSettings" Target="webSettings.xml"/><Relationship Id="rId15" Type="http://schemas.openxmlformats.org/officeDocument/2006/relationships/hyperlink" Target="https://corporate.marksandspencer.com/sites/marksandspencer/files/2024-06/M-and-S-2024-Annual-Report.pdf" TargetMode="External"/><Relationship Id="rId10" Type="http://schemas.openxmlformats.org/officeDocument/2006/relationships/hyperlink" Target="https://corporate.marksandspencer.com/newsroom/press-releases/half-year-results-26-weeks-ended-1-october-20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marksandspencer.com/newsroom/press-releases/marks-and-spencer-acquire-gist-part-accelerating-its-food-supply-chain" TargetMode="External"/><Relationship Id="rId14" Type="http://schemas.openxmlformats.org/officeDocument/2006/relationships/hyperlink" Target="https://corporate.marksandspencer.com/investors/shareholder-centre/agm-faq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17</Pages>
  <Words>3997</Words>
  <Characters>24308</Characters>
  <Application>Microsoft Office Word</Application>
  <DocSecurity>0</DocSecurity>
  <Lines>405</Lines>
  <Paragraphs>83</Paragraphs>
  <ScaleCrop>false</ScaleCrop>
  <Company/>
  <LinksUpToDate>false</LinksUpToDate>
  <CharactersWithSpaces>28222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XIANGJUN CHEN</dc:creator>
  <cp:lastModifiedBy>香君 陈</cp:lastModifiedBy>
  <cp:revision>4</cp:revision>
  <dcterms:created xsi:type="dcterms:W3CDTF">2026-03-17T18:09:00Z</dcterms:created>
  <dcterms:modified xsi:type="dcterms:W3CDTF">2026-03-27T19:31:00Z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eyJoZGlkIjoiZjdmYzljYTVlZjVkNWM4Njg4NjljMTQ0ODU4ZjY0NmEiLCJ1c2VySWQiOiIxNDAwMzE3MDQ2In0=</vt:lpwstr>
  </property>
  <property fmtid="{D5CDD505-2E9C-101B-9397-08002B2CF9AE}" pid="3" name="KSOProductBuildVer">
    <vt:lpwstr>2052-12.1.0.25225</vt:lpwstr>
  </property>
  <property fmtid="{D5CDD505-2E9C-101B-9397-08002B2CF9AE}" pid="4" name="ICV">
    <vt:lpwstr>DA2AF6EB4FD649F8ABDFA45C5488B519_12</vt:lpwstr>
  </property>
</Properties>
</file>