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9E453C" w14:textId="7893CFF9" w:rsidR="00AE17F9" w:rsidRPr="00D71FDF" w:rsidRDefault="00295AAB" w:rsidP="00385948">
      <w:pPr>
        <w:rPr>
          <w:b/>
          <w:u w:val="single"/>
        </w:rPr>
      </w:pPr>
      <w:r w:rsidRPr="00295AAB">
        <w:rPr>
          <w:b/>
          <w:u w:val="single"/>
        </w:rPr>
        <w:t>Gobbet</w:t>
      </w:r>
    </w:p>
    <w:p w14:paraId="21AEA211" w14:textId="36876F1F" w:rsidR="00665FCF" w:rsidRDefault="00665FCF" w:rsidP="00385948">
      <w:r>
        <w:t xml:space="preserve">The source I have chosen to analyse is Plutarch Life of Alexander, chapter 14. In this excerpt, Plutarch tells us of the meeting between Alexander and the philosopher Diogenes.  </w:t>
      </w:r>
      <w:r w:rsidR="007605C7">
        <w:t xml:space="preserve">In this essay, I will first look at </w:t>
      </w:r>
      <w:r w:rsidR="005000E1">
        <w:t xml:space="preserve">the text itself and what it tells us about Alexander (as the book centres around him) before taking a step back and looking at the author Plutarch and the reliability of this piece. </w:t>
      </w:r>
    </w:p>
    <w:p w14:paraId="04BEC285" w14:textId="41C8EEB2" w:rsidR="005000E1" w:rsidRDefault="005000E1" w:rsidP="00385948">
      <w:r>
        <w:t xml:space="preserve">In the text, we are introduced to Alexander the Great seeking out </w:t>
      </w:r>
      <w:r w:rsidR="0059116B">
        <w:t xml:space="preserve">the philosopher Diogenes </w:t>
      </w:r>
      <w:proofErr w:type="gramStart"/>
      <w:r w:rsidR="0059116B">
        <w:t>in order to</w:t>
      </w:r>
      <w:proofErr w:type="gramEnd"/>
      <w:r w:rsidR="0059116B">
        <w:t xml:space="preserve"> ask if there was any way </w:t>
      </w:r>
      <w:r w:rsidR="00565C91">
        <w:t>he</w:t>
      </w:r>
      <w:r w:rsidR="0059116B">
        <w:t xml:space="preserve"> could </w:t>
      </w:r>
      <w:r w:rsidR="00565C91">
        <w:t>assist</w:t>
      </w:r>
      <w:r w:rsidR="0059116B">
        <w:t xml:space="preserve"> him</w:t>
      </w:r>
      <w:r w:rsidR="003A6424">
        <w:t>. This is not too out of the blue as earlier on, in chapter 7 we are told that Phillip II demanded that his son be taught by Aristotle</w:t>
      </w:r>
      <w:r w:rsidR="00565C91">
        <w:rPr>
          <w:rStyle w:val="FootnoteReference"/>
        </w:rPr>
        <w:footnoteReference w:id="1"/>
      </w:r>
      <w:r w:rsidR="003A6424">
        <w:t xml:space="preserve">, one of the most famous philosophers even in modern day. Because of this, </w:t>
      </w:r>
      <w:proofErr w:type="gramStart"/>
      <w:r w:rsidR="003A6424">
        <w:t>It</w:t>
      </w:r>
      <w:proofErr w:type="gramEnd"/>
      <w:r w:rsidR="003A6424">
        <w:t xml:space="preserve"> can be understood by the audience that Alexander would want to help a fellow philosopher, perhaps Diogenes reminded him of his teache</w:t>
      </w:r>
      <w:r w:rsidR="00A76C4C">
        <w:t>r</w:t>
      </w:r>
      <w:r w:rsidR="003008D3">
        <w:t>? Not so much in looks as Diogenes preferred a simple life and Aristotle had big schools in his name, but in manner of speech</w:t>
      </w:r>
      <w:r w:rsidR="00362701">
        <w:t xml:space="preserve">, such nostalgia would account for Alexander snapping at his followers and sticking up for Diogenes. </w:t>
      </w:r>
    </w:p>
    <w:p w14:paraId="7FB659BD" w14:textId="07A303B0" w:rsidR="00DC0E21" w:rsidRDefault="00DC0E21" w:rsidP="00385948">
      <w:r>
        <w:t xml:space="preserve">Upon research, it is easily discovered that this is a well known story that has been told by many different </w:t>
      </w:r>
      <w:r w:rsidR="00383E1F">
        <w:t>authors, and has many different translations, for example, in some translations of Plutarch, Diogenes replies with ‘</w:t>
      </w:r>
      <w:r w:rsidR="00383E1F" w:rsidRPr="00383E1F">
        <w:t>If I were not Diogenes, I would also wish to be Diogenes</w:t>
      </w:r>
      <w:r w:rsidR="00383E1F">
        <w:t>’</w:t>
      </w:r>
      <w:r w:rsidR="00383E1F">
        <w:rPr>
          <w:rStyle w:val="FootnoteReference"/>
        </w:rPr>
        <w:footnoteReference w:id="2"/>
      </w:r>
      <w:r w:rsidR="00383E1F">
        <w:t xml:space="preserve"> whereas in </w:t>
      </w:r>
      <w:r w:rsidR="00383E1F" w:rsidRPr="00383E1F">
        <w:t>Diogenes Laertius</w:t>
      </w:r>
      <w:r w:rsidR="00383E1F">
        <w:t>’ version, Alexander does not reply at all</w:t>
      </w:r>
      <w:r w:rsidR="00383E1F">
        <w:rPr>
          <w:rStyle w:val="FootnoteReference"/>
        </w:rPr>
        <w:footnoteReference w:id="3"/>
      </w:r>
      <w:r w:rsidR="00383E1F">
        <w:t xml:space="preserve">. </w:t>
      </w:r>
      <w:r w:rsidR="007C67F2">
        <w:t xml:space="preserve">These all give us </w:t>
      </w:r>
      <w:r w:rsidR="00A95479">
        <w:t xml:space="preserve">slightly different interpretations of their encounter, for example, when Diogenes replies, you could interpret it as him judging Alexander </w:t>
      </w:r>
      <w:r w:rsidR="005538E0">
        <w:t xml:space="preserve">by saying you could give it all up and be a philosopher, you just choose not to. An interpretation such as this could cause the audience to also think negatively on Alexander, that all he cares about is wealth and is all talk, unlike if you just hear Alexanders response that makes him sound </w:t>
      </w:r>
      <w:proofErr w:type="gramStart"/>
      <w:r w:rsidR="005538E0">
        <w:t>more humble</w:t>
      </w:r>
      <w:proofErr w:type="gramEnd"/>
      <w:r w:rsidR="005538E0">
        <w:t xml:space="preserve">. </w:t>
      </w:r>
      <w:r w:rsidR="00DE7B76">
        <w:t xml:space="preserve">How do we know which is the true version? How do we know if this event happened at all? </w:t>
      </w:r>
    </w:p>
    <w:p w14:paraId="498364AE" w14:textId="74FB6AB9" w:rsidR="00DE7B76" w:rsidRDefault="00DE7B76" w:rsidP="00385948">
      <w:r>
        <w:t xml:space="preserve">To my mind, the answer is simple. I believe that this doesn’t matter, all ancient history we </w:t>
      </w:r>
      <w:proofErr w:type="gramStart"/>
      <w:r>
        <w:t>have to</w:t>
      </w:r>
      <w:proofErr w:type="gramEnd"/>
      <w:r>
        <w:t xml:space="preserve"> take with a pinch of salt, this is no different. What matters, and what tells us more about the text is the author, his aims and his audience. In this case, Plutarch. </w:t>
      </w:r>
    </w:p>
    <w:p w14:paraId="1396E864" w14:textId="570CD0AF" w:rsidR="00C441FA" w:rsidRDefault="00385948" w:rsidP="00385948">
      <w:r>
        <w:t>Plutarch was a Greek author living in 1</w:t>
      </w:r>
      <w:r w:rsidRPr="00385948">
        <w:rPr>
          <w:vertAlign w:val="superscript"/>
        </w:rPr>
        <w:t>st</w:t>
      </w:r>
      <w:r>
        <w:t xml:space="preserve"> century AD </w:t>
      </w:r>
      <w:proofErr w:type="spellStart"/>
      <w:r>
        <w:t>Chaeroneia</w:t>
      </w:r>
      <w:proofErr w:type="spellEnd"/>
      <w:r>
        <w:t>, and therefore under the rule of the Roman empire. This is very important to remember as it tells us what sort of audience he was writing for</w:t>
      </w:r>
      <w:r w:rsidR="0078287C">
        <w:t xml:space="preserve">, no one who would have met/ known Alexander would still be alive, therefore Plutarch could afford to take certain liberties with the texts he was writing unlike for example Caesar in his diaries, who could only afford to twist the wording to make himself sound better, not alter whole events. </w:t>
      </w:r>
      <w:r w:rsidR="00C441FA">
        <w:t xml:space="preserve"> </w:t>
      </w:r>
    </w:p>
    <w:p w14:paraId="2D63EC8E" w14:textId="697C80EC" w:rsidR="00962E23" w:rsidRDefault="0078287C" w:rsidP="00385948">
      <w:r>
        <w:t xml:space="preserve">At the start of </w:t>
      </w:r>
      <w:r w:rsidR="00AE17F9">
        <w:t>this</w:t>
      </w:r>
      <w:r>
        <w:t xml:space="preserve"> book ‘Life of Alexander’,</w:t>
      </w:r>
      <w:r w:rsidR="00AE17F9">
        <w:t xml:space="preserve"> Plutarch gives us helpful insight into his character, which will come in useful when analysing this piece. He claims ‘[…] </w:t>
      </w:r>
      <w:r w:rsidR="00AE17F9" w:rsidRPr="00AE17F9">
        <w:t>it is not Histories that I am writing, but Lives</w:t>
      </w:r>
      <w:r w:rsidR="00AE17F9">
        <w:t xml:space="preserve">’.  His aim is not to record and analyse history, but to put </w:t>
      </w:r>
      <w:r w:rsidR="00C441FA">
        <w:t>forward</w:t>
      </w:r>
      <w:r w:rsidR="00AE17F9">
        <w:t xml:space="preserve"> a compelling narrative to interest his readers, both Greek and Roman. </w:t>
      </w:r>
      <w:r w:rsidR="00962E23">
        <w:t>Due to this fact</w:t>
      </w:r>
      <w:r w:rsidR="00D85F83">
        <w:t xml:space="preserve">, we can deduce that </w:t>
      </w:r>
      <w:r w:rsidR="00962E23">
        <w:t>Plutarch</w:t>
      </w:r>
      <w:r w:rsidR="00D85F83">
        <w:t xml:space="preserve"> is</w:t>
      </w:r>
      <w:r w:rsidR="00476C5C">
        <w:t>n</w:t>
      </w:r>
      <w:r w:rsidR="00D85F83">
        <w:t xml:space="preserve">’t </w:t>
      </w:r>
      <w:r w:rsidR="00476C5C">
        <w:t>much</w:t>
      </w:r>
      <w:r w:rsidR="00D85F83">
        <w:t xml:space="preserve"> bothered with the truth </w:t>
      </w:r>
      <w:r w:rsidR="00476C5C">
        <w:t>but instead is</w:t>
      </w:r>
      <w:r w:rsidR="00D85F83">
        <w:t xml:space="preserve"> more </w:t>
      </w:r>
      <w:r w:rsidR="00476C5C">
        <w:t>interested in telling</w:t>
      </w:r>
      <w:r w:rsidR="00D85F83">
        <w:t xml:space="preserve"> a good story, so therefore he</w:t>
      </w:r>
      <w:r w:rsidR="00962E23">
        <w:t xml:space="preserve"> must have had a very good reason for putting this </w:t>
      </w:r>
      <w:proofErr w:type="gramStart"/>
      <w:r w:rsidR="00962E23">
        <w:t>particular encounter</w:t>
      </w:r>
      <w:proofErr w:type="gramEnd"/>
      <w:r w:rsidR="00962E23">
        <w:t xml:space="preserve"> in his book. He chose all his events meticulously, so why include this? What does it tell us about how Plutarch wants to portray Alexander?  </w:t>
      </w:r>
      <w:r w:rsidR="00751282">
        <w:t>If you just look simply at the story, you can see</w:t>
      </w:r>
      <w:r w:rsidR="00962E23">
        <w:t xml:space="preserve"> Plutarch telling us of Alexanders love of philosophy, and therefore perhaps his intelligence (As Plutarch himself was a philosopher so would </w:t>
      </w:r>
      <w:r w:rsidR="00962E23">
        <w:lastRenderedPageBreak/>
        <w:t>have thought very highly of them) and maybe a civilizing nature. However, i</w:t>
      </w:r>
      <w:r w:rsidR="00962E23" w:rsidRPr="00962E23">
        <w:t xml:space="preserve">n his commentary on Plutarch’s Alexander, </w:t>
      </w:r>
      <w:r w:rsidR="00962E23">
        <w:t xml:space="preserve">J. R. </w:t>
      </w:r>
      <w:r w:rsidR="00962E23" w:rsidRPr="00962E23">
        <w:t>Hamilton suggests that</w:t>
      </w:r>
      <w:r w:rsidR="00962E23">
        <w:t xml:space="preserve"> the ‘Alexander the civilizer’ theory is wrong, and instead Plutarch was looking to show his audience of Alexanders </w:t>
      </w:r>
      <w:r w:rsidR="00834CDF">
        <w:t>distaste</w:t>
      </w:r>
      <w:r w:rsidR="00962E23">
        <w:t xml:space="preserve"> </w:t>
      </w:r>
      <w:r w:rsidR="00834CDF">
        <w:t>for</w:t>
      </w:r>
      <w:r w:rsidR="00962E23">
        <w:t xml:space="preserve"> his job and power as ‘obstacles to the virtue for which he could find no time’</w:t>
      </w:r>
      <w:r w:rsidR="00962E23">
        <w:rPr>
          <w:rStyle w:val="FootnoteReference"/>
        </w:rPr>
        <w:footnoteReference w:id="4"/>
      </w:r>
      <w:r w:rsidR="00962E23">
        <w:t xml:space="preserve"> I however, choose to interpret this as </w:t>
      </w:r>
      <w:r w:rsidR="00AC190B">
        <w:t>Plutarch trying to make Alexander seem more humble and kind to a Roman audience that might still contain lingering thoughts of the Greeks as enemies and all the ‘barbarian’ propaganda that they might have been used to</w:t>
      </w:r>
      <w:r w:rsidR="000F2021">
        <w:t>.</w:t>
      </w:r>
    </w:p>
    <w:p w14:paraId="3D29EB92" w14:textId="7A10344D" w:rsidR="00644F39" w:rsidRDefault="00AC190B" w:rsidP="00385948">
      <w:r>
        <w:t>Due to the nat</w:t>
      </w:r>
      <w:r w:rsidR="00B86077">
        <w:t xml:space="preserve">ure of the piece being part of </w:t>
      </w:r>
      <w:r w:rsidR="006F6E83">
        <w:t>Plutarch’s</w:t>
      </w:r>
      <w:r w:rsidR="00B86077">
        <w:t xml:space="preserve">’ ‘Parallel Lives’ series, </w:t>
      </w:r>
      <w:proofErr w:type="gramStart"/>
      <w:r w:rsidR="00B86077">
        <w:t>It</w:t>
      </w:r>
      <w:proofErr w:type="gramEnd"/>
      <w:r w:rsidR="00B86077">
        <w:t xml:space="preserve"> is important to remember that this must be riddled with symbolism and messages to the audience about how Alexander compares with Caesar (the adjoining book). This specific piece I </w:t>
      </w:r>
      <w:r w:rsidR="00D36556">
        <w:t>compared to Caesar 17, where Plutarch writes ‘</w:t>
      </w:r>
      <w:r w:rsidR="00D36556" w:rsidRPr="00D36556">
        <w:t>he disciplined himself so far as to be able to dictate letters from on horseback</w:t>
      </w:r>
      <w:r w:rsidR="00D36556">
        <w:t>’</w:t>
      </w:r>
      <w:r w:rsidR="00D36556">
        <w:rPr>
          <w:rStyle w:val="FootnoteReference"/>
        </w:rPr>
        <w:footnoteReference w:id="5"/>
      </w:r>
      <w:r w:rsidR="00D36556">
        <w:t xml:space="preserve">. Both these passages can be </w:t>
      </w:r>
      <w:proofErr w:type="gramStart"/>
      <w:r w:rsidR="00D36556">
        <w:t>argues</w:t>
      </w:r>
      <w:proofErr w:type="gramEnd"/>
      <w:r w:rsidR="00D36556">
        <w:t xml:space="preserve"> is Plutarch telling us of the highly educated nature of these men, Alexander who can properly understand and appreciate philosophy and Caesar who has been trained to speak clearly and diplomatically, even when racing towards his next battle on horseback. </w:t>
      </w:r>
      <w:r w:rsidR="00834CDF">
        <w:t xml:space="preserve">By </w:t>
      </w:r>
      <w:r w:rsidR="00DA1687">
        <w:t xml:space="preserve">comparing the two, </w:t>
      </w:r>
      <w:r w:rsidR="000F2021">
        <w:t xml:space="preserve">He is again humanising the Greek empire but also by comparing Caesar, a great Roman Military leader, to the intelligence of Alexander the great who by then was </w:t>
      </w:r>
      <w:proofErr w:type="gramStart"/>
      <w:r w:rsidR="000F2021">
        <w:t>pretty famous</w:t>
      </w:r>
      <w:proofErr w:type="gramEnd"/>
      <w:r w:rsidR="000F2021">
        <w:t xml:space="preserve"> for being a great ruler and military leader himself, he is praising the Romans who have the power to prevent his works getting published. These are just inferences of course, we will never </w:t>
      </w:r>
      <w:bookmarkStart w:id="1" w:name="_GoBack"/>
      <w:bookmarkEnd w:id="1"/>
      <w:r w:rsidR="000F2021">
        <w:t xml:space="preserve">know what </w:t>
      </w:r>
      <w:proofErr w:type="spellStart"/>
      <w:r w:rsidR="000F2021">
        <w:t>Plutarchs</w:t>
      </w:r>
      <w:proofErr w:type="spellEnd"/>
      <w:r w:rsidR="000F2021">
        <w:t xml:space="preserve"> aim was in comparing these </w:t>
      </w:r>
      <w:proofErr w:type="gramStart"/>
      <w:r w:rsidR="000F2021">
        <w:t>tw</w:t>
      </w:r>
      <w:r w:rsidR="00A96302">
        <w:t xml:space="preserve">o </w:t>
      </w:r>
      <w:r w:rsidR="000F2021">
        <w:t xml:space="preserve"> </w:t>
      </w:r>
      <w:r w:rsidR="00A96302">
        <w:t>c</w:t>
      </w:r>
      <w:r w:rsidR="000F2021">
        <w:t>haracters</w:t>
      </w:r>
      <w:proofErr w:type="gramEnd"/>
      <w:r w:rsidR="000F2021">
        <w:t xml:space="preserve"> </w:t>
      </w:r>
      <w:r w:rsidR="00A96302">
        <w:t xml:space="preserve">as his </w:t>
      </w:r>
      <w:proofErr w:type="spellStart"/>
      <w:r w:rsidR="00A96302">
        <w:t>synkrisis</w:t>
      </w:r>
      <w:proofErr w:type="spellEnd"/>
      <w:r w:rsidR="00A96302">
        <w:t xml:space="preserve"> for this set of parallel lives is lost to us. </w:t>
      </w:r>
    </w:p>
    <w:p w14:paraId="5AB36F39" w14:textId="70579309" w:rsidR="00A96302" w:rsidRDefault="00A96302" w:rsidP="00385948">
      <w:r>
        <w:t xml:space="preserve">In conclusion, Although the reliability for this passage is in much debate due to Plutarch’s </w:t>
      </w:r>
      <w:proofErr w:type="spellStart"/>
      <w:proofErr w:type="gramStart"/>
      <w:r>
        <w:t>self confessed</w:t>
      </w:r>
      <w:proofErr w:type="spellEnd"/>
      <w:proofErr w:type="gramEnd"/>
      <w:r>
        <w:t xml:space="preserve"> nature as a storyteller, not a historian, the story has become very important to telling us of the character of alexander, as showcased by its many different versions. The passage is very useful for us as it tells us a lot about how the Romans saw the Greeks, </w:t>
      </w:r>
      <w:proofErr w:type="gramStart"/>
      <w:r>
        <w:t>Alexander in particular</w:t>
      </w:r>
      <w:r w:rsidR="00F25CB1">
        <w:t>, as</w:t>
      </w:r>
      <w:proofErr w:type="gramEnd"/>
      <w:r w:rsidR="00F25CB1">
        <w:t xml:space="preserve"> a philosopher, not just a ruler. </w:t>
      </w:r>
      <w:r>
        <w:t xml:space="preserve">   </w:t>
      </w:r>
    </w:p>
    <w:p w14:paraId="6AB0A8B8" w14:textId="16457CC7" w:rsidR="00116394" w:rsidRDefault="00116394" w:rsidP="00385948"/>
    <w:p w14:paraId="02D0A148" w14:textId="18C80978" w:rsidR="00116394" w:rsidRDefault="00116394" w:rsidP="00385948"/>
    <w:p w14:paraId="4D2010EB" w14:textId="6235ED6C" w:rsidR="00116394" w:rsidRDefault="00116394" w:rsidP="00385948"/>
    <w:p w14:paraId="49E23135" w14:textId="0586AA74" w:rsidR="00116394" w:rsidRDefault="00116394" w:rsidP="00385948"/>
    <w:p w14:paraId="1A45E2B5" w14:textId="061706EF" w:rsidR="00116394" w:rsidRDefault="00116394" w:rsidP="00385948"/>
    <w:p w14:paraId="3C71B5BF" w14:textId="71563FB1" w:rsidR="00116394" w:rsidRDefault="00116394" w:rsidP="00385948"/>
    <w:p w14:paraId="14D66B4E" w14:textId="00DF4883" w:rsidR="00116394" w:rsidRDefault="00116394" w:rsidP="00385948"/>
    <w:p w14:paraId="10ED6D69" w14:textId="7F8B01E0" w:rsidR="00116394" w:rsidRDefault="00116394" w:rsidP="00385948"/>
    <w:p w14:paraId="12D3E494" w14:textId="65F4B6BD" w:rsidR="00116394" w:rsidRDefault="00116394" w:rsidP="00385948"/>
    <w:p w14:paraId="78135A9B" w14:textId="1987E65F" w:rsidR="00116394" w:rsidRDefault="00116394" w:rsidP="00385948"/>
    <w:p w14:paraId="023517B6" w14:textId="42C5C7CF" w:rsidR="00116394" w:rsidRDefault="00116394" w:rsidP="00385948"/>
    <w:p w14:paraId="3A3BE1FF" w14:textId="77777777" w:rsidR="00116394" w:rsidRDefault="00116394" w:rsidP="00385948"/>
    <w:p w14:paraId="388F35BA" w14:textId="398B90B9" w:rsidR="00116394" w:rsidRDefault="00116394" w:rsidP="00385948">
      <w:r>
        <w:lastRenderedPageBreak/>
        <w:t xml:space="preserve">Bibliography </w:t>
      </w:r>
    </w:p>
    <w:p w14:paraId="19132443" w14:textId="66506784" w:rsidR="00116394" w:rsidRDefault="00116394" w:rsidP="00116394">
      <w:pPr>
        <w:pStyle w:val="ListParagraph"/>
        <w:numPr>
          <w:ilvl w:val="0"/>
          <w:numId w:val="1"/>
        </w:numPr>
      </w:pPr>
      <w:r w:rsidRPr="00116394">
        <w:t xml:space="preserve">Mark, J. J. (2014, August 02). Diogenes of Sinope. Ancient History </w:t>
      </w:r>
      <w:proofErr w:type="spellStart"/>
      <w:r w:rsidRPr="00116394">
        <w:t>Encyclopedia</w:t>
      </w:r>
      <w:proofErr w:type="spellEnd"/>
      <w:r w:rsidRPr="00116394">
        <w:t xml:space="preserve">. Retrieved from </w:t>
      </w:r>
      <w:hyperlink r:id="rId8" w:history="1">
        <w:r w:rsidRPr="00D60D0E">
          <w:rPr>
            <w:rStyle w:val="Hyperlink"/>
          </w:rPr>
          <w:t>https://www.ancient.eu/Diogenes_of_Sinope/</w:t>
        </w:r>
      </w:hyperlink>
      <w:r>
        <w:t xml:space="preserve"> </w:t>
      </w:r>
    </w:p>
    <w:p w14:paraId="5F93E2D3" w14:textId="1F5EFA38" w:rsidR="00116394" w:rsidRDefault="00116394" w:rsidP="00116394">
      <w:pPr>
        <w:pStyle w:val="ListParagraph"/>
        <w:numPr>
          <w:ilvl w:val="0"/>
          <w:numId w:val="1"/>
        </w:numPr>
      </w:pPr>
      <w:r>
        <w:t xml:space="preserve">Hamilton, J.R. (1969) </w:t>
      </w:r>
      <w:r>
        <w:rPr>
          <w:i/>
        </w:rPr>
        <w:t xml:space="preserve">Plutarch Alexander: A Commentary. </w:t>
      </w:r>
      <w:r>
        <w:t>London. Oxford University Press.</w:t>
      </w:r>
    </w:p>
    <w:p w14:paraId="19B1E7A6" w14:textId="4F915869" w:rsidR="00116394" w:rsidRDefault="00116394" w:rsidP="00116394">
      <w:pPr>
        <w:pStyle w:val="ListParagraph"/>
        <w:numPr>
          <w:ilvl w:val="0"/>
          <w:numId w:val="1"/>
        </w:numPr>
      </w:pPr>
      <w:r w:rsidRPr="00116394">
        <w:t xml:space="preserve">Plutarch. </w:t>
      </w:r>
      <w:r w:rsidRPr="00116394">
        <w:rPr>
          <w:i/>
        </w:rPr>
        <w:t>Plutarch's Lives</w:t>
      </w:r>
      <w:r w:rsidRPr="00116394">
        <w:t xml:space="preserve">. with an English Translation </w:t>
      </w:r>
      <w:r>
        <w:t>(</w:t>
      </w:r>
      <w:r w:rsidRPr="00116394">
        <w:t>1919</w:t>
      </w:r>
      <w:r>
        <w:t xml:space="preserve">) </w:t>
      </w:r>
      <w:r w:rsidRPr="00116394">
        <w:t>by</w:t>
      </w:r>
      <w:r>
        <w:t xml:space="preserve"> </w:t>
      </w:r>
      <w:r w:rsidRPr="00116394">
        <w:t xml:space="preserve">Bernadotte Perrin. Cambridge, MA. Harvard University Press. London. William Heinemann Ltd. </w:t>
      </w:r>
    </w:p>
    <w:p w14:paraId="15F99D46" w14:textId="07C38EE3" w:rsidR="009C7055" w:rsidRPr="00A96302" w:rsidRDefault="009C7055" w:rsidP="009C7055">
      <w:pPr>
        <w:pStyle w:val="ListParagraph"/>
        <w:numPr>
          <w:ilvl w:val="0"/>
          <w:numId w:val="1"/>
        </w:numPr>
      </w:pPr>
      <w:r w:rsidRPr="009C7055">
        <w:t>Diogenes Laertius</w:t>
      </w:r>
      <w:r>
        <w:t>.</w:t>
      </w:r>
      <w:r w:rsidRPr="009C7055">
        <w:t xml:space="preserve"> </w:t>
      </w:r>
      <w:r w:rsidRPr="009C7055">
        <w:rPr>
          <w:i/>
        </w:rPr>
        <w:t>Lives of Eminent Philosophers</w:t>
      </w:r>
      <w:r w:rsidRPr="009C7055">
        <w:t xml:space="preserve">. </w:t>
      </w:r>
      <w:r>
        <w:t>With an English Translation (</w:t>
      </w:r>
      <w:r w:rsidRPr="009C7055">
        <w:t>1972</w:t>
      </w:r>
      <w:r>
        <w:t xml:space="preserve">) by </w:t>
      </w:r>
      <w:r w:rsidRPr="009C7055">
        <w:t xml:space="preserve">R.D. Hicks. Cambridge. Harvard University Press. </w:t>
      </w:r>
    </w:p>
    <w:sectPr w:rsidR="009C7055" w:rsidRPr="00A963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DD1266" w14:textId="77777777" w:rsidR="003E65F5" w:rsidRDefault="003E65F5" w:rsidP="00962E23">
      <w:pPr>
        <w:spacing w:after="0" w:line="240" w:lineRule="auto"/>
      </w:pPr>
      <w:r>
        <w:separator/>
      </w:r>
    </w:p>
  </w:endnote>
  <w:endnote w:type="continuationSeparator" w:id="0">
    <w:p w14:paraId="25F4FA06" w14:textId="77777777" w:rsidR="003E65F5" w:rsidRDefault="003E65F5" w:rsidP="00962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A56ECC" w14:textId="77777777" w:rsidR="003E65F5" w:rsidRDefault="003E65F5" w:rsidP="00962E23">
      <w:pPr>
        <w:spacing w:after="0" w:line="240" w:lineRule="auto"/>
      </w:pPr>
      <w:r>
        <w:separator/>
      </w:r>
    </w:p>
  </w:footnote>
  <w:footnote w:type="continuationSeparator" w:id="0">
    <w:p w14:paraId="53573FEF" w14:textId="77777777" w:rsidR="003E65F5" w:rsidRDefault="003E65F5" w:rsidP="00962E23">
      <w:pPr>
        <w:spacing w:after="0" w:line="240" w:lineRule="auto"/>
      </w:pPr>
      <w:r>
        <w:continuationSeparator/>
      </w:r>
    </w:p>
  </w:footnote>
  <w:footnote w:id="1">
    <w:p w14:paraId="5479E8B9" w14:textId="585047A8" w:rsidR="00565C91" w:rsidRDefault="00565C91">
      <w:pPr>
        <w:pStyle w:val="FootnoteText"/>
      </w:pPr>
      <w:r>
        <w:rPr>
          <w:rStyle w:val="FootnoteReference"/>
        </w:rPr>
        <w:footnoteRef/>
      </w:r>
      <w:r>
        <w:t xml:space="preserve"> </w:t>
      </w:r>
      <w:proofErr w:type="spellStart"/>
      <w:r>
        <w:t>Plut</w:t>
      </w:r>
      <w:proofErr w:type="spellEnd"/>
      <w:r>
        <w:t>. Alex. 7</w:t>
      </w:r>
    </w:p>
  </w:footnote>
  <w:footnote w:id="2">
    <w:p w14:paraId="3B077BD0" w14:textId="31374525" w:rsidR="00383E1F" w:rsidRDefault="00383E1F">
      <w:pPr>
        <w:pStyle w:val="FootnoteText"/>
      </w:pPr>
      <w:bookmarkStart w:id="0" w:name="_Hlk512374090"/>
      <w:r>
        <w:rPr>
          <w:rStyle w:val="FootnoteReference"/>
        </w:rPr>
        <w:footnoteRef/>
      </w:r>
      <w:r>
        <w:t xml:space="preserve"> </w:t>
      </w:r>
      <w:r w:rsidRPr="00116394">
        <w:rPr>
          <w:rFonts w:cstheme="minorHAnsi"/>
          <w:color w:val="222222"/>
          <w:shd w:val="clear" w:color="auto" w:fill="FFFFFF"/>
        </w:rPr>
        <w:t>Mark, J. J. (2014, August 02). Diogenes of Sinope.</w:t>
      </w:r>
      <w:r>
        <w:rPr>
          <w:rFonts w:ascii="Arial" w:hAnsi="Arial" w:cs="Arial"/>
          <w:color w:val="222222"/>
          <w:shd w:val="clear" w:color="auto" w:fill="FFFFFF"/>
        </w:rPr>
        <w:t> </w:t>
      </w:r>
    </w:p>
    <w:bookmarkEnd w:id="0"/>
  </w:footnote>
  <w:footnote w:id="3">
    <w:p w14:paraId="49DDEB13" w14:textId="57E73062" w:rsidR="00383E1F" w:rsidRDefault="00383E1F">
      <w:pPr>
        <w:pStyle w:val="FootnoteText"/>
      </w:pPr>
      <w:r>
        <w:rPr>
          <w:rStyle w:val="FootnoteReference"/>
        </w:rPr>
        <w:footnoteRef/>
      </w:r>
      <w:r>
        <w:t xml:space="preserve"> D.L. 6.</w:t>
      </w:r>
      <w:r w:rsidR="007C41BE">
        <w:t>2.</w:t>
      </w:r>
      <w:r>
        <w:t xml:space="preserve">38 </w:t>
      </w:r>
    </w:p>
  </w:footnote>
  <w:footnote w:id="4">
    <w:p w14:paraId="17D4BF7D" w14:textId="7256C9C8" w:rsidR="00962E23" w:rsidRDefault="00962E23">
      <w:pPr>
        <w:pStyle w:val="FootnoteText"/>
      </w:pPr>
      <w:r>
        <w:rPr>
          <w:rStyle w:val="FootnoteReference"/>
        </w:rPr>
        <w:footnoteRef/>
      </w:r>
      <w:r>
        <w:t xml:space="preserve"> Hamilton 1969: xxxii</w:t>
      </w:r>
    </w:p>
  </w:footnote>
  <w:footnote w:id="5">
    <w:p w14:paraId="7745B123" w14:textId="12C79628" w:rsidR="00D36556" w:rsidRDefault="00D36556">
      <w:pPr>
        <w:pStyle w:val="FootnoteText"/>
      </w:pPr>
      <w:r>
        <w:rPr>
          <w:rStyle w:val="FootnoteReference"/>
        </w:rPr>
        <w:footnoteRef/>
      </w:r>
      <w:r>
        <w:t xml:space="preserve"> </w:t>
      </w:r>
      <w:proofErr w:type="spellStart"/>
      <w:r>
        <w:t>Plut</w:t>
      </w:r>
      <w:proofErr w:type="spellEnd"/>
      <w:r>
        <w:t xml:space="preserve">. </w:t>
      </w:r>
      <w:proofErr w:type="spellStart"/>
      <w:r>
        <w:t>Cae</w:t>
      </w:r>
      <w:proofErr w:type="spellEnd"/>
      <w:r>
        <w:t>. 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D33B1F"/>
    <w:multiLevelType w:val="hybridMultilevel"/>
    <w:tmpl w:val="893C3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AAB"/>
    <w:rsid w:val="000F2021"/>
    <w:rsid w:val="00116394"/>
    <w:rsid w:val="001420F8"/>
    <w:rsid w:val="00281A31"/>
    <w:rsid w:val="002900B4"/>
    <w:rsid w:val="00295AAB"/>
    <w:rsid w:val="003008D3"/>
    <w:rsid w:val="00362701"/>
    <w:rsid w:val="00383E1F"/>
    <w:rsid w:val="00385948"/>
    <w:rsid w:val="003A6424"/>
    <w:rsid w:val="003E65F5"/>
    <w:rsid w:val="003E6E6B"/>
    <w:rsid w:val="004322C9"/>
    <w:rsid w:val="00476C5C"/>
    <w:rsid w:val="005000E1"/>
    <w:rsid w:val="005538E0"/>
    <w:rsid w:val="00565C91"/>
    <w:rsid w:val="0059116B"/>
    <w:rsid w:val="0059365F"/>
    <w:rsid w:val="00644F39"/>
    <w:rsid w:val="00665FCF"/>
    <w:rsid w:val="006F6E83"/>
    <w:rsid w:val="00751282"/>
    <w:rsid w:val="007605C7"/>
    <w:rsid w:val="007646A8"/>
    <w:rsid w:val="0078287C"/>
    <w:rsid w:val="007C41BE"/>
    <w:rsid w:val="007C67F2"/>
    <w:rsid w:val="00834CDF"/>
    <w:rsid w:val="009241D9"/>
    <w:rsid w:val="00962E23"/>
    <w:rsid w:val="009C7055"/>
    <w:rsid w:val="00A26264"/>
    <w:rsid w:val="00A76C4C"/>
    <w:rsid w:val="00A95479"/>
    <w:rsid w:val="00A96302"/>
    <w:rsid w:val="00AC190B"/>
    <w:rsid w:val="00AC5C0C"/>
    <w:rsid w:val="00AE17F9"/>
    <w:rsid w:val="00B86077"/>
    <w:rsid w:val="00C441FA"/>
    <w:rsid w:val="00CB43FA"/>
    <w:rsid w:val="00CD373C"/>
    <w:rsid w:val="00D17767"/>
    <w:rsid w:val="00D36556"/>
    <w:rsid w:val="00D71FDF"/>
    <w:rsid w:val="00D85F83"/>
    <w:rsid w:val="00DA1687"/>
    <w:rsid w:val="00DC0E21"/>
    <w:rsid w:val="00DE7B76"/>
    <w:rsid w:val="00EE0125"/>
    <w:rsid w:val="00EE4927"/>
    <w:rsid w:val="00F25CB1"/>
    <w:rsid w:val="00F70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0F5C4"/>
  <w15:chartTrackingRefBased/>
  <w15:docId w15:val="{C08B85EC-CA87-44CF-AFD7-A24745809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62E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2E23"/>
    <w:rPr>
      <w:sz w:val="20"/>
      <w:szCs w:val="20"/>
    </w:rPr>
  </w:style>
  <w:style w:type="character" w:styleId="FootnoteReference">
    <w:name w:val="footnote reference"/>
    <w:basedOn w:val="DefaultParagraphFont"/>
    <w:uiPriority w:val="99"/>
    <w:semiHidden/>
    <w:unhideWhenUsed/>
    <w:rsid w:val="00962E23"/>
    <w:rPr>
      <w:vertAlign w:val="superscript"/>
    </w:rPr>
  </w:style>
  <w:style w:type="paragraph" w:styleId="ListParagraph">
    <w:name w:val="List Paragraph"/>
    <w:basedOn w:val="Normal"/>
    <w:uiPriority w:val="34"/>
    <w:qFormat/>
    <w:rsid w:val="00116394"/>
    <w:pPr>
      <w:ind w:left="720"/>
      <w:contextualSpacing/>
    </w:pPr>
  </w:style>
  <w:style w:type="character" w:styleId="Hyperlink">
    <w:name w:val="Hyperlink"/>
    <w:basedOn w:val="DefaultParagraphFont"/>
    <w:uiPriority w:val="99"/>
    <w:unhideWhenUsed/>
    <w:rsid w:val="00116394"/>
    <w:rPr>
      <w:color w:val="0563C1" w:themeColor="hyperlink"/>
      <w:u w:val="single"/>
    </w:rPr>
  </w:style>
  <w:style w:type="character" w:styleId="UnresolvedMention">
    <w:name w:val="Unresolved Mention"/>
    <w:basedOn w:val="DefaultParagraphFont"/>
    <w:uiPriority w:val="99"/>
    <w:semiHidden/>
    <w:unhideWhenUsed/>
    <w:rsid w:val="0011639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Diogenes_of_Sinop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E99696-470B-472F-B1F1-71439F73F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979</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2</cp:revision>
  <dcterms:created xsi:type="dcterms:W3CDTF">2018-04-24T22:07:00Z</dcterms:created>
  <dcterms:modified xsi:type="dcterms:W3CDTF">2018-04-24T22:07:00Z</dcterms:modified>
</cp:coreProperties>
</file>