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84CFA" w14:textId="6BD77BC2" w:rsidR="0060779C" w:rsidRPr="0060779C" w:rsidRDefault="0060779C" w:rsidP="00AD0876">
      <w:pPr>
        <w:rPr>
          <w:b/>
          <w:bCs/>
        </w:rPr>
      </w:pPr>
      <w:r w:rsidRPr="0060779C">
        <w:rPr>
          <w:b/>
          <w:bCs/>
        </w:rPr>
        <w:t>LAVINIA BONFATTI</w:t>
      </w:r>
      <w:r>
        <w:rPr>
          <w:b/>
          <w:bCs/>
        </w:rPr>
        <w:t xml:space="preserve"> SABBIONI </w:t>
      </w:r>
    </w:p>
    <w:p w14:paraId="1B168DCA" w14:textId="7AD0D0D4" w:rsidR="006B0590" w:rsidRPr="0060779C" w:rsidRDefault="006B0590" w:rsidP="00AD0876">
      <w:pPr>
        <w:rPr>
          <w:b/>
          <w:bCs/>
        </w:rPr>
      </w:pPr>
      <w:r w:rsidRPr="0060779C">
        <w:rPr>
          <w:b/>
          <w:bCs/>
        </w:rPr>
        <w:t xml:space="preserve">AESCHYLUS’ </w:t>
      </w:r>
      <w:r w:rsidRPr="0060779C">
        <w:rPr>
          <w:b/>
          <w:bCs/>
          <w:i/>
          <w:iCs/>
        </w:rPr>
        <w:t>PERSIANS</w:t>
      </w:r>
      <w:r w:rsidRPr="0060779C">
        <w:rPr>
          <w:b/>
          <w:bCs/>
        </w:rPr>
        <w:t>: A COMMENTARY</w:t>
      </w:r>
    </w:p>
    <w:p w14:paraId="39431D71" w14:textId="078990F4" w:rsidR="00CE0988" w:rsidRDefault="006B0590" w:rsidP="00AD0876">
      <w:pPr>
        <w:rPr>
          <w:lang w:val="en-US"/>
        </w:rPr>
      </w:pPr>
      <w:r>
        <w:rPr>
          <w:lang w:val="en-US"/>
        </w:rPr>
        <w:t xml:space="preserve">In this paper I intend to break down the play scene by scene and analyze </w:t>
      </w:r>
      <w:r w:rsidRPr="00CE0988">
        <w:rPr>
          <w:i/>
          <w:iCs/>
          <w:lang w:val="en-US"/>
        </w:rPr>
        <w:t>Aeschylus</w:t>
      </w:r>
      <w:r>
        <w:rPr>
          <w:lang w:val="en-US"/>
        </w:rPr>
        <w:t xml:space="preserve">’ approach to war and the </w:t>
      </w:r>
      <w:r w:rsidR="00CE0988">
        <w:rPr>
          <w:lang w:val="en-US"/>
        </w:rPr>
        <w:t xml:space="preserve">way he </w:t>
      </w:r>
      <w:r>
        <w:rPr>
          <w:lang w:val="en-US"/>
        </w:rPr>
        <w:t>portra</w:t>
      </w:r>
      <w:r w:rsidR="00CE0988">
        <w:rPr>
          <w:lang w:val="en-US"/>
        </w:rPr>
        <w:t>ys</w:t>
      </w:r>
      <w:r>
        <w:rPr>
          <w:lang w:val="en-US"/>
        </w:rPr>
        <w:t xml:space="preserve"> the Persians from </w:t>
      </w:r>
      <w:r w:rsidR="00CE0988">
        <w:rPr>
          <w:lang w:val="en-US"/>
        </w:rPr>
        <w:t>a</w:t>
      </w:r>
      <w:r>
        <w:rPr>
          <w:lang w:val="en-US"/>
        </w:rPr>
        <w:t xml:space="preserve"> Greek point of view. </w:t>
      </w:r>
      <w:r w:rsidR="004A6330">
        <w:rPr>
          <w:lang w:val="en-US"/>
        </w:rPr>
        <w:t xml:space="preserve">The </w:t>
      </w:r>
      <w:r w:rsidR="004A6330" w:rsidRPr="004A6330">
        <w:rPr>
          <w:i/>
          <w:iCs/>
          <w:lang w:val="en-US"/>
        </w:rPr>
        <w:t>Persians</w:t>
      </w:r>
      <w:r w:rsidR="004A6330">
        <w:rPr>
          <w:lang w:val="en-US"/>
        </w:rPr>
        <w:t xml:space="preserve"> (</w:t>
      </w:r>
      <w:r w:rsidR="004A6330" w:rsidRPr="004A6330">
        <w:rPr>
          <w:i/>
          <w:iCs/>
          <w:lang w:val="el-GR"/>
        </w:rPr>
        <w:t>Πέρσαι</w:t>
      </w:r>
      <w:r w:rsidR="004A6330">
        <w:rPr>
          <w:lang w:val="en-US"/>
        </w:rPr>
        <w:t xml:space="preserve">) is </w:t>
      </w:r>
      <w:r w:rsidR="004A6330" w:rsidRPr="004A6330">
        <w:rPr>
          <w:lang w:val="en-US"/>
        </w:rPr>
        <w:t>one of the seve</w:t>
      </w:r>
      <w:r w:rsidR="004A6330">
        <w:rPr>
          <w:lang w:val="en-US"/>
        </w:rPr>
        <w:t xml:space="preserve">n tragedies – out of about eight – by the dramatist </w:t>
      </w:r>
      <w:r w:rsidR="004A6330" w:rsidRPr="00446735">
        <w:rPr>
          <w:i/>
          <w:iCs/>
          <w:lang w:val="en-US"/>
        </w:rPr>
        <w:t>Aeschylus</w:t>
      </w:r>
      <w:r w:rsidR="004A6330">
        <w:rPr>
          <w:lang w:val="en-US"/>
        </w:rPr>
        <w:t xml:space="preserve"> (</w:t>
      </w:r>
      <w:r w:rsidR="004A6330" w:rsidRPr="00142EDA">
        <w:rPr>
          <w:rFonts w:cstheme="minorHAnsi"/>
          <w:color w:val="333333"/>
          <w:lang w:val="en-US"/>
        </w:rPr>
        <w:t>ca. 525–456 </w:t>
      </w:r>
      <w:r w:rsidR="004A6330" w:rsidRPr="00142EDA">
        <w:rPr>
          <w:rStyle w:val="era"/>
          <w:rFonts w:cstheme="minorHAnsi"/>
          <w:color w:val="333333"/>
          <w:lang w:val="en-US"/>
        </w:rPr>
        <w:t>BCE</w:t>
      </w:r>
      <w:r w:rsidR="004A6330">
        <w:rPr>
          <w:lang w:val="en-US"/>
        </w:rPr>
        <w:t xml:space="preserve">) surviving complete, and the only </w:t>
      </w:r>
      <w:r w:rsidR="00AA5A1A">
        <w:rPr>
          <w:lang w:val="en-US"/>
        </w:rPr>
        <w:t xml:space="preserve">extant </w:t>
      </w:r>
      <w:r w:rsidR="004A6330">
        <w:rPr>
          <w:lang w:val="en-US"/>
        </w:rPr>
        <w:t xml:space="preserve">Greek tragedy that is explicitly based on </w:t>
      </w:r>
      <w:r w:rsidR="007B0B79">
        <w:rPr>
          <w:lang w:val="en-US"/>
        </w:rPr>
        <w:t>contemporary</w:t>
      </w:r>
      <w:r w:rsidR="004A6330">
        <w:rPr>
          <w:lang w:val="en-US"/>
        </w:rPr>
        <w:t xml:space="preserve"> historical event</w:t>
      </w:r>
      <w:r w:rsidR="00D513E8">
        <w:rPr>
          <w:lang w:val="en-US"/>
        </w:rPr>
        <w:t>s</w:t>
      </w:r>
      <w:r w:rsidR="004A6330">
        <w:rPr>
          <w:lang w:val="en-US"/>
        </w:rPr>
        <w:t>: the two main battles – one of which was fought on land at Marathon, and the other at sea, at Salamis – that signed the Persian War</w:t>
      </w:r>
      <w:r w:rsidR="00303B45">
        <w:rPr>
          <w:lang w:val="en-US"/>
        </w:rPr>
        <w:t>s</w:t>
      </w:r>
      <w:r w:rsidR="004A6330">
        <w:rPr>
          <w:lang w:val="en-US"/>
        </w:rPr>
        <w:t xml:space="preserve"> and culminated in the enemy’s defeat. </w:t>
      </w:r>
      <w:r w:rsidR="009377DD">
        <w:rPr>
          <w:lang w:val="en-US"/>
        </w:rPr>
        <w:t xml:space="preserve">Its author himself, according to tradition, fought at Marathon against the Persians. </w:t>
      </w:r>
      <w:r w:rsidR="00CE0988" w:rsidRPr="00CE0988">
        <w:rPr>
          <w:i/>
          <w:iCs/>
          <w:lang w:val="en-US"/>
        </w:rPr>
        <w:t>Aeschylus</w:t>
      </w:r>
      <w:r w:rsidR="00CE0988">
        <w:rPr>
          <w:lang w:val="en-US"/>
        </w:rPr>
        <w:t xml:space="preserve"> was not the </w:t>
      </w:r>
      <w:r w:rsidR="00AA5A1A">
        <w:rPr>
          <w:lang w:val="en-US"/>
        </w:rPr>
        <w:t xml:space="preserve">only one that chose to investigate on a historical theme in dramatic form: the first one to do so was - most probably – </w:t>
      </w:r>
      <w:r w:rsidR="00AA5A1A" w:rsidRPr="00AA5A1A">
        <w:rPr>
          <w:i/>
          <w:iCs/>
          <w:lang w:val="en-US"/>
        </w:rPr>
        <w:t>Phrynichus</w:t>
      </w:r>
      <w:r w:rsidR="00AA5A1A">
        <w:rPr>
          <w:lang w:val="en-US"/>
        </w:rPr>
        <w:t xml:space="preserve"> in his </w:t>
      </w:r>
      <w:r w:rsidR="00AA5A1A" w:rsidRPr="00AA5A1A">
        <w:rPr>
          <w:i/>
          <w:iCs/>
          <w:lang w:val="en-US"/>
        </w:rPr>
        <w:t>Sack of Miletus</w:t>
      </w:r>
      <w:r w:rsidR="007065DD">
        <w:rPr>
          <w:i/>
          <w:iCs/>
          <w:lang w:val="en-US"/>
        </w:rPr>
        <w:t xml:space="preserve"> </w:t>
      </w:r>
      <w:r w:rsidR="007065DD">
        <w:rPr>
          <w:lang w:val="en-US"/>
        </w:rPr>
        <w:t xml:space="preserve">that dealt with the Ionian uprising. Another play of his, the </w:t>
      </w:r>
      <w:r w:rsidR="007065DD" w:rsidRPr="007065DD">
        <w:rPr>
          <w:i/>
          <w:iCs/>
          <w:lang w:val="en-US"/>
        </w:rPr>
        <w:t>Phoenician Women</w:t>
      </w:r>
      <w:r w:rsidR="007065DD">
        <w:rPr>
          <w:lang w:val="en-US"/>
        </w:rPr>
        <w:t xml:space="preserve">, might be one </w:t>
      </w:r>
      <w:r w:rsidR="007065DD" w:rsidRPr="007065DD">
        <w:rPr>
          <w:i/>
          <w:iCs/>
          <w:lang w:val="en-US"/>
        </w:rPr>
        <w:t>Aeschylus</w:t>
      </w:r>
      <w:r w:rsidR="007065DD">
        <w:rPr>
          <w:lang w:val="en-US"/>
        </w:rPr>
        <w:t xml:space="preserve"> </w:t>
      </w:r>
      <w:r w:rsidR="00AB2153">
        <w:rPr>
          <w:lang w:val="en-US"/>
        </w:rPr>
        <w:t xml:space="preserve">at least partially </w:t>
      </w:r>
      <w:r w:rsidR="007065DD">
        <w:rPr>
          <w:lang w:val="en-US"/>
        </w:rPr>
        <w:t>relied on</w:t>
      </w:r>
      <w:r w:rsidR="009A221D">
        <w:rPr>
          <w:lang w:val="en-US"/>
        </w:rPr>
        <w:t>:</w:t>
      </w:r>
      <w:r w:rsidR="007065DD">
        <w:rPr>
          <w:lang w:val="en-US"/>
        </w:rPr>
        <w:t xml:space="preserve"> </w:t>
      </w:r>
      <w:r w:rsidR="007065DD">
        <w:rPr>
          <w:rStyle w:val="Rimandonotaapidipagina"/>
          <w:lang w:val="en-US"/>
        </w:rPr>
        <w:footnoteReference w:id="1"/>
      </w:r>
      <w:r w:rsidR="009A221D">
        <w:rPr>
          <w:lang w:val="en-US"/>
        </w:rPr>
        <w:t xml:space="preserve"> here, an eunuch announces the defeat of the King, and the chorus consist</w:t>
      </w:r>
      <w:r w:rsidR="00D00EC8">
        <w:rPr>
          <w:lang w:val="en-US"/>
        </w:rPr>
        <w:t>s</w:t>
      </w:r>
      <w:r w:rsidR="009A221D">
        <w:rPr>
          <w:lang w:val="en-US"/>
        </w:rPr>
        <w:t xml:space="preserve"> of women of Phoenicia. </w:t>
      </w:r>
      <w:r w:rsidR="00D00EC8">
        <w:rPr>
          <w:lang w:val="en-US"/>
        </w:rPr>
        <w:t xml:space="preserve">There is also evidence for at least three comedies treating Persian war themes. Their authors, active during the first half of the fifth century, are the Sicilian </w:t>
      </w:r>
      <w:r w:rsidR="00D00EC8" w:rsidRPr="00D00EC8">
        <w:rPr>
          <w:i/>
          <w:iCs/>
          <w:lang w:val="en-US"/>
        </w:rPr>
        <w:t>Epicharmus</w:t>
      </w:r>
      <w:r w:rsidR="00D00EC8">
        <w:rPr>
          <w:lang w:val="en-US"/>
        </w:rPr>
        <w:t xml:space="preserve"> (</w:t>
      </w:r>
      <w:r w:rsidR="00D00EC8" w:rsidRPr="00D00EC8">
        <w:rPr>
          <w:i/>
          <w:iCs/>
          <w:lang w:val="en-US"/>
        </w:rPr>
        <w:t>Persians</w:t>
      </w:r>
      <w:r w:rsidR="00D00EC8">
        <w:rPr>
          <w:lang w:val="en-US"/>
        </w:rPr>
        <w:t xml:space="preserve">), the Athenian </w:t>
      </w:r>
      <w:r w:rsidR="00D00EC8" w:rsidRPr="00D00EC8">
        <w:rPr>
          <w:i/>
          <w:iCs/>
          <w:lang w:val="en-US"/>
        </w:rPr>
        <w:t>Chionides</w:t>
      </w:r>
      <w:r w:rsidR="00D00EC8">
        <w:rPr>
          <w:lang w:val="en-US"/>
        </w:rPr>
        <w:t xml:space="preserve"> (</w:t>
      </w:r>
      <w:r w:rsidR="00D00EC8" w:rsidRPr="00D00EC8">
        <w:rPr>
          <w:i/>
          <w:iCs/>
          <w:lang w:val="en-US"/>
        </w:rPr>
        <w:t>Persians</w:t>
      </w:r>
      <w:r w:rsidR="00D00EC8">
        <w:rPr>
          <w:lang w:val="en-US"/>
        </w:rPr>
        <w:t xml:space="preserve"> – or </w:t>
      </w:r>
      <w:r w:rsidR="00D00EC8" w:rsidRPr="00D00EC8">
        <w:rPr>
          <w:i/>
          <w:iCs/>
          <w:lang w:val="en-US"/>
        </w:rPr>
        <w:t>Assyrians</w:t>
      </w:r>
      <w:r w:rsidR="00D00EC8">
        <w:rPr>
          <w:lang w:val="en-US"/>
        </w:rPr>
        <w:t>)</w:t>
      </w:r>
      <w:r w:rsidR="00806738">
        <w:rPr>
          <w:lang w:val="en-US"/>
        </w:rPr>
        <w:t>,</w:t>
      </w:r>
      <w:r w:rsidR="00D00EC8">
        <w:rPr>
          <w:lang w:val="en-US"/>
        </w:rPr>
        <w:t xml:space="preserve"> and </w:t>
      </w:r>
      <w:r w:rsidR="00D00EC8" w:rsidRPr="00D00EC8">
        <w:rPr>
          <w:i/>
          <w:iCs/>
          <w:lang w:val="en-US"/>
        </w:rPr>
        <w:t>Magnes</w:t>
      </w:r>
      <w:r w:rsidR="00D00EC8">
        <w:rPr>
          <w:lang w:val="en-US"/>
        </w:rPr>
        <w:t xml:space="preserve"> – also from Athens – (</w:t>
      </w:r>
      <w:r w:rsidR="00D00EC8" w:rsidRPr="00D00EC8">
        <w:rPr>
          <w:i/>
          <w:iCs/>
          <w:lang w:val="en-US"/>
        </w:rPr>
        <w:t>Lydians</w:t>
      </w:r>
      <w:r w:rsidR="00D00EC8">
        <w:rPr>
          <w:lang w:val="en-US"/>
        </w:rPr>
        <w:t>).</w:t>
      </w:r>
      <w:r w:rsidR="00CE6DC7">
        <w:rPr>
          <w:lang w:val="en-US"/>
        </w:rPr>
        <w:t xml:space="preserve"> More “historical” plays are attested later as well, even if some are known only by their title or are severely fragmented</w:t>
      </w:r>
      <w:r w:rsidR="00CE6DC7">
        <w:rPr>
          <w:rStyle w:val="Rimandonotaapidipagina"/>
          <w:lang w:val="en-US"/>
        </w:rPr>
        <w:footnoteReference w:id="2"/>
      </w:r>
      <w:r w:rsidR="00CE6DC7">
        <w:rPr>
          <w:lang w:val="en-US"/>
        </w:rPr>
        <w:t xml:space="preserve">. </w:t>
      </w:r>
      <w:r w:rsidR="00A51520">
        <w:rPr>
          <w:lang w:val="en-US"/>
        </w:rPr>
        <w:t>Fifth</w:t>
      </w:r>
      <w:r w:rsidR="00AB62BD">
        <w:rPr>
          <w:lang w:val="en-US"/>
        </w:rPr>
        <w:t xml:space="preserve"> century drama has incorporated references to the </w:t>
      </w:r>
      <w:proofErr w:type="gramStart"/>
      <w:r w:rsidR="00522083">
        <w:rPr>
          <w:lang w:val="en-US"/>
        </w:rPr>
        <w:t>above</w:t>
      </w:r>
      <w:r w:rsidR="00356D6E">
        <w:rPr>
          <w:lang w:val="en-US"/>
        </w:rPr>
        <w:t xml:space="preserve"> </w:t>
      </w:r>
      <w:r w:rsidR="00522083">
        <w:rPr>
          <w:lang w:val="en-US"/>
        </w:rPr>
        <w:t>mentioned</w:t>
      </w:r>
      <w:proofErr w:type="gramEnd"/>
      <w:r w:rsidR="00AB62BD">
        <w:rPr>
          <w:lang w:val="en-US"/>
        </w:rPr>
        <w:t xml:space="preserve"> battle</w:t>
      </w:r>
      <w:r w:rsidR="00004535">
        <w:rPr>
          <w:lang w:val="en-US"/>
        </w:rPr>
        <w:t>s</w:t>
      </w:r>
      <w:r w:rsidR="00AB62BD">
        <w:rPr>
          <w:lang w:val="en-US"/>
        </w:rPr>
        <w:t xml:space="preserve"> mainly for two reasons, the first one being </w:t>
      </w:r>
      <w:r w:rsidR="00CF4A82">
        <w:rPr>
          <w:lang w:val="en-US"/>
        </w:rPr>
        <w:t xml:space="preserve">its commemoration and celebration, and the second one the </w:t>
      </w:r>
      <w:r w:rsidR="00CF4A82" w:rsidRPr="002541D6">
        <w:rPr>
          <w:lang w:val="en-US"/>
        </w:rPr>
        <w:t xml:space="preserve">evaluation of </w:t>
      </w:r>
      <w:r w:rsidR="00490336" w:rsidRPr="002541D6">
        <w:rPr>
          <w:lang w:val="en-US"/>
        </w:rPr>
        <w:t>its effect on the people’s</w:t>
      </w:r>
      <w:r w:rsidR="00490336">
        <w:rPr>
          <w:lang w:val="en-US"/>
        </w:rPr>
        <w:t xml:space="preserve"> morals.</w:t>
      </w:r>
      <w:r w:rsidR="00CF4A82">
        <w:rPr>
          <w:lang w:val="en-US"/>
        </w:rPr>
        <w:t xml:space="preserve"> The former applies to both tragedy and comedy, as both aim to link the Athenian victory </w:t>
      </w:r>
      <w:r w:rsidR="00490336">
        <w:rPr>
          <w:lang w:val="en-US"/>
        </w:rPr>
        <w:t xml:space="preserve">with the Greek-barbarian polarity: the two people are distinguished as one - the Greek people - is free, and the other is ruled despotically. The latter </w:t>
      </w:r>
      <w:r w:rsidR="00CB2B59">
        <w:rPr>
          <w:lang w:val="en-US"/>
        </w:rPr>
        <w:t xml:space="preserve">function on the other hand </w:t>
      </w:r>
      <w:r w:rsidR="00490336">
        <w:rPr>
          <w:lang w:val="en-US"/>
        </w:rPr>
        <w:t xml:space="preserve">only applies to </w:t>
      </w:r>
      <w:r w:rsidR="00CB2B59">
        <w:rPr>
          <w:lang w:val="en-US"/>
        </w:rPr>
        <w:t>comedy, and it leads to either self-praise or self-blame</w:t>
      </w:r>
      <w:r w:rsidR="00653EF3">
        <w:rPr>
          <w:rStyle w:val="Rimandonotaapidipagina"/>
          <w:lang w:val="en-US"/>
        </w:rPr>
        <w:footnoteReference w:id="3"/>
      </w:r>
      <w:r w:rsidR="00CB2B59">
        <w:rPr>
          <w:lang w:val="en-US"/>
        </w:rPr>
        <w:t xml:space="preserve">. </w:t>
      </w:r>
    </w:p>
    <w:p w14:paraId="3F99BBA9" w14:textId="46B225D3" w:rsidR="008F1965" w:rsidRPr="008F4590" w:rsidRDefault="00446735" w:rsidP="00AD0876">
      <w:pPr>
        <w:rPr>
          <w:lang w:val="en-US"/>
        </w:rPr>
      </w:pPr>
      <w:r>
        <w:rPr>
          <w:lang w:val="en-US"/>
        </w:rPr>
        <w:t xml:space="preserve">The </w:t>
      </w:r>
      <w:r w:rsidR="00314429" w:rsidRPr="00314429">
        <w:rPr>
          <w:i/>
          <w:iCs/>
          <w:lang w:val="en-US"/>
        </w:rPr>
        <w:t>Persians</w:t>
      </w:r>
      <w:r>
        <w:rPr>
          <w:lang w:val="en-US"/>
        </w:rPr>
        <w:t xml:space="preserve"> was composed in 472 BC, and was the second </w:t>
      </w:r>
      <w:r w:rsidR="00314429">
        <w:rPr>
          <w:lang w:val="en-US"/>
        </w:rPr>
        <w:t>play</w:t>
      </w:r>
      <w:r>
        <w:rPr>
          <w:lang w:val="en-US"/>
        </w:rPr>
        <w:t xml:space="preserve"> in the tetralogy </w:t>
      </w:r>
      <w:r w:rsidRPr="00446735">
        <w:rPr>
          <w:i/>
          <w:iCs/>
          <w:lang w:val="en-US"/>
        </w:rPr>
        <w:t>Phineus</w:t>
      </w:r>
      <w:r>
        <w:rPr>
          <w:lang w:val="en-US"/>
        </w:rPr>
        <w:t xml:space="preserve">, </w:t>
      </w:r>
      <w:r w:rsidRPr="00446735">
        <w:rPr>
          <w:i/>
          <w:iCs/>
          <w:lang w:val="en-US"/>
        </w:rPr>
        <w:t>Persians</w:t>
      </w:r>
      <w:r>
        <w:rPr>
          <w:lang w:val="en-US"/>
        </w:rPr>
        <w:t xml:space="preserve">, </w:t>
      </w:r>
      <w:r w:rsidRPr="00446735">
        <w:rPr>
          <w:i/>
          <w:iCs/>
          <w:lang w:val="en-US"/>
        </w:rPr>
        <w:t>Glaucus of Potniae</w:t>
      </w:r>
      <w:r>
        <w:rPr>
          <w:lang w:val="en-US"/>
        </w:rPr>
        <w:t xml:space="preserve">, </w:t>
      </w:r>
      <w:r w:rsidRPr="00446735">
        <w:rPr>
          <w:i/>
          <w:iCs/>
          <w:lang w:val="en-US"/>
        </w:rPr>
        <w:t>Prometheus the Fire-Bearer</w:t>
      </w:r>
      <w:r>
        <w:rPr>
          <w:lang w:val="en-US"/>
        </w:rPr>
        <w:t xml:space="preserve">. </w:t>
      </w:r>
      <w:r w:rsidR="00314429">
        <w:rPr>
          <w:lang w:val="en-US"/>
        </w:rPr>
        <w:t>B</w:t>
      </w:r>
      <w:r w:rsidR="007B0B79">
        <w:rPr>
          <w:lang w:val="en-US"/>
        </w:rPr>
        <w:t xml:space="preserve">oth the setting </w:t>
      </w:r>
      <w:r w:rsidR="00314429">
        <w:rPr>
          <w:lang w:val="en-US"/>
        </w:rPr>
        <w:t xml:space="preserve">– the </w:t>
      </w:r>
      <w:r w:rsidR="00BC518D">
        <w:rPr>
          <w:lang w:val="en-US"/>
        </w:rPr>
        <w:t xml:space="preserve">Persian </w:t>
      </w:r>
      <w:r w:rsidR="00314429" w:rsidRPr="00BC518D">
        <w:rPr>
          <w:lang w:val="en-US"/>
        </w:rPr>
        <w:t>capital city</w:t>
      </w:r>
      <w:r w:rsidR="00314429">
        <w:rPr>
          <w:lang w:val="en-US"/>
        </w:rPr>
        <w:t xml:space="preserve"> of Susa – </w:t>
      </w:r>
      <w:r w:rsidR="007B0B79">
        <w:rPr>
          <w:lang w:val="en-US"/>
        </w:rPr>
        <w:t xml:space="preserve">and the characters </w:t>
      </w:r>
      <w:r w:rsidR="00314429">
        <w:rPr>
          <w:lang w:val="en-US"/>
        </w:rPr>
        <w:t xml:space="preserve">– the </w:t>
      </w:r>
      <w:r w:rsidR="00F517E5" w:rsidRPr="00F517E5">
        <w:rPr>
          <w:lang w:val="en-US"/>
        </w:rPr>
        <w:t>c</w:t>
      </w:r>
      <w:r w:rsidR="00314429">
        <w:rPr>
          <w:lang w:val="en-US"/>
        </w:rPr>
        <w:t>horus (</w:t>
      </w:r>
      <w:r w:rsidR="00314429" w:rsidRPr="00F517E5">
        <w:rPr>
          <w:i/>
          <w:iCs/>
          <w:lang w:val="el-GR"/>
        </w:rPr>
        <w:t>ΧΟΡΟΣ</w:t>
      </w:r>
      <w:r w:rsidR="00314429">
        <w:rPr>
          <w:lang w:val="en-US"/>
        </w:rPr>
        <w:t>) of Persian elders; the Queen (</w:t>
      </w:r>
      <w:r w:rsidR="00314429" w:rsidRPr="00F517E5">
        <w:rPr>
          <w:i/>
          <w:iCs/>
          <w:lang w:val="el-GR"/>
        </w:rPr>
        <w:t>ΒΑΣΙΛΕΙΑ</w:t>
      </w:r>
      <w:r w:rsidR="00314429" w:rsidRPr="00314429">
        <w:rPr>
          <w:lang w:val="en-US"/>
        </w:rPr>
        <w:t>)</w:t>
      </w:r>
      <w:r w:rsidR="00314429">
        <w:rPr>
          <w:lang w:val="en-US"/>
        </w:rPr>
        <w:t>, widow of Darius and mother of Xerxes</w:t>
      </w:r>
      <w:r w:rsidR="00314429" w:rsidRPr="00314429">
        <w:rPr>
          <w:lang w:val="en-US"/>
        </w:rPr>
        <w:t xml:space="preserve"> </w:t>
      </w:r>
      <w:r w:rsidR="00314429">
        <w:rPr>
          <w:lang w:val="en-US"/>
        </w:rPr>
        <w:t>(</w:t>
      </w:r>
      <w:r w:rsidR="00314429" w:rsidRPr="00F517E5">
        <w:rPr>
          <w:i/>
          <w:iCs/>
          <w:lang w:val="el-GR"/>
        </w:rPr>
        <w:t>μήτερ</w:t>
      </w:r>
      <w:r w:rsidR="00314429" w:rsidRPr="00F517E5">
        <w:rPr>
          <w:i/>
          <w:iCs/>
          <w:lang w:val="en-US"/>
        </w:rPr>
        <w:t xml:space="preserve"> </w:t>
      </w:r>
      <w:r w:rsidR="00314429" w:rsidRPr="00F517E5">
        <w:rPr>
          <w:i/>
          <w:iCs/>
          <w:lang w:val="el-GR"/>
        </w:rPr>
        <w:t>Ξέρξου</w:t>
      </w:r>
      <w:r w:rsidR="00314429" w:rsidRPr="00314429">
        <w:rPr>
          <w:lang w:val="en-US"/>
        </w:rPr>
        <w:t>)</w:t>
      </w:r>
      <w:r w:rsidR="00314429">
        <w:rPr>
          <w:lang w:val="en-US"/>
        </w:rPr>
        <w:t>; the messenger (</w:t>
      </w:r>
      <w:r w:rsidR="00314429" w:rsidRPr="00F517E5">
        <w:rPr>
          <w:i/>
          <w:iCs/>
          <w:lang w:val="el-GR"/>
        </w:rPr>
        <w:t>ΑΓΓΕΛΟΣ</w:t>
      </w:r>
      <w:r w:rsidR="00314429">
        <w:rPr>
          <w:lang w:val="en-US"/>
        </w:rPr>
        <w:t>); the ghost of Darius (</w:t>
      </w:r>
      <w:r w:rsidR="00314429" w:rsidRPr="00F517E5">
        <w:rPr>
          <w:i/>
          <w:iCs/>
          <w:lang w:val="el-GR"/>
        </w:rPr>
        <w:t>ΕΙΔ</w:t>
      </w:r>
      <w:r w:rsidR="00F517E5" w:rsidRPr="00F517E5">
        <w:rPr>
          <w:i/>
          <w:iCs/>
          <w:lang w:val="el-GR"/>
        </w:rPr>
        <w:t>Ω</w:t>
      </w:r>
      <w:r w:rsidR="00314429" w:rsidRPr="00F517E5">
        <w:rPr>
          <w:i/>
          <w:iCs/>
          <w:lang w:val="el-GR"/>
        </w:rPr>
        <w:t>ΛΟΝ</w:t>
      </w:r>
      <w:r w:rsidR="00314429" w:rsidRPr="00F517E5">
        <w:rPr>
          <w:i/>
          <w:iCs/>
          <w:lang w:val="en-US"/>
        </w:rPr>
        <w:t xml:space="preserve"> </w:t>
      </w:r>
      <w:r w:rsidR="00314429" w:rsidRPr="00F517E5">
        <w:rPr>
          <w:i/>
          <w:iCs/>
          <w:lang w:val="el-GR"/>
        </w:rPr>
        <w:t>ΔΑΡΕΙΟΥ</w:t>
      </w:r>
      <w:r w:rsidR="00314429">
        <w:rPr>
          <w:lang w:val="en-US"/>
        </w:rPr>
        <w:t>) and Xerxes (</w:t>
      </w:r>
      <w:r w:rsidR="00F517E5" w:rsidRPr="00F517E5">
        <w:rPr>
          <w:i/>
          <w:iCs/>
          <w:lang w:val="el-GR"/>
        </w:rPr>
        <w:t>ΞΕΠΞΕΣ</w:t>
      </w:r>
      <w:r w:rsidR="00314429">
        <w:rPr>
          <w:lang w:val="en-US"/>
        </w:rPr>
        <w:t>)</w:t>
      </w:r>
      <w:r w:rsidR="00D513E8">
        <w:rPr>
          <w:lang w:val="en-US"/>
        </w:rPr>
        <w:t xml:space="preserve"> </w:t>
      </w:r>
      <w:r w:rsidR="00314429">
        <w:rPr>
          <w:lang w:val="en-US"/>
        </w:rPr>
        <w:t xml:space="preserve">– </w:t>
      </w:r>
      <w:r w:rsidR="007B0B79">
        <w:rPr>
          <w:lang w:val="en-US"/>
        </w:rPr>
        <w:t>are non-Greek</w:t>
      </w:r>
      <w:r w:rsidR="00314429">
        <w:rPr>
          <w:lang w:val="en-US"/>
        </w:rPr>
        <w:t xml:space="preserve">, </w:t>
      </w:r>
      <w:r w:rsidR="00D513E8">
        <w:rPr>
          <w:lang w:val="en-US"/>
        </w:rPr>
        <w:t>so that both the fight and its consequences are narrated from a Persian point of view</w:t>
      </w:r>
      <w:r w:rsidR="00D513E8">
        <w:rPr>
          <w:rStyle w:val="Rimandonotaapidipagina"/>
          <w:lang w:val="en-US"/>
        </w:rPr>
        <w:footnoteReference w:id="4"/>
      </w:r>
      <w:r w:rsidR="00D513E8">
        <w:rPr>
          <w:lang w:val="en-US"/>
        </w:rPr>
        <w:t xml:space="preserve"> as seen through Greek eyes. </w:t>
      </w:r>
      <w:r w:rsidR="0077152C">
        <w:rPr>
          <w:lang w:val="en-US"/>
        </w:rPr>
        <w:t>The tragedy can be roughly split into nine sections that define the scenic action</w:t>
      </w:r>
      <w:r w:rsidR="0077152C">
        <w:rPr>
          <w:rStyle w:val="Rimandonotaapidipagina"/>
          <w:lang w:val="en-US"/>
        </w:rPr>
        <w:footnoteReference w:id="5"/>
      </w:r>
      <w:r w:rsidR="0077152C">
        <w:rPr>
          <w:lang w:val="en-US"/>
        </w:rPr>
        <w:t xml:space="preserve">: the </w:t>
      </w:r>
      <w:r w:rsidR="0077152C" w:rsidRPr="0077152C">
        <w:rPr>
          <w:i/>
          <w:iCs/>
          <w:lang w:val="en-US"/>
        </w:rPr>
        <w:t>parodos</w:t>
      </w:r>
      <w:r w:rsidR="0077152C">
        <w:rPr>
          <w:lang w:val="en-US"/>
        </w:rPr>
        <w:t xml:space="preserve"> (1-</w:t>
      </w:r>
      <w:r w:rsidR="008F1965">
        <w:rPr>
          <w:lang w:val="en-US"/>
        </w:rPr>
        <w:t xml:space="preserve"> </w:t>
      </w:r>
      <w:r w:rsidR="0077152C">
        <w:rPr>
          <w:lang w:val="en-US"/>
        </w:rPr>
        <w:t xml:space="preserve">154), in which the elderly Persian royal advisers present themselves and await the news of the return of the King; the Queen’s arrival and speeches (155-248), in which she </w:t>
      </w:r>
      <w:r w:rsidR="008B7936">
        <w:rPr>
          <w:lang w:val="en-US"/>
        </w:rPr>
        <w:t xml:space="preserve">reports a dream she has had (176-230) </w:t>
      </w:r>
      <w:r w:rsidR="002201A8">
        <w:rPr>
          <w:lang w:val="en-US"/>
        </w:rPr>
        <w:t xml:space="preserve">and </w:t>
      </w:r>
      <w:r w:rsidR="0077152C">
        <w:rPr>
          <w:lang w:val="en-US"/>
        </w:rPr>
        <w:t>dialogues with the chorus about Athens (230-48)</w:t>
      </w:r>
      <w:r w:rsidR="002201A8">
        <w:rPr>
          <w:lang w:val="en-US"/>
        </w:rPr>
        <w:t>.</w:t>
      </w:r>
      <w:r w:rsidR="00B37069">
        <w:rPr>
          <w:lang w:val="en-US"/>
        </w:rPr>
        <w:t xml:space="preserve"> The messenger’s speech (249-531), that informs the audience – as well as the chorus of Persian advisers and the Queen – of the story if Salamis and its disastrous aftermath; vv. 532-</w:t>
      </w:r>
      <w:r w:rsidR="008F1965">
        <w:rPr>
          <w:lang w:val="en-US"/>
        </w:rPr>
        <w:t xml:space="preserve"> </w:t>
      </w:r>
      <w:r w:rsidR="00B37069">
        <w:rPr>
          <w:lang w:val="en-US"/>
        </w:rPr>
        <w:t xml:space="preserve">97, at the heart of the play, </w:t>
      </w:r>
      <w:r w:rsidR="001E3228">
        <w:rPr>
          <w:lang w:val="en-US"/>
        </w:rPr>
        <w:t>contain the reflection on the grief of the Persian women</w:t>
      </w:r>
      <w:r w:rsidR="008F1965">
        <w:rPr>
          <w:lang w:val="en-US"/>
        </w:rPr>
        <w:t xml:space="preserve"> (537- 47)</w:t>
      </w:r>
      <w:r w:rsidR="001E3228">
        <w:rPr>
          <w:lang w:val="en-US"/>
        </w:rPr>
        <w:t>,</w:t>
      </w:r>
      <w:r w:rsidR="008F1965">
        <w:rPr>
          <w:lang w:val="en-US"/>
        </w:rPr>
        <w:t xml:space="preserve"> the contrast between Xerxes’ and Darius’ leadership (550-7), the battle itself (558- 63), the escape of Xerxes (565-7), the potential fall of the Persian empire (584- 90) and the Persian dead at Salamis (595-7); the return of the Queen </w:t>
      </w:r>
      <w:r w:rsidR="00EC0849">
        <w:rPr>
          <w:lang w:val="en-US"/>
        </w:rPr>
        <w:t xml:space="preserve">on scene </w:t>
      </w:r>
      <w:r w:rsidR="008F1965">
        <w:rPr>
          <w:lang w:val="en-US"/>
        </w:rPr>
        <w:t>(</w:t>
      </w:r>
      <w:r w:rsidR="00EC0849">
        <w:rPr>
          <w:lang w:val="en-US"/>
        </w:rPr>
        <w:t>598- 622</w:t>
      </w:r>
      <w:r w:rsidR="008F1965">
        <w:rPr>
          <w:lang w:val="en-US"/>
        </w:rPr>
        <w:t>)</w:t>
      </w:r>
      <w:r w:rsidR="00EC0849">
        <w:rPr>
          <w:lang w:val="en-US"/>
        </w:rPr>
        <w:t xml:space="preserve"> and the necromancy scene (623- 80). At 681- 851 the ghost of Darius emerges from his tomb, summoned by his wife. Between vv. 852 and 907, having both the Queen and the ghost of Darius departed from the </w:t>
      </w:r>
      <w:r w:rsidR="00EC0849" w:rsidRPr="00723288">
        <w:rPr>
          <w:lang w:val="en-US"/>
        </w:rPr>
        <w:t>s</w:t>
      </w:r>
      <w:r w:rsidR="00723288">
        <w:rPr>
          <w:lang w:val="en-US"/>
        </w:rPr>
        <w:t>cene</w:t>
      </w:r>
      <w:r w:rsidR="00EC0849">
        <w:rPr>
          <w:lang w:val="en-US"/>
        </w:rPr>
        <w:t xml:space="preserve">, the chorus are left alone to </w:t>
      </w:r>
      <w:r w:rsidR="008F4590">
        <w:rPr>
          <w:lang w:val="en-US"/>
        </w:rPr>
        <w:t>bring the audience back to the good old prosperous days of the Persian empire under Darius’ expert leadership. To conclude the play, Xerxes (908-1078), the young King of Persia, finally enters the scene and dialogues with the chorus (</w:t>
      </w:r>
      <w:r w:rsidR="008F4590" w:rsidRPr="008F4590">
        <w:rPr>
          <w:i/>
          <w:iCs/>
          <w:lang w:val="el-GR"/>
        </w:rPr>
        <w:t>κ</w:t>
      </w:r>
      <w:r w:rsidR="008F4590" w:rsidRPr="008F4590">
        <w:rPr>
          <w:i/>
          <w:iCs/>
          <w:lang w:val="en-US"/>
        </w:rPr>
        <w:t>ò</w:t>
      </w:r>
      <w:r w:rsidR="008F4590" w:rsidRPr="008F4590">
        <w:rPr>
          <w:i/>
          <w:iCs/>
          <w:lang w:val="el-GR"/>
        </w:rPr>
        <w:t>μμος</w:t>
      </w:r>
      <w:r w:rsidR="008F4590">
        <w:rPr>
          <w:lang w:val="en-US"/>
        </w:rPr>
        <w:t>)</w:t>
      </w:r>
      <w:r w:rsidR="002E0D6C">
        <w:rPr>
          <w:lang w:val="en-US"/>
        </w:rPr>
        <w:t xml:space="preserve">. </w:t>
      </w:r>
    </w:p>
    <w:p w14:paraId="600AACB7" w14:textId="7E503BBE" w:rsidR="00F03F50" w:rsidRDefault="008F1965" w:rsidP="00AD0876">
      <w:pPr>
        <w:rPr>
          <w:lang w:val="en-US"/>
        </w:rPr>
      </w:pPr>
      <w:r>
        <w:rPr>
          <w:lang w:val="en-US"/>
        </w:rPr>
        <w:lastRenderedPageBreak/>
        <w:t>I</w:t>
      </w:r>
      <w:r w:rsidR="00B1279C">
        <w:rPr>
          <w:lang w:val="en-US"/>
        </w:rPr>
        <w:t>n the opening</w:t>
      </w:r>
      <w:r w:rsidR="0077152C">
        <w:rPr>
          <w:lang w:val="en-US"/>
        </w:rPr>
        <w:t xml:space="preserve"> </w:t>
      </w:r>
      <w:r w:rsidR="00B1279C">
        <w:rPr>
          <w:lang w:val="en-US"/>
        </w:rPr>
        <w:t>the chorus, coming from the city, enters and finds place around twelve chairs displayed for a meeting of the royal council. The members of the council present themselves as the “Trusted”</w:t>
      </w:r>
      <w:r w:rsidR="00442079">
        <w:rPr>
          <w:lang w:val="en-US"/>
        </w:rPr>
        <w:t xml:space="preserve"> or “Faithful”</w:t>
      </w:r>
      <w:r w:rsidR="00442079">
        <w:rPr>
          <w:rStyle w:val="Rimandonotaapidipagina"/>
          <w:lang w:val="en-US"/>
        </w:rPr>
        <w:footnoteReference w:id="6"/>
      </w:r>
      <w:r w:rsidR="00B1279C">
        <w:rPr>
          <w:lang w:val="en-US"/>
        </w:rPr>
        <w:t xml:space="preserve"> </w:t>
      </w:r>
      <w:r w:rsidR="00B1279C" w:rsidRPr="00442079">
        <w:rPr>
          <w:lang w:val="en-US"/>
        </w:rPr>
        <w:t>(</w:t>
      </w:r>
      <w:r w:rsidR="00442079" w:rsidRPr="00442079">
        <w:rPr>
          <w:i/>
          <w:iCs/>
          <w:lang w:val="el-GR"/>
        </w:rPr>
        <w:t>πιστά</w:t>
      </w:r>
      <w:r w:rsidR="00B1279C" w:rsidRPr="00442079">
        <w:rPr>
          <w:lang w:val="en-US"/>
        </w:rPr>
        <w:t>) of</w:t>
      </w:r>
      <w:r w:rsidR="00B1279C">
        <w:rPr>
          <w:lang w:val="en-US"/>
        </w:rPr>
        <w:t xml:space="preserve"> the Persians and the “guardians” (</w:t>
      </w:r>
      <w:r w:rsidR="00B1279C" w:rsidRPr="00B1279C">
        <w:rPr>
          <w:i/>
          <w:iCs/>
          <w:lang w:val="el-GR"/>
        </w:rPr>
        <w:t>φύλακες</w:t>
      </w:r>
      <w:r w:rsidR="00B1279C">
        <w:rPr>
          <w:lang w:val="en-US"/>
        </w:rPr>
        <w:t xml:space="preserve">) of the palace. </w:t>
      </w:r>
      <w:r w:rsidR="00413BA5">
        <w:rPr>
          <w:lang w:val="en-US"/>
        </w:rPr>
        <w:t xml:space="preserve">They are anxiously waiting for the return of King Xerxes and his army from </w:t>
      </w:r>
      <w:r w:rsidR="001931AA">
        <w:rPr>
          <w:lang w:val="en-US"/>
        </w:rPr>
        <w:t xml:space="preserve">the expedition in </w:t>
      </w:r>
      <w:r w:rsidR="00413BA5">
        <w:rPr>
          <w:lang w:val="en-US"/>
        </w:rPr>
        <w:t>Greece</w:t>
      </w:r>
      <w:r w:rsidR="00442079">
        <w:rPr>
          <w:lang w:val="en-US"/>
        </w:rPr>
        <w:t xml:space="preserve">, </w:t>
      </w:r>
      <w:r w:rsidR="00B46076">
        <w:rPr>
          <w:lang w:val="en-US"/>
        </w:rPr>
        <w:t>whose favorable or unfavorable outcome is still unknown</w:t>
      </w:r>
      <w:r w:rsidR="00413BA5">
        <w:rPr>
          <w:lang w:val="en-US"/>
        </w:rPr>
        <w:t xml:space="preserve">. </w:t>
      </w:r>
      <w:r w:rsidR="0025376C">
        <w:rPr>
          <w:lang w:val="en-US"/>
        </w:rPr>
        <w:t xml:space="preserve">Vv. 18-58 contain the first description of the Persian army: </w:t>
      </w:r>
      <w:r w:rsidR="0009343E">
        <w:rPr>
          <w:lang w:val="en-US"/>
        </w:rPr>
        <w:t xml:space="preserve">it is said that </w:t>
      </w:r>
      <w:r w:rsidR="0025376C">
        <w:rPr>
          <w:lang w:val="en-US"/>
        </w:rPr>
        <w:t xml:space="preserve">some </w:t>
      </w:r>
      <w:r w:rsidR="00B74EEE">
        <w:rPr>
          <w:lang w:val="en-US"/>
        </w:rPr>
        <w:t xml:space="preserve">men </w:t>
      </w:r>
      <w:r w:rsidR="0025376C">
        <w:rPr>
          <w:lang w:val="en-US"/>
        </w:rPr>
        <w:t xml:space="preserve">left </w:t>
      </w:r>
      <w:r w:rsidR="00B74EEE">
        <w:rPr>
          <w:lang w:val="en-US"/>
        </w:rPr>
        <w:t xml:space="preserve">the city </w:t>
      </w:r>
      <w:r w:rsidR="0025376C">
        <w:rPr>
          <w:lang w:val="en-US"/>
        </w:rPr>
        <w:t>on horseback (v. 18), some on ship</w:t>
      </w:r>
      <w:r w:rsidR="00B74EEE">
        <w:rPr>
          <w:lang w:val="en-US"/>
        </w:rPr>
        <w:t>s</w:t>
      </w:r>
      <w:r w:rsidR="00876DFF">
        <w:rPr>
          <w:lang w:val="en-US"/>
        </w:rPr>
        <w:t xml:space="preserve"> (v. 19)</w:t>
      </w:r>
      <w:r w:rsidR="0025376C">
        <w:rPr>
          <w:lang w:val="en-US"/>
        </w:rPr>
        <w:t>, and some formed the fighting mass, the infantry (</w:t>
      </w:r>
      <w:r w:rsidR="00876DFF">
        <w:rPr>
          <w:lang w:val="en-US"/>
        </w:rPr>
        <w:t>v. 19</w:t>
      </w:r>
      <w:r w:rsidR="0025376C">
        <w:rPr>
          <w:lang w:val="en-US"/>
        </w:rPr>
        <w:t>)</w:t>
      </w:r>
      <w:r w:rsidR="00876DFF">
        <w:rPr>
          <w:lang w:val="en-US"/>
        </w:rPr>
        <w:t>. Some specific names are provided, along with their roles (</w:t>
      </w:r>
      <w:proofErr w:type="gramStart"/>
      <w:r w:rsidR="00B74EEE">
        <w:rPr>
          <w:lang w:val="en-US"/>
        </w:rPr>
        <w:t>e.g.</w:t>
      </w:r>
      <w:proofErr w:type="gramEnd"/>
      <w:r w:rsidR="00B74EEE">
        <w:rPr>
          <w:lang w:val="en-US"/>
        </w:rPr>
        <w:t xml:space="preserve"> </w:t>
      </w:r>
      <w:r w:rsidR="00876DFF">
        <w:rPr>
          <w:lang w:val="en-US"/>
        </w:rPr>
        <w:t>marshals, “</w:t>
      </w:r>
      <w:r w:rsidR="00876DFF" w:rsidRPr="00876DFF">
        <w:rPr>
          <w:i/>
          <w:iCs/>
          <w:lang w:val="el-GR"/>
        </w:rPr>
        <w:t>ταγοί</w:t>
      </w:r>
      <w:r w:rsidR="00876DFF">
        <w:rPr>
          <w:lang w:val="en-US"/>
        </w:rPr>
        <w:t>” and kings subordinate to the Great king,</w:t>
      </w:r>
      <w:r w:rsidR="00876DFF" w:rsidRPr="00876DFF">
        <w:rPr>
          <w:lang w:val="en-US"/>
        </w:rPr>
        <w:t xml:space="preserve"> </w:t>
      </w:r>
      <w:r w:rsidR="00876DFF" w:rsidRPr="00C85253">
        <w:rPr>
          <w:lang w:val="en-US"/>
        </w:rPr>
        <w:t>“</w:t>
      </w:r>
      <w:r w:rsidR="00876DFF" w:rsidRPr="00C85253">
        <w:rPr>
          <w:i/>
          <w:iCs/>
          <w:lang w:val="el-GR"/>
        </w:rPr>
        <w:t>βασιλης</w:t>
      </w:r>
      <w:r w:rsidR="00876DFF" w:rsidRPr="00C85253">
        <w:rPr>
          <w:i/>
          <w:iCs/>
          <w:lang w:val="en-US"/>
        </w:rPr>
        <w:t xml:space="preserve"> </w:t>
      </w:r>
      <w:r w:rsidR="00876DFF" w:rsidRPr="00C85253">
        <w:rPr>
          <w:i/>
          <w:iCs/>
          <w:lang w:val="el-GR"/>
        </w:rPr>
        <w:t>βασιλέως</w:t>
      </w:r>
      <w:r w:rsidR="00876DFF" w:rsidRPr="00C85253">
        <w:rPr>
          <w:i/>
          <w:iCs/>
          <w:lang w:val="en-US"/>
        </w:rPr>
        <w:t xml:space="preserve"> </w:t>
      </w:r>
      <w:r w:rsidR="00876DFF" w:rsidRPr="00C85253">
        <w:rPr>
          <w:i/>
          <w:iCs/>
          <w:lang w:val="el-GR"/>
        </w:rPr>
        <w:t>ύποχοι</w:t>
      </w:r>
      <w:r w:rsidR="00876DFF" w:rsidRPr="00C85253">
        <w:rPr>
          <w:i/>
          <w:iCs/>
          <w:lang w:val="en-US"/>
        </w:rPr>
        <w:t xml:space="preserve"> </w:t>
      </w:r>
      <w:r w:rsidR="00876DFF" w:rsidRPr="00C85253">
        <w:rPr>
          <w:i/>
          <w:iCs/>
          <w:lang w:val="el-GR"/>
        </w:rPr>
        <w:t>μεγάλου</w:t>
      </w:r>
      <w:r w:rsidR="00876DFF" w:rsidRPr="00876DFF">
        <w:rPr>
          <w:lang w:val="en-US"/>
        </w:rPr>
        <w:t>”</w:t>
      </w:r>
      <w:r w:rsidR="00876DFF">
        <w:rPr>
          <w:lang w:val="en-US"/>
        </w:rPr>
        <w:t>)</w:t>
      </w:r>
      <w:r w:rsidR="004A06EE">
        <w:rPr>
          <w:lang w:val="en-US"/>
        </w:rPr>
        <w:t xml:space="preserve">. </w:t>
      </w:r>
      <w:r w:rsidR="00C131D4" w:rsidRPr="00C131D4">
        <w:rPr>
          <w:i/>
          <w:iCs/>
          <w:lang w:val="en-US"/>
        </w:rPr>
        <w:t>Aeschylus</w:t>
      </w:r>
      <w:r w:rsidR="00C131D4">
        <w:rPr>
          <w:lang w:val="en-US"/>
        </w:rPr>
        <w:t xml:space="preserve"> helps the audience picture the power of these contingents by describing them as </w:t>
      </w:r>
      <w:r w:rsidR="00C131D4" w:rsidRPr="00C131D4">
        <w:rPr>
          <w:lang w:val="en-US"/>
        </w:rPr>
        <w:t>“t</w:t>
      </w:r>
      <w:r w:rsidR="00B74EEE" w:rsidRPr="00C131D4">
        <w:rPr>
          <w:lang w:val="en-US"/>
        </w:rPr>
        <w:t xml:space="preserve">errifying </w:t>
      </w:r>
      <w:r w:rsidR="00863BED">
        <w:rPr>
          <w:lang w:val="en-US"/>
        </w:rPr>
        <w:t>(</w:t>
      </w:r>
      <w:r w:rsidR="00863BED" w:rsidRPr="00863BED">
        <w:rPr>
          <w:i/>
          <w:iCs/>
          <w:lang w:val="el-GR"/>
        </w:rPr>
        <w:t>φοβεροί</w:t>
      </w:r>
      <w:r w:rsidR="00863BED" w:rsidRPr="00863BED">
        <w:rPr>
          <w:lang w:val="en-US"/>
        </w:rPr>
        <w:t xml:space="preserve">) </w:t>
      </w:r>
      <w:r w:rsidR="00863BED">
        <w:rPr>
          <w:lang w:val="en-US"/>
        </w:rPr>
        <w:t xml:space="preserve">to look upon </w:t>
      </w:r>
      <w:r w:rsidR="00B74EEE" w:rsidRPr="00C131D4">
        <w:rPr>
          <w:lang w:val="en-US"/>
        </w:rPr>
        <w:t xml:space="preserve">and fearsome </w:t>
      </w:r>
      <w:r w:rsidR="00863BED">
        <w:rPr>
          <w:lang w:val="en-US"/>
        </w:rPr>
        <w:t>(</w:t>
      </w:r>
      <w:r w:rsidR="00863BED" w:rsidRPr="00863BED">
        <w:rPr>
          <w:i/>
          <w:iCs/>
          <w:lang w:val="el-GR"/>
        </w:rPr>
        <w:t>δεινοί</w:t>
      </w:r>
      <w:r w:rsidR="00863BED" w:rsidRPr="00863BED">
        <w:rPr>
          <w:lang w:val="en-US"/>
        </w:rPr>
        <w:t xml:space="preserve">) </w:t>
      </w:r>
      <w:r w:rsidR="00B74EEE" w:rsidRPr="00C131D4">
        <w:rPr>
          <w:lang w:val="en-US"/>
        </w:rPr>
        <w:t>in battle</w:t>
      </w:r>
      <w:r w:rsidR="00C131D4">
        <w:rPr>
          <w:lang w:val="en-US"/>
        </w:rPr>
        <w:t>”</w:t>
      </w:r>
      <w:r w:rsidR="00B74EEE">
        <w:rPr>
          <w:lang w:val="en-US"/>
        </w:rPr>
        <w:t xml:space="preserve"> (v.27). The Lydians, known by the Greeks for their alleged</w:t>
      </w:r>
      <w:r w:rsidR="00F03F50">
        <w:rPr>
          <w:lang w:val="en-US"/>
        </w:rPr>
        <w:t>ly</w:t>
      </w:r>
      <w:r w:rsidR="00B74EEE">
        <w:rPr>
          <w:lang w:val="en-US"/>
        </w:rPr>
        <w:t xml:space="preserve"> luxurious lifestyle</w:t>
      </w:r>
      <w:r w:rsidR="00E57004">
        <w:rPr>
          <w:rStyle w:val="Rimandonotaapidipagina"/>
          <w:lang w:val="en-US"/>
        </w:rPr>
        <w:footnoteReference w:id="7"/>
      </w:r>
      <w:r w:rsidR="00B74EEE">
        <w:rPr>
          <w:lang w:val="en-US"/>
        </w:rPr>
        <w:t xml:space="preserve">, are </w:t>
      </w:r>
      <w:r w:rsidR="00F03F50">
        <w:rPr>
          <w:lang w:val="en-US"/>
        </w:rPr>
        <w:t xml:space="preserve">also </w:t>
      </w:r>
      <w:r w:rsidR="00B74EEE">
        <w:rPr>
          <w:lang w:val="en-US"/>
        </w:rPr>
        <w:t xml:space="preserve">said to make </w:t>
      </w:r>
      <w:proofErr w:type="gramStart"/>
      <w:r w:rsidR="00B74EEE">
        <w:rPr>
          <w:lang w:val="en-US"/>
        </w:rPr>
        <w:t>a large number of</w:t>
      </w:r>
      <w:proofErr w:type="gramEnd"/>
      <w:r w:rsidR="00B74EEE">
        <w:rPr>
          <w:lang w:val="en-US"/>
        </w:rPr>
        <w:t xml:space="preserve"> the army.</w:t>
      </w:r>
      <w:r w:rsidR="00A115CB">
        <w:rPr>
          <w:lang w:val="en-US"/>
        </w:rPr>
        <w:t xml:space="preserve"> The chorus, however, does not mention any of the Greek leaders who fought for Xerxes. The military catalogue has an ancient archetype that can be identified in the tradition of oral epic - </w:t>
      </w:r>
      <w:proofErr w:type="gramStart"/>
      <w:r w:rsidR="00A115CB">
        <w:rPr>
          <w:lang w:val="en-US"/>
        </w:rPr>
        <w:t>e.g.</w:t>
      </w:r>
      <w:proofErr w:type="gramEnd"/>
      <w:r w:rsidR="00A115CB">
        <w:rPr>
          <w:lang w:val="en-US"/>
        </w:rPr>
        <w:t xml:space="preserve"> the catalogues of Achaean and Trojan forces in the </w:t>
      </w:r>
      <w:r w:rsidR="00A115CB" w:rsidRPr="00A115CB">
        <w:rPr>
          <w:i/>
          <w:iCs/>
          <w:lang w:val="en-US"/>
        </w:rPr>
        <w:t>Iliad</w:t>
      </w:r>
      <w:r w:rsidR="00A115CB">
        <w:rPr>
          <w:lang w:val="en-US"/>
        </w:rPr>
        <w:t xml:space="preserve"> (2.494- 759, 816- 77).</w:t>
      </w:r>
    </w:p>
    <w:p w14:paraId="6ADB8EA5" w14:textId="202897F9" w:rsidR="00B1279C" w:rsidRDefault="00F03F50" w:rsidP="00AD0876">
      <w:pPr>
        <w:rPr>
          <w:lang w:val="en-US"/>
        </w:rPr>
      </w:pPr>
      <w:r>
        <w:rPr>
          <w:lang w:val="en-US"/>
        </w:rPr>
        <w:t>At the Queen’s arrival</w:t>
      </w:r>
      <w:r w:rsidR="006557B0">
        <w:rPr>
          <w:rStyle w:val="Rimandonotaapidipagina"/>
          <w:lang w:val="en-US"/>
        </w:rPr>
        <w:footnoteReference w:id="8"/>
      </w:r>
      <w:r>
        <w:rPr>
          <w:lang w:val="en-US"/>
        </w:rPr>
        <w:t xml:space="preserve"> </w:t>
      </w:r>
      <w:r w:rsidR="00006C26">
        <w:rPr>
          <w:lang w:val="en-US"/>
        </w:rPr>
        <w:t>(vv.</w:t>
      </w:r>
      <w:r w:rsidR="006557B0">
        <w:rPr>
          <w:lang w:val="en-US"/>
        </w:rPr>
        <w:t xml:space="preserve"> 155-158</w:t>
      </w:r>
      <w:r w:rsidR="00006C26">
        <w:rPr>
          <w:lang w:val="en-US"/>
        </w:rPr>
        <w:t xml:space="preserve">) </w:t>
      </w:r>
      <w:r>
        <w:rPr>
          <w:lang w:val="en-US"/>
        </w:rPr>
        <w:t xml:space="preserve">the council members </w:t>
      </w:r>
      <w:r w:rsidR="00006C26">
        <w:rPr>
          <w:lang w:val="en-US"/>
        </w:rPr>
        <w:t>are asked to advise her on a dream</w:t>
      </w:r>
      <w:r w:rsidR="00A346CA">
        <w:rPr>
          <w:rStyle w:val="Rimandonotaapidipagina"/>
          <w:lang w:val="en-US"/>
        </w:rPr>
        <w:footnoteReference w:id="9"/>
      </w:r>
      <w:r w:rsidR="00006C26">
        <w:rPr>
          <w:lang w:val="en-US"/>
        </w:rPr>
        <w:t xml:space="preserve"> she has had, </w:t>
      </w:r>
      <w:r w:rsidR="00006C26" w:rsidRPr="00A346CA">
        <w:rPr>
          <w:lang w:val="en-US"/>
        </w:rPr>
        <w:t>where</w:t>
      </w:r>
      <w:r w:rsidR="00A346CA" w:rsidRPr="00A346CA">
        <w:rPr>
          <w:lang w:val="en-US"/>
        </w:rPr>
        <w:t xml:space="preserve"> two</w:t>
      </w:r>
      <w:r w:rsidR="00A346CA">
        <w:rPr>
          <w:lang w:val="en-US"/>
        </w:rPr>
        <w:t xml:space="preserve"> women – larger in stature than real people – appeared, one dressed in Persian robes, the other in Doric clothing, but both elegant and beautiful. One of them lived in Greece, the other in barbarian land</w:t>
      </w:r>
      <w:r w:rsidR="00A41DEA">
        <w:rPr>
          <w:rStyle w:val="Rimandonotaapidipagina"/>
          <w:lang w:val="en-US"/>
        </w:rPr>
        <w:footnoteReference w:id="10"/>
      </w:r>
      <w:r w:rsidR="00A346CA">
        <w:rPr>
          <w:lang w:val="en-US"/>
        </w:rPr>
        <w:t>. At one point a conflict</w:t>
      </w:r>
      <w:r w:rsidR="008F4F88">
        <w:rPr>
          <w:rStyle w:val="Rimandonotaapidipagina"/>
          <w:lang w:val="en-US"/>
        </w:rPr>
        <w:footnoteReference w:id="11"/>
      </w:r>
      <w:r w:rsidR="00A346CA">
        <w:rPr>
          <w:lang w:val="en-US"/>
        </w:rPr>
        <w:t xml:space="preserve"> arose between the two and Atossa’s son tried to restrain them by </w:t>
      </w:r>
      <w:r w:rsidR="00A41DEA">
        <w:rPr>
          <w:lang w:val="en-US"/>
        </w:rPr>
        <w:t xml:space="preserve">yoking them both under his chariot. The women reacted differently, as one towered up proudly and submitted herself to the reins, while the other struggled to get free, and tore the yoke in half. Xerxes fell out of the chariot, and his father Darius appeared, looking at him with pity, but Xerxes, at this sight, tore his own robes. After the Queen woke up, she also received an omen: as she was standing by the altar to make a sacrifice to the gods, </w:t>
      </w:r>
      <w:r w:rsidR="007D5D24">
        <w:rPr>
          <w:lang w:val="en-US"/>
        </w:rPr>
        <w:t>she saw an eagle</w:t>
      </w:r>
      <w:r w:rsidR="007D5D24">
        <w:rPr>
          <w:rStyle w:val="Rimandonotaapidipagina"/>
          <w:lang w:val="en-US"/>
        </w:rPr>
        <w:footnoteReference w:id="12"/>
      </w:r>
      <w:r w:rsidR="007D5D24">
        <w:rPr>
          <w:lang w:val="en-US"/>
        </w:rPr>
        <w:t xml:space="preserve"> seeking refuge at the altar of Phoebus, and next a hawk</w:t>
      </w:r>
      <w:r w:rsidR="004F242D">
        <w:rPr>
          <w:rStyle w:val="Rimandonotaapidipagina"/>
          <w:lang w:val="en-US"/>
        </w:rPr>
        <w:footnoteReference w:id="13"/>
      </w:r>
      <w:r w:rsidR="007D5D24">
        <w:rPr>
          <w:lang w:val="en-US"/>
        </w:rPr>
        <w:t xml:space="preserve"> swooping on the eagle and tearing its head with its talons. The eagle had to submit. </w:t>
      </w:r>
      <w:r w:rsidR="00177A6E">
        <w:rPr>
          <w:lang w:val="en-US"/>
        </w:rPr>
        <w:t>The chorus suggests that the Queen supplicate the gods with prayers and pour out libations to Earth and the dead</w:t>
      </w:r>
      <w:r w:rsidR="00C4550C">
        <w:rPr>
          <w:lang w:val="en-US"/>
        </w:rPr>
        <w:t>, and lastly that ask her dead husband Darius to send good fortune</w:t>
      </w:r>
      <w:r w:rsidR="00177A6E">
        <w:rPr>
          <w:lang w:val="en-US"/>
        </w:rPr>
        <w:t xml:space="preserve">. </w:t>
      </w:r>
      <w:r w:rsidR="00006C26">
        <w:rPr>
          <w:lang w:val="en-US"/>
        </w:rPr>
        <w:t xml:space="preserve">At vv. 235ff an important exchange of information - that brings on the table a series of frequently debated topics and </w:t>
      </w:r>
      <w:r w:rsidR="00006C26" w:rsidRPr="00006C26">
        <w:rPr>
          <w:i/>
          <w:iCs/>
          <w:lang w:val="en-US"/>
        </w:rPr>
        <w:t>topoi</w:t>
      </w:r>
      <w:r w:rsidR="00006C26">
        <w:rPr>
          <w:lang w:val="en-US"/>
        </w:rPr>
        <w:t xml:space="preserve"> of the Greek and Persian world - takes place between queen Atossa</w:t>
      </w:r>
      <w:r w:rsidR="00E627DC">
        <w:rPr>
          <w:rStyle w:val="Rimandonotaapidipagina"/>
          <w:lang w:val="en-US"/>
        </w:rPr>
        <w:footnoteReference w:id="14"/>
      </w:r>
      <w:r w:rsidR="00006C26">
        <w:rPr>
          <w:lang w:val="en-US"/>
        </w:rPr>
        <w:t xml:space="preserve"> and the chorus about the Greek army. Firstly, knowing the greatness of the Persian army, the surprised Queen inquires whether the Greeks are larger in number, but the chorus replies that though lesser, the Greek army is better for the quality of its fighters. Darius’ widow then wants to know if they are versatile in the use of bow and arrows, but </w:t>
      </w:r>
      <w:r w:rsidR="004F2D52">
        <w:rPr>
          <w:lang w:val="en-US"/>
        </w:rPr>
        <w:t>the chorus states that the enemy uses “spears for close combat and shields for defense”</w:t>
      </w:r>
      <w:r w:rsidR="004F2D52">
        <w:rPr>
          <w:rStyle w:val="Rimandonotaapidipagina"/>
          <w:lang w:val="en-US"/>
        </w:rPr>
        <w:footnoteReference w:id="15"/>
      </w:r>
      <w:r w:rsidR="00AA7CE6">
        <w:rPr>
          <w:lang w:val="en-US"/>
        </w:rPr>
        <w:t xml:space="preserve">. The opposition between the Athenian hoplite warrior and the eastern fighter </w:t>
      </w:r>
      <w:r w:rsidR="00AA7CE6">
        <w:rPr>
          <w:lang w:val="en-US"/>
        </w:rPr>
        <w:lastRenderedPageBreak/>
        <w:t>that carries a bow is an old one</w:t>
      </w:r>
      <w:r w:rsidR="00AA7CE6">
        <w:rPr>
          <w:rStyle w:val="Rimandonotaapidipagina"/>
          <w:lang w:val="en-US"/>
        </w:rPr>
        <w:footnoteReference w:id="16"/>
      </w:r>
      <w:r w:rsidR="00AA7CE6">
        <w:rPr>
          <w:lang w:val="en-US"/>
        </w:rPr>
        <w:t>.</w:t>
      </w:r>
      <w:r w:rsidR="001D50D3">
        <w:rPr>
          <w:lang w:val="en-US"/>
        </w:rPr>
        <w:t xml:space="preserve"> In Greece, though probably there was no actual ban of bows, </w:t>
      </w:r>
      <w:r w:rsidR="007C7521">
        <w:rPr>
          <w:lang w:val="en-US"/>
        </w:rPr>
        <w:t>their use</w:t>
      </w:r>
      <w:r w:rsidR="001D50D3">
        <w:rPr>
          <w:lang w:val="en-US"/>
        </w:rPr>
        <w:t xml:space="preserve"> was frowned upon in literary tradition</w:t>
      </w:r>
      <w:r w:rsidR="007C7521">
        <w:rPr>
          <w:lang w:val="en-US"/>
        </w:rPr>
        <w:t xml:space="preserve"> and that is because</w:t>
      </w:r>
      <w:r w:rsidR="001D50D3">
        <w:rPr>
          <w:lang w:val="en-US"/>
        </w:rPr>
        <w:t xml:space="preserve"> it was often viewed as the weapon of choice of the Persians and the Scythians, </w:t>
      </w:r>
      <w:r w:rsidR="007C7521">
        <w:rPr>
          <w:lang w:val="en-US"/>
        </w:rPr>
        <w:t>polar-opposite societies to the Greeks. According to them, choosing a bow and arrows over a spear and shield reduced the ideals of manliness and courage that derived from hand-to-hand combat</w:t>
      </w:r>
      <w:r w:rsidR="007C7521" w:rsidRPr="007C5C24">
        <w:rPr>
          <w:rStyle w:val="Rimandonotaapidipagina"/>
          <w:lang w:val="en-US"/>
        </w:rPr>
        <w:footnoteReference w:id="17"/>
      </w:r>
      <w:r w:rsidR="007C7521" w:rsidRPr="007C5C24">
        <w:rPr>
          <w:lang w:val="en-US"/>
        </w:rPr>
        <w:t>, obviously not needed with</w:t>
      </w:r>
      <w:r w:rsidR="007C7521">
        <w:rPr>
          <w:lang w:val="en-US"/>
        </w:rPr>
        <w:t xml:space="preserve"> a weapon that could be used from a distance.</w:t>
      </w:r>
      <w:r w:rsidR="00C23E72">
        <w:rPr>
          <w:lang w:val="en-US"/>
        </w:rPr>
        <w:t xml:space="preserve"> </w:t>
      </w:r>
      <w:r w:rsidR="00AA7CE6">
        <w:rPr>
          <w:lang w:val="en-US"/>
        </w:rPr>
        <w:t>Another important theme is that of wealth, mentioned at v</w:t>
      </w:r>
      <w:r w:rsidR="00556AFC">
        <w:rPr>
          <w:lang w:val="en-US"/>
        </w:rPr>
        <w:t>v</w:t>
      </w:r>
      <w:r w:rsidR="00AA7CE6">
        <w:rPr>
          <w:lang w:val="en-US"/>
        </w:rPr>
        <w:t xml:space="preserve">. </w:t>
      </w:r>
      <w:r w:rsidR="00556AFC">
        <w:rPr>
          <w:lang w:val="en-US"/>
        </w:rPr>
        <w:t xml:space="preserve">237- </w:t>
      </w:r>
      <w:r w:rsidR="00AA7CE6">
        <w:rPr>
          <w:lang w:val="en-US"/>
        </w:rPr>
        <w:t>238</w:t>
      </w:r>
      <w:r w:rsidR="00212112">
        <w:rPr>
          <w:lang w:val="en-US"/>
        </w:rPr>
        <w:t>. With each question an</w:t>
      </w:r>
      <w:r w:rsidR="00556AFC">
        <w:rPr>
          <w:lang w:val="en-US"/>
        </w:rPr>
        <w:t>d</w:t>
      </w:r>
      <w:r w:rsidR="00212112">
        <w:rPr>
          <w:lang w:val="en-US"/>
        </w:rPr>
        <w:t xml:space="preserve"> answer, the audience is reminded of the differences between </w:t>
      </w:r>
      <w:r w:rsidR="00556AFC">
        <w:rPr>
          <w:lang w:val="en-US"/>
        </w:rPr>
        <w:t>Greeks</w:t>
      </w:r>
      <w:r w:rsidR="00212112">
        <w:rPr>
          <w:lang w:val="en-US"/>
        </w:rPr>
        <w:t xml:space="preserve"> and barbarians: the latter are </w:t>
      </w:r>
      <w:r w:rsidR="00556AFC">
        <w:rPr>
          <w:lang w:val="en-US"/>
        </w:rPr>
        <w:t xml:space="preserve">traditionally </w:t>
      </w:r>
      <w:r w:rsidR="00477E68">
        <w:rPr>
          <w:lang w:val="en-US"/>
        </w:rPr>
        <w:t>criticized for their excessive personal luxury,</w:t>
      </w:r>
      <w:r w:rsidR="00556AFC">
        <w:rPr>
          <w:lang w:val="en-US"/>
        </w:rPr>
        <w:t xml:space="preserve"> whereas the former dispose of their wealth</w:t>
      </w:r>
      <w:r w:rsidR="00C23E72">
        <w:rPr>
          <w:rStyle w:val="Rimandonotaapidipagina"/>
          <w:lang w:val="en-US"/>
        </w:rPr>
        <w:footnoteReference w:id="18"/>
      </w:r>
      <w:r w:rsidR="00556AFC">
        <w:rPr>
          <w:lang w:val="en-US"/>
        </w:rPr>
        <w:t xml:space="preserve"> for common purposes, such as the construction of the fleet</w:t>
      </w:r>
      <w:r w:rsidR="00477E68">
        <w:rPr>
          <w:rStyle w:val="Rimandonotaapidipagina"/>
          <w:lang w:val="en-US"/>
        </w:rPr>
        <w:footnoteReference w:id="19"/>
      </w:r>
      <w:r w:rsidR="00556AFC">
        <w:rPr>
          <w:lang w:val="en-US"/>
        </w:rPr>
        <w:t xml:space="preserve">. </w:t>
      </w:r>
      <w:r w:rsidR="00477E68">
        <w:rPr>
          <w:lang w:val="en-US"/>
        </w:rPr>
        <w:t>Once again</w:t>
      </w:r>
      <w:r w:rsidR="00355FDC">
        <w:rPr>
          <w:lang w:val="en-US"/>
        </w:rPr>
        <w:t>,</w:t>
      </w:r>
      <w:r w:rsidR="00477E68">
        <w:rPr>
          <w:lang w:val="en-US"/>
        </w:rPr>
        <w:t xml:space="preserve"> the queen addresses the chorus (v.</w:t>
      </w:r>
      <w:r w:rsidR="00355FDC">
        <w:rPr>
          <w:lang w:val="en-US"/>
        </w:rPr>
        <w:t xml:space="preserve"> </w:t>
      </w:r>
      <w:r w:rsidR="00477E68">
        <w:rPr>
          <w:lang w:val="en-US"/>
        </w:rPr>
        <w:t>241) and asks who the master and commander of the</w:t>
      </w:r>
      <w:r w:rsidR="00355FDC">
        <w:rPr>
          <w:lang w:val="en-US"/>
        </w:rPr>
        <w:t>ir</w:t>
      </w:r>
      <w:r w:rsidR="00477E68">
        <w:rPr>
          <w:lang w:val="en-US"/>
        </w:rPr>
        <w:t xml:space="preserve"> enemy is</w:t>
      </w:r>
      <w:r w:rsidR="00477E68" w:rsidRPr="00D7013E">
        <w:rPr>
          <w:lang w:val="en-US"/>
        </w:rPr>
        <w:t>, and the response clearly shows the relation between Athenian power and its system: the Athenians are slaves to no external man, which implies the existence of a democratic system of decision making that is joint. The</w:t>
      </w:r>
      <w:r w:rsidR="00477E68">
        <w:rPr>
          <w:lang w:val="en-US"/>
        </w:rPr>
        <w:t xml:space="preserve"> two opposite political systems are brought to the attention of the audience: democracy on one side, and monarchy (or, possibly, tyranny) on the other. The entire scene is meant as a self-praise of the Athenians and their </w:t>
      </w:r>
      <w:r w:rsidR="00296DCF">
        <w:rPr>
          <w:lang w:val="en-US"/>
        </w:rPr>
        <w:t xml:space="preserve">military and political </w:t>
      </w:r>
      <w:r w:rsidR="00477E68">
        <w:rPr>
          <w:lang w:val="en-US"/>
        </w:rPr>
        <w:t>ideology</w:t>
      </w:r>
      <w:r w:rsidR="00296DCF">
        <w:rPr>
          <w:lang w:val="en-US"/>
        </w:rPr>
        <w:t>, which are linked together. The hoplite phalanx is the product of democracy, as both value collectivity and unity. The hoplite warrior</w:t>
      </w:r>
      <w:r w:rsidR="001D50D3">
        <w:rPr>
          <w:lang w:val="en-US"/>
        </w:rPr>
        <w:t xml:space="preserve"> is the embodiment of</w:t>
      </w:r>
      <w:r w:rsidR="00296DCF">
        <w:rPr>
          <w:lang w:val="en-US"/>
        </w:rPr>
        <w:t xml:space="preserve"> the values of the democratic </w:t>
      </w:r>
      <w:r w:rsidR="00296DCF" w:rsidRPr="00296DCF">
        <w:rPr>
          <w:i/>
          <w:iCs/>
          <w:lang w:val="en-US"/>
        </w:rPr>
        <w:t>polis</w:t>
      </w:r>
      <w:r w:rsidR="001D50D3">
        <w:rPr>
          <w:lang w:val="en-US"/>
        </w:rPr>
        <w:t xml:space="preserve">, as opposed to the eastern fighter, who represents the Persian ideology: despotism, </w:t>
      </w:r>
      <w:proofErr w:type="gramStart"/>
      <w:r w:rsidR="001D50D3">
        <w:rPr>
          <w:lang w:val="en-US"/>
        </w:rPr>
        <w:t>materialism</w:t>
      </w:r>
      <w:proofErr w:type="gramEnd"/>
      <w:r w:rsidR="001D50D3">
        <w:rPr>
          <w:lang w:val="en-US"/>
        </w:rPr>
        <w:t xml:space="preserve"> and expansionism. </w:t>
      </w:r>
      <w:r w:rsidR="00355FDC">
        <w:rPr>
          <w:lang w:val="en-US"/>
        </w:rPr>
        <w:t xml:space="preserve"> </w:t>
      </w:r>
    </w:p>
    <w:p w14:paraId="17B14A7D" w14:textId="232EAFE4" w:rsidR="00197B3A" w:rsidRPr="00C0706E" w:rsidRDefault="00AB769E" w:rsidP="00AD0876">
      <w:pPr>
        <w:rPr>
          <w:vertAlign w:val="superscript"/>
          <w:lang w:val="en-US"/>
        </w:rPr>
      </w:pPr>
      <w:r>
        <w:rPr>
          <w:lang w:val="en-US"/>
        </w:rPr>
        <w:t>While the chorus and the Queen are engaged in their conversation, a messenger comes forth to bring detailed notice of the destruction of the Persian and oriental army by the hands of the Greeks.</w:t>
      </w:r>
      <w:r w:rsidR="00B307BD">
        <w:rPr>
          <w:lang w:val="en-US"/>
        </w:rPr>
        <w:t xml:space="preserve"> His entrance is a dramatic one, and </w:t>
      </w:r>
      <w:r w:rsidR="00BD7F3A">
        <w:rPr>
          <w:lang w:val="en-US"/>
        </w:rPr>
        <w:t>the scene that follows</w:t>
      </w:r>
      <w:r w:rsidR="00B307BD">
        <w:rPr>
          <w:lang w:val="en-US"/>
        </w:rPr>
        <w:t xml:space="preserve"> is divided into two sections. The first one includes music (249- 89) </w:t>
      </w:r>
      <w:r w:rsidR="007C5C24">
        <w:rPr>
          <w:lang w:val="en-US"/>
        </w:rPr>
        <w:t xml:space="preserve">which emphasizes the impact of the bad news. The second one contains five speeches - delivered in response to the Queen’s questions - recounting the battle of Salamis and its aftermath. </w:t>
      </w:r>
      <w:r w:rsidR="00BD7F3A">
        <w:rPr>
          <w:lang w:val="en-US"/>
        </w:rPr>
        <w:t xml:space="preserve">At this point of the tragedy </w:t>
      </w:r>
      <w:r w:rsidR="00BD7F3A" w:rsidRPr="00BD7F3A">
        <w:rPr>
          <w:i/>
          <w:iCs/>
          <w:lang w:val="en-US"/>
        </w:rPr>
        <w:t>Aeschylus</w:t>
      </w:r>
      <w:r w:rsidR="00BD7F3A">
        <w:rPr>
          <w:lang w:val="en-US"/>
        </w:rPr>
        <w:t xml:space="preserve"> displays an array of spectacular images and vocabulary</w:t>
      </w:r>
      <w:r w:rsidR="00BD7F3A">
        <w:rPr>
          <w:rStyle w:val="Rimandonotaapidipagina"/>
          <w:lang w:val="en-US"/>
        </w:rPr>
        <w:footnoteReference w:id="20"/>
      </w:r>
      <w:r w:rsidR="00BD7F3A">
        <w:rPr>
          <w:lang w:val="en-US"/>
        </w:rPr>
        <w:t xml:space="preserve"> that had to help the audience picture the battle. He gives crude and vivid depictions of the violence that took place as well. </w:t>
      </w:r>
      <w:r w:rsidR="00034754">
        <w:rPr>
          <w:lang w:val="en-US"/>
        </w:rPr>
        <w:t xml:space="preserve">At vv. 302-330 </w:t>
      </w:r>
      <w:r w:rsidR="00F66B62">
        <w:rPr>
          <w:lang w:val="en-US"/>
        </w:rPr>
        <w:t>the</w:t>
      </w:r>
      <w:r w:rsidR="00034754">
        <w:rPr>
          <w:lang w:val="en-US"/>
        </w:rPr>
        <w:t xml:space="preserve"> messenger</w:t>
      </w:r>
      <w:r w:rsidR="00F66B62">
        <w:rPr>
          <w:lang w:val="en-US"/>
        </w:rPr>
        <w:t xml:space="preserve"> delivers a</w:t>
      </w:r>
      <w:r w:rsidR="00034754">
        <w:rPr>
          <w:lang w:val="en-US"/>
        </w:rPr>
        <w:t xml:space="preserve"> speech</w:t>
      </w:r>
      <w:r w:rsidR="00F66B62">
        <w:rPr>
          <w:lang w:val="en-US"/>
        </w:rPr>
        <w:t xml:space="preserve"> where he lists all the ones that died in the Persian war</w:t>
      </w:r>
      <w:r w:rsidR="001D197D">
        <w:rPr>
          <w:lang w:val="en-US"/>
        </w:rPr>
        <w:t xml:space="preserve">. This kind of catalogue </w:t>
      </w:r>
      <w:r w:rsidR="00C76B1E">
        <w:rPr>
          <w:lang w:val="en-US"/>
        </w:rPr>
        <w:t>has a similar structure to the Athenians casualty lists</w:t>
      </w:r>
      <w:r w:rsidR="00C76B1E">
        <w:rPr>
          <w:rStyle w:val="Rimandonotaapidipagina"/>
          <w:lang w:val="en-US"/>
        </w:rPr>
        <w:footnoteReference w:id="21"/>
      </w:r>
      <w:r w:rsidR="00C76B1E">
        <w:rPr>
          <w:lang w:val="en-US"/>
        </w:rPr>
        <w:t xml:space="preserve">. This form of language is not usually associated with tragedy. </w:t>
      </w:r>
      <w:r w:rsidR="00CE6A5F">
        <w:rPr>
          <w:lang w:val="en-US"/>
        </w:rPr>
        <w:t>Here it preserves the conventional features of the Athenian inscriptions, but the meaning conveyed by the form is changed by the framing discourse of the tragedy. Given this context, here the listing becomes a “sad roll call of the enemy dead”</w:t>
      </w:r>
      <w:r w:rsidR="00CE6A5F">
        <w:rPr>
          <w:rStyle w:val="Rimandonotaapidipagina"/>
          <w:lang w:val="en-US"/>
        </w:rPr>
        <w:footnoteReference w:id="22"/>
      </w:r>
      <w:r w:rsidR="00CE6A5F">
        <w:rPr>
          <w:lang w:val="en-US"/>
        </w:rPr>
        <w:t xml:space="preserve"> – enemies who did not get a burial – rather than a means through which the Athenians buried beneath the casualty lists could reach glory. The audience</w:t>
      </w:r>
      <w:r w:rsidR="004A252F">
        <w:rPr>
          <w:lang w:val="en-US"/>
        </w:rPr>
        <w:t xml:space="preserve"> would have most likely been able to recognize this form of speech and associated it to the inscriptions in Athens. For this reason, the messenger’s speech must have raised in the people assisting the play very strong emotions, and generated a sense of connection. </w:t>
      </w:r>
      <w:r w:rsidR="001D4424">
        <w:rPr>
          <w:lang w:val="en-US"/>
        </w:rPr>
        <w:t xml:space="preserve">Following the disastrous account of the dead is the tale of the events that took place from the night before the naval fight to the end of the battle on the following day. </w:t>
      </w:r>
      <w:r w:rsidR="00723288">
        <w:rPr>
          <w:lang w:val="en-US"/>
        </w:rPr>
        <w:t>It is reported that Xerxes got tricked by some unnamed Greek man</w:t>
      </w:r>
      <w:r w:rsidR="00723288">
        <w:rPr>
          <w:rStyle w:val="Rimandonotaapidipagina"/>
          <w:lang w:val="en-US"/>
        </w:rPr>
        <w:footnoteReference w:id="23"/>
      </w:r>
      <w:r w:rsidR="00723288">
        <w:rPr>
          <w:lang w:val="en-US"/>
        </w:rPr>
        <w:t xml:space="preserve"> </w:t>
      </w:r>
      <w:r w:rsidR="00E03E8F">
        <w:rPr>
          <w:lang w:val="en-US"/>
        </w:rPr>
        <w:t xml:space="preserve">that came from Athens and told him that when the night would have fallen, the Greeks would have tried to make a furtive escape by running in different directions. Hearing this, the King – who did not understand that he was being misinformed – </w:t>
      </w:r>
      <w:r w:rsidR="00C91D24">
        <w:rPr>
          <w:lang w:val="en-US"/>
        </w:rPr>
        <w:t xml:space="preserve">took the bait and </w:t>
      </w:r>
      <w:r w:rsidR="00E03E8F">
        <w:rPr>
          <w:lang w:val="en-US"/>
        </w:rPr>
        <w:t xml:space="preserve">gave a speech to his subordinate admirals to prepare for battle. In reality, </w:t>
      </w:r>
      <w:r w:rsidR="00E03E8F">
        <w:rPr>
          <w:lang w:val="en-US"/>
        </w:rPr>
        <w:lastRenderedPageBreak/>
        <w:t xml:space="preserve">the Greeks had prepared a surprise attack at dawn, which resolved into the massacre of the Persians. </w:t>
      </w:r>
      <w:r w:rsidR="00D363F2">
        <w:rPr>
          <w:lang w:val="en-US"/>
        </w:rPr>
        <w:t>This episode raises a thorny question among the scholars of whether it was justifiable or not in classical war to employ stratagems</w:t>
      </w:r>
      <w:r w:rsidR="00D363F2">
        <w:rPr>
          <w:rStyle w:val="Rimandonotaapidipagina"/>
          <w:lang w:val="en-US"/>
        </w:rPr>
        <w:footnoteReference w:id="24"/>
      </w:r>
      <w:r w:rsidR="00D363F2">
        <w:rPr>
          <w:lang w:val="en-US"/>
        </w:rPr>
        <w:t>. If on one hand the Greeks prided themselves to adopt a “gentlemanly” style of battle</w:t>
      </w:r>
      <w:r w:rsidR="003B1A1A">
        <w:rPr>
          <w:rStyle w:val="Rimandonotaapidipagina"/>
          <w:lang w:val="en-US"/>
        </w:rPr>
        <w:footnoteReference w:id="25"/>
      </w:r>
      <w:r w:rsidR="00D363F2">
        <w:rPr>
          <w:lang w:val="en-US"/>
        </w:rPr>
        <w:t xml:space="preserve">, on the other it seems that they were not foreign to cunning. </w:t>
      </w:r>
      <w:r w:rsidR="00D363F2" w:rsidRPr="00D363F2">
        <w:rPr>
          <w:i/>
          <w:iCs/>
          <w:lang w:val="en-US"/>
        </w:rPr>
        <w:t>Herodotus</w:t>
      </w:r>
      <w:r w:rsidR="00D363F2">
        <w:rPr>
          <w:rStyle w:val="Rimandonotaapidipagina"/>
          <w:i/>
          <w:iCs/>
          <w:lang w:val="en-US"/>
        </w:rPr>
        <w:footnoteReference w:id="26"/>
      </w:r>
      <w:r w:rsidR="00D363F2">
        <w:rPr>
          <w:lang w:val="en-US"/>
        </w:rPr>
        <w:t xml:space="preserve"> reports the very episode of the battle of Salamis, where the Athenians – namely Themistocles - are said to have used misinformation to induce the Persians into battle at a time that was disadvantageous for them</w:t>
      </w:r>
      <w:r w:rsidR="00C91D24">
        <w:rPr>
          <w:lang w:val="en-US"/>
        </w:rPr>
        <w:t xml:space="preserve">. </w:t>
      </w:r>
      <w:r w:rsidR="00376E64">
        <w:rPr>
          <w:lang w:val="en-US"/>
        </w:rPr>
        <w:t xml:space="preserve">It has been resolved that the Greeks only turned to trickery in certain circumstances, when it was impossible to do </w:t>
      </w:r>
      <w:proofErr w:type="gramStart"/>
      <w:r w:rsidR="00376E64">
        <w:rPr>
          <w:lang w:val="en-US"/>
        </w:rPr>
        <w:t>otherwise</w:t>
      </w:r>
      <w:proofErr w:type="gramEnd"/>
      <w:r w:rsidR="00376E64">
        <w:rPr>
          <w:lang w:val="en-US"/>
        </w:rPr>
        <w:t xml:space="preserve"> and necessity called.</w:t>
      </w:r>
      <w:r w:rsidR="00C0706E">
        <w:rPr>
          <w:lang w:val="en-US"/>
        </w:rPr>
        <w:t xml:space="preserve"> </w:t>
      </w:r>
    </w:p>
    <w:p w14:paraId="00503E86" w14:textId="3232F0DD" w:rsidR="0039241C" w:rsidRDefault="00401871" w:rsidP="00AD0876">
      <w:pPr>
        <w:rPr>
          <w:lang w:val="en-US"/>
        </w:rPr>
      </w:pPr>
      <w:r>
        <w:rPr>
          <w:lang w:val="en-US"/>
        </w:rPr>
        <w:t xml:space="preserve">Another significant passage of the play is that of vv. 623-80. It is a very exciting section where the Queen Atossa, who had been previously advised by the elders to pray </w:t>
      </w:r>
      <w:r w:rsidR="00A80E4B">
        <w:rPr>
          <w:lang w:val="en-US"/>
        </w:rPr>
        <w:t xml:space="preserve">her dead husband </w:t>
      </w:r>
      <w:r>
        <w:rPr>
          <w:lang w:val="en-US"/>
        </w:rPr>
        <w:t>for good fortune</w:t>
      </w:r>
      <w:r w:rsidR="00A80E4B">
        <w:rPr>
          <w:lang w:val="en-US"/>
        </w:rPr>
        <w:t>, calls Darius up (</w:t>
      </w:r>
      <w:r w:rsidR="00A80E4B" w:rsidRPr="00A80E4B">
        <w:rPr>
          <w:i/>
          <w:iCs/>
          <w:lang w:val="el-GR"/>
        </w:rPr>
        <w:t>ανακαλεισθαι</w:t>
      </w:r>
      <w:r w:rsidR="00A80E4B">
        <w:rPr>
          <w:lang w:val="en-US"/>
        </w:rPr>
        <w:t xml:space="preserve">) from his tomb and his ghost appears on scene. </w:t>
      </w:r>
      <w:r w:rsidR="00A80E4B" w:rsidRPr="00A80E4B">
        <w:rPr>
          <w:lang w:val="en-US"/>
        </w:rPr>
        <w:t>T</w:t>
      </w:r>
      <w:r w:rsidR="00A80E4B">
        <w:rPr>
          <w:lang w:val="en-US"/>
        </w:rPr>
        <w:t xml:space="preserve">his is also the earliest example in surviving tragedy of a ghost character. </w:t>
      </w:r>
      <w:r w:rsidR="00A80E4B" w:rsidRPr="00197B3A">
        <w:rPr>
          <w:i/>
          <w:iCs/>
          <w:lang w:val="en-US"/>
        </w:rPr>
        <w:t>Aeschylus</w:t>
      </w:r>
      <w:r w:rsidR="00A80E4B">
        <w:rPr>
          <w:lang w:val="en-US"/>
        </w:rPr>
        <w:t xml:space="preserve"> himself will use another ghost – that of Clytemnestra – in another play (</w:t>
      </w:r>
      <w:r w:rsidR="00A80E4B" w:rsidRPr="00A80E4B">
        <w:rPr>
          <w:i/>
          <w:iCs/>
          <w:lang w:val="en-US"/>
        </w:rPr>
        <w:t>Eumenides</w:t>
      </w:r>
      <w:r w:rsidR="00A80E4B">
        <w:rPr>
          <w:lang w:val="en-US"/>
        </w:rPr>
        <w:t>) fourteen years later</w:t>
      </w:r>
      <w:r w:rsidR="00BB73B9">
        <w:rPr>
          <w:rStyle w:val="Rimandonotaapidipagina"/>
          <w:lang w:val="en-US"/>
        </w:rPr>
        <w:footnoteReference w:id="27"/>
      </w:r>
      <w:r w:rsidR="00A80E4B">
        <w:rPr>
          <w:lang w:val="en-US"/>
        </w:rPr>
        <w:t xml:space="preserve">. </w:t>
      </w:r>
      <w:r w:rsidR="00C0706E">
        <w:rPr>
          <w:lang w:val="en-US"/>
        </w:rPr>
        <w:t xml:space="preserve">This theatrical device has a parallel in comedy as well: </w:t>
      </w:r>
      <w:r w:rsidR="00C0706E" w:rsidRPr="00C0706E">
        <w:rPr>
          <w:i/>
          <w:iCs/>
          <w:lang w:val="en-US"/>
        </w:rPr>
        <w:t>Aristophanes</w:t>
      </w:r>
      <w:r w:rsidR="00C0706E">
        <w:rPr>
          <w:lang w:val="en-US"/>
        </w:rPr>
        <w:t xml:space="preserve"> in his </w:t>
      </w:r>
      <w:r w:rsidR="00C0706E" w:rsidRPr="00C0706E">
        <w:rPr>
          <w:i/>
          <w:iCs/>
          <w:lang w:val="en-US"/>
        </w:rPr>
        <w:t>Frogs</w:t>
      </w:r>
      <w:r w:rsidR="00C0706E">
        <w:rPr>
          <w:lang w:val="en-US"/>
        </w:rPr>
        <w:t xml:space="preserve"> displays Dionysus who seeks advice from the dead </w:t>
      </w:r>
      <w:r w:rsidR="00C0706E" w:rsidRPr="00C0706E">
        <w:rPr>
          <w:i/>
          <w:iCs/>
          <w:lang w:val="en-US"/>
        </w:rPr>
        <w:t>Aeschylus</w:t>
      </w:r>
      <w:r w:rsidR="00C0706E">
        <w:rPr>
          <w:lang w:val="en-US"/>
        </w:rPr>
        <w:t xml:space="preserve"> and </w:t>
      </w:r>
      <w:r w:rsidR="00C0706E" w:rsidRPr="00C0706E">
        <w:rPr>
          <w:i/>
          <w:iCs/>
          <w:lang w:val="en-US"/>
        </w:rPr>
        <w:t>Euripides</w:t>
      </w:r>
      <w:r w:rsidR="00C0706E">
        <w:rPr>
          <w:lang w:val="en-US"/>
        </w:rPr>
        <w:t xml:space="preserve"> on how to save the city. Seeking advice from the dead has once again an archetype in an epic poem (</w:t>
      </w:r>
      <w:r w:rsidR="00C0706E" w:rsidRPr="00C0706E">
        <w:rPr>
          <w:i/>
          <w:iCs/>
          <w:lang w:val="en-US"/>
        </w:rPr>
        <w:t>Odyssey</w:t>
      </w:r>
      <w:r w:rsidR="003E72A8">
        <w:rPr>
          <w:i/>
          <w:iCs/>
          <w:lang w:val="en-US"/>
        </w:rPr>
        <w:t xml:space="preserve"> </w:t>
      </w:r>
      <w:r w:rsidR="003E72A8">
        <w:rPr>
          <w:lang w:val="en-US"/>
        </w:rPr>
        <w:t>11.9-151</w:t>
      </w:r>
      <w:r w:rsidR="00C0706E">
        <w:rPr>
          <w:lang w:val="en-US"/>
        </w:rPr>
        <w:t xml:space="preserve">): </w:t>
      </w:r>
      <w:r w:rsidR="003E72A8">
        <w:rPr>
          <w:lang w:val="en-US"/>
        </w:rPr>
        <w:t xml:space="preserve">Odysseus’ raising of Teiresias’ ghost. </w:t>
      </w:r>
      <w:r w:rsidR="00767567">
        <w:rPr>
          <w:lang w:val="en-US"/>
        </w:rPr>
        <w:t xml:space="preserve">In the </w:t>
      </w:r>
      <w:r w:rsidR="00767567" w:rsidRPr="00767567">
        <w:rPr>
          <w:i/>
          <w:iCs/>
          <w:lang w:val="en-US"/>
        </w:rPr>
        <w:t>Persians</w:t>
      </w:r>
      <w:r w:rsidR="00767567">
        <w:rPr>
          <w:lang w:val="en-US"/>
        </w:rPr>
        <w:t xml:space="preserve"> the necromantic hymn is sung by the chorus that arrange themselves around the tomb of Darius, possibly in the same kneeling position that they adopted to salute the Queen at her arrival earlier in the play. </w:t>
      </w:r>
      <w:r w:rsidR="00E56283">
        <w:rPr>
          <w:lang w:val="en-US"/>
        </w:rPr>
        <w:t xml:space="preserve">The whole scene is characterized by repetition in language, cries, and several adjectives that all together give the impression of a chaotic assembly, typical of the barbarians – as the chorus themselves say at vv. 635-6. </w:t>
      </w:r>
      <w:r w:rsidR="00BC526A">
        <w:rPr>
          <w:lang w:val="en-US"/>
        </w:rPr>
        <w:t xml:space="preserve">The dead king’s ghost speaks with the chorus whom, however, cannot bring themselves to answer him directly, so the Queen takes the chorus’ place (703-38). </w:t>
      </w:r>
      <w:r w:rsidR="0056337E">
        <w:rPr>
          <w:lang w:val="en-US"/>
        </w:rPr>
        <w:t xml:space="preserve">In this passage (725, 744-52) Darius explains the theological reasons for the disastrous expedition: fulfilling an oracle emanated by Zeus and already known to Darius, Xerxes built a bridge over the Hellespont. </w:t>
      </w:r>
      <w:r w:rsidR="0039241C">
        <w:rPr>
          <w:lang w:val="en-US"/>
        </w:rPr>
        <w:t>The Persians’</w:t>
      </w:r>
      <w:r w:rsidR="0056337E">
        <w:rPr>
          <w:lang w:val="en-US"/>
        </w:rPr>
        <w:t xml:space="preserve"> impious conduct also </w:t>
      </w:r>
      <w:r w:rsidR="0039241C">
        <w:rPr>
          <w:lang w:val="en-US"/>
        </w:rPr>
        <w:t xml:space="preserve">consisted in the burning of Greek temples (807-15). The fact that an oracle foretold the Persian catastrophe means that their defeat was divinely ordinated. The word </w:t>
      </w:r>
      <w:r w:rsidR="0039241C" w:rsidRPr="0039241C">
        <w:rPr>
          <w:i/>
          <w:iCs/>
          <w:lang w:val="el-GR"/>
        </w:rPr>
        <w:t>υβρις</w:t>
      </w:r>
      <w:r w:rsidR="0039241C" w:rsidRPr="0039241C">
        <w:rPr>
          <w:lang w:val="en-US"/>
        </w:rPr>
        <w:t xml:space="preserve"> is used twice (808, 821) and its compounds (</w:t>
      </w:r>
      <w:r w:rsidR="0039241C" w:rsidRPr="0039241C">
        <w:rPr>
          <w:i/>
          <w:iCs/>
          <w:lang w:val="en-US"/>
        </w:rPr>
        <w:t>huper-</w:t>
      </w:r>
      <w:r w:rsidR="0039241C" w:rsidRPr="0039241C">
        <w:rPr>
          <w:lang w:val="en-US"/>
        </w:rPr>
        <w:t>)</w:t>
      </w:r>
      <w:r w:rsidR="0039241C">
        <w:rPr>
          <w:lang w:val="en-US"/>
        </w:rPr>
        <w:t xml:space="preserve"> describe Xerxes’ excessive arrogance: the desecration of Greek holy places was felt as an assault to both the Gods and the Greeks. The play ends when Xerxes himself enters the scene, clothed in </w:t>
      </w:r>
      <w:proofErr w:type="gramStart"/>
      <w:r w:rsidR="0039241C">
        <w:rPr>
          <w:lang w:val="en-US"/>
        </w:rPr>
        <w:t>rags</w:t>
      </w:r>
      <w:proofErr w:type="gramEnd"/>
      <w:r w:rsidR="0039241C">
        <w:rPr>
          <w:lang w:val="en-US"/>
        </w:rPr>
        <w:t xml:space="preserve"> and armed with a quiver but no bow (1020). </w:t>
      </w:r>
      <w:r w:rsidR="00EF51B0">
        <w:rPr>
          <w:lang w:val="en-US"/>
        </w:rPr>
        <w:t xml:space="preserve">The young king and the chorus alternate themselves in a </w:t>
      </w:r>
      <w:r w:rsidR="00EF51B0" w:rsidRPr="00EF51B0">
        <w:rPr>
          <w:i/>
          <w:iCs/>
          <w:lang w:val="en-US"/>
        </w:rPr>
        <w:t>threnos</w:t>
      </w:r>
      <w:r w:rsidR="00EF51B0">
        <w:rPr>
          <w:lang w:val="en-US"/>
        </w:rPr>
        <w:t xml:space="preserve">, a song of lamentation that wants to display sorrow. Once again Aeschylus reminds the audience of the difference between the </w:t>
      </w:r>
      <w:proofErr w:type="spellStart"/>
      <w:r w:rsidR="00EF51B0">
        <w:rPr>
          <w:lang w:val="en-US"/>
        </w:rPr>
        <w:t>greeks</w:t>
      </w:r>
      <w:proofErr w:type="spellEnd"/>
      <w:r w:rsidR="00EF51B0">
        <w:rPr>
          <w:lang w:val="en-US"/>
        </w:rPr>
        <w:t xml:space="preserve"> and the barbarians, the latter being unmanly in their display of grief. </w:t>
      </w:r>
    </w:p>
    <w:p w14:paraId="567FD9A2" w14:textId="77777777" w:rsidR="0058535D" w:rsidRDefault="0058535D" w:rsidP="00AD0876">
      <w:pPr>
        <w:rPr>
          <w:lang w:val="en-US"/>
        </w:rPr>
      </w:pPr>
    </w:p>
    <w:p w14:paraId="32F3EB31" w14:textId="77777777" w:rsidR="0058535D" w:rsidRDefault="0058535D" w:rsidP="00AD0876">
      <w:pPr>
        <w:rPr>
          <w:lang w:val="en-US"/>
        </w:rPr>
      </w:pPr>
    </w:p>
    <w:p w14:paraId="5B8A4ED7" w14:textId="77777777" w:rsidR="0058535D" w:rsidRDefault="0058535D" w:rsidP="00AD0876">
      <w:pPr>
        <w:rPr>
          <w:lang w:val="en-US"/>
        </w:rPr>
      </w:pPr>
    </w:p>
    <w:p w14:paraId="57B0E72E" w14:textId="77777777" w:rsidR="0058535D" w:rsidRDefault="0058535D" w:rsidP="00AD0876">
      <w:pPr>
        <w:rPr>
          <w:lang w:val="en-US"/>
        </w:rPr>
      </w:pPr>
    </w:p>
    <w:p w14:paraId="2FA158FD" w14:textId="77777777" w:rsidR="0058535D" w:rsidRDefault="0058535D" w:rsidP="00AD0876">
      <w:pPr>
        <w:rPr>
          <w:lang w:val="en-US"/>
        </w:rPr>
      </w:pPr>
    </w:p>
    <w:p w14:paraId="2D4193D1" w14:textId="77777777" w:rsidR="0058535D" w:rsidRDefault="0058535D" w:rsidP="00AD0876">
      <w:pPr>
        <w:rPr>
          <w:lang w:val="en-US"/>
        </w:rPr>
      </w:pPr>
    </w:p>
    <w:p w14:paraId="25D7EF2E" w14:textId="77777777" w:rsidR="0058535D" w:rsidRDefault="0058535D" w:rsidP="00AD0876">
      <w:pPr>
        <w:rPr>
          <w:lang w:val="en-US"/>
        </w:rPr>
      </w:pPr>
    </w:p>
    <w:p w14:paraId="51A80998" w14:textId="77777777" w:rsidR="0058535D" w:rsidRDefault="0058535D" w:rsidP="00AD0876">
      <w:pPr>
        <w:rPr>
          <w:lang w:val="en-US"/>
        </w:rPr>
      </w:pPr>
    </w:p>
    <w:p w14:paraId="1A2FBE57" w14:textId="5001515F" w:rsidR="00B307BD" w:rsidRDefault="00B307BD" w:rsidP="00AD0876">
      <w:pPr>
        <w:rPr>
          <w:b/>
          <w:bCs/>
          <w:lang w:val="en-US"/>
        </w:rPr>
      </w:pPr>
      <w:r w:rsidRPr="00B307BD">
        <w:rPr>
          <w:b/>
          <w:bCs/>
          <w:lang w:val="en-US"/>
        </w:rPr>
        <w:lastRenderedPageBreak/>
        <w:t>BIBLIOGRAPHY</w:t>
      </w:r>
    </w:p>
    <w:p w14:paraId="5D9B79E9" w14:textId="77777777" w:rsidR="000602CE" w:rsidRPr="00E40CD4" w:rsidRDefault="000602CE" w:rsidP="00AD0876">
      <w:pPr>
        <w:rPr>
          <w:lang w:val="en-US"/>
        </w:rPr>
      </w:pPr>
    </w:p>
    <w:p w14:paraId="5CF9AA46" w14:textId="52557345" w:rsidR="00E531E2" w:rsidRDefault="00E531E2" w:rsidP="00AD0876">
      <w:pPr>
        <w:rPr>
          <w:b/>
          <w:bCs/>
          <w:lang w:val="en-US"/>
        </w:rPr>
      </w:pPr>
      <w:r>
        <w:rPr>
          <w:b/>
          <w:bCs/>
          <w:lang w:val="en-US"/>
        </w:rPr>
        <w:t xml:space="preserve">ANCIENT SOURCES </w:t>
      </w:r>
    </w:p>
    <w:p w14:paraId="4E4329E2" w14:textId="77777777" w:rsidR="00E531E2" w:rsidRDefault="00E531E2" w:rsidP="00E531E2">
      <w:pPr>
        <w:rPr>
          <w:rFonts w:cstheme="minorHAnsi"/>
          <w:color w:val="333333"/>
          <w:shd w:val="clear" w:color="auto" w:fill="FFFFFF"/>
          <w:lang w:val="en-US"/>
        </w:rPr>
      </w:pPr>
      <w:r w:rsidRPr="003926C7">
        <w:rPr>
          <w:rStyle w:val="bibliographicauthorname"/>
          <w:rFonts w:cstheme="minorHAnsi"/>
          <w:color w:val="333333"/>
          <w:shd w:val="clear" w:color="auto" w:fill="FFFFFF"/>
          <w:lang w:val="en-US"/>
        </w:rPr>
        <w:t>Aeschylus</w:t>
      </w:r>
      <w:r w:rsidRPr="003926C7">
        <w:rPr>
          <w:rFonts w:cstheme="minorHAnsi"/>
          <w:color w:val="333333"/>
          <w:shd w:val="clear" w:color="auto" w:fill="FFFFFF"/>
          <w:lang w:val="en-US"/>
        </w:rPr>
        <w:t>. </w:t>
      </w:r>
      <w:r w:rsidRPr="003926C7">
        <w:rPr>
          <w:rFonts w:cstheme="minorHAnsi"/>
          <w:i/>
          <w:iCs/>
          <w:color w:val="333333"/>
          <w:shd w:val="clear" w:color="auto" w:fill="FFFFFF"/>
          <w:lang w:val="en-US"/>
        </w:rPr>
        <w:t>Persians. Seven against Thebes. Suppliants. Prometheus Bound. </w:t>
      </w:r>
      <w:r w:rsidRPr="003926C7">
        <w:rPr>
          <w:rStyle w:val="editorandtranslators"/>
          <w:rFonts w:cstheme="minorHAnsi"/>
          <w:color w:val="333333"/>
          <w:shd w:val="clear" w:color="auto" w:fill="FFFFFF"/>
          <w:lang w:val="en-US"/>
        </w:rPr>
        <w:t>Edited and translated by </w:t>
      </w:r>
      <w:r w:rsidRPr="003926C7">
        <w:rPr>
          <w:rStyle w:val="contributorname"/>
          <w:rFonts w:cstheme="minorHAnsi"/>
          <w:color w:val="333333"/>
          <w:shd w:val="clear" w:color="auto" w:fill="FFFFFF"/>
          <w:lang w:val="en-US"/>
        </w:rPr>
        <w:t xml:space="preserve">Alan H. </w:t>
      </w:r>
      <w:proofErr w:type="spellStart"/>
      <w:r w:rsidRPr="003926C7">
        <w:rPr>
          <w:rStyle w:val="contributorname"/>
          <w:rFonts w:cstheme="minorHAnsi"/>
          <w:color w:val="333333"/>
          <w:shd w:val="clear" w:color="auto" w:fill="FFFFFF"/>
          <w:lang w:val="en-US"/>
        </w:rPr>
        <w:t>Sommerstein</w:t>
      </w:r>
      <w:proofErr w:type="spellEnd"/>
      <w:r w:rsidRPr="003926C7">
        <w:rPr>
          <w:rStyle w:val="editorandtranslators"/>
          <w:rFonts w:cstheme="minorHAnsi"/>
          <w:color w:val="333333"/>
          <w:shd w:val="clear" w:color="auto" w:fill="FFFFFF"/>
          <w:lang w:val="en-US"/>
        </w:rPr>
        <w:t>. </w:t>
      </w:r>
      <w:r w:rsidRPr="00D15896">
        <w:rPr>
          <w:rFonts w:cstheme="minorHAnsi"/>
          <w:color w:val="333333"/>
          <w:shd w:val="clear" w:color="auto" w:fill="FFFFFF"/>
          <w:lang w:val="en-US"/>
        </w:rPr>
        <w:t>Loeb Classical Library 145. Cambridge, MA: Harvard University Press, 2009.</w:t>
      </w:r>
    </w:p>
    <w:p w14:paraId="33340791" w14:textId="6A916E55" w:rsidR="00E531E2" w:rsidRPr="00E531E2" w:rsidRDefault="00E531E2" w:rsidP="00AD0876">
      <w:pPr>
        <w:rPr>
          <w:rFonts w:cstheme="minorHAnsi"/>
          <w:lang w:val="en-US"/>
        </w:rPr>
      </w:pPr>
      <w:r w:rsidRPr="00D62482">
        <w:rPr>
          <w:rFonts w:cstheme="minorHAnsi"/>
          <w:color w:val="3A3A3A"/>
          <w:shd w:val="clear" w:color="auto" w:fill="FFFFFF"/>
          <w:lang w:val="en-US"/>
        </w:rPr>
        <w:t>Aeschylus. and Hall, E. (1996) </w:t>
      </w:r>
      <w:r w:rsidRPr="00D62482">
        <w:rPr>
          <w:rFonts w:cstheme="minorHAnsi"/>
          <w:i/>
          <w:iCs/>
          <w:color w:val="3A3A3A"/>
          <w:shd w:val="clear" w:color="auto" w:fill="FFFFFF"/>
          <w:lang w:val="en-US"/>
        </w:rPr>
        <w:t>Persians</w:t>
      </w:r>
      <w:r w:rsidRPr="00D62482">
        <w:rPr>
          <w:rFonts w:cstheme="minorHAnsi"/>
          <w:color w:val="3A3A3A"/>
          <w:shd w:val="clear" w:color="auto" w:fill="FFFFFF"/>
          <w:lang w:val="en-US"/>
        </w:rPr>
        <w:t xml:space="preserve">. </w:t>
      </w:r>
      <w:proofErr w:type="spellStart"/>
      <w:r w:rsidRPr="00D62482">
        <w:rPr>
          <w:rFonts w:cstheme="minorHAnsi"/>
          <w:color w:val="3A3A3A"/>
          <w:shd w:val="clear" w:color="auto" w:fill="FFFFFF"/>
        </w:rPr>
        <w:t>Warminster</w:t>
      </w:r>
      <w:proofErr w:type="spellEnd"/>
      <w:r w:rsidRPr="00D62482">
        <w:rPr>
          <w:rFonts w:cstheme="minorHAnsi"/>
          <w:color w:val="3A3A3A"/>
          <w:shd w:val="clear" w:color="auto" w:fill="FFFFFF"/>
        </w:rPr>
        <w:t>: Aris &amp; Phillips.</w:t>
      </w:r>
    </w:p>
    <w:p w14:paraId="36377F9A" w14:textId="6842A870" w:rsidR="00E531E2" w:rsidRDefault="00E531E2" w:rsidP="00AD0876">
      <w:pPr>
        <w:rPr>
          <w:b/>
          <w:bCs/>
          <w:lang w:val="en-US"/>
        </w:rPr>
      </w:pPr>
      <w:r>
        <w:rPr>
          <w:b/>
          <w:bCs/>
          <w:lang w:val="en-US"/>
        </w:rPr>
        <w:t xml:space="preserve">MODERN SCHOLARSHIP </w:t>
      </w:r>
    </w:p>
    <w:p w14:paraId="7BBFD26B" w14:textId="77777777" w:rsidR="00E531E2" w:rsidRDefault="00E531E2" w:rsidP="00E531E2">
      <w:pPr>
        <w:rPr>
          <w:rFonts w:cstheme="minorHAnsi"/>
          <w:lang w:val="en-US"/>
        </w:rPr>
      </w:pPr>
      <w:r>
        <w:rPr>
          <w:rFonts w:cstheme="minorHAnsi"/>
          <w:lang w:val="en-US"/>
        </w:rPr>
        <w:t xml:space="preserve">O’Driscoll 2015 = </w:t>
      </w:r>
      <w:r w:rsidRPr="003926C7">
        <w:rPr>
          <w:rFonts w:cstheme="minorHAnsi"/>
          <w:lang w:val="en-US"/>
        </w:rPr>
        <w:t xml:space="preserve">Cian O’Driscoll, </w:t>
      </w:r>
      <w:r w:rsidRPr="003926C7">
        <w:rPr>
          <w:rFonts w:cstheme="minorHAnsi"/>
          <w:i/>
          <w:iCs/>
          <w:lang w:val="en-US"/>
        </w:rPr>
        <w:t>Rewriting the Just War Tradition: Just War in Classical Greek Political Thought and Practice</w:t>
      </w:r>
      <w:r w:rsidRPr="003926C7">
        <w:rPr>
          <w:rFonts w:cstheme="minorHAnsi"/>
          <w:lang w:val="en-US"/>
        </w:rPr>
        <w:t>, International Studies Quarterly, Vol. 59, No. 1 (March 2015), Oxford University Press, pp. 1-10.</w:t>
      </w:r>
    </w:p>
    <w:p w14:paraId="08F84E95" w14:textId="77777777" w:rsidR="00E531E2" w:rsidRDefault="00E531E2" w:rsidP="00E531E2">
      <w:pPr>
        <w:rPr>
          <w:rFonts w:cstheme="minorHAnsi"/>
          <w:lang w:val="en-US"/>
        </w:rPr>
      </w:pPr>
      <w:r>
        <w:rPr>
          <w:rFonts w:cstheme="minorHAnsi"/>
          <w:lang w:val="en-US"/>
        </w:rPr>
        <w:t xml:space="preserve">Papadodima 2013 = </w:t>
      </w:r>
      <w:proofErr w:type="spellStart"/>
      <w:r w:rsidRPr="002638A5">
        <w:rPr>
          <w:rFonts w:cstheme="minorHAnsi"/>
          <w:lang w:val="en-US"/>
        </w:rPr>
        <w:t>Efi</w:t>
      </w:r>
      <w:proofErr w:type="spellEnd"/>
      <w:r w:rsidRPr="002638A5">
        <w:rPr>
          <w:rFonts w:cstheme="minorHAnsi"/>
          <w:lang w:val="en-US"/>
        </w:rPr>
        <w:t xml:space="preserve"> Papadodima, </w:t>
      </w:r>
      <w:r w:rsidRPr="0075752F">
        <w:rPr>
          <w:rFonts w:cstheme="minorHAnsi"/>
          <w:i/>
          <w:iCs/>
          <w:lang w:val="en-US"/>
        </w:rPr>
        <w:t>The Battle of Marathon in Fifth-Century Drama</w:t>
      </w:r>
      <w:r w:rsidRPr="002638A5">
        <w:rPr>
          <w:rFonts w:cstheme="minorHAnsi"/>
          <w:lang w:val="en-US"/>
        </w:rPr>
        <w:t xml:space="preserve">, Bulletin of the Institute of Classical Studies. Supplement, 2013, No. 124, Marathon -2500 years (2013), Oxford University Press, pp. 143-154.  </w:t>
      </w:r>
    </w:p>
    <w:p w14:paraId="38EB5969" w14:textId="77777777" w:rsidR="00E531E2" w:rsidRPr="002638A5" w:rsidRDefault="00E531E2" w:rsidP="00E531E2">
      <w:pPr>
        <w:rPr>
          <w:rFonts w:cstheme="minorHAnsi"/>
          <w:lang w:val="en-US"/>
        </w:rPr>
      </w:pPr>
      <w:r>
        <w:rPr>
          <w:rFonts w:cstheme="minorHAnsi"/>
          <w:lang w:val="en-US"/>
        </w:rPr>
        <w:t xml:space="preserve">Walling 2013 = Karl Walling, </w:t>
      </w:r>
      <w:r w:rsidRPr="0075752F">
        <w:rPr>
          <w:rFonts w:cstheme="minorHAnsi"/>
          <w:i/>
          <w:iCs/>
          <w:lang w:val="en-US"/>
        </w:rPr>
        <w:t>Thucydides on Policy, Strategy, and War Termination</w:t>
      </w:r>
      <w:r>
        <w:rPr>
          <w:rFonts w:cstheme="minorHAnsi"/>
          <w:lang w:val="en-US"/>
        </w:rPr>
        <w:t xml:space="preserve">, Naval War College Review, Vol. 66, No.4 (Autumn 2013), U.S. Naval War College Press, pp. 47-86. </w:t>
      </w:r>
    </w:p>
    <w:p w14:paraId="37D1DC39" w14:textId="77777777" w:rsidR="00E531E2" w:rsidRDefault="00E531E2" w:rsidP="00E531E2">
      <w:pPr>
        <w:rPr>
          <w:rFonts w:cstheme="minorHAnsi"/>
          <w:color w:val="333333"/>
          <w:shd w:val="clear" w:color="auto" w:fill="FFFFFF"/>
          <w:lang w:val="en-US"/>
        </w:rPr>
      </w:pPr>
      <w:r>
        <w:rPr>
          <w:rFonts w:cstheme="minorHAnsi"/>
          <w:color w:val="333333"/>
          <w:shd w:val="clear" w:color="auto" w:fill="FFFFFF"/>
          <w:lang w:val="en-US"/>
        </w:rPr>
        <w:t xml:space="preserve">McDonald 2006 = Marianne McDonald, </w:t>
      </w:r>
      <w:r w:rsidRPr="00F555F5">
        <w:rPr>
          <w:rFonts w:cstheme="minorHAnsi"/>
          <w:i/>
          <w:iCs/>
          <w:color w:val="333333"/>
          <w:shd w:val="clear" w:color="auto" w:fill="FFFFFF"/>
          <w:lang w:val="en-US"/>
        </w:rPr>
        <w:t>War then and now: the legacy of ancient Greek tragedy</w:t>
      </w:r>
      <w:r>
        <w:rPr>
          <w:rFonts w:cstheme="minorHAnsi"/>
          <w:color w:val="333333"/>
          <w:shd w:val="clear" w:color="auto" w:fill="FFFFFF"/>
          <w:lang w:val="en-US"/>
        </w:rPr>
        <w:t xml:space="preserve">, </w:t>
      </w:r>
      <w:proofErr w:type="spellStart"/>
      <w:r>
        <w:rPr>
          <w:rFonts w:cstheme="minorHAnsi"/>
          <w:color w:val="333333"/>
          <w:shd w:val="clear" w:color="auto" w:fill="FFFFFF"/>
          <w:lang w:val="en-US"/>
        </w:rPr>
        <w:t>Hermathena</w:t>
      </w:r>
      <w:proofErr w:type="spellEnd"/>
      <w:r>
        <w:rPr>
          <w:rFonts w:cstheme="minorHAnsi"/>
          <w:color w:val="333333"/>
          <w:shd w:val="clear" w:color="auto" w:fill="FFFFFF"/>
          <w:lang w:val="en-US"/>
        </w:rPr>
        <w:t xml:space="preserve">, Winter 2006, No. 181, In honor of George Huxley (Winter 2006), Trinity </w:t>
      </w:r>
      <w:proofErr w:type="spellStart"/>
      <w:r>
        <w:rPr>
          <w:rFonts w:cstheme="minorHAnsi"/>
          <w:color w:val="333333"/>
          <w:shd w:val="clear" w:color="auto" w:fill="FFFFFF"/>
          <w:lang w:val="en-US"/>
        </w:rPr>
        <w:t>Colleg</w:t>
      </w:r>
      <w:proofErr w:type="spellEnd"/>
      <w:r>
        <w:rPr>
          <w:rFonts w:cstheme="minorHAnsi"/>
          <w:color w:val="333333"/>
          <w:shd w:val="clear" w:color="auto" w:fill="FFFFFF"/>
          <w:lang w:val="en-US"/>
        </w:rPr>
        <w:t xml:space="preserve"> Dublin, pp. 83-104.</w:t>
      </w:r>
    </w:p>
    <w:p w14:paraId="08FA50B3" w14:textId="77777777" w:rsidR="00E531E2" w:rsidRDefault="00E531E2" w:rsidP="00E531E2">
      <w:pPr>
        <w:rPr>
          <w:rFonts w:cstheme="minorHAnsi"/>
          <w:color w:val="333333"/>
          <w:shd w:val="clear" w:color="auto" w:fill="FFFFFF"/>
        </w:rPr>
      </w:pPr>
      <w:r w:rsidRPr="00F555F5">
        <w:rPr>
          <w:rFonts w:cstheme="minorHAnsi"/>
          <w:color w:val="333333"/>
          <w:shd w:val="clear" w:color="auto" w:fill="FFFFFF"/>
        </w:rPr>
        <w:t xml:space="preserve">Musti 2002 = Domenico Musti, </w:t>
      </w:r>
      <w:r w:rsidRPr="00F555F5">
        <w:rPr>
          <w:rFonts w:cstheme="minorHAnsi"/>
          <w:i/>
          <w:iCs/>
          <w:color w:val="333333"/>
          <w:shd w:val="clear" w:color="auto" w:fill="FFFFFF"/>
        </w:rPr>
        <w:t>Tra guerra giusta e guerra santa. La Grecia dalle guerre sante alla spedizione di Alessandro Magno</w:t>
      </w:r>
      <w:r>
        <w:rPr>
          <w:rFonts w:cstheme="minorHAnsi"/>
          <w:color w:val="333333"/>
          <w:shd w:val="clear" w:color="auto" w:fill="FFFFFF"/>
        </w:rPr>
        <w:t xml:space="preserve">, Studi Storici, Jul. – </w:t>
      </w:r>
      <w:proofErr w:type="spellStart"/>
      <w:r>
        <w:rPr>
          <w:rFonts w:cstheme="minorHAnsi"/>
          <w:color w:val="333333"/>
          <w:shd w:val="clear" w:color="auto" w:fill="FFFFFF"/>
        </w:rPr>
        <w:t>Sept</w:t>
      </w:r>
      <w:proofErr w:type="spellEnd"/>
      <w:r>
        <w:rPr>
          <w:rFonts w:cstheme="minorHAnsi"/>
          <w:color w:val="333333"/>
          <w:shd w:val="clear" w:color="auto" w:fill="FFFFFF"/>
        </w:rPr>
        <w:t xml:space="preserve">., 2002, Anno 43, No. 3, Guerra santa e guerra giusta dal mondo antico alla prima età moderna (Jul. – </w:t>
      </w:r>
      <w:proofErr w:type="spellStart"/>
      <w:r>
        <w:rPr>
          <w:rFonts w:cstheme="minorHAnsi"/>
          <w:color w:val="333333"/>
          <w:shd w:val="clear" w:color="auto" w:fill="FFFFFF"/>
        </w:rPr>
        <w:t>Sept</w:t>
      </w:r>
      <w:proofErr w:type="spellEnd"/>
      <w:r>
        <w:rPr>
          <w:rFonts w:cstheme="minorHAnsi"/>
          <w:color w:val="333333"/>
          <w:shd w:val="clear" w:color="auto" w:fill="FFFFFF"/>
        </w:rPr>
        <w:t>., 2002), Fondazione Istituto Gramsci, pp. 709-723</w:t>
      </w:r>
    </w:p>
    <w:p w14:paraId="05F69C47" w14:textId="77777777" w:rsidR="00E531E2" w:rsidRDefault="00E531E2" w:rsidP="00E531E2">
      <w:pPr>
        <w:rPr>
          <w:rFonts w:cstheme="minorHAnsi"/>
          <w:lang w:val="en-US"/>
        </w:rPr>
      </w:pPr>
      <w:proofErr w:type="spellStart"/>
      <w:r w:rsidRPr="002638A5">
        <w:rPr>
          <w:rFonts w:cstheme="minorHAnsi"/>
          <w:color w:val="333333"/>
          <w:shd w:val="clear" w:color="auto" w:fill="FFFFFF"/>
          <w:lang w:val="en-US"/>
        </w:rPr>
        <w:t>Ebbott</w:t>
      </w:r>
      <w:proofErr w:type="spellEnd"/>
      <w:r w:rsidRPr="002638A5">
        <w:rPr>
          <w:rFonts w:cstheme="minorHAnsi"/>
          <w:color w:val="333333"/>
          <w:shd w:val="clear" w:color="auto" w:fill="FFFFFF"/>
          <w:lang w:val="en-US"/>
        </w:rPr>
        <w:t xml:space="preserve"> 2000 = </w:t>
      </w:r>
      <w:r w:rsidRPr="002638A5">
        <w:rPr>
          <w:rFonts w:cstheme="minorHAnsi"/>
          <w:lang w:val="en-US"/>
        </w:rPr>
        <w:t xml:space="preserve">Mary </w:t>
      </w:r>
      <w:proofErr w:type="spellStart"/>
      <w:r w:rsidRPr="002638A5">
        <w:rPr>
          <w:rFonts w:cstheme="minorHAnsi"/>
          <w:lang w:val="en-US"/>
        </w:rPr>
        <w:t>Ebbott</w:t>
      </w:r>
      <w:proofErr w:type="spellEnd"/>
      <w:r w:rsidRPr="002638A5">
        <w:rPr>
          <w:rFonts w:cstheme="minorHAnsi"/>
          <w:lang w:val="en-US"/>
        </w:rPr>
        <w:t xml:space="preserve">, </w:t>
      </w:r>
      <w:r w:rsidRPr="002638A5">
        <w:rPr>
          <w:rFonts w:cstheme="minorHAnsi"/>
          <w:i/>
          <w:iCs/>
          <w:lang w:val="en-US"/>
        </w:rPr>
        <w:t>The List of The War Dead in Aeschylus’ “Persians”</w:t>
      </w:r>
      <w:r w:rsidRPr="002638A5">
        <w:rPr>
          <w:rFonts w:cstheme="minorHAnsi"/>
          <w:lang w:val="en-US"/>
        </w:rPr>
        <w:t xml:space="preserve">, Harvard Studies in Classical Philology, 2000, Vol. 100 (2000), Department of the Classics, Harvard University, pp. 83-96. </w:t>
      </w:r>
    </w:p>
    <w:p w14:paraId="60D5FA93" w14:textId="77777777" w:rsidR="00E531E2" w:rsidRPr="003454AD" w:rsidRDefault="00E531E2" w:rsidP="00E531E2">
      <w:pPr>
        <w:rPr>
          <w:rFonts w:cstheme="minorHAnsi"/>
          <w:lang w:val="en-US"/>
        </w:rPr>
      </w:pPr>
      <w:r>
        <w:rPr>
          <w:rFonts w:cstheme="minorHAnsi"/>
          <w:lang w:val="en-US"/>
        </w:rPr>
        <w:t xml:space="preserve">Goldhill 1988 = </w:t>
      </w:r>
      <w:r w:rsidRPr="003454AD">
        <w:rPr>
          <w:rFonts w:cstheme="minorHAnsi"/>
          <w:lang w:val="en-US"/>
        </w:rPr>
        <w:t xml:space="preserve">Simon Goldhill, </w:t>
      </w:r>
      <w:r w:rsidRPr="003454AD">
        <w:rPr>
          <w:rFonts w:cstheme="minorHAnsi"/>
          <w:i/>
          <w:iCs/>
          <w:lang w:val="en-US"/>
        </w:rPr>
        <w:t xml:space="preserve">Battle Narrative and Politics in Aeschylus’ </w:t>
      </w:r>
      <w:proofErr w:type="spellStart"/>
      <w:r w:rsidRPr="003454AD">
        <w:rPr>
          <w:rFonts w:cstheme="minorHAnsi"/>
          <w:i/>
          <w:iCs/>
          <w:lang w:val="en-US"/>
        </w:rPr>
        <w:t>Persae</w:t>
      </w:r>
      <w:proofErr w:type="spellEnd"/>
      <w:r w:rsidRPr="003454AD">
        <w:rPr>
          <w:rFonts w:cstheme="minorHAnsi"/>
          <w:lang w:val="en-US"/>
        </w:rPr>
        <w:t xml:space="preserve">, The Journal of Hellenistic Studies, 1988, Vol. 108 (1988), The Society for the Promotion of Hellenistic Studies, pp. 189-193. </w:t>
      </w:r>
    </w:p>
    <w:p w14:paraId="6044D0AA" w14:textId="77777777" w:rsidR="00E531E2" w:rsidRPr="00BB4936" w:rsidRDefault="00E531E2" w:rsidP="00AD0876">
      <w:pPr>
        <w:rPr>
          <w:lang w:val="en-US"/>
        </w:rPr>
      </w:pPr>
    </w:p>
    <w:sectPr w:rsidR="00E531E2" w:rsidRPr="00BB493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93570" w14:textId="77777777" w:rsidR="00905836" w:rsidRDefault="00905836" w:rsidP="00D513E8">
      <w:pPr>
        <w:spacing w:after="0" w:line="240" w:lineRule="auto"/>
      </w:pPr>
      <w:r>
        <w:separator/>
      </w:r>
    </w:p>
  </w:endnote>
  <w:endnote w:type="continuationSeparator" w:id="0">
    <w:p w14:paraId="7FEEF7C2" w14:textId="77777777" w:rsidR="00905836" w:rsidRDefault="00905836" w:rsidP="00D51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6B96E" w14:textId="77777777" w:rsidR="00905836" w:rsidRDefault="00905836" w:rsidP="00D513E8">
      <w:pPr>
        <w:spacing w:after="0" w:line="240" w:lineRule="auto"/>
      </w:pPr>
      <w:r>
        <w:separator/>
      </w:r>
    </w:p>
  </w:footnote>
  <w:footnote w:type="continuationSeparator" w:id="0">
    <w:p w14:paraId="1BFC7D7A" w14:textId="77777777" w:rsidR="00905836" w:rsidRDefault="00905836" w:rsidP="00D513E8">
      <w:pPr>
        <w:spacing w:after="0" w:line="240" w:lineRule="auto"/>
      </w:pPr>
      <w:r>
        <w:continuationSeparator/>
      </w:r>
    </w:p>
  </w:footnote>
  <w:footnote w:id="1">
    <w:p w14:paraId="5A68A725" w14:textId="45CD9DEB" w:rsidR="007065DD" w:rsidRPr="007065DD" w:rsidRDefault="007065DD">
      <w:pPr>
        <w:pStyle w:val="Testonotaapidipagina"/>
        <w:rPr>
          <w:lang w:val="en-US"/>
        </w:rPr>
      </w:pPr>
      <w:r>
        <w:rPr>
          <w:rStyle w:val="Rimandonotaapidipagina"/>
        </w:rPr>
        <w:footnoteRef/>
      </w:r>
      <w:r w:rsidRPr="007065DD">
        <w:rPr>
          <w:lang w:val="en-US"/>
        </w:rPr>
        <w:t xml:space="preserve"> According to </w:t>
      </w:r>
      <w:r>
        <w:rPr>
          <w:lang w:val="en-US"/>
        </w:rPr>
        <w:t>the</w:t>
      </w:r>
      <w:r w:rsidRPr="007065DD">
        <w:rPr>
          <w:lang w:val="en-US"/>
        </w:rPr>
        <w:t xml:space="preserve"> h</w:t>
      </w:r>
      <w:r>
        <w:rPr>
          <w:lang w:val="en-US"/>
        </w:rPr>
        <w:t xml:space="preserve">ypothesis reported by Edith Hall (1996) and found in </w:t>
      </w:r>
      <w:r w:rsidRPr="007065DD">
        <w:rPr>
          <w:i/>
          <w:iCs/>
          <w:lang w:val="en-US"/>
        </w:rPr>
        <w:t>Glaucus</w:t>
      </w:r>
      <w:r>
        <w:rPr>
          <w:lang w:val="en-US"/>
        </w:rPr>
        <w:t xml:space="preserve">, Aeschylus’ </w:t>
      </w:r>
      <w:r w:rsidRPr="007065DD">
        <w:rPr>
          <w:i/>
          <w:iCs/>
          <w:lang w:val="en-US"/>
        </w:rPr>
        <w:t>Persians</w:t>
      </w:r>
      <w:r>
        <w:rPr>
          <w:lang w:val="en-US"/>
        </w:rPr>
        <w:t xml:space="preserve"> might have </w:t>
      </w:r>
      <w:r w:rsidR="00AB2153">
        <w:rPr>
          <w:lang w:val="en-US"/>
        </w:rPr>
        <w:t xml:space="preserve">been modelled on the </w:t>
      </w:r>
      <w:r w:rsidR="00AB2153" w:rsidRPr="00AB2153">
        <w:rPr>
          <w:i/>
          <w:iCs/>
          <w:lang w:val="en-US"/>
        </w:rPr>
        <w:t>Phoenician Women</w:t>
      </w:r>
      <w:r w:rsidR="00AB2153">
        <w:rPr>
          <w:lang w:val="en-US"/>
        </w:rPr>
        <w:t xml:space="preserve"> of </w:t>
      </w:r>
      <w:r w:rsidR="00AB2153" w:rsidRPr="00AB2153">
        <w:rPr>
          <w:i/>
          <w:iCs/>
          <w:lang w:val="en-US"/>
        </w:rPr>
        <w:t>Phrynic</w:t>
      </w:r>
      <w:r w:rsidR="00AB2153">
        <w:rPr>
          <w:i/>
          <w:iCs/>
          <w:lang w:val="en-US"/>
        </w:rPr>
        <w:t>h</w:t>
      </w:r>
      <w:r w:rsidR="00AB2153" w:rsidRPr="00AB2153">
        <w:rPr>
          <w:i/>
          <w:iCs/>
          <w:lang w:val="en-US"/>
        </w:rPr>
        <w:t>us</w:t>
      </w:r>
      <w:r w:rsidR="00AB2153">
        <w:rPr>
          <w:lang w:val="en-US"/>
        </w:rPr>
        <w:t xml:space="preserve">. </w:t>
      </w:r>
    </w:p>
  </w:footnote>
  <w:footnote w:id="2">
    <w:p w14:paraId="0E2C8539" w14:textId="2A3051D9" w:rsidR="00CE6DC7" w:rsidRPr="00A51520" w:rsidRDefault="00CE6DC7">
      <w:pPr>
        <w:pStyle w:val="Testonotaapidipagina"/>
        <w:rPr>
          <w:lang w:val="en-US"/>
        </w:rPr>
      </w:pPr>
      <w:r>
        <w:rPr>
          <w:rStyle w:val="Rimandonotaapidipagina"/>
        </w:rPr>
        <w:footnoteRef/>
      </w:r>
      <w:r w:rsidRPr="00A51520">
        <w:rPr>
          <w:lang w:val="en-US"/>
        </w:rPr>
        <w:t xml:space="preserve"> </w:t>
      </w:r>
      <w:r w:rsidR="00565F8D" w:rsidRPr="00A51520">
        <w:rPr>
          <w:lang w:val="en-US"/>
        </w:rPr>
        <w:t>To get more detailed information about these plays, c</w:t>
      </w:r>
      <w:r w:rsidRPr="00A51520">
        <w:rPr>
          <w:lang w:val="en-US"/>
        </w:rPr>
        <w:t>f. Edith Hall 1996.</w:t>
      </w:r>
    </w:p>
  </w:footnote>
  <w:footnote w:id="3">
    <w:p w14:paraId="3869966E" w14:textId="18BC54A5" w:rsidR="00653EF3" w:rsidRPr="00016159" w:rsidRDefault="00653EF3">
      <w:pPr>
        <w:pStyle w:val="Testonotaapidipagina"/>
        <w:rPr>
          <w:lang w:val="en-US"/>
        </w:rPr>
      </w:pPr>
      <w:r>
        <w:rPr>
          <w:rStyle w:val="Rimandonotaapidipagina"/>
        </w:rPr>
        <w:footnoteRef/>
      </w:r>
      <w:r w:rsidRPr="00016159">
        <w:rPr>
          <w:lang w:val="en-US"/>
        </w:rPr>
        <w:t xml:space="preserve"> Papadodima 2013.</w:t>
      </w:r>
    </w:p>
  </w:footnote>
  <w:footnote w:id="4">
    <w:p w14:paraId="24CEF95E" w14:textId="6A9AB00F" w:rsidR="00D513E8" w:rsidRPr="00AB62BD" w:rsidRDefault="00D513E8">
      <w:pPr>
        <w:pStyle w:val="Testonotaapidipagina"/>
        <w:rPr>
          <w:lang w:val="en-US"/>
        </w:rPr>
      </w:pPr>
      <w:r>
        <w:rPr>
          <w:rStyle w:val="Rimandonotaapidipagina"/>
        </w:rPr>
        <w:footnoteRef/>
      </w:r>
      <w:r w:rsidRPr="00AB62BD">
        <w:rPr>
          <w:lang w:val="en-US"/>
        </w:rPr>
        <w:t xml:space="preserve"> Papadodima 2013. </w:t>
      </w:r>
    </w:p>
  </w:footnote>
  <w:footnote w:id="5">
    <w:p w14:paraId="287D317C" w14:textId="72AA87C6" w:rsidR="0077152C" w:rsidRPr="0077152C" w:rsidRDefault="0077152C">
      <w:pPr>
        <w:pStyle w:val="Testonotaapidipagina"/>
        <w:rPr>
          <w:lang w:val="en-US"/>
        </w:rPr>
      </w:pPr>
      <w:r>
        <w:rPr>
          <w:rStyle w:val="Rimandonotaapidipagina"/>
        </w:rPr>
        <w:footnoteRef/>
      </w:r>
      <w:r w:rsidRPr="0077152C">
        <w:rPr>
          <w:lang w:val="en-US"/>
        </w:rPr>
        <w:t xml:space="preserve"> </w:t>
      </w:r>
      <w:r>
        <w:rPr>
          <w:lang w:val="en-US"/>
        </w:rPr>
        <w:t xml:space="preserve">See the commentary of the play by Edith Hall. </w:t>
      </w:r>
    </w:p>
  </w:footnote>
  <w:footnote w:id="6">
    <w:p w14:paraId="66CA1FFD" w14:textId="579C5B5B" w:rsidR="00442079" w:rsidRPr="00442079" w:rsidRDefault="00442079">
      <w:pPr>
        <w:pStyle w:val="Testonotaapidipagina"/>
        <w:rPr>
          <w:lang w:val="en-US"/>
        </w:rPr>
      </w:pPr>
      <w:r>
        <w:rPr>
          <w:rStyle w:val="Rimandonotaapidipagina"/>
        </w:rPr>
        <w:footnoteRef/>
      </w:r>
      <w:r w:rsidRPr="00442079">
        <w:rPr>
          <w:lang w:val="en-US"/>
        </w:rPr>
        <w:t xml:space="preserve"> </w:t>
      </w:r>
      <w:r w:rsidRPr="00442079">
        <w:rPr>
          <w:i/>
          <w:iCs/>
          <w:lang w:val="en-US"/>
        </w:rPr>
        <w:t>Aeschylus</w:t>
      </w:r>
      <w:r w:rsidRPr="00442079">
        <w:rPr>
          <w:lang w:val="en-US"/>
        </w:rPr>
        <w:t xml:space="preserve"> attempts here </w:t>
      </w:r>
      <w:r>
        <w:rPr>
          <w:lang w:val="en-US"/>
        </w:rPr>
        <w:t>to lend true ethnographic color to his evocation of Persia, as the Greeks believed that the Persian kings named their close advisors by an Iranian term meaning “the faithful” (</w:t>
      </w:r>
      <w:proofErr w:type="spellStart"/>
      <w:r>
        <w:rPr>
          <w:lang w:val="en-US"/>
        </w:rPr>
        <w:t>Hdt</w:t>
      </w:r>
      <w:proofErr w:type="spellEnd"/>
      <w:r>
        <w:rPr>
          <w:lang w:val="en-US"/>
        </w:rPr>
        <w:t xml:space="preserve">. 1.108, Xen. </w:t>
      </w:r>
      <w:proofErr w:type="spellStart"/>
      <w:r w:rsidRPr="00442079">
        <w:rPr>
          <w:i/>
          <w:iCs/>
          <w:lang w:val="en-US"/>
        </w:rPr>
        <w:t>Anab</w:t>
      </w:r>
      <w:proofErr w:type="spellEnd"/>
      <w:r>
        <w:rPr>
          <w:lang w:val="en-US"/>
        </w:rPr>
        <w:t xml:space="preserve">. 1.5.15). </w:t>
      </w:r>
    </w:p>
  </w:footnote>
  <w:footnote w:id="7">
    <w:p w14:paraId="5F8D62FD" w14:textId="62676E44" w:rsidR="00E57004" w:rsidRPr="00E57004" w:rsidRDefault="00E57004">
      <w:pPr>
        <w:pStyle w:val="Testonotaapidipagina"/>
        <w:rPr>
          <w:lang w:val="en-US"/>
        </w:rPr>
      </w:pPr>
      <w:r>
        <w:rPr>
          <w:rStyle w:val="Rimandonotaapidipagina"/>
        </w:rPr>
        <w:footnoteRef/>
      </w:r>
      <w:r w:rsidRPr="00E57004">
        <w:rPr>
          <w:lang w:val="en-US"/>
        </w:rPr>
        <w:t xml:space="preserve"> </w:t>
      </w:r>
      <w:r>
        <w:rPr>
          <w:lang w:val="en-US"/>
        </w:rPr>
        <w:t xml:space="preserve">Aeschylus often uses, in this play, compound adjectives with </w:t>
      </w:r>
      <w:r w:rsidRPr="00E57004">
        <w:rPr>
          <w:i/>
          <w:iCs/>
          <w:lang w:val="en-US"/>
        </w:rPr>
        <w:t>habro</w:t>
      </w:r>
      <w:r>
        <w:rPr>
          <w:lang w:val="en-US"/>
        </w:rPr>
        <w:t xml:space="preserve">-. The earliest evidence of the use of the term </w:t>
      </w:r>
      <w:r>
        <w:rPr>
          <w:lang w:val="el-GR"/>
        </w:rPr>
        <w:t>αβρός</w:t>
      </w:r>
      <w:r w:rsidRPr="00E57004">
        <w:rPr>
          <w:lang w:val="en-US"/>
        </w:rPr>
        <w:t xml:space="preserve"> </w:t>
      </w:r>
      <w:r>
        <w:rPr>
          <w:lang w:val="en-US"/>
        </w:rPr>
        <w:t xml:space="preserve">is in references to the delicacy of young women (cf. Hesiod fr. 339 </w:t>
      </w:r>
      <w:r w:rsidRPr="00E57004">
        <w:rPr>
          <w:i/>
          <w:iCs/>
          <w:lang w:val="en-US"/>
        </w:rPr>
        <w:t>MW</w:t>
      </w:r>
      <w:r>
        <w:rPr>
          <w:lang w:val="en-US"/>
        </w:rPr>
        <w:t xml:space="preserve">), goddesses and young eastern gods, whereas when in reference to men is usually pejorative and suggests effeminacy. </w:t>
      </w:r>
    </w:p>
  </w:footnote>
  <w:footnote w:id="8">
    <w:p w14:paraId="38A60079" w14:textId="35D8B800" w:rsidR="006557B0" w:rsidRPr="006557B0" w:rsidRDefault="006557B0">
      <w:pPr>
        <w:pStyle w:val="Testonotaapidipagina"/>
        <w:rPr>
          <w:lang w:val="en-US"/>
        </w:rPr>
      </w:pPr>
      <w:r>
        <w:rPr>
          <w:rStyle w:val="Rimandonotaapidipagina"/>
        </w:rPr>
        <w:footnoteRef/>
      </w:r>
      <w:r w:rsidRPr="006557B0">
        <w:rPr>
          <w:lang w:val="en-US"/>
        </w:rPr>
        <w:t xml:space="preserve"> </w:t>
      </w:r>
      <w:r>
        <w:rPr>
          <w:lang w:val="en-US"/>
        </w:rPr>
        <w:t xml:space="preserve">She enters on a chariot. </w:t>
      </w:r>
    </w:p>
  </w:footnote>
  <w:footnote w:id="9">
    <w:p w14:paraId="33669574" w14:textId="419C3B16" w:rsidR="00A346CA" w:rsidRPr="00A346CA" w:rsidRDefault="00A346CA">
      <w:pPr>
        <w:pStyle w:val="Testonotaapidipagina"/>
        <w:rPr>
          <w:lang w:val="en-US"/>
        </w:rPr>
      </w:pPr>
      <w:r>
        <w:rPr>
          <w:rStyle w:val="Rimandonotaapidipagina"/>
        </w:rPr>
        <w:footnoteRef/>
      </w:r>
      <w:r w:rsidRPr="00A346CA">
        <w:rPr>
          <w:lang w:val="en-US"/>
        </w:rPr>
        <w:t xml:space="preserve"> </w:t>
      </w:r>
      <w:r>
        <w:rPr>
          <w:lang w:val="en-US"/>
        </w:rPr>
        <w:t xml:space="preserve">Dreams were thought to be one of the means through which the gods would deliver messages to and signs to men. </w:t>
      </w:r>
    </w:p>
  </w:footnote>
  <w:footnote w:id="10">
    <w:p w14:paraId="16059F2C" w14:textId="1155675B" w:rsidR="00A41DEA" w:rsidRPr="00A41DEA" w:rsidRDefault="00A41DEA">
      <w:pPr>
        <w:pStyle w:val="Testonotaapidipagina"/>
        <w:rPr>
          <w:lang w:val="en-US"/>
        </w:rPr>
      </w:pPr>
      <w:r>
        <w:rPr>
          <w:rStyle w:val="Rimandonotaapidipagina"/>
        </w:rPr>
        <w:footnoteRef/>
      </w:r>
      <w:r w:rsidRPr="00A41DEA">
        <w:rPr>
          <w:lang w:val="en-US"/>
        </w:rPr>
        <w:t xml:space="preserve"> </w:t>
      </w:r>
      <w:r>
        <w:rPr>
          <w:lang w:val="en-US"/>
        </w:rPr>
        <w:t>It refers to Persia and all her dominions. Notice how the Persian Queen calls her own people “barbarians</w:t>
      </w:r>
      <w:proofErr w:type="gramStart"/>
      <w:r>
        <w:rPr>
          <w:lang w:val="en-US"/>
        </w:rPr>
        <w:t>”</w:t>
      </w:r>
      <w:r w:rsidR="0014278F">
        <w:rPr>
          <w:lang w:val="en-US"/>
        </w:rPr>
        <w:t>, and</w:t>
      </w:r>
      <w:proofErr w:type="gramEnd"/>
      <w:r w:rsidR="0014278F">
        <w:rPr>
          <w:lang w:val="en-US"/>
        </w:rPr>
        <w:t xml:space="preserve"> sounds Greek doing so</w:t>
      </w:r>
      <w:r>
        <w:rPr>
          <w:lang w:val="en-US"/>
        </w:rPr>
        <w:t>.</w:t>
      </w:r>
    </w:p>
  </w:footnote>
  <w:footnote w:id="11">
    <w:p w14:paraId="002673C8" w14:textId="28666E52" w:rsidR="008F4F88" w:rsidRPr="008F4F88" w:rsidRDefault="008F4F88">
      <w:pPr>
        <w:pStyle w:val="Testonotaapidipagina"/>
        <w:rPr>
          <w:lang w:val="en-US"/>
        </w:rPr>
      </w:pPr>
      <w:r>
        <w:rPr>
          <w:rStyle w:val="Rimandonotaapidipagina"/>
        </w:rPr>
        <w:footnoteRef/>
      </w:r>
      <w:r w:rsidRPr="008F4F88">
        <w:rPr>
          <w:lang w:val="en-US"/>
        </w:rPr>
        <w:t xml:space="preserve"> </w:t>
      </w:r>
      <w:r>
        <w:rPr>
          <w:lang w:val="en-US"/>
        </w:rPr>
        <w:t xml:space="preserve">The word </w:t>
      </w:r>
      <w:r w:rsidRPr="008F4F88">
        <w:rPr>
          <w:i/>
          <w:iCs/>
          <w:lang w:val="el-GR"/>
        </w:rPr>
        <w:t>στάσις</w:t>
      </w:r>
      <w:r w:rsidRPr="008F4F88">
        <w:rPr>
          <w:lang w:val="en-US"/>
        </w:rPr>
        <w:t xml:space="preserve"> </w:t>
      </w:r>
      <w:r>
        <w:rPr>
          <w:lang w:val="en-US"/>
        </w:rPr>
        <w:t xml:space="preserve">is used, which carries the meaning of political strife. </w:t>
      </w:r>
    </w:p>
  </w:footnote>
  <w:footnote w:id="12">
    <w:p w14:paraId="0EBDBF48" w14:textId="6D773AA2" w:rsidR="007D5D24" w:rsidRPr="007D5D24" w:rsidRDefault="007D5D24">
      <w:pPr>
        <w:pStyle w:val="Testonotaapidipagina"/>
        <w:rPr>
          <w:lang w:val="en-US"/>
        </w:rPr>
      </w:pPr>
      <w:r>
        <w:rPr>
          <w:rStyle w:val="Rimandonotaapidipagina"/>
        </w:rPr>
        <w:footnoteRef/>
      </w:r>
      <w:r w:rsidRPr="007D5D24">
        <w:rPr>
          <w:lang w:val="en-US"/>
        </w:rPr>
        <w:t xml:space="preserve"> </w:t>
      </w:r>
      <w:r>
        <w:rPr>
          <w:lang w:val="en-US"/>
        </w:rPr>
        <w:t xml:space="preserve">This bird was believed by the Greeks to be </w:t>
      </w:r>
      <w:r w:rsidR="00972E01">
        <w:rPr>
          <w:lang w:val="en-US"/>
        </w:rPr>
        <w:t xml:space="preserve">the Persians emblem of royalty. It had a special meaning for the Greeks themselves as well, as it was associated with sovereignty, and in the </w:t>
      </w:r>
      <w:r w:rsidR="00972E01" w:rsidRPr="00972E01">
        <w:rPr>
          <w:i/>
          <w:iCs/>
          <w:lang w:val="en-US"/>
        </w:rPr>
        <w:t>Iliad</w:t>
      </w:r>
      <w:r w:rsidR="00972E01">
        <w:rPr>
          <w:lang w:val="en-US"/>
        </w:rPr>
        <w:t xml:space="preserve"> (24.310- 11) it is referred to as Zeus’ favorite bird, as it is “the strongest”. </w:t>
      </w:r>
    </w:p>
  </w:footnote>
  <w:footnote w:id="13">
    <w:p w14:paraId="7FFECBB5" w14:textId="709DEEE7" w:rsidR="004F242D" w:rsidRPr="004F242D" w:rsidRDefault="004F242D">
      <w:pPr>
        <w:pStyle w:val="Testonotaapidipagina"/>
        <w:rPr>
          <w:lang w:val="en-US"/>
        </w:rPr>
      </w:pPr>
      <w:r>
        <w:rPr>
          <w:rStyle w:val="Rimandonotaapidipagina"/>
        </w:rPr>
        <w:footnoteRef/>
      </w:r>
      <w:r w:rsidRPr="004F242D">
        <w:rPr>
          <w:lang w:val="en-US"/>
        </w:rPr>
        <w:t xml:space="preserve"> </w:t>
      </w:r>
      <w:r>
        <w:rPr>
          <w:lang w:val="en-US"/>
        </w:rPr>
        <w:t xml:space="preserve">This is supposed to be the weaker bird out of the two, and the fact that it defeats the stronger one underlines the play’s concentration on the numerical superiority of the Persian force.  </w:t>
      </w:r>
    </w:p>
  </w:footnote>
  <w:footnote w:id="14">
    <w:p w14:paraId="6280C6AF" w14:textId="0266F836" w:rsidR="00E627DC" w:rsidRPr="00E627DC" w:rsidRDefault="00E627DC">
      <w:pPr>
        <w:pStyle w:val="Testonotaapidipagina"/>
        <w:rPr>
          <w:lang w:val="en-US"/>
        </w:rPr>
      </w:pPr>
      <w:r>
        <w:rPr>
          <w:rStyle w:val="Rimandonotaapidipagina"/>
        </w:rPr>
        <w:footnoteRef/>
      </w:r>
      <w:r w:rsidRPr="00E627DC">
        <w:rPr>
          <w:lang w:val="en-US"/>
        </w:rPr>
        <w:t xml:space="preserve"> The name “Atossa” is not mentioned in the pla</w:t>
      </w:r>
      <w:r>
        <w:rPr>
          <w:lang w:val="en-US"/>
        </w:rPr>
        <w:t xml:space="preserve">y and was probably imported by ancient scholars from Herodotus or the scholia. See Edith Hall’s commentary. </w:t>
      </w:r>
    </w:p>
  </w:footnote>
  <w:footnote w:id="15">
    <w:p w14:paraId="4905F054" w14:textId="1E7F6663" w:rsidR="004F2D52" w:rsidRPr="00AB62BD" w:rsidRDefault="004F2D52">
      <w:pPr>
        <w:pStyle w:val="Testonotaapidipagina"/>
        <w:rPr>
          <w:lang w:val="en-US"/>
        </w:rPr>
      </w:pPr>
      <w:r>
        <w:rPr>
          <w:rStyle w:val="Rimandonotaapidipagina"/>
        </w:rPr>
        <w:footnoteRef/>
      </w:r>
      <w:r w:rsidRPr="00AB62BD">
        <w:rPr>
          <w:lang w:val="en-US"/>
        </w:rPr>
        <w:t xml:space="preserve"> </w:t>
      </w:r>
      <w:r w:rsidR="00F9594D">
        <w:rPr>
          <w:lang w:val="en-US"/>
        </w:rPr>
        <w:t>Aesch</w:t>
      </w:r>
      <w:r w:rsidRPr="00AB62BD">
        <w:rPr>
          <w:lang w:val="en-US"/>
        </w:rPr>
        <w:t>.</w:t>
      </w:r>
      <w:r w:rsidR="00F9594D">
        <w:rPr>
          <w:lang w:val="en-US"/>
        </w:rPr>
        <w:t xml:space="preserve"> </w:t>
      </w:r>
      <w:r w:rsidR="00F9594D" w:rsidRPr="00F9594D">
        <w:rPr>
          <w:i/>
          <w:iCs/>
          <w:lang w:val="en-US"/>
        </w:rPr>
        <w:t>Pers</w:t>
      </w:r>
      <w:r w:rsidR="00F9594D">
        <w:rPr>
          <w:lang w:val="en-US"/>
        </w:rPr>
        <w:t xml:space="preserve">. 240. Despite its focus on the naval battle of Salamis, the tragedy also gives some emphasis to the achievements of the hoplites, whose weapon </w:t>
      </w:r>
      <w:r w:rsidR="00F9594D" w:rsidRPr="00F9594D">
        <w:rPr>
          <w:i/>
          <w:iCs/>
          <w:lang w:val="en-US"/>
        </w:rPr>
        <w:t>par excellence</w:t>
      </w:r>
      <w:r w:rsidR="00F9594D">
        <w:rPr>
          <w:lang w:val="en-US"/>
        </w:rPr>
        <w:t xml:space="preserve"> is the spear.  </w:t>
      </w:r>
    </w:p>
  </w:footnote>
  <w:footnote w:id="16">
    <w:p w14:paraId="1720C6C9" w14:textId="13CF1A18" w:rsidR="00AA7CE6" w:rsidRPr="00AB62BD" w:rsidRDefault="00AA7CE6">
      <w:pPr>
        <w:pStyle w:val="Testonotaapidipagina"/>
        <w:rPr>
          <w:lang w:val="en-US"/>
        </w:rPr>
      </w:pPr>
      <w:r>
        <w:rPr>
          <w:rStyle w:val="Rimandonotaapidipagina"/>
        </w:rPr>
        <w:footnoteRef/>
      </w:r>
      <w:r w:rsidRPr="00AB62BD">
        <w:rPr>
          <w:lang w:val="en-US"/>
        </w:rPr>
        <w:t xml:space="preserve"> Goldhill 1988.</w:t>
      </w:r>
    </w:p>
  </w:footnote>
  <w:footnote w:id="17">
    <w:p w14:paraId="48A5FED5" w14:textId="14570E26" w:rsidR="007C7521" w:rsidRPr="00AB62BD" w:rsidRDefault="007C7521">
      <w:pPr>
        <w:pStyle w:val="Testonotaapidipagina"/>
        <w:rPr>
          <w:lang w:val="en-US"/>
        </w:rPr>
      </w:pPr>
      <w:r>
        <w:rPr>
          <w:rStyle w:val="Rimandonotaapidipagina"/>
        </w:rPr>
        <w:footnoteRef/>
      </w:r>
      <w:r w:rsidRPr="00AB62BD">
        <w:rPr>
          <w:lang w:val="en-US"/>
        </w:rPr>
        <w:t xml:space="preserve"> O’Driscoll 2015. </w:t>
      </w:r>
    </w:p>
  </w:footnote>
  <w:footnote w:id="18">
    <w:p w14:paraId="505AFC3B" w14:textId="7842A6B9" w:rsidR="00C23E72" w:rsidRPr="00C23E72" w:rsidRDefault="00C23E72">
      <w:pPr>
        <w:pStyle w:val="Testonotaapidipagina"/>
        <w:rPr>
          <w:lang w:val="en-US"/>
        </w:rPr>
      </w:pPr>
      <w:r>
        <w:rPr>
          <w:rStyle w:val="Rimandonotaapidipagina"/>
        </w:rPr>
        <w:footnoteRef/>
      </w:r>
      <w:r w:rsidRPr="00C23E72">
        <w:rPr>
          <w:lang w:val="en-US"/>
        </w:rPr>
        <w:t xml:space="preserve"> At v. 238 there is a reference to the silver mines at </w:t>
      </w:r>
      <w:proofErr w:type="spellStart"/>
      <w:r w:rsidRPr="00C23E72">
        <w:rPr>
          <w:lang w:val="en-US"/>
        </w:rPr>
        <w:t>Laureion</w:t>
      </w:r>
      <w:proofErr w:type="spellEnd"/>
      <w:r w:rsidRPr="00C23E72">
        <w:rPr>
          <w:lang w:val="en-US"/>
        </w:rPr>
        <w:t xml:space="preserve"> in Atti</w:t>
      </w:r>
      <w:r>
        <w:rPr>
          <w:lang w:val="en-US"/>
        </w:rPr>
        <w:t xml:space="preserve">ca, in contrast with the Persians’ gold (cf. v.3). </w:t>
      </w:r>
      <w:r w:rsidRPr="00C23E72">
        <w:rPr>
          <w:lang w:val="en-US"/>
        </w:rPr>
        <w:t xml:space="preserve"> </w:t>
      </w:r>
    </w:p>
  </w:footnote>
  <w:footnote w:id="19">
    <w:p w14:paraId="43C52395" w14:textId="21BA37C7" w:rsidR="00477E68" w:rsidRPr="00C23E72" w:rsidRDefault="00477E68">
      <w:pPr>
        <w:pStyle w:val="Testonotaapidipagina"/>
        <w:rPr>
          <w:lang w:val="en-US"/>
        </w:rPr>
      </w:pPr>
      <w:r>
        <w:rPr>
          <w:rStyle w:val="Rimandonotaapidipagina"/>
        </w:rPr>
        <w:footnoteRef/>
      </w:r>
      <w:r w:rsidRPr="00C23E72">
        <w:rPr>
          <w:lang w:val="en-US"/>
        </w:rPr>
        <w:t xml:space="preserve"> Goldhill 1988.</w:t>
      </w:r>
    </w:p>
  </w:footnote>
  <w:footnote w:id="20">
    <w:p w14:paraId="7975AC03" w14:textId="617100AB" w:rsidR="00BD7F3A" w:rsidRPr="00BD7F3A" w:rsidRDefault="00BD7F3A">
      <w:pPr>
        <w:pStyle w:val="Testonotaapidipagina"/>
        <w:rPr>
          <w:lang w:val="en-US"/>
        </w:rPr>
      </w:pPr>
      <w:r>
        <w:rPr>
          <w:rStyle w:val="Rimandonotaapidipagina"/>
        </w:rPr>
        <w:footnoteRef/>
      </w:r>
      <w:r w:rsidRPr="00BD7F3A">
        <w:rPr>
          <w:lang w:val="en-US"/>
        </w:rPr>
        <w:t xml:space="preserve"> </w:t>
      </w:r>
      <w:proofErr w:type="gramStart"/>
      <w:r w:rsidRPr="00BD7F3A">
        <w:rPr>
          <w:lang w:val="en-US"/>
        </w:rPr>
        <w:t>E.g.</w:t>
      </w:r>
      <w:proofErr w:type="gramEnd"/>
      <w:r w:rsidRPr="00BD7F3A">
        <w:rPr>
          <w:lang w:val="en-US"/>
        </w:rPr>
        <w:t xml:space="preserve"> he reports the s</w:t>
      </w:r>
      <w:r>
        <w:rPr>
          <w:lang w:val="en-US"/>
        </w:rPr>
        <w:t xml:space="preserve">peeches made by individuals of both sides (357-60, 364.71), he describes the noises that could be heard that day in the fighting, such as the trumpets or the battle-cries and the screams of the dying (395, 402-5, 426-7). </w:t>
      </w:r>
    </w:p>
  </w:footnote>
  <w:footnote w:id="21">
    <w:p w14:paraId="06177ACA" w14:textId="182DC914" w:rsidR="00C76B1E" w:rsidRDefault="00C76B1E">
      <w:pPr>
        <w:pStyle w:val="Testonotaapidipagina"/>
      </w:pPr>
      <w:r>
        <w:rPr>
          <w:rStyle w:val="Rimandonotaapidipagina"/>
        </w:rPr>
        <w:footnoteRef/>
      </w:r>
      <w:r>
        <w:t xml:space="preserve"> See Ebbott 2000. </w:t>
      </w:r>
    </w:p>
  </w:footnote>
  <w:footnote w:id="22">
    <w:p w14:paraId="248E3B55" w14:textId="63DD6088" w:rsidR="00CE6A5F" w:rsidRDefault="00CE6A5F">
      <w:pPr>
        <w:pStyle w:val="Testonotaapidipagina"/>
      </w:pPr>
      <w:r>
        <w:rPr>
          <w:rStyle w:val="Rimandonotaapidipagina"/>
        </w:rPr>
        <w:footnoteRef/>
      </w:r>
      <w:r>
        <w:t xml:space="preserve"> Ebbott 2000. </w:t>
      </w:r>
    </w:p>
  </w:footnote>
  <w:footnote w:id="23">
    <w:p w14:paraId="363927B3" w14:textId="04D025E8" w:rsidR="00723288" w:rsidRPr="00723288" w:rsidRDefault="00723288">
      <w:pPr>
        <w:pStyle w:val="Testonotaapidipagina"/>
        <w:rPr>
          <w:lang w:val="en-US"/>
        </w:rPr>
      </w:pPr>
      <w:r>
        <w:rPr>
          <w:rStyle w:val="Rimandonotaapidipagina"/>
        </w:rPr>
        <w:footnoteRef/>
      </w:r>
      <w:r w:rsidRPr="00723288">
        <w:rPr>
          <w:lang w:val="en-US"/>
        </w:rPr>
        <w:t xml:space="preserve"> No Greek individual is ever g</w:t>
      </w:r>
      <w:r>
        <w:rPr>
          <w:lang w:val="en-US"/>
        </w:rPr>
        <w:t xml:space="preserve">iven a name in the </w:t>
      </w:r>
      <w:r w:rsidRPr="00723288">
        <w:rPr>
          <w:i/>
          <w:iCs/>
          <w:lang w:val="en-US"/>
        </w:rPr>
        <w:t>Persians</w:t>
      </w:r>
      <w:r>
        <w:rPr>
          <w:lang w:val="en-US"/>
        </w:rPr>
        <w:t xml:space="preserve">. </w:t>
      </w:r>
    </w:p>
  </w:footnote>
  <w:footnote w:id="24">
    <w:p w14:paraId="4FE9A83E" w14:textId="6E5275BA" w:rsidR="00D363F2" w:rsidRDefault="00D363F2">
      <w:pPr>
        <w:pStyle w:val="Testonotaapidipagina"/>
      </w:pPr>
      <w:r>
        <w:rPr>
          <w:rStyle w:val="Rimandonotaapidipagina"/>
        </w:rPr>
        <w:footnoteRef/>
      </w:r>
      <w:r>
        <w:t xml:space="preserve"> See O’Driscoll 2015. </w:t>
      </w:r>
    </w:p>
  </w:footnote>
  <w:footnote w:id="25">
    <w:p w14:paraId="29EE5443" w14:textId="62D45DFB" w:rsidR="003B1A1A" w:rsidRPr="003B1A1A" w:rsidRDefault="003B1A1A">
      <w:pPr>
        <w:pStyle w:val="Testonotaapidipagina"/>
        <w:rPr>
          <w:lang w:val="en-US"/>
        </w:rPr>
      </w:pPr>
      <w:r>
        <w:rPr>
          <w:rStyle w:val="Rimandonotaapidipagina"/>
        </w:rPr>
        <w:footnoteRef/>
      </w:r>
      <w:r w:rsidRPr="003B1A1A">
        <w:rPr>
          <w:lang w:val="en-US"/>
        </w:rPr>
        <w:t xml:space="preserve"> See </w:t>
      </w:r>
      <w:proofErr w:type="gramStart"/>
      <w:r w:rsidRPr="003B1A1A">
        <w:rPr>
          <w:lang w:val="en-US"/>
        </w:rPr>
        <w:t>e.g.</w:t>
      </w:r>
      <w:proofErr w:type="gramEnd"/>
      <w:r w:rsidRPr="003B1A1A">
        <w:rPr>
          <w:lang w:val="en-US"/>
        </w:rPr>
        <w:t xml:space="preserve"> th</w:t>
      </w:r>
      <w:r>
        <w:rPr>
          <w:lang w:val="en-US"/>
        </w:rPr>
        <w:t xml:space="preserve">e episode reported by </w:t>
      </w:r>
      <w:r w:rsidRPr="003B1A1A">
        <w:rPr>
          <w:i/>
          <w:iCs/>
          <w:lang w:val="en-US"/>
        </w:rPr>
        <w:t>Thucydides</w:t>
      </w:r>
      <w:r>
        <w:rPr>
          <w:lang w:val="en-US"/>
        </w:rPr>
        <w:t xml:space="preserve"> (287) where Brasidas condemns trickery. </w:t>
      </w:r>
    </w:p>
  </w:footnote>
  <w:footnote w:id="26">
    <w:p w14:paraId="1C997A9A" w14:textId="7ADC5363" w:rsidR="00D363F2" w:rsidRPr="003B1A1A" w:rsidRDefault="00D363F2">
      <w:pPr>
        <w:pStyle w:val="Testonotaapidipagina"/>
        <w:rPr>
          <w:lang w:val="en-US"/>
        </w:rPr>
      </w:pPr>
      <w:r>
        <w:rPr>
          <w:rStyle w:val="Rimandonotaapidipagina"/>
        </w:rPr>
        <w:footnoteRef/>
      </w:r>
      <w:r w:rsidRPr="003B1A1A">
        <w:rPr>
          <w:lang w:val="en-US"/>
        </w:rPr>
        <w:t xml:space="preserve"> </w:t>
      </w:r>
      <w:proofErr w:type="spellStart"/>
      <w:r w:rsidRPr="003B1A1A">
        <w:rPr>
          <w:i/>
          <w:iCs/>
          <w:lang w:val="en-US"/>
        </w:rPr>
        <w:t>Hdt</w:t>
      </w:r>
      <w:proofErr w:type="spellEnd"/>
      <w:r w:rsidRPr="003B1A1A">
        <w:rPr>
          <w:lang w:val="en-US"/>
        </w:rPr>
        <w:t xml:space="preserve">. 512. </w:t>
      </w:r>
    </w:p>
  </w:footnote>
  <w:footnote w:id="27">
    <w:p w14:paraId="63EF96E8" w14:textId="52748B4B" w:rsidR="00BB73B9" w:rsidRPr="00BB73B9" w:rsidRDefault="00BB73B9">
      <w:pPr>
        <w:pStyle w:val="Testonotaapidipagina"/>
        <w:rPr>
          <w:lang w:val="en-US"/>
        </w:rPr>
      </w:pPr>
      <w:r>
        <w:rPr>
          <w:rStyle w:val="Rimandonotaapidipagina"/>
        </w:rPr>
        <w:footnoteRef/>
      </w:r>
      <w:r w:rsidRPr="00BB73B9">
        <w:rPr>
          <w:lang w:val="en-US"/>
        </w:rPr>
        <w:t xml:space="preserve"> </w:t>
      </w:r>
      <w:r w:rsidRPr="00BB73B9">
        <w:rPr>
          <w:i/>
          <w:iCs/>
          <w:lang w:val="en-US"/>
        </w:rPr>
        <w:t>Euripides</w:t>
      </w:r>
      <w:r w:rsidRPr="00BB73B9">
        <w:rPr>
          <w:lang w:val="en-US"/>
        </w:rPr>
        <w:t xml:space="preserve"> will also use a g</w:t>
      </w:r>
      <w:r>
        <w:rPr>
          <w:lang w:val="en-US"/>
        </w:rPr>
        <w:t xml:space="preserve">host character in his </w:t>
      </w:r>
      <w:r w:rsidRPr="00BB73B9">
        <w:rPr>
          <w:i/>
          <w:iCs/>
          <w:lang w:val="en-US"/>
        </w:rPr>
        <w:t>Hecuba</w:t>
      </w:r>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23E2"/>
    <w:multiLevelType w:val="hybridMultilevel"/>
    <w:tmpl w:val="8CCC06B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6D3F8B"/>
    <w:multiLevelType w:val="hybridMultilevel"/>
    <w:tmpl w:val="C94262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6F763F60"/>
    <w:multiLevelType w:val="hybridMultilevel"/>
    <w:tmpl w:val="24C4C0AE"/>
    <w:lvl w:ilvl="0" w:tplc="A7281B64">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65918547">
    <w:abstractNumId w:val="2"/>
  </w:num>
  <w:num w:numId="2" w16cid:durableId="372268733">
    <w:abstractNumId w:val="1"/>
  </w:num>
  <w:num w:numId="3" w16cid:durableId="923538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793"/>
    <w:rsid w:val="00004535"/>
    <w:rsid w:val="00006C26"/>
    <w:rsid w:val="00016159"/>
    <w:rsid w:val="00034754"/>
    <w:rsid w:val="00044D29"/>
    <w:rsid w:val="000602CE"/>
    <w:rsid w:val="0009343E"/>
    <w:rsid w:val="00103869"/>
    <w:rsid w:val="00134AB9"/>
    <w:rsid w:val="0014278F"/>
    <w:rsid w:val="00177A6E"/>
    <w:rsid w:val="001931AA"/>
    <w:rsid w:val="00197B3A"/>
    <w:rsid w:val="001B1470"/>
    <w:rsid w:val="001D197D"/>
    <w:rsid w:val="001D4424"/>
    <w:rsid w:val="001D50D3"/>
    <w:rsid w:val="001E3228"/>
    <w:rsid w:val="00206813"/>
    <w:rsid w:val="00212112"/>
    <w:rsid w:val="002201A8"/>
    <w:rsid w:val="0025376C"/>
    <w:rsid w:val="002541D6"/>
    <w:rsid w:val="00296DCF"/>
    <w:rsid w:val="002C2793"/>
    <w:rsid w:val="002E0D6C"/>
    <w:rsid w:val="00303B45"/>
    <w:rsid w:val="00314429"/>
    <w:rsid w:val="00332D46"/>
    <w:rsid w:val="00355FDC"/>
    <w:rsid w:val="00356D6E"/>
    <w:rsid w:val="00376E64"/>
    <w:rsid w:val="0039241C"/>
    <w:rsid w:val="003B1A1A"/>
    <w:rsid w:val="003E72A8"/>
    <w:rsid w:val="00401871"/>
    <w:rsid w:val="00413BA5"/>
    <w:rsid w:val="00432DF9"/>
    <w:rsid w:val="00442079"/>
    <w:rsid w:val="00446735"/>
    <w:rsid w:val="00477E68"/>
    <w:rsid w:val="00490336"/>
    <w:rsid w:val="004A06EE"/>
    <w:rsid w:val="004A252F"/>
    <w:rsid w:val="004A6330"/>
    <w:rsid w:val="004F242D"/>
    <w:rsid w:val="004F2D52"/>
    <w:rsid w:val="00522083"/>
    <w:rsid w:val="00551FCF"/>
    <w:rsid w:val="00556AFC"/>
    <w:rsid w:val="0056337E"/>
    <w:rsid w:val="00565F8D"/>
    <w:rsid w:val="00582E10"/>
    <w:rsid w:val="0058535D"/>
    <w:rsid w:val="0060779C"/>
    <w:rsid w:val="00653EF3"/>
    <w:rsid w:val="006557B0"/>
    <w:rsid w:val="0066320B"/>
    <w:rsid w:val="00670D5B"/>
    <w:rsid w:val="00697AC2"/>
    <w:rsid w:val="006B0590"/>
    <w:rsid w:val="006D1F19"/>
    <w:rsid w:val="007065DD"/>
    <w:rsid w:val="00715D90"/>
    <w:rsid w:val="00723288"/>
    <w:rsid w:val="00767567"/>
    <w:rsid w:val="0077152C"/>
    <w:rsid w:val="007743A1"/>
    <w:rsid w:val="007B0B79"/>
    <w:rsid w:val="007C5C24"/>
    <w:rsid w:val="007C7521"/>
    <w:rsid w:val="007D5D24"/>
    <w:rsid w:val="007E3BFE"/>
    <w:rsid w:val="007E4CB9"/>
    <w:rsid w:val="00806738"/>
    <w:rsid w:val="00833A99"/>
    <w:rsid w:val="00863BED"/>
    <w:rsid w:val="00876DFF"/>
    <w:rsid w:val="008845A8"/>
    <w:rsid w:val="008B13B3"/>
    <w:rsid w:val="008B7936"/>
    <w:rsid w:val="008F1965"/>
    <w:rsid w:val="008F4590"/>
    <w:rsid w:val="008F4F88"/>
    <w:rsid w:val="00905836"/>
    <w:rsid w:val="00936557"/>
    <w:rsid w:val="009377DD"/>
    <w:rsid w:val="00972E01"/>
    <w:rsid w:val="009911E3"/>
    <w:rsid w:val="009A221D"/>
    <w:rsid w:val="00A061D9"/>
    <w:rsid w:val="00A115CB"/>
    <w:rsid w:val="00A16821"/>
    <w:rsid w:val="00A346CA"/>
    <w:rsid w:val="00A41DEA"/>
    <w:rsid w:val="00A466BC"/>
    <w:rsid w:val="00A51520"/>
    <w:rsid w:val="00A80E4B"/>
    <w:rsid w:val="00A868D7"/>
    <w:rsid w:val="00AA5A1A"/>
    <w:rsid w:val="00AA7CE6"/>
    <w:rsid w:val="00AB2153"/>
    <w:rsid w:val="00AB4FEE"/>
    <w:rsid w:val="00AB62BD"/>
    <w:rsid w:val="00AB769E"/>
    <w:rsid w:val="00AC116E"/>
    <w:rsid w:val="00AD0876"/>
    <w:rsid w:val="00AD7681"/>
    <w:rsid w:val="00B1279C"/>
    <w:rsid w:val="00B307BD"/>
    <w:rsid w:val="00B37069"/>
    <w:rsid w:val="00B46076"/>
    <w:rsid w:val="00B51D6C"/>
    <w:rsid w:val="00B74EEE"/>
    <w:rsid w:val="00BB4936"/>
    <w:rsid w:val="00BB73B9"/>
    <w:rsid w:val="00BC518D"/>
    <w:rsid w:val="00BC526A"/>
    <w:rsid w:val="00BD7F3A"/>
    <w:rsid w:val="00BF1B93"/>
    <w:rsid w:val="00C0706E"/>
    <w:rsid w:val="00C131D4"/>
    <w:rsid w:val="00C22965"/>
    <w:rsid w:val="00C23E72"/>
    <w:rsid w:val="00C4550C"/>
    <w:rsid w:val="00C76B1E"/>
    <w:rsid w:val="00C85253"/>
    <w:rsid w:val="00C91D24"/>
    <w:rsid w:val="00CB2B59"/>
    <w:rsid w:val="00CE07CE"/>
    <w:rsid w:val="00CE0988"/>
    <w:rsid w:val="00CE6A5F"/>
    <w:rsid w:val="00CE6DC7"/>
    <w:rsid w:val="00CF4A82"/>
    <w:rsid w:val="00CF61C8"/>
    <w:rsid w:val="00D00EC8"/>
    <w:rsid w:val="00D31F6B"/>
    <w:rsid w:val="00D363F2"/>
    <w:rsid w:val="00D513E8"/>
    <w:rsid w:val="00D7013E"/>
    <w:rsid w:val="00DE6DA5"/>
    <w:rsid w:val="00E03E8F"/>
    <w:rsid w:val="00E27096"/>
    <w:rsid w:val="00E40CD4"/>
    <w:rsid w:val="00E52A20"/>
    <w:rsid w:val="00E531E2"/>
    <w:rsid w:val="00E56283"/>
    <w:rsid w:val="00E57004"/>
    <w:rsid w:val="00E627DC"/>
    <w:rsid w:val="00E922CD"/>
    <w:rsid w:val="00EB74EA"/>
    <w:rsid w:val="00EC0849"/>
    <w:rsid w:val="00EF51B0"/>
    <w:rsid w:val="00F03F50"/>
    <w:rsid w:val="00F25462"/>
    <w:rsid w:val="00F517E5"/>
    <w:rsid w:val="00F66B62"/>
    <w:rsid w:val="00F9594D"/>
    <w:rsid w:val="00FD78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F611"/>
  <w15:chartTrackingRefBased/>
  <w15:docId w15:val="{EA7C53D3-6F3D-4986-9F87-5807E0FF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D087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D0876"/>
    <w:pPr>
      <w:ind w:left="720"/>
      <w:contextualSpacing/>
    </w:pPr>
  </w:style>
  <w:style w:type="character" w:customStyle="1" w:styleId="era">
    <w:name w:val="era"/>
    <w:basedOn w:val="Carpredefinitoparagrafo"/>
    <w:rsid w:val="009377DD"/>
  </w:style>
  <w:style w:type="paragraph" w:styleId="Testonotaapidipagina">
    <w:name w:val="footnote text"/>
    <w:basedOn w:val="Normale"/>
    <w:link w:val="TestonotaapidipaginaCarattere"/>
    <w:uiPriority w:val="99"/>
    <w:semiHidden/>
    <w:unhideWhenUsed/>
    <w:rsid w:val="00D513E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513E8"/>
    <w:rPr>
      <w:sz w:val="20"/>
      <w:szCs w:val="20"/>
    </w:rPr>
  </w:style>
  <w:style w:type="character" w:styleId="Rimandonotaapidipagina">
    <w:name w:val="footnote reference"/>
    <w:basedOn w:val="Carpredefinitoparagrafo"/>
    <w:uiPriority w:val="99"/>
    <w:semiHidden/>
    <w:unhideWhenUsed/>
    <w:rsid w:val="00D513E8"/>
    <w:rPr>
      <w:vertAlign w:val="superscript"/>
    </w:rPr>
  </w:style>
  <w:style w:type="character" w:customStyle="1" w:styleId="bibliographicauthorname">
    <w:name w:val="bibliographicauthorname"/>
    <w:basedOn w:val="Carpredefinitoparagrafo"/>
    <w:rsid w:val="00E531E2"/>
  </w:style>
  <w:style w:type="character" w:customStyle="1" w:styleId="editorandtranslators">
    <w:name w:val="editorandtranslators"/>
    <w:basedOn w:val="Carpredefinitoparagrafo"/>
    <w:rsid w:val="00E531E2"/>
  </w:style>
  <w:style w:type="character" w:customStyle="1" w:styleId="contributorname">
    <w:name w:val="contributorname"/>
    <w:basedOn w:val="Carpredefinitoparagrafo"/>
    <w:rsid w:val="00E53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E09B4-EF85-4EB0-9580-695C882AD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5</Pages>
  <Words>2429</Words>
  <Characters>13849</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Bonfatti Sabbioni - lavinia.bonfatti@studio.unibo.it</dc:creator>
  <cp:keywords/>
  <dc:description/>
  <cp:lastModifiedBy>Lavinia Bonfatti Sabbioni - lavinia.bonfatti@studio.unibo.it</cp:lastModifiedBy>
  <cp:revision>125</cp:revision>
  <dcterms:created xsi:type="dcterms:W3CDTF">2023-03-15T16:49:00Z</dcterms:created>
  <dcterms:modified xsi:type="dcterms:W3CDTF">2023-03-24T23:23:00Z</dcterms:modified>
</cp:coreProperties>
</file>