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307F" w:rsidRPr="00691633" w:rsidRDefault="0058111D" w:rsidP="00566BF1">
      <w:pPr>
        <w:pStyle w:val="NormalWeb"/>
      </w:pPr>
      <w:bookmarkStart w:id="0" w:name="_GoBack"/>
      <w:bookmarkEnd w:id="0"/>
      <w:r w:rsidRPr="00691633">
        <w:t xml:space="preserve">In this essay I am going to examine how </w:t>
      </w:r>
      <w:r w:rsidR="00C44576" w:rsidRPr="00691633">
        <w:t>Russell argues</w:t>
      </w:r>
      <w:r w:rsidRPr="00691633">
        <w:t>,</w:t>
      </w:r>
      <w:r w:rsidR="00C44576" w:rsidRPr="00691633">
        <w:t xml:space="preserve"> </w:t>
      </w:r>
      <w:r w:rsidR="00D31600" w:rsidRPr="00691633">
        <w:t xml:space="preserve">in </w:t>
      </w:r>
      <w:r w:rsidR="006D7AD2" w:rsidRPr="00691633">
        <w:rPr>
          <w:i/>
        </w:rPr>
        <w:t>Problems of Philosophy,</w:t>
      </w:r>
      <w:r w:rsidR="00AF41D3" w:rsidRPr="00691633">
        <w:t xml:space="preserve"> </w:t>
      </w:r>
      <w:r w:rsidR="00797CB7" w:rsidRPr="00691633">
        <w:t>Ch.</w:t>
      </w:r>
      <w:r w:rsidR="00D31600" w:rsidRPr="00691633">
        <w:t xml:space="preserve"> 2,</w:t>
      </w:r>
      <w:r w:rsidR="006D7AD2" w:rsidRPr="00691633">
        <w:t xml:space="preserve"> </w:t>
      </w:r>
      <w:r w:rsidR="00C44576" w:rsidRPr="00691633">
        <w:t>that it is rational to believe that our sense data are really signs of the existence</w:t>
      </w:r>
      <w:r w:rsidR="006D7AD2" w:rsidRPr="00691633">
        <w:t xml:space="preserve"> of something independent of us</w:t>
      </w:r>
      <w:r w:rsidR="00C44576" w:rsidRPr="00691633">
        <w:t xml:space="preserve"> and our perceptions.</w:t>
      </w:r>
      <w:r w:rsidR="00DC739C" w:rsidRPr="00691633">
        <w:t xml:space="preserve"> I am going to look at what his standards are for a belief to be rational, what his reasons are for making belief in an external world rational. And I will </w:t>
      </w:r>
      <w:r w:rsidR="008E6C2A" w:rsidRPr="00691633">
        <w:t xml:space="preserve">also </w:t>
      </w:r>
      <w:r w:rsidR="00DC739C" w:rsidRPr="00691633">
        <w:t>look at the contributions of ot</w:t>
      </w:r>
      <w:r w:rsidR="00ED77F7" w:rsidRPr="00691633">
        <w:t>her philosophers are towards our</w:t>
      </w:r>
      <w:r w:rsidR="00DC739C" w:rsidRPr="00691633">
        <w:t xml:space="preserve"> understanding of scepticism and how to deal with it.</w:t>
      </w:r>
    </w:p>
    <w:p w:rsidR="009871AF" w:rsidRPr="00691633" w:rsidRDefault="009871AF" w:rsidP="00566BF1">
      <w:pPr>
        <w:pStyle w:val="NormalWeb"/>
      </w:pPr>
      <w:r w:rsidRPr="00691633">
        <w:t>Russell begins by saying that “it is our particular thoughts and feelings that have primitive certainty”</w:t>
      </w:r>
      <w:r w:rsidR="00D31600" w:rsidRPr="00691633">
        <w:rPr>
          <w:rStyle w:val="FootnoteReference"/>
        </w:rPr>
        <w:footnoteReference w:id="1"/>
      </w:r>
      <w:r w:rsidRPr="00691633">
        <w:t xml:space="preserve"> and that is on this solid base that we can look for “any reasons for regarding them as signs of the existence of something else”</w:t>
      </w:r>
      <w:r w:rsidR="00D31600" w:rsidRPr="00691633">
        <w:rPr>
          <w:rStyle w:val="FootnoteReference"/>
        </w:rPr>
        <w:footnoteReference w:id="2"/>
      </w:r>
      <w:r w:rsidRPr="00691633">
        <w:t>.</w:t>
      </w:r>
      <w:r w:rsidR="0044307F" w:rsidRPr="00691633">
        <w:t xml:space="preserve"> </w:t>
      </w:r>
      <w:r w:rsidRPr="00691633">
        <w:t>Similarity is the first reason that Russell gives for believing in an external world. When different people look out into the world they describe similar ex</w:t>
      </w:r>
      <w:r w:rsidR="00BE174F" w:rsidRPr="00691633">
        <w:t>periences of particular objects. Whilst there may be variations</w:t>
      </w:r>
      <w:r w:rsidR="00AB0715" w:rsidRPr="00691633">
        <w:t xml:space="preserve"> in the reported experience</w:t>
      </w:r>
      <w:r w:rsidR="00BE174F" w:rsidRPr="00691633">
        <w:t>,</w:t>
      </w:r>
      <w:r w:rsidRPr="00691633">
        <w:t xml:space="preserve"> these variations follow the laws of perspective and reflection of light. And </w:t>
      </w:r>
      <w:r w:rsidR="00797CB7" w:rsidRPr="00691633">
        <w:t>so,</w:t>
      </w:r>
      <w:r w:rsidRPr="00691633">
        <w:t xml:space="preserve"> we can conclude that these descriptions </w:t>
      </w:r>
      <w:r w:rsidR="00797CB7" w:rsidRPr="00691633">
        <w:t>relate</w:t>
      </w:r>
      <w:r w:rsidRPr="00691633">
        <w:t xml:space="preserve"> to “permanent public objects”</w:t>
      </w:r>
      <w:r w:rsidR="00D31600" w:rsidRPr="00691633">
        <w:rPr>
          <w:rStyle w:val="FootnoteReference"/>
        </w:rPr>
        <w:footnoteReference w:id="3"/>
      </w:r>
      <w:r w:rsidR="007A3793" w:rsidRPr="00691633">
        <w:t>.</w:t>
      </w:r>
    </w:p>
    <w:p w:rsidR="00713B64" w:rsidRPr="006B2659" w:rsidRDefault="007A3793" w:rsidP="00566BF1">
      <w:pPr>
        <w:pStyle w:val="NormalWeb"/>
      </w:pPr>
      <w:r w:rsidRPr="00691633">
        <w:t>Russell then questions that conclusion by pointing</w:t>
      </w:r>
      <w:r w:rsidR="009871AF" w:rsidRPr="00691633">
        <w:t xml:space="preserve"> out</w:t>
      </w:r>
      <w:r w:rsidR="00D36DED" w:rsidRPr="00691633">
        <w:t xml:space="preserve"> that to depend upon the testimony of other people is to “beg the very question at issue.”</w:t>
      </w:r>
      <w:r w:rsidR="00BE174F" w:rsidRPr="006B2659">
        <w:rPr>
          <w:rStyle w:val="FootnoteReference"/>
        </w:rPr>
        <w:footnoteReference w:id="4"/>
      </w:r>
      <w:r w:rsidR="00D36DED" w:rsidRPr="006B2659">
        <w:t xml:space="preserve"> I have to believe in the existence of independent </w:t>
      </w:r>
      <w:r w:rsidRPr="006B2659">
        <w:t xml:space="preserve">external </w:t>
      </w:r>
      <w:r w:rsidR="00D36DED" w:rsidRPr="006B2659">
        <w:t xml:space="preserve">entities before I can accept </w:t>
      </w:r>
      <w:r w:rsidR="00797CB7" w:rsidRPr="006B2659">
        <w:t>their</w:t>
      </w:r>
      <w:r w:rsidR="00D36DED" w:rsidRPr="006B2659">
        <w:t xml:space="preserve"> testimony as proof of independent objects. To counter the argument that my perceptions could all be part of a big dream Russell says that “we must therefore, if possible, find, in our own purely private experiences, characteristics which show, or tend to show, that there are in the world things other than ourselves and our private experiences.”</w:t>
      </w:r>
      <w:r w:rsidR="00BE174F" w:rsidRPr="006B2659">
        <w:rPr>
          <w:rStyle w:val="FootnoteReference"/>
        </w:rPr>
        <w:footnoteReference w:id="5"/>
      </w:r>
      <w:r w:rsidR="00AB0715" w:rsidRPr="006B2659">
        <w:t xml:space="preserve"> The use of the words </w:t>
      </w:r>
      <w:r w:rsidRPr="006B2659">
        <w:t>“</w:t>
      </w:r>
      <w:r w:rsidR="00AB0715" w:rsidRPr="006B2659">
        <w:t>characteristics which</w:t>
      </w:r>
      <w:r w:rsidRPr="006B2659">
        <w:t>….</w:t>
      </w:r>
      <w:r w:rsidR="00AB0715" w:rsidRPr="006B2659">
        <w:t>tend to show</w:t>
      </w:r>
      <w:r w:rsidRPr="006B2659">
        <w:t>”</w:t>
      </w:r>
      <w:r w:rsidR="004C7B9D" w:rsidRPr="006B2659">
        <w:t xml:space="preserve"> gives us an insight into the standard </w:t>
      </w:r>
      <w:r w:rsidRPr="006B2659">
        <w:t>Russell is setting for rational belief</w:t>
      </w:r>
      <w:r w:rsidR="004C7B9D" w:rsidRPr="006B2659">
        <w:t xml:space="preserve"> in this area.</w:t>
      </w:r>
      <w:r w:rsidRPr="006B2659">
        <w:t xml:space="preserve"> A tendency to show something is not the kind of answer that the demanding extreme </w:t>
      </w:r>
      <w:r w:rsidR="002D5AB8" w:rsidRPr="006B2659">
        <w:t>sceptic</w:t>
      </w:r>
      <w:r w:rsidRPr="006B2659">
        <w:t xml:space="preserve"> inside myself may be asking for</w:t>
      </w:r>
      <w:r w:rsidR="00862960" w:rsidRPr="006B2659">
        <w:t>,</w:t>
      </w:r>
      <w:r w:rsidRPr="006B2659">
        <w:t xml:space="preserve"> but if I can find these tendencies then I should accept my belief as rational</w:t>
      </w:r>
      <w:r w:rsidR="0064678F" w:rsidRPr="006B2659">
        <w:t>.</w:t>
      </w:r>
      <w:r w:rsidR="00A85F86" w:rsidRPr="006B2659">
        <w:t xml:space="preserve"> </w:t>
      </w:r>
      <w:r w:rsidR="00D36DED" w:rsidRPr="006B2659">
        <w:t xml:space="preserve">He </w:t>
      </w:r>
      <w:r w:rsidR="00797CB7" w:rsidRPr="006B2659">
        <w:t>says,</w:t>
      </w:r>
      <w:r w:rsidR="00D36DED" w:rsidRPr="006B2659">
        <w:t xml:space="preserve"> “we can never prove the existence of things other than ourselves and our experiences.”</w:t>
      </w:r>
      <w:r w:rsidR="00BE174F" w:rsidRPr="006B2659">
        <w:rPr>
          <w:rStyle w:val="FootnoteReference"/>
        </w:rPr>
        <w:footnoteReference w:id="6"/>
      </w:r>
      <w:r w:rsidR="00D36DED" w:rsidRPr="006B2659">
        <w:t xml:space="preserve"> Here, proof, certainty and indubitability are placed as unattainable goals with regards to our belief of an external world</w:t>
      </w:r>
      <w:r w:rsidR="00713B64" w:rsidRPr="006B2659">
        <w:t xml:space="preserve">. He then goes on to </w:t>
      </w:r>
      <w:r w:rsidR="00797CB7" w:rsidRPr="006B2659">
        <w:t>say,</w:t>
      </w:r>
      <w:r w:rsidR="00713B64" w:rsidRPr="006B2659">
        <w:t xml:space="preserve"> “but although this </w:t>
      </w:r>
      <w:r w:rsidR="00862960" w:rsidRPr="006B2659">
        <w:t xml:space="preserve">[that life is a dream] </w:t>
      </w:r>
      <w:r w:rsidR="00713B64" w:rsidRPr="006B2659">
        <w:t>is not logically impossible, there is no reason whatever to suppose that it is true”</w:t>
      </w:r>
      <w:r w:rsidR="00BE174F" w:rsidRPr="006B2659">
        <w:rPr>
          <w:rStyle w:val="FootnoteReference"/>
        </w:rPr>
        <w:footnoteReference w:id="7"/>
      </w:r>
      <w:r w:rsidR="00D132E6" w:rsidRPr="006B2659">
        <w:t xml:space="preserve"> so the extreme sceptic that is </w:t>
      </w:r>
      <w:r w:rsidR="00D132E6" w:rsidRPr="006B2659">
        <w:rPr>
          <w:i/>
        </w:rPr>
        <w:t>demanding</w:t>
      </w:r>
      <w:r w:rsidR="00D132E6" w:rsidRPr="006B2659">
        <w:t xml:space="preserve"> proven certainty has to be told that </w:t>
      </w:r>
      <w:r w:rsidR="004C7B9D" w:rsidRPr="006B2659">
        <w:t>proof</w:t>
      </w:r>
      <w:r w:rsidR="00D132E6" w:rsidRPr="006B2659">
        <w:t xml:space="preserve"> cannot be given</w:t>
      </w:r>
      <w:r w:rsidR="004C7B9D" w:rsidRPr="006B2659">
        <w:t>,</w:t>
      </w:r>
      <w:r w:rsidR="00D132E6" w:rsidRPr="006B2659">
        <w:t xml:space="preserve"> but that we have </w:t>
      </w:r>
      <w:r w:rsidR="004C7B9D" w:rsidRPr="006B2659">
        <w:t xml:space="preserve">no </w:t>
      </w:r>
      <w:r w:rsidR="00D132E6" w:rsidRPr="006B2659">
        <w:t xml:space="preserve">reasons to </w:t>
      </w:r>
      <w:r w:rsidR="004C7B9D" w:rsidRPr="006B2659">
        <w:t>accept</w:t>
      </w:r>
      <w:r w:rsidR="006B2659">
        <w:t xml:space="preserve"> their</w:t>
      </w:r>
      <w:r w:rsidR="004C7B9D" w:rsidRPr="006B2659">
        <w:t xml:space="preserve"> claim.</w:t>
      </w:r>
      <w:r w:rsidR="00862960" w:rsidRPr="006B2659">
        <w:t xml:space="preserve"> Taking the argument back to the </w:t>
      </w:r>
      <w:r w:rsidR="002D5AB8" w:rsidRPr="006B2659">
        <w:t>sceptic</w:t>
      </w:r>
      <w:r w:rsidR="00862960" w:rsidRPr="006B2659">
        <w:t xml:space="preserve"> and that identifying that he has no positive theoretical ground is a</w:t>
      </w:r>
      <w:r w:rsidR="00086BF6" w:rsidRPr="006B2659">
        <w:t xml:space="preserve"> way of showing the irrationality if his position.</w:t>
      </w:r>
      <w:r w:rsidR="00862960" w:rsidRPr="006B2659">
        <w:t xml:space="preserve"> </w:t>
      </w:r>
    </w:p>
    <w:p w:rsidR="009A2F29" w:rsidRPr="006B2659" w:rsidRDefault="005169F6" w:rsidP="00566BF1">
      <w:pPr>
        <w:pStyle w:val="NormalWeb"/>
      </w:pPr>
      <w:r w:rsidRPr="006B2659">
        <w:t>The s</w:t>
      </w:r>
      <w:r w:rsidR="00713B64" w:rsidRPr="006B2659">
        <w:t>implicity</w:t>
      </w:r>
      <w:r w:rsidRPr="006B2659">
        <w:t xml:space="preserve"> of the hypothesis that existence continues independently of my perception</w:t>
      </w:r>
      <w:r w:rsidR="00713B64" w:rsidRPr="006B2659">
        <w:t xml:space="preserve"> is the next reason that he gives for us to believe in independent objects. To imagine that a cat does not have any existence other than when I am perceiving it becomes difficult when we think about the behaviour of the cat. That a cat gets hungry over a period of time does not seem to depend on whether I am perceiving it for that period of time, but if the cat has no existence while I am not perceiving it then how could it become hungry during that unperceived time.</w:t>
      </w:r>
      <w:r w:rsidRPr="006B2659">
        <w:t xml:space="preserve"> It is a</w:t>
      </w:r>
      <w:r w:rsidR="00086BF6" w:rsidRPr="006B2659">
        <w:t xml:space="preserve"> much</w:t>
      </w:r>
      <w:r w:rsidRPr="006B2659">
        <w:t xml:space="preserve"> simpler idea that the cat continues to exi</w:t>
      </w:r>
      <w:r w:rsidR="00086BF6" w:rsidRPr="006B2659">
        <w:t>st when I am not perceiving it.</w:t>
      </w:r>
      <w:r w:rsidR="00713B64" w:rsidRPr="006B2659">
        <w:t xml:space="preserve"> And this is just one cat, if you think about</w:t>
      </w:r>
      <w:r w:rsidR="00B50ECE" w:rsidRPr="006B2659">
        <w:t xml:space="preserve"> all</w:t>
      </w:r>
      <w:r w:rsidR="00713B64" w:rsidRPr="006B2659">
        <w:t xml:space="preserve"> the cats</w:t>
      </w:r>
      <w:r w:rsidR="00B50ECE" w:rsidRPr="006B2659">
        <w:t xml:space="preserve"> </w:t>
      </w:r>
      <w:r w:rsidR="006B2659" w:rsidRPr="006B2659">
        <w:t xml:space="preserve">and other entities </w:t>
      </w:r>
      <w:r w:rsidR="00B50ECE" w:rsidRPr="006B2659">
        <w:t xml:space="preserve">that I have ever perceived and </w:t>
      </w:r>
      <w:r w:rsidR="00086BF6" w:rsidRPr="006B2659">
        <w:t xml:space="preserve">how complex it would be for my mind to be the source of </w:t>
      </w:r>
      <w:r w:rsidR="002D5AB8" w:rsidRPr="006B2659">
        <w:t>all</w:t>
      </w:r>
      <w:r w:rsidR="00086BF6" w:rsidRPr="006B2659">
        <w:t xml:space="preserve"> their </w:t>
      </w:r>
      <w:r w:rsidR="00086BF6" w:rsidRPr="006B2659">
        <w:lastRenderedPageBreak/>
        <w:t xml:space="preserve">apparent hunger, even when I am not perceiving them, then </w:t>
      </w:r>
      <w:r w:rsidR="004C7B9D" w:rsidRPr="006B2659">
        <w:t>it quickly becomes a much simpler hypothesis to think</w:t>
      </w:r>
      <w:r w:rsidR="009A2F29" w:rsidRPr="006B2659">
        <w:t xml:space="preserve"> t</w:t>
      </w:r>
      <w:r w:rsidR="00086BF6" w:rsidRPr="006B2659">
        <w:t>hat all these other</w:t>
      </w:r>
      <w:r w:rsidR="004C7B9D" w:rsidRPr="006B2659">
        <w:t xml:space="preserve"> entities</w:t>
      </w:r>
      <w:r w:rsidR="009A2F29" w:rsidRPr="006B2659">
        <w:t xml:space="preserve"> have </w:t>
      </w:r>
      <w:r w:rsidR="00797CB7" w:rsidRPr="006B2659">
        <w:t>an</w:t>
      </w:r>
      <w:r w:rsidR="009A2F29" w:rsidRPr="006B2659">
        <w:t xml:space="preserve"> existence which is not dependent upon our perceiving them.</w:t>
      </w:r>
    </w:p>
    <w:p w:rsidR="002A4454" w:rsidRPr="006B2659" w:rsidRDefault="009A2F29" w:rsidP="00566BF1">
      <w:pPr>
        <w:pStyle w:val="NormalWeb"/>
      </w:pPr>
      <w:r w:rsidRPr="006B2659">
        <w:t>Russell does introduce dreaming at this point, “where we are mistaken as to the existence of other people.”</w:t>
      </w:r>
      <w:r w:rsidR="00BE174F" w:rsidRPr="006B2659">
        <w:rPr>
          <w:rStyle w:val="FootnoteReference"/>
        </w:rPr>
        <w:footnoteReference w:id="8"/>
      </w:r>
      <w:r w:rsidRPr="006B2659">
        <w:t xml:space="preserve"> The fact that we can experience </w:t>
      </w:r>
      <w:r w:rsidR="00D132E6" w:rsidRPr="006B2659">
        <w:t xml:space="preserve">the sensation of other </w:t>
      </w:r>
      <w:r w:rsidRPr="006B2659">
        <w:t>people when they are not in front of us does provide some doubt about needing an external world, but “dreams are more or less suggested by what we call waking life”</w:t>
      </w:r>
      <w:r w:rsidR="00BE174F" w:rsidRPr="006B2659">
        <w:rPr>
          <w:rStyle w:val="FootnoteReference"/>
        </w:rPr>
        <w:footnoteReference w:id="9"/>
      </w:r>
      <w:r w:rsidR="00D71CDE" w:rsidRPr="006B2659">
        <w:t>.</w:t>
      </w:r>
      <w:r w:rsidR="005A1984" w:rsidRPr="006B2659">
        <w:t xml:space="preserve"> </w:t>
      </w:r>
      <w:r w:rsidR="005C5CF6" w:rsidRPr="006B2659">
        <w:t>B</w:t>
      </w:r>
      <w:r w:rsidR="00250C23" w:rsidRPr="006B2659">
        <w:t>y stating that dream</w:t>
      </w:r>
      <w:r w:rsidR="00D71CDE" w:rsidRPr="006B2659">
        <w:t>s are based upon are fully conscious time</w:t>
      </w:r>
      <w:r w:rsidR="00250C23" w:rsidRPr="006B2659">
        <w:t xml:space="preserve"> Russell is dissolving the a</w:t>
      </w:r>
      <w:r w:rsidR="00D71CDE" w:rsidRPr="006B2659">
        <w:t>rgument that just because we could</w:t>
      </w:r>
      <w:r w:rsidR="00250C23" w:rsidRPr="006B2659">
        <w:t xml:space="preserve"> be dreaming at this moment</w:t>
      </w:r>
      <w:r w:rsidR="00D71CDE" w:rsidRPr="006B2659">
        <w:t>, it</w:t>
      </w:r>
      <w:r w:rsidR="00250C23" w:rsidRPr="006B2659">
        <w:t xml:space="preserve"> means that there is no external world. On the contrary, the fact that we dream almost suggests that there is a world that our dreams are based on, that I may wake up and realise that I was writing this essay in my sleep actually confirms my belief in an external world</w:t>
      </w:r>
      <w:r w:rsidR="00D71CDE" w:rsidRPr="006B2659">
        <w:t xml:space="preserve"> where I write essays</w:t>
      </w:r>
      <w:r w:rsidR="00250C23" w:rsidRPr="006B2659">
        <w:t>.</w:t>
      </w:r>
      <w:r w:rsidR="005145FE" w:rsidRPr="006B2659">
        <w:t xml:space="preserve"> That I can dream, or hallucinate, simply shows my consciousness is capable of existing in a </w:t>
      </w:r>
      <w:r w:rsidR="009C1D31" w:rsidRPr="006B2659">
        <w:t>dreamlike state that can be one step removed</w:t>
      </w:r>
      <w:r w:rsidR="005145FE" w:rsidRPr="006B2659">
        <w:t xml:space="preserve"> from the external world. It does not give reasons for thinking </w:t>
      </w:r>
      <w:r w:rsidR="009C1D31" w:rsidRPr="006B2659">
        <w:t xml:space="preserve">that </w:t>
      </w:r>
      <w:r w:rsidR="005145FE" w:rsidRPr="006B2659">
        <w:t>the external world</w:t>
      </w:r>
      <w:r w:rsidR="009C1D31" w:rsidRPr="006B2659">
        <w:t xml:space="preserve"> does not exist.</w:t>
      </w:r>
      <w:r w:rsidR="00D71CDE" w:rsidRPr="006B2659">
        <w:t xml:space="preserve"> I</w:t>
      </w:r>
      <w:r w:rsidR="00D71CDE" w:rsidRPr="006B2659">
        <w:t>t is very difficult</w:t>
      </w:r>
      <w:r w:rsidR="00D71CDE" w:rsidRPr="006B2659">
        <w:t xml:space="preserve"> or impossible to prove that I am not dreaming right </w:t>
      </w:r>
      <w:r w:rsidR="002D5AB8" w:rsidRPr="006B2659">
        <w:t>now,</w:t>
      </w:r>
      <w:r w:rsidR="00D71CDE" w:rsidRPr="006B2659">
        <w:t xml:space="preserve"> and Russell suggests that this doubt cannot be removed, but that it is a much simpler hypothesis “that there really are objects other than ourselves and our sense data which have an existence not dependent upon our perceiving them.”</w:t>
      </w:r>
      <w:r w:rsidR="00D71CDE" w:rsidRPr="006B2659">
        <w:rPr>
          <w:rStyle w:val="FootnoteReference"/>
        </w:rPr>
        <w:footnoteReference w:id="10"/>
      </w:r>
    </w:p>
    <w:p w:rsidR="004552E3" w:rsidRPr="006B2659" w:rsidRDefault="002A4454" w:rsidP="00566BF1">
      <w:pPr>
        <w:pStyle w:val="NormalWeb"/>
      </w:pPr>
      <w:r w:rsidRPr="006B2659">
        <w:t xml:space="preserve">Russell then informs us that our belief in an external world </w:t>
      </w:r>
      <w:r w:rsidR="00FD4E65" w:rsidRPr="006B2659">
        <w:t xml:space="preserve">is </w:t>
      </w:r>
      <w:r w:rsidRPr="006B2659">
        <w:t>what may be called an instinctive belief. It is not by argument that we originally come to this belief but tha</w:t>
      </w:r>
      <w:r w:rsidR="004552E3" w:rsidRPr="006B2659">
        <w:t>t we have it as soon as we begin</w:t>
      </w:r>
      <w:r w:rsidRPr="006B2659">
        <w:t xml:space="preserve"> to reflect. The belief has only been brought into que</w:t>
      </w:r>
      <w:r w:rsidR="00D71CDE" w:rsidRPr="006B2659">
        <w:t>stion because it seems that</w:t>
      </w:r>
      <w:r w:rsidRPr="006B2659">
        <w:t xml:space="preserve"> sense data is not iden</w:t>
      </w:r>
      <w:r w:rsidR="004552E3" w:rsidRPr="006B2659">
        <w:t>tical with the obje</w:t>
      </w:r>
      <w:r w:rsidR="00FD4E65" w:rsidRPr="006B2659">
        <w:t>ct perceived. T</w:t>
      </w:r>
      <w:r w:rsidRPr="006B2659">
        <w:t>his question</w:t>
      </w:r>
      <w:r w:rsidR="004552E3" w:rsidRPr="006B2659">
        <w:t>ing</w:t>
      </w:r>
      <w:r w:rsidRPr="006B2659">
        <w:t xml:space="preserve"> </w:t>
      </w:r>
      <w:r w:rsidR="00FD4E65" w:rsidRPr="006B2659">
        <w:t xml:space="preserve">of sense data and object </w:t>
      </w:r>
      <w:r w:rsidRPr="006B2659">
        <w:t xml:space="preserve">does not diminish our “instinctive belief that there </w:t>
      </w:r>
      <w:r w:rsidRPr="006B2659">
        <w:rPr>
          <w:i/>
        </w:rPr>
        <w:t>are</w:t>
      </w:r>
      <w:r w:rsidRPr="006B2659">
        <w:t xml:space="preserve"> objects </w:t>
      </w:r>
      <w:r w:rsidRPr="006B2659">
        <w:rPr>
          <w:i/>
        </w:rPr>
        <w:t>corresponding</w:t>
      </w:r>
      <w:r w:rsidRPr="006B2659">
        <w:t xml:space="preserve"> to our sense data</w:t>
      </w:r>
      <w:r w:rsidR="00FD4E65" w:rsidRPr="006B2659">
        <w:t>”</w:t>
      </w:r>
      <w:r w:rsidR="00FD4E65" w:rsidRPr="006B2659">
        <w:rPr>
          <w:rStyle w:val="FootnoteReference"/>
        </w:rPr>
        <w:footnoteReference w:id="11"/>
      </w:r>
      <w:r w:rsidR="00FD4E65" w:rsidRPr="006B2659">
        <w:t xml:space="preserve">, we do not stop </w:t>
      </w:r>
      <w:r w:rsidR="000E4D5C" w:rsidRPr="006B2659">
        <w:t>behaving</w:t>
      </w:r>
      <w:r w:rsidR="00FD4E65" w:rsidRPr="006B2659">
        <w:t xml:space="preserve"> as if our belief in the external world </w:t>
      </w:r>
      <w:r w:rsidR="00912F3D" w:rsidRPr="006B2659">
        <w:t xml:space="preserve">has disappeared even if there is a margin for doubt. Russell points out that all knowledge is based upon beliefs, they are a bedrock, without them there would be no basis </w:t>
      </w:r>
      <w:r w:rsidR="0011782D" w:rsidRPr="006B2659">
        <w:t xml:space="preserve">for </w:t>
      </w:r>
      <w:r w:rsidR="00912F3D" w:rsidRPr="006B2659">
        <w:t>knowledge. You cannot remove them without replacing them with something else, and that something else need to be based upon reasons that were better. It is</w:t>
      </w:r>
      <w:r w:rsidR="00B034D2" w:rsidRPr="006B2659">
        <w:t xml:space="preserve"> i</w:t>
      </w:r>
      <w:r w:rsidR="00912F3D" w:rsidRPr="006B2659">
        <w:t xml:space="preserve">n looking at these reasons we can decide, using our </w:t>
      </w:r>
      <w:r w:rsidR="00D624D4" w:rsidRPr="006B2659">
        <w:t xml:space="preserve">common </w:t>
      </w:r>
      <w:r w:rsidR="00912F3D" w:rsidRPr="006B2659">
        <w:t>sense</w:t>
      </w:r>
      <w:r w:rsidR="00D624D4" w:rsidRPr="006B2659">
        <w:t xml:space="preserve">, </w:t>
      </w:r>
      <w:r w:rsidR="000E4D5C" w:rsidRPr="006B2659">
        <w:t>whether</w:t>
      </w:r>
      <w:r w:rsidR="00D624D4" w:rsidRPr="006B2659">
        <w:t xml:space="preserve"> </w:t>
      </w:r>
      <w:r w:rsidR="000E4D5C" w:rsidRPr="006B2659">
        <w:t>an</w:t>
      </w:r>
      <w:r w:rsidR="00D624D4" w:rsidRPr="006B2659">
        <w:t xml:space="preserve"> instinctive belief needs replacing with a better different belief. So Russell </w:t>
      </w:r>
      <w:r w:rsidR="00797CB7" w:rsidRPr="006B2659">
        <w:t>says,</w:t>
      </w:r>
      <w:r w:rsidR="004552E3" w:rsidRPr="006B2659">
        <w:t xml:space="preserve"> “We may therefore admit - though with a slight doubt derived from dreams - that the external world does really exist”</w:t>
      </w:r>
      <w:r w:rsidR="00BE174F" w:rsidRPr="006B2659">
        <w:rPr>
          <w:rStyle w:val="FootnoteReference"/>
        </w:rPr>
        <w:footnoteReference w:id="12"/>
      </w:r>
    </w:p>
    <w:p w:rsidR="00AA2BF0" w:rsidRPr="006B2659" w:rsidRDefault="0011782D" w:rsidP="00AA2BF0">
      <w:pPr>
        <w:pStyle w:val="NormalWeb"/>
      </w:pPr>
      <w:r w:rsidRPr="006B2659">
        <w:t>In the last four paragraphs of the chapter the nature of the role of philosophy is given some attention. It is the analysis of our beliefs and their relations in a system that philosophy can perform.</w:t>
      </w:r>
      <w:r w:rsidR="005838C3" w:rsidRPr="006B2659">
        <w:t xml:space="preserve"> Because</w:t>
      </w:r>
      <w:r w:rsidR="005838C3" w:rsidRPr="006B2659">
        <w:t xml:space="preserve"> “it is of course possible that all or any of our beliefs may be mistaken, and therefore all ought to be held with at least some slight element of doubt”</w:t>
      </w:r>
      <w:r w:rsidR="005838C3" w:rsidRPr="006B2659">
        <w:rPr>
          <w:rStyle w:val="FootnoteReference"/>
        </w:rPr>
        <w:footnoteReference w:id="13"/>
      </w:r>
      <w:r w:rsidR="006B2659" w:rsidRPr="006B2659">
        <w:t>.</w:t>
      </w:r>
      <w:r w:rsidR="005838C3" w:rsidRPr="006B2659">
        <w:t xml:space="preserve"> The strength of the rationality behind our beliefs is what philosophy can examine. </w:t>
      </w:r>
      <w:r w:rsidRPr="006B2659">
        <w:t>The “critical scrutiny which has preceded acquiescence” is what makes a belief rational.</w:t>
      </w:r>
      <w:r w:rsidRPr="006B2659">
        <w:t xml:space="preserve"> William Hare has noted </w:t>
      </w:r>
      <w:r w:rsidRPr="006B2659">
        <w:t>“There is a pervasive emphasis in Russell's writings</w:t>
      </w:r>
      <w:r w:rsidRPr="006B2659">
        <w:t>…..</w:t>
      </w:r>
      <w:r w:rsidRPr="006B2659">
        <w:t xml:space="preserve">on the </w:t>
      </w:r>
      <w:r w:rsidRPr="006B2659">
        <w:rPr>
          <w:i/>
          <w:iCs/>
        </w:rPr>
        <w:t>reasons and evidence</w:t>
      </w:r>
      <w:r w:rsidRPr="006B2659">
        <w:t xml:space="preserve"> which support, or undermine, a particular belief. Critical scrutiny of these is needed to determine the degree of confidence we should place in our beliefs. He emphasizes the need to teach the skill </w:t>
      </w:r>
      <w:r w:rsidRPr="006B2659">
        <w:lastRenderedPageBreak/>
        <w:t>of how….to reach true conclusions on insufficient data.”</w:t>
      </w:r>
      <w:r w:rsidRPr="006B2659">
        <w:rPr>
          <w:rStyle w:val="FootnoteReference"/>
        </w:rPr>
        <w:footnoteReference w:id="14"/>
      </w:r>
      <w:r w:rsidRPr="006B2659">
        <w:t xml:space="preserve"> </w:t>
      </w:r>
      <w:r w:rsidRPr="006B2659">
        <w:t>Russell maintains an openness towards doubt and the possibilities of reconstructing both his instinctive beliefs and the system that together they comprise. I see this as a progressive notion as compared to Moore’s stance which seems to be to sweep aside any notion of doubt for that which</w:t>
      </w:r>
      <w:r w:rsidR="009B4FC3" w:rsidRPr="006B2659">
        <w:t xml:space="preserve"> seems obvious. </w:t>
      </w:r>
      <w:r w:rsidRPr="006B2659">
        <w:t>Russell’s</w:t>
      </w:r>
      <w:r w:rsidR="009B4FC3" w:rsidRPr="006B2659">
        <w:t xml:space="preserve"> example of</w:t>
      </w:r>
      <w:r w:rsidRPr="006B2659">
        <w:t xml:space="preserve"> openness to question</w:t>
      </w:r>
      <w:r w:rsidR="009B4FC3" w:rsidRPr="006B2659">
        <w:t xml:space="preserve">ing of </w:t>
      </w:r>
      <w:r w:rsidRPr="006B2659">
        <w:t xml:space="preserve">beliefs within his paradigm </w:t>
      </w:r>
      <w:r w:rsidR="00B9194F" w:rsidRPr="006B2659">
        <w:t xml:space="preserve">(sensation, sense data </w:t>
      </w:r>
      <w:r w:rsidR="009B4FC3" w:rsidRPr="006B2659">
        <w:t>and matter) lead</w:t>
      </w:r>
      <w:r w:rsidR="006B2659" w:rsidRPr="006B2659">
        <w:t>s</w:t>
      </w:r>
      <w:r w:rsidRPr="006B2659">
        <w:t xml:space="preserve"> to </w:t>
      </w:r>
      <w:r w:rsidR="009B4FC3" w:rsidRPr="006B2659">
        <w:t xml:space="preserve">me to be open to the </w:t>
      </w:r>
      <w:r w:rsidRPr="006B2659">
        <w:t>question</w:t>
      </w:r>
      <w:r w:rsidR="009B4FC3" w:rsidRPr="006B2659">
        <w:t>ing of the relevance of that paradigm</w:t>
      </w:r>
      <w:r w:rsidRPr="006B2659">
        <w:t>.</w:t>
      </w:r>
      <w:r w:rsidR="00AA2BF0" w:rsidRPr="006B2659">
        <w:t xml:space="preserve"> I find</w:t>
      </w:r>
      <w:r w:rsidR="00AA2BF0" w:rsidRPr="006B2659">
        <w:t xml:space="preserve"> that the dissoluti</w:t>
      </w:r>
      <w:r w:rsidR="00AA2BF0" w:rsidRPr="006B2659">
        <w:t>on of boundaries between ontological</w:t>
      </w:r>
      <w:r w:rsidR="00AA2BF0" w:rsidRPr="006B2659">
        <w:t xml:space="preserve"> substances such as, internal and external, sensation, sense data and matter, consciousness and body</w:t>
      </w:r>
      <w:r w:rsidR="00AA2BF0" w:rsidRPr="006B2659">
        <w:t>,</w:t>
      </w:r>
      <w:r w:rsidR="00AA2BF0" w:rsidRPr="006B2659">
        <w:t xml:space="preserve"> to be helpful in putting aside extreme scepticism about the exte</w:t>
      </w:r>
      <w:r w:rsidR="00AA2BF0" w:rsidRPr="006B2659">
        <w:t>rnal world. The worldview of</w:t>
      </w:r>
      <w:r w:rsidR="00AA2BF0" w:rsidRPr="006B2659">
        <w:t xml:space="preserve"> being </w:t>
      </w:r>
      <w:r w:rsidR="00AA2BF0" w:rsidRPr="006B2659">
        <w:t xml:space="preserve">a </w:t>
      </w:r>
      <w:r w:rsidR="00AA2BF0" w:rsidRPr="006B2659">
        <w:t>separate soul and b</w:t>
      </w:r>
      <w:r w:rsidR="006B2659" w:rsidRPr="006B2659">
        <w:t xml:space="preserve">ody is what gives scepticism a </w:t>
      </w:r>
      <w:r w:rsidR="00AA2BF0" w:rsidRPr="006B2659">
        <w:t>place to create division and doubt. I think that it is the framework, or paradigm that Russell is using, and especially that Descartes was using that are at fault. By creating the division of internal and external there becomes a gap that has to be crossed in order for me to get to the world outside. The work that Merleau-Ponty has done regarding embodiment and “being in the world”</w:t>
      </w:r>
      <w:r w:rsidR="00994CA7">
        <w:rPr>
          <w:rStyle w:val="FootnoteReference"/>
        </w:rPr>
        <w:footnoteReference w:id="15"/>
      </w:r>
      <w:r w:rsidR="00AA2BF0" w:rsidRPr="006B2659">
        <w:t xml:space="preserve"> leads me to feel a sense of reintegration of both my inner and outer environments. Through a reorientation of my conceptual understanding, i.e. not a foreign soul trapped in a body, but a piece of consciousness that is part of the world, the need to prove the existence of that external world seems to disappear.</w:t>
      </w:r>
      <w:r w:rsidR="00AA2BF0" w:rsidRPr="006B2659">
        <w:t xml:space="preserve"> One of Merleau-Ponty’s arguments against scepticism was that we are already in contact with the world </w:t>
      </w:r>
      <w:r w:rsidR="002D5AB8" w:rsidRPr="006B2659">
        <w:t>itself</w:t>
      </w:r>
      <w:r w:rsidR="004B5AA8">
        <w:rPr>
          <w:rStyle w:val="FootnoteReference"/>
        </w:rPr>
        <w:footnoteReference w:id="16"/>
      </w:r>
      <w:r w:rsidR="00AA2BF0" w:rsidRPr="006B2659">
        <w:t xml:space="preserve"> not just sense data, so just as Russel say</w:t>
      </w:r>
      <w:r w:rsidR="006B2659" w:rsidRPr="006B2659">
        <w:t>s</w:t>
      </w:r>
      <w:r w:rsidR="00AA2BF0" w:rsidRPr="006B2659">
        <w:t xml:space="preserve"> that we are certain of sense data, for Merleau-Ponty</w:t>
      </w:r>
      <w:r w:rsidR="00881598" w:rsidRPr="006B2659">
        <w:t xml:space="preserve"> we are certain of the world around us.</w:t>
      </w:r>
    </w:p>
    <w:p w:rsidR="000A1119" w:rsidRPr="006B2659" w:rsidRDefault="00DA4613" w:rsidP="00566BF1">
      <w:pPr>
        <w:pStyle w:val="NormalWeb"/>
      </w:pPr>
      <w:r w:rsidRPr="006B2659">
        <w:t>At the beginning o</w:t>
      </w:r>
      <w:r w:rsidR="0011782D" w:rsidRPr="006B2659">
        <w:t>f the chapter Russell introduced</w:t>
      </w:r>
      <w:r w:rsidRPr="006B2659">
        <w:t xml:space="preserve"> Descartes and his method of systematic doubt. In one sense Russell goes further than Descartes by questioning the certainty of the real self as the notion of a permanent person and he only grants particular thoughts and feelings to have primitive certainty. But whereas Descartes rejected a belief that could be doubted</w:t>
      </w:r>
      <w:r w:rsidR="00DC739C" w:rsidRPr="006B2659">
        <w:t xml:space="preserve"> “I should hold back my assent from opinions which are not completely certain and indubitable”</w:t>
      </w:r>
      <w:r w:rsidR="00DC739C" w:rsidRPr="006B2659">
        <w:rPr>
          <w:rStyle w:val="FootnoteReference"/>
        </w:rPr>
        <w:footnoteReference w:id="17"/>
      </w:r>
      <w:r w:rsidR="00DE0A41" w:rsidRPr="006B2659">
        <w:t>,</w:t>
      </w:r>
      <w:r w:rsidRPr="006B2659">
        <w:t xml:space="preserve"> Russell al</w:t>
      </w:r>
      <w:r w:rsidR="00DE0A41" w:rsidRPr="006B2659">
        <w:t>lowed a belief to be admitted whilst there still being a remainder of some doubt</w:t>
      </w:r>
      <w:r w:rsidR="00D23B9B" w:rsidRPr="006B2659">
        <w:t>. It seems the Descartes had an expectation of certainty, free from do</w:t>
      </w:r>
      <w:r w:rsidR="009B4FC3" w:rsidRPr="006B2659">
        <w:t>ubt, and Russell saw that belief</w:t>
      </w:r>
      <w:r w:rsidR="00DE0A41" w:rsidRPr="006B2659">
        <w:t xml:space="preserve"> could live alongside doubt. Russell’s position is much more like the modus operandi that most of us have whilst acting in the world.</w:t>
      </w:r>
      <w:r w:rsidR="00F93B3A" w:rsidRPr="006B2659">
        <w:t xml:space="preserve"> We look at the question, do the work of finding the reasons for the particular answers to the question, make an evaluation of the legitimacy of the reasons and the relevancy of the answers, and then decide what action to take, or where to place our beliefs. Certainty is rare</w:t>
      </w:r>
      <w:r w:rsidR="0071236E" w:rsidRPr="006B2659">
        <w:t>ly achieved in most decisions, b</w:t>
      </w:r>
      <w:r w:rsidR="00F93B3A" w:rsidRPr="006B2659">
        <w:t>ut act we must.</w:t>
      </w:r>
    </w:p>
    <w:p w:rsidR="00D9608D" w:rsidRPr="006B2659" w:rsidRDefault="00D23B9B" w:rsidP="00D9608D">
      <w:pPr>
        <w:rPr>
          <w:rFonts w:ascii="Times New Roman" w:hAnsi="Times New Roman" w:cs="Times New Roman"/>
          <w:sz w:val="24"/>
          <w:szCs w:val="24"/>
        </w:rPr>
      </w:pPr>
      <w:r w:rsidRPr="006B2659">
        <w:rPr>
          <w:rFonts w:ascii="Times New Roman" w:hAnsi="Times New Roman" w:cs="Times New Roman"/>
          <w:sz w:val="24"/>
          <w:szCs w:val="24"/>
        </w:rPr>
        <w:t>Timothy</w:t>
      </w:r>
      <w:r w:rsidR="005838C3" w:rsidRPr="006B2659">
        <w:rPr>
          <w:rFonts w:ascii="Times New Roman" w:hAnsi="Times New Roman" w:cs="Times New Roman"/>
          <w:sz w:val="24"/>
          <w:szCs w:val="24"/>
        </w:rPr>
        <w:t xml:space="preserve"> Williamson</w:t>
      </w:r>
      <w:r w:rsidRPr="006B2659">
        <w:rPr>
          <w:rFonts w:ascii="Times New Roman" w:hAnsi="Times New Roman" w:cs="Times New Roman"/>
          <w:sz w:val="24"/>
          <w:szCs w:val="24"/>
        </w:rPr>
        <w:t xml:space="preserve"> has presented the idea that scepticism could be compared to our immune system.</w:t>
      </w:r>
      <w:r w:rsidR="000A1119" w:rsidRPr="006B2659">
        <w:rPr>
          <w:rFonts w:ascii="Times New Roman" w:hAnsi="Times New Roman" w:cs="Times New Roman"/>
          <w:sz w:val="24"/>
          <w:szCs w:val="24"/>
        </w:rPr>
        <w:t xml:space="preserve"> Scepticism is a good thing.</w:t>
      </w:r>
      <w:r w:rsidRPr="006B2659">
        <w:rPr>
          <w:rFonts w:ascii="Times New Roman" w:hAnsi="Times New Roman" w:cs="Times New Roman"/>
          <w:sz w:val="24"/>
          <w:szCs w:val="24"/>
        </w:rPr>
        <w:t xml:space="preserve"> It is a healthy part of ourselves that is careful and vigilant to seek out and remove bad knowledge, but that extreme scepticism is </w:t>
      </w:r>
      <w:r w:rsidR="000A1119" w:rsidRPr="006B2659">
        <w:rPr>
          <w:rFonts w:ascii="Times New Roman" w:hAnsi="Times New Roman" w:cs="Times New Roman"/>
          <w:sz w:val="24"/>
          <w:szCs w:val="24"/>
        </w:rPr>
        <w:t xml:space="preserve">a good thing gone too far, </w:t>
      </w:r>
      <w:r w:rsidRPr="006B2659">
        <w:rPr>
          <w:rFonts w:ascii="Times New Roman" w:hAnsi="Times New Roman" w:cs="Times New Roman"/>
          <w:sz w:val="24"/>
          <w:szCs w:val="24"/>
        </w:rPr>
        <w:t>like an auto im</w:t>
      </w:r>
      <w:r w:rsidR="0071236E" w:rsidRPr="006B2659">
        <w:rPr>
          <w:rFonts w:ascii="Times New Roman" w:hAnsi="Times New Roman" w:cs="Times New Roman"/>
          <w:sz w:val="24"/>
          <w:szCs w:val="24"/>
        </w:rPr>
        <w:t>mune disease where the</w:t>
      </w:r>
      <w:r w:rsidRPr="006B2659">
        <w:rPr>
          <w:rFonts w:ascii="Times New Roman" w:hAnsi="Times New Roman" w:cs="Times New Roman"/>
          <w:sz w:val="24"/>
          <w:szCs w:val="24"/>
        </w:rPr>
        <w:t xml:space="preserve"> immune system starts to attack the healthy parts of the body or sometimes even parts of the immune system</w:t>
      </w:r>
      <w:r w:rsidR="0071236E" w:rsidRPr="006B2659">
        <w:rPr>
          <w:rFonts w:ascii="Times New Roman" w:hAnsi="Times New Roman" w:cs="Times New Roman"/>
          <w:sz w:val="24"/>
          <w:szCs w:val="24"/>
        </w:rPr>
        <w:t xml:space="preserve"> itself</w:t>
      </w:r>
      <w:r w:rsidRPr="006B2659">
        <w:rPr>
          <w:rFonts w:ascii="Times New Roman" w:hAnsi="Times New Roman" w:cs="Times New Roman"/>
          <w:sz w:val="24"/>
          <w:szCs w:val="24"/>
        </w:rPr>
        <w:t>. So extreme scepticism is when the qu</w:t>
      </w:r>
      <w:r w:rsidR="0071236E" w:rsidRPr="006B2659">
        <w:rPr>
          <w:rFonts w:ascii="Times New Roman" w:hAnsi="Times New Roman" w:cs="Times New Roman"/>
          <w:sz w:val="24"/>
          <w:szCs w:val="24"/>
        </w:rPr>
        <w:t>estioning parts of our cognitive function</w:t>
      </w:r>
      <w:r w:rsidRPr="006B2659">
        <w:rPr>
          <w:rFonts w:ascii="Times New Roman" w:hAnsi="Times New Roman" w:cs="Times New Roman"/>
          <w:sz w:val="24"/>
          <w:szCs w:val="24"/>
        </w:rPr>
        <w:t xml:space="preserve"> turn upon the essential framework of knowledge that gave rise to the faculties of scepticism in the first place. </w:t>
      </w:r>
      <w:r w:rsidR="00D9608D" w:rsidRPr="006B2659">
        <w:rPr>
          <w:rFonts w:ascii="Times New Roman" w:hAnsi="Times New Roman" w:cs="Times New Roman"/>
          <w:sz w:val="24"/>
          <w:szCs w:val="24"/>
        </w:rPr>
        <w:lastRenderedPageBreak/>
        <w:t>“Scepticism is a disease in which healthy mental processes run pathologically unchecked. Our cognitive immunity system, designed to protect our conception of the world from harmful errors, turns destructivel</w:t>
      </w:r>
      <w:r w:rsidR="002E099A" w:rsidRPr="006B2659">
        <w:rPr>
          <w:rFonts w:ascii="Times New Roman" w:hAnsi="Times New Roman" w:cs="Times New Roman"/>
          <w:sz w:val="24"/>
          <w:szCs w:val="24"/>
        </w:rPr>
        <w:t>y on that conception itself.</w:t>
      </w:r>
      <w:r w:rsidR="00D9608D" w:rsidRPr="006B2659">
        <w:rPr>
          <w:rFonts w:ascii="Times New Roman" w:hAnsi="Times New Roman" w:cs="Times New Roman"/>
          <w:sz w:val="24"/>
          <w:szCs w:val="24"/>
        </w:rPr>
        <w:t>”</w:t>
      </w:r>
      <w:r w:rsidR="00D9608D" w:rsidRPr="006B2659">
        <w:rPr>
          <w:rStyle w:val="FootnoteReference"/>
          <w:rFonts w:ascii="Times New Roman" w:hAnsi="Times New Roman" w:cs="Times New Roman"/>
          <w:sz w:val="24"/>
          <w:szCs w:val="24"/>
        </w:rPr>
        <w:footnoteReference w:id="18"/>
      </w:r>
    </w:p>
    <w:p w:rsidR="00DA4613" w:rsidRPr="006B2659" w:rsidRDefault="00D23B9B" w:rsidP="00566BF1">
      <w:pPr>
        <w:pStyle w:val="NormalWeb"/>
      </w:pPr>
      <w:r w:rsidRPr="006B2659">
        <w:t>David Chalmers has put forward th</w:t>
      </w:r>
      <w:r w:rsidR="002E099A" w:rsidRPr="006B2659">
        <w:t>e idea of considering the consequences</w:t>
      </w:r>
      <w:r w:rsidRPr="006B2659">
        <w:t xml:space="preserve"> of the doubt which is remaining. </w:t>
      </w:r>
      <w:r w:rsidR="00797CB7" w:rsidRPr="006B2659">
        <w:t>So,</w:t>
      </w:r>
      <w:r w:rsidRPr="006B2659">
        <w:t xml:space="preserve"> for example, when looking at the doubt of solipsism</w:t>
      </w:r>
      <w:r w:rsidR="002E099A" w:rsidRPr="006B2659">
        <w:t>, or dreaming, or being a brain in a vat,</w:t>
      </w:r>
      <w:r w:rsidRPr="006B2659">
        <w:t xml:space="preserve"> which remains </w:t>
      </w:r>
      <w:r w:rsidR="007E0449" w:rsidRPr="006B2659">
        <w:t xml:space="preserve">even </w:t>
      </w:r>
      <w:r w:rsidRPr="006B2659">
        <w:t>after we have accepted the belief in an e</w:t>
      </w:r>
      <w:r w:rsidR="002E099A" w:rsidRPr="006B2659">
        <w:t>xternal world, if that alternative were</w:t>
      </w:r>
      <w:r w:rsidRPr="006B2659">
        <w:t xml:space="preserve"> true,</w:t>
      </w:r>
      <w:r w:rsidR="000A1119" w:rsidRPr="006B2659">
        <w:t xml:space="preserve"> </w:t>
      </w:r>
      <w:r w:rsidR="002E099A" w:rsidRPr="006B2659">
        <w:t>what would be the consequences?</w:t>
      </w:r>
      <w:r w:rsidR="000A1119" w:rsidRPr="006B2659">
        <w:t xml:space="preserve"> When I dream I still have to engage with the reality that is presented before me, I still take that dream to be my reality, my morals, my will and my knowledge, whilst often being distorted, are still my framework. </w:t>
      </w:r>
      <w:r w:rsidR="00797CB7" w:rsidRPr="006B2659">
        <w:t>So,</w:t>
      </w:r>
      <w:r w:rsidR="000A1119" w:rsidRPr="006B2659">
        <w:t xml:space="preserve"> this world as I find it now, is still </w:t>
      </w:r>
      <w:r w:rsidR="006B2659" w:rsidRPr="006B2659">
        <w:t xml:space="preserve">the </w:t>
      </w:r>
      <w:r w:rsidR="000A1119" w:rsidRPr="006B2659">
        <w:t>framework that I have to operate in.</w:t>
      </w:r>
      <w:r w:rsidR="00E30ADF" w:rsidRPr="006B2659">
        <w:t xml:space="preserve"> </w:t>
      </w:r>
      <w:r w:rsidR="00D9608D" w:rsidRPr="006B2659">
        <w:t>“</w:t>
      </w:r>
      <w:r w:rsidR="00E30ADF" w:rsidRPr="006B2659">
        <w:t>At this point I think maybe there’s a philosophical mistake going on in the traditional analysis of this example. My view is that yes, it’s possible that we’re in a simulation. But if we’re in a simulation, all this is still perfectly real. Just say it turns out that we discover somehow that we’re in the ‘matrix’. And the tables, and chairs, and buildings around me are all coming from a computer simulation. Should we say, “They don’t exist”? I think not!</w:t>
      </w:r>
      <w:r w:rsidR="00D9608D" w:rsidRPr="006B2659">
        <w:t>”</w:t>
      </w:r>
      <w:r w:rsidR="00D9608D" w:rsidRPr="006B2659">
        <w:rPr>
          <w:rStyle w:val="FootnoteReference"/>
        </w:rPr>
        <w:footnoteReference w:id="19"/>
      </w:r>
    </w:p>
    <w:p w:rsidR="001C4BED" w:rsidRPr="003D1111" w:rsidRDefault="00005826" w:rsidP="003D1111">
      <w:pPr>
        <w:rPr>
          <w:rFonts w:ascii="Times New Roman" w:hAnsi="Times New Roman" w:cs="Times New Roman"/>
          <w:sz w:val="24"/>
          <w:szCs w:val="24"/>
        </w:rPr>
      </w:pPr>
      <w:r w:rsidRPr="003D1111">
        <w:rPr>
          <w:rFonts w:ascii="Times New Roman" w:hAnsi="Times New Roman" w:cs="Times New Roman"/>
          <w:sz w:val="24"/>
          <w:szCs w:val="24"/>
        </w:rPr>
        <w:t>Bibliography</w:t>
      </w:r>
    </w:p>
    <w:p w:rsidR="00005826" w:rsidRPr="003D1111" w:rsidRDefault="00005826" w:rsidP="003D1111">
      <w:pPr>
        <w:pStyle w:val="FootnoteText"/>
        <w:numPr>
          <w:ilvl w:val="0"/>
          <w:numId w:val="1"/>
        </w:numPr>
        <w:rPr>
          <w:rFonts w:ascii="Times New Roman" w:hAnsi="Times New Roman" w:cs="Times New Roman"/>
          <w:sz w:val="24"/>
          <w:szCs w:val="24"/>
        </w:rPr>
      </w:pPr>
      <w:r w:rsidRPr="003D1111">
        <w:rPr>
          <w:rFonts w:ascii="Times New Roman" w:hAnsi="Times New Roman" w:cs="Times New Roman"/>
          <w:sz w:val="24"/>
          <w:szCs w:val="24"/>
        </w:rPr>
        <w:t xml:space="preserve">B. Russell, </w:t>
      </w:r>
      <w:r w:rsidRPr="003D1111">
        <w:rPr>
          <w:rFonts w:ascii="Times New Roman" w:hAnsi="Times New Roman" w:cs="Times New Roman"/>
          <w:i/>
          <w:sz w:val="24"/>
          <w:szCs w:val="24"/>
        </w:rPr>
        <w:t>The Problems of Philosophy,</w:t>
      </w:r>
      <w:r w:rsidR="00CB7DAF">
        <w:rPr>
          <w:rFonts w:ascii="Times New Roman" w:hAnsi="Times New Roman" w:cs="Times New Roman"/>
          <w:i/>
          <w:sz w:val="24"/>
          <w:szCs w:val="24"/>
        </w:rPr>
        <w:t xml:space="preserve"> </w:t>
      </w:r>
      <w:r w:rsidR="00CB7DAF">
        <w:rPr>
          <w:rFonts w:ascii="Times New Roman" w:hAnsi="Times New Roman" w:cs="Times New Roman"/>
          <w:sz w:val="24"/>
          <w:szCs w:val="24"/>
        </w:rPr>
        <w:t>Norgate and Williams, London</w:t>
      </w:r>
      <w:r w:rsidRPr="003D1111">
        <w:rPr>
          <w:rFonts w:ascii="Times New Roman" w:hAnsi="Times New Roman" w:cs="Times New Roman"/>
          <w:sz w:val="24"/>
          <w:szCs w:val="24"/>
        </w:rPr>
        <w:t>,1</w:t>
      </w:r>
      <w:r w:rsidR="003D1111" w:rsidRPr="003D1111">
        <w:rPr>
          <w:rFonts w:ascii="Times New Roman" w:hAnsi="Times New Roman" w:cs="Times New Roman"/>
          <w:sz w:val="24"/>
          <w:szCs w:val="24"/>
        </w:rPr>
        <w:t>925</w:t>
      </w:r>
      <w:r w:rsidRPr="003D1111">
        <w:rPr>
          <w:rFonts w:ascii="Times New Roman" w:hAnsi="Times New Roman" w:cs="Times New Roman"/>
          <w:sz w:val="24"/>
          <w:szCs w:val="24"/>
        </w:rPr>
        <w:t>.</w:t>
      </w:r>
    </w:p>
    <w:p w:rsidR="00005826" w:rsidRPr="003D1111" w:rsidRDefault="00994CA7" w:rsidP="003D1111">
      <w:pPr>
        <w:pStyle w:val="FootnoteText"/>
        <w:numPr>
          <w:ilvl w:val="0"/>
          <w:numId w:val="1"/>
        </w:numPr>
        <w:rPr>
          <w:rFonts w:ascii="Times New Roman" w:hAnsi="Times New Roman" w:cs="Times New Roman"/>
          <w:sz w:val="24"/>
          <w:szCs w:val="24"/>
        </w:rPr>
      </w:pPr>
      <w:r>
        <w:rPr>
          <w:rFonts w:ascii="Times New Roman" w:hAnsi="Times New Roman" w:cs="Times New Roman"/>
          <w:sz w:val="24"/>
          <w:szCs w:val="24"/>
        </w:rPr>
        <w:t>R. Descartes</w:t>
      </w:r>
      <w:r w:rsidRPr="00994CA7">
        <w:rPr>
          <w:rFonts w:ascii="Times New Roman" w:hAnsi="Times New Roman" w:cs="Times New Roman"/>
          <w:i/>
          <w:sz w:val="24"/>
          <w:szCs w:val="24"/>
        </w:rPr>
        <w:t>, M</w:t>
      </w:r>
      <w:r w:rsidR="00005826" w:rsidRPr="00994CA7">
        <w:rPr>
          <w:rFonts w:ascii="Times New Roman" w:hAnsi="Times New Roman" w:cs="Times New Roman"/>
          <w:i/>
          <w:sz w:val="24"/>
          <w:szCs w:val="24"/>
        </w:rPr>
        <w:t>editations on first philosophy</w:t>
      </w:r>
      <w:r w:rsidR="00005826" w:rsidRPr="003D1111">
        <w:rPr>
          <w:rFonts w:ascii="Times New Roman" w:hAnsi="Times New Roman" w:cs="Times New Roman"/>
          <w:sz w:val="24"/>
          <w:szCs w:val="24"/>
        </w:rPr>
        <w:t>, Cambridge University press, Cambridge</w:t>
      </w:r>
      <w:r w:rsidR="003D1111" w:rsidRPr="003D1111">
        <w:rPr>
          <w:rFonts w:ascii="Times New Roman" w:hAnsi="Times New Roman" w:cs="Times New Roman"/>
          <w:sz w:val="24"/>
          <w:szCs w:val="24"/>
        </w:rPr>
        <w:t>,</w:t>
      </w:r>
      <w:r w:rsidR="00005826" w:rsidRPr="003D1111">
        <w:rPr>
          <w:rFonts w:ascii="Times New Roman" w:hAnsi="Times New Roman" w:cs="Times New Roman"/>
          <w:sz w:val="24"/>
          <w:szCs w:val="24"/>
        </w:rPr>
        <w:t xml:space="preserve"> 1986</w:t>
      </w:r>
      <w:r w:rsidR="003D1111" w:rsidRPr="003D1111">
        <w:rPr>
          <w:rFonts w:ascii="Times New Roman" w:hAnsi="Times New Roman" w:cs="Times New Roman"/>
          <w:sz w:val="24"/>
          <w:szCs w:val="24"/>
        </w:rPr>
        <w:t>.</w:t>
      </w:r>
    </w:p>
    <w:p w:rsidR="00005826" w:rsidRPr="003D1111" w:rsidRDefault="00005826" w:rsidP="003D1111">
      <w:pPr>
        <w:pStyle w:val="ListParagraph"/>
        <w:numPr>
          <w:ilvl w:val="0"/>
          <w:numId w:val="1"/>
        </w:numPr>
        <w:rPr>
          <w:rFonts w:ascii="Times New Roman" w:hAnsi="Times New Roman" w:cs="Times New Roman"/>
          <w:sz w:val="24"/>
          <w:szCs w:val="24"/>
        </w:rPr>
      </w:pPr>
      <w:r w:rsidRPr="003D1111">
        <w:rPr>
          <w:rFonts w:ascii="Times New Roman" w:hAnsi="Times New Roman" w:cs="Times New Roman"/>
          <w:sz w:val="24"/>
          <w:szCs w:val="24"/>
        </w:rPr>
        <w:t>M. Merleau-Ponty</w:t>
      </w:r>
      <w:r w:rsidRPr="003D1111">
        <w:rPr>
          <w:rFonts w:ascii="Times New Roman" w:hAnsi="Times New Roman" w:cs="Times New Roman"/>
          <w:i/>
          <w:sz w:val="24"/>
          <w:szCs w:val="24"/>
        </w:rPr>
        <w:t xml:space="preserve">, </w:t>
      </w:r>
      <w:r w:rsidR="00994CA7">
        <w:rPr>
          <w:rFonts w:ascii="Times New Roman" w:hAnsi="Times New Roman" w:cs="Times New Roman"/>
          <w:i/>
          <w:sz w:val="24"/>
          <w:szCs w:val="24"/>
        </w:rPr>
        <w:t>P</w:t>
      </w:r>
      <w:r w:rsidRPr="003D1111">
        <w:rPr>
          <w:rFonts w:ascii="Times New Roman" w:hAnsi="Times New Roman" w:cs="Times New Roman"/>
          <w:i/>
          <w:sz w:val="24"/>
          <w:szCs w:val="24"/>
        </w:rPr>
        <w:t>henomenology of Perception</w:t>
      </w:r>
      <w:r w:rsidRPr="003D1111">
        <w:rPr>
          <w:rFonts w:ascii="Times New Roman" w:hAnsi="Times New Roman" w:cs="Times New Roman"/>
          <w:sz w:val="24"/>
          <w:szCs w:val="24"/>
        </w:rPr>
        <w:t>, Routledge, 19??, London</w:t>
      </w:r>
    </w:p>
    <w:p w:rsidR="00005826" w:rsidRPr="003D1111" w:rsidRDefault="00005826" w:rsidP="003D1111">
      <w:pPr>
        <w:pStyle w:val="Heading2"/>
        <w:numPr>
          <w:ilvl w:val="0"/>
          <w:numId w:val="1"/>
        </w:numPr>
        <w:rPr>
          <w:b w:val="0"/>
          <w:sz w:val="24"/>
          <w:szCs w:val="24"/>
        </w:rPr>
      </w:pPr>
      <w:r w:rsidRPr="003D1111">
        <w:rPr>
          <w:b w:val="0"/>
          <w:sz w:val="24"/>
          <w:szCs w:val="24"/>
        </w:rPr>
        <w:t xml:space="preserve">Timothy Williamson, </w:t>
      </w:r>
      <w:hyperlink r:id="rId8" w:history="1">
        <w:r w:rsidRPr="003D1111">
          <w:rPr>
            <w:b w:val="0"/>
            <w:i/>
            <w:sz w:val="24"/>
            <w:szCs w:val="24"/>
          </w:rPr>
          <w:t>The Oxford Handbook of Contemporary Philosophy</w:t>
        </w:r>
        <w:r w:rsidRPr="003D1111">
          <w:rPr>
            <w:b w:val="0"/>
            <w:sz w:val="24"/>
            <w:szCs w:val="24"/>
          </w:rPr>
          <w:t xml:space="preserve">, </w:t>
        </w:r>
      </w:hyperlink>
      <w:r w:rsidRPr="003D1111">
        <w:rPr>
          <w:b w:val="0"/>
          <w:sz w:val="24"/>
          <w:szCs w:val="24"/>
        </w:rPr>
        <w:t>Ed. Frank Jackson and Michael Smith,  2007.</w:t>
      </w:r>
    </w:p>
    <w:p w:rsidR="00005826" w:rsidRPr="003D1111" w:rsidRDefault="00005826" w:rsidP="003D1111">
      <w:pPr>
        <w:pStyle w:val="ListParagraph"/>
        <w:numPr>
          <w:ilvl w:val="0"/>
          <w:numId w:val="1"/>
        </w:numPr>
        <w:rPr>
          <w:rFonts w:ascii="Times New Roman" w:hAnsi="Times New Roman" w:cs="Times New Roman"/>
          <w:sz w:val="24"/>
          <w:szCs w:val="24"/>
        </w:rPr>
      </w:pPr>
      <w:r w:rsidRPr="003D1111">
        <w:rPr>
          <w:rFonts w:ascii="Times New Roman" w:hAnsi="Times New Roman" w:cs="Times New Roman"/>
          <w:sz w:val="24"/>
          <w:szCs w:val="24"/>
        </w:rPr>
        <w:t xml:space="preserve">David Chalmers, </w:t>
      </w:r>
      <w:hyperlink r:id="rId9" w:history="1">
        <w:r w:rsidRPr="003D1111">
          <w:rPr>
            <w:rStyle w:val="Hyperlink"/>
            <w:rFonts w:ascii="Times New Roman" w:hAnsi="Times New Roman" w:cs="Times New Roman"/>
            <w:sz w:val="24"/>
            <w:szCs w:val="24"/>
          </w:rPr>
          <w:t>http://serious-science.org/skepticism-and-the-simulation-hypothesis-6189</w:t>
        </w:r>
      </w:hyperlink>
      <w:r w:rsidRPr="003D1111">
        <w:rPr>
          <w:rFonts w:ascii="Times New Roman" w:hAnsi="Times New Roman" w:cs="Times New Roman"/>
          <w:sz w:val="24"/>
          <w:szCs w:val="24"/>
        </w:rPr>
        <w:t>, 13/11/2017</w:t>
      </w:r>
    </w:p>
    <w:p w:rsidR="00005826" w:rsidRPr="003D1111" w:rsidRDefault="00005826" w:rsidP="003D1111">
      <w:pPr>
        <w:pStyle w:val="FootnoteText"/>
        <w:numPr>
          <w:ilvl w:val="0"/>
          <w:numId w:val="1"/>
        </w:numPr>
        <w:rPr>
          <w:rFonts w:ascii="Times New Roman" w:hAnsi="Times New Roman" w:cs="Times New Roman"/>
          <w:sz w:val="24"/>
          <w:szCs w:val="24"/>
        </w:rPr>
      </w:pPr>
      <w:r w:rsidRPr="003D1111">
        <w:rPr>
          <w:rFonts w:ascii="Times New Roman" w:hAnsi="Times New Roman" w:cs="Times New Roman"/>
          <w:sz w:val="24"/>
          <w:szCs w:val="24"/>
        </w:rPr>
        <w:t>William Hare</w:t>
      </w:r>
      <w:r w:rsidRPr="003D1111">
        <w:rPr>
          <w:rFonts w:ascii="Times New Roman" w:hAnsi="Times New Roman" w:cs="Times New Roman"/>
          <w:i/>
          <w:sz w:val="24"/>
          <w:szCs w:val="24"/>
        </w:rPr>
        <w:t>, Journal of Thought</w:t>
      </w:r>
      <w:r w:rsidRPr="003D1111">
        <w:rPr>
          <w:rFonts w:ascii="Times New Roman" w:hAnsi="Times New Roman" w:cs="Times New Roman"/>
          <w:sz w:val="24"/>
          <w:szCs w:val="24"/>
        </w:rPr>
        <w:t xml:space="preserve"> 36,1,2001:7-16, Twentieth World Congress of Philosophy (The </w:t>
      </w:r>
      <w:r w:rsidR="003D1111" w:rsidRPr="003D1111">
        <w:rPr>
          <w:rFonts w:ascii="Times New Roman" w:hAnsi="Times New Roman" w:cs="Times New Roman"/>
          <w:sz w:val="24"/>
          <w:szCs w:val="24"/>
        </w:rPr>
        <w:t>Paideia Project On-line), 1999.</w:t>
      </w:r>
    </w:p>
    <w:p w:rsidR="003D1111" w:rsidRDefault="003D1111" w:rsidP="003D1111">
      <w:pPr>
        <w:pStyle w:val="ListParagraph"/>
        <w:numPr>
          <w:ilvl w:val="0"/>
          <w:numId w:val="1"/>
        </w:numPr>
        <w:rPr>
          <w:rStyle w:val="volume"/>
          <w:rFonts w:ascii="Times New Roman" w:hAnsi="Times New Roman" w:cs="Times New Roman"/>
          <w:sz w:val="24"/>
          <w:szCs w:val="24"/>
        </w:rPr>
      </w:pPr>
      <w:r w:rsidRPr="003D1111">
        <w:rPr>
          <w:rStyle w:val="entryauthor"/>
          <w:rFonts w:ascii="Times New Roman" w:hAnsi="Times New Roman" w:cs="Times New Roman"/>
          <w:sz w:val="24"/>
          <w:szCs w:val="24"/>
        </w:rPr>
        <w:t>M. Sacrini</w:t>
      </w:r>
      <w:r w:rsidRPr="003D1111">
        <w:rPr>
          <w:rFonts w:ascii="Times New Roman" w:hAnsi="Times New Roman" w:cs="Times New Roman"/>
          <w:sz w:val="24"/>
          <w:szCs w:val="24"/>
        </w:rPr>
        <w:t xml:space="preserve">, </w:t>
      </w:r>
      <w:hyperlink r:id="rId10" w:history="1">
        <w:r w:rsidRPr="003D1111">
          <w:rPr>
            <w:rStyle w:val="Hyperlink"/>
            <w:rFonts w:ascii="Times New Roman" w:hAnsi="Times New Roman" w:cs="Times New Roman"/>
            <w:i/>
            <w:color w:val="auto"/>
            <w:sz w:val="24"/>
            <w:szCs w:val="24"/>
            <w:u w:val="none"/>
          </w:rPr>
          <w:t xml:space="preserve">Merleau-Ponty’s Responses to </w:t>
        </w:r>
        <w:r w:rsidR="00CB7DAF" w:rsidRPr="003D1111">
          <w:rPr>
            <w:rStyle w:val="Hyperlink"/>
            <w:rFonts w:ascii="Times New Roman" w:hAnsi="Times New Roman" w:cs="Times New Roman"/>
            <w:i/>
            <w:color w:val="auto"/>
            <w:sz w:val="24"/>
            <w:szCs w:val="24"/>
            <w:u w:val="none"/>
          </w:rPr>
          <w:t>Scepticism</w:t>
        </w:r>
        <w:r w:rsidRPr="003D1111">
          <w:rPr>
            <w:rStyle w:val="Hyperlink"/>
            <w:rFonts w:ascii="Times New Roman" w:hAnsi="Times New Roman" w:cs="Times New Roman"/>
            <w:i/>
            <w:color w:val="auto"/>
            <w:sz w:val="24"/>
            <w:szCs w:val="24"/>
            <w:u w:val="none"/>
          </w:rPr>
          <w:t>: A Critical Appraisal</w:t>
        </w:r>
      </w:hyperlink>
      <w:r w:rsidRPr="003D1111">
        <w:rPr>
          <w:rFonts w:ascii="Times New Roman" w:hAnsi="Times New Roman" w:cs="Times New Roman"/>
          <w:i/>
          <w:sz w:val="24"/>
          <w:szCs w:val="24"/>
        </w:rPr>
        <w:t xml:space="preserve">, </w:t>
      </w:r>
      <w:hyperlink r:id="rId11" w:history="1">
        <w:r w:rsidRPr="003D1111">
          <w:rPr>
            <w:rStyle w:val="journalname"/>
            <w:rFonts w:ascii="Times New Roman" w:hAnsi="Times New Roman" w:cs="Times New Roman"/>
            <w:sz w:val="24"/>
            <w:szCs w:val="24"/>
          </w:rPr>
          <w:t>International Journal of Philosophical Studies</w:t>
        </w:r>
        <w:r w:rsidRPr="003D1111">
          <w:rPr>
            <w:rStyle w:val="Hyperlink"/>
            <w:rFonts w:ascii="Times New Roman" w:hAnsi="Times New Roman" w:cs="Times New Roman"/>
            <w:color w:val="auto"/>
            <w:sz w:val="24"/>
            <w:szCs w:val="24"/>
            <w:u w:val="none"/>
          </w:rPr>
          <w:t xml:space="preserve"> </w:t>
        </w:r>
      </w:hyperlink>
      <w:r w:rsidRPr="003D1111">
        <w:rPr>
          <w:rStyle w:val="volume"/>
          <w:rFonts w:ascii="Times New Roman" w:hAnsi="Times New Roman" w:cs="Times New Roman"/>
          <w:sz w:val="24"/>
          <w:szCs w:val="24"/>
        </w:rPr>
        <w:t xml:space="preserve">Vol. 21 , Iss. 5,2013 </w:t>
      </w:r>
    </w:p>
    <w:p w:rsidR="003D1111" w:rsidRDefault="003D1111" w:rsidP="003D1111">
      <w:pPr>
        <w:pStyle w:val="ListParagraph"/>
        <w:numPr>
          <w:ilvl w:val="0"/>
          <w:numId w:val="1"/>
        </w:numPr>
        <w:rPr>
          <w:rFonts w:ascii="Times New Roman" w:hAnsi="Times New Roman" w:cs="Times New Roman"/>
          <w:sz w:val="24"/>
          <w:szCs w:val="24"/>
        </w:rPr>
      </w:pPr>
      <w:r>
        <w:rPr>
          <w:rFonts w:ascii="Times New Roman" w:hAnsi="Times New Roman" w:cs="Times New Roman"/>
          <w:i/>
          <w:sz w:val="24"/>
          <w:szCs w:val="24"/>
        </w:rPr>
        <w:t xml:space="preserve">The Shorter Routledge </w:t>
      </w:r>
      <w:r w:rsidR="00CB7DAF">
        <w:rPr>
          <w:rFonts w:ascii="Times New Roman" w:hAnsi="Times New Roman" w:cs="Times New Roman"/>
          <w:i/>
          <w:sz w:val="24"/>
          <w:szCs w:val="24"/>
        </w:rPr>
        <w:t>Encyclopaedia</w:t>
      </w:r>
      <w:r>
        <w:rPr>
          <w:rFonts w:ascii="Times New Roman" w:hAnsi="Times New Roman" w:cs="Times New Roman"/>
          <w:i/>
          <w:sz w:val="24"/>
          <w:szCs w:val="24"/>
        </w:rPr>
        <w:t xml:space="preserve"> of Philosophy,</w:t>
      </w:r>
      <w:r w:rsidR="00CB7DAF">
        <w:rPr>
          <w:rFonts w:ascii="Times New Roman" w:hAnsi="Times New Roman" w:cs="Times New Roman"/>
          <w:sz w:val="24"/>
          <w:szCs w:val="24"/>
        </w:rPr>
        <w:t xml:space="preserve"> E</w:t>
      </w:r>
      <w:r>
        <w:rPr>
          <w:rFonts w:ascii="Times New Roman" w:hAnsi="Times New Roman" w:cs="Times New Roman"/>
          <w:sz w:val="24"/>
          <w:szCs w:val="24"/>
        </w:rPr>
        <w:t>d. E. Craig, Routledge, London, 2005.</w:t>
      </w:r>
    </w:p>
    <w:p w:rsidR="003D1111" w:rsidRPr="003D1111" w:rsidRDefault="003D1111" w:rsidP="003D1111">
      <w:pPr>
        <w:pStyle w:val="ListParagraph"/>
        <w:numPr>
          <w:ilvl w:val="0"/>
          <w:numId w:val="1"/>
        </w:numPr>
        <w:rPr>
          <w:rFonts w:ascii="Times New Roman" w:hAnsi="Times New Roman" w:cs="Times New Roman"/>
          <w:sz w:val="24"/>
          <w:szCs w:val="24"/>
        </w:rPr>
      </w:pPr>
      <w:r>
        <w:rPr>
          <w:rFonts w:ascii="Times New Roman" w:hAnsi="Times New Roman" w:cs="Times New Roman"/>
          <w:i/>
          <w:sz w:val="24"/>
          <w:szCs w:val="24"/>
        </w:rPr>
        <w:t xml:space="preserve">A Dictionary of Philosophy, </w:t>
      </w:r>
      <w:r>
        <w:rPr>
          <w:rFonts w:ascii="Times New Roman" w:hAnsi="Times New Roman" w:cs="Times New Roman"/>
          <w:sz w:val="24"/>
          <w:szCs w:val="24"/>
        </w:rPr>
        <w:t>A. Lacey, Routledge, London, 1996.</w:t>
      </w:r>
    </w:p>
    <w:p w:rsidR="00005826" w:rsidRPr="003D1111" w:rsidRDefault="00005826" w:rsidP="00005826">
      <w:pPr>
        <w:rPr>
          <w:rStyle w:val="entryauthor"/>
          <w:rFonts w:ascii="Times New Roman" w:hAnsi="Times New Roman" w:cs="Times New Roman"/>
          <w:sz w:val="24"/>
          <w:szCs w:val="24"/>
        </w:rPr>
      </w:pPr>
    </w:p>
    <w:p w:rsidR="00005826" w:rsidRPr="003D1111" w:rsidRDefault="00005826" w:rsidP="00005826">
      <w:pPr>
        <w:pStyle w:val="FootnoteText"/>
        <w:rPr>
          <w:rFonts w:ascii="Times New Roman" w:hAnsi="Times New Roman" w:cs="Times New Roman"/>
          <w:sz w:val="22"/>
          <w:szCs w:val="22"/>
        </w:rPr>
      </w:pPr>
    </w:p>
    <w:p w:rsidR="00005826" w:rsidRPr="00005826" w:rsidRDefault="00005826" w:rsidP="00005826">
      <w:pPr>
        <w:rPr>
          <w:rFonts w:cstheme="minorHAnsi"/>
        </w:rPr>
      </w:pPr>
    </w:p>
    <w:p w:rsidR="00005826" w:rsidRPr="00005826" w:rsidRDefault="00005826">
      <w:pPr>
        <w:rPr>
          <w:rFonts w:cstheme="minorHAnsi"/>
        </w:rPr>
      </w:pPr>
    </w:p>
    <w:sectPr w:rsidR="00005826" w:rsidRPr="000058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7E1C" w:rsidRDefault="00677E1C" w:rsidP="00C55759">
      <w:pPr>
        <w:spacing w:after="0" w:line="240" w:lineRule="auto"/>
      </w:pPr>
      <w:r>
        <w:separator/>
      </w:r>
    </w:p>
  </w:endnote>
  <w:endnote w:type="continuationSeparator" w:id="0">
    <w:p w:rsidR="00677E1C" w:rsidRDefault="00677E1C" w:rsidP="00C557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7E1C" w:rsidRDefault="00677E1C" w:rsidP="00C55759">
      <w:pPr>
        <w:spacing w:after="0" w:line="240" w:lineRule="auto"/>
      </w:pPr>
      <w:r>
        <w:separator/>
      </w:r>
    </w:p>
  </w:footnote>
  <w:footnote w:type="continuationSeparator" w:id="0">
    <w:p w:rsidR="00677E1C" w:rsidRDefault="00677E1C" w:rsidP="00C55759">
      <w:pPr>
        <w:spacing w:after="0" w:line="240" w:lineRule="auto"/>
      </w:pPr>
      <w:r>
        <w:continuationSeparator/>
      </w:r>
    </w:p>
  </w:footnote>
  <w:footnote w:id="1">
    <w:p w:rsidR="00D31600" w:rsidRDefault="00D31600">
      <w:pPr>
        <w:pStyle w:val="FootnoteText"/>
      </w:pPr>
      <w:r>
        <w:rPr>
          <w:rStyle w:val="FootnoteReference"/>
        </w:rPr>
        <w:footnoteRef/>
      </w:r>
      <w:r>
        <w:t xml:space="preserve"> B. Russell, </w:t>
      </w:r>
      <w:r>
        <w:rPr>
          <w:i/>
        </w:rPr>
        <w:t>The Problems of Philosophy,</w:t>
      </w:r>
      <w:r>
        <w:t xml:space="preserve"> </w:t>
      </w:r>
      <w:r w:rsidR="00BF343D">
        <w:t>Williams and Norgate</w:t>
      </w:r>
      <w:r>
        <w:t>,</w:t>
      </w:r>
      <w:r w:rsidR="00BF343D">
        <w:t xml:space="preserve"> </w:t>
      </w:r>
      <w:r>
        <w:t>1925,</w:t>
      </w:r>
      <w:r w:rsidR="002B1ED1">
        <w:t xml:space="preserve"> Ch. 2.</w:t>
      </w:r>
    </w:p>
  </w:footnote>
  <w:footnote w:id="2">
    <w:p w:rsidR="00D31600" w:rsidRDefault="00D31600">
      <w:pPr>
        <w:pStyle w:val="FootnoteText"/>
      </w:pPr>
      <w:r>
        <w:rPr>
          <w:rStyle w:val="FootnoteReference"/>
        </w:rPr>
        <w:footnoteRef/>
      </w:r>
      <w:r>
        <w:t xml:space="preserve"> ibid</w:t>
      </w:r>
    </w:p>
  </w:footnote>
  <w:footnote w:id="3">
    <w:p w:rsidR="00D31600" w:rsidRDefault="00D31600">
      <w:pPr>
        <w:pStyle w:val="FootnoteText"/>
      </w:pPr>
      <w:r>
        <w:rPr>
          <w:rStyle w:val="FootnoteReference"/>
        </w:rPr>
        <w:footnoteRef/>
      </w:r>
      <w:r>
        <w:t xml:space="preserve"> ibid</w:t>
      </w:r>
    </w:p>
  </w:footnote>
  <w:footnote w:id="4">
    <w:p w:rsidR="00BE174F" w:rsidRPr="00BE174F" w:rsidRDefault="00BE174F">
      <w:pPr>
        <w:pStyle w:val="FootnoteText"/>
      </w:pPr>
      <w:r>
        <w:rPr>
          <w:rStyle w:val="FootnoteReference"/>
        </w:rPr>
        <w:footnoteRef/>
      </w:r>
      <w:r w:rsidR="002B1ED1">
        <w:t xml:space="preserve"> ibid</w:t>
      </w:r>
    </w:p>
  </w:footnote>
  <w:footnote w:id="5">
    <w:p w:rsidR="00BE174F" w:rsidRDefault="00BE174F">
      <w:pPr>
        <w:pStyle w:val="FootnoteText"/>
      </w:pPr>
      <w:r>
        <w:rPr>
          <w:rStyle w:val="FootnoteReference"/>
        </w:rPr>
        <w:footnoteRef/>
      </w:r>
      <w:r>
        <w:t xml:space="preserve"> ibid</w:t>
      </w:r>
    </w:p>
  </w:footnote>
  <w:footnote w:id="6">
    <w:p w:rsidR="00BE174F" w:rsidRDefault="00BE174F">
      <w:pPr>
        <w:pStyle w:val="FootnoteText"/>
      </w:pPr>
      <w:r>
        <w:rPr>
          <w:rStyle w:val="FootnoteReference"/>
        </w:rPr>
        <w:footnoteRef/>
      </w:r>
      <w:r>
        <w:t xml:space="preserve"> </w:t>
      </w:r>
      <w:r w:rsidR="002B2890">
        <w:t>ibid</w:t>
      </w:r>
    </w:p>
  </w:footnote>
  <w:footnote w:id="7">
    <w:p w:rsidR="00BE174F" w:rsidRDefault="00BE174F">
      <w:pPr>
        <w:pStyle w:val="FootnoteText"/>
      </w:pPr>
      <w:r>
        <w:rPr>
          <w:rStyle w:val="FootnoteReference"/>
        </w:rPr>
        <w:footnoteRef/>
      </w:r>
      <w:r>
        <w:t xml:space="preserve"> </w:t>
      </w:r>
      <w:r w:rsidR="002B2890">
        <w:t>ibid</w:t>
      </w:r>
    </w:p>
  </w:footnote>
  <w:footnote w:id="8">
    <w:p w:rsidR="00BE174F" w:rsidRDefault="00BE174F">
      <w:pPr>
        <w:pStyle w:val="FootnoteText"/>
      </w:pPr>
      <w:r>
        <w:rPr>
          <w:rStyle w:val="FootnoteReference"/>
        </w:rPr>
        <w:footnoteRef/>
      </w:r>
      <w:r w:rsidR="002B1ED1">
        <w:t xml:space="preserve">B. Russell, </w:t>
      </w:r>
      <w:r w:rsidR="002B1ED1">
        <w:rPr>
          <w:i/>
        </w:rPr>
        <w:t>The Problems of Philosophy,</w:t>
      </w:r>
      <w:r w:rsidR="002B1ED1">
        <w:t xml:space="preserve"> </w:t>
      </w:r>
      <w:r w:rsidR="005D2141">
        <w:t>Williams and Norgate, London</w:t>
      </w:r>
      <w:r w:rsidR="002B1ED1">
        <w:t>,</w:t>
      </w:r>
      <w:r w:rsidR="005D2141">
        <w:t xml:space="preserve"> </w:t>
      </w:r>
      <w:r w:rsidR="002B1ED1">
        <w:t>1</w:t>
      </w:r>
      <w:r w:rsidR="005D2141">
        <w:t>912</w:t>
      </w:r>
      <w:r w:rsidR="002B1ED1">
        <w:t>, Ch. 2.</w:t>
      </w:r>
    </w:p>
  </w:footnote>
  <w:footnote w:id="9">
    <w:p w:rsidR="00BE174F" w:rsidRDefault="00BE174F">
      <w:pPr>
        <w:pStyle w:val="FootnoteText"/>
      </w:pPr>
      <w:r>
        <w:rPr>
          <w:rStyle w:val="FootnoteReference"/>
        </w:rPr>
        <w:footnoteRef/>
      </w:r>
      <w:r w:rsidR="002B1ED1">
        <w:t xml:space="preserve"> ibid</w:t>
      </w:r>
    </w:p>
  </w:footnote>
  <w:footnote w:id="10">
    <w:p w:rsidR="00D71CDE" w:rsidRDefault="00D71CDE" w:rsidP="00D71CDE">
      <w:pPr>
        <w:pStyle w:val="FootnoteText"/>
      </w:pPr>
      <w:r>
        <w:rPr>
          <w:rStyle w:val="FootnoteReference"/>
        </w:rPr>
        <w:footnoteRef/>
      </w:r>
      <w:r>
        <w:t xml:space="preserve"> ibid</w:t>
      </w:r>
    </w:p>
  </w:footnote>
  <w:footnote w:id="11">
    <w:p w:rsidR="00FD4E65" w:rsidRDefault="00FD4E65">
      <w:pPr>
        <w:pStyle w:val="FootnoteText"/>
      </w:pPr>
      <w:r>
        <w:rPr>
          <w:rStyle w:val="FootnoteReference"/>
        </w:rPr>
        <w:footnoteRef/>
      </w:r>
      <w:r>
        <w:t xml:space="preserve"> Ibid</w:t>
      </w:r>
    </w:p>
  </w:footnote>
  <w:footnote w:id="12">
    <w:p w:rsidR="00BE174F" w:rsidRDefault="00BE174F">
      <w:pPr>
        <w:pStyle w:val="FootnoteText"/>
      </w:pPr>
      <w:r>
        <w:rPr>
          <w:rStyle w:val="FootnoteReference"/>
        </w:rPr>
        <w:footnoteRef/>
      </w:r>
      <w:r>
        <w:t xml:space="preserve"> ibid</w:t>
      </w:r>
    </w:p>
  </w:footnote>
  <w:footnote w:id="13">
    <w:p w:rsidR="005838C3" w:rsidRDefault="005838C3" w:rsidP="005838C3">
      <w:pPr>
        <w:pStyle w:val="FootnoteText"/>
      </w:pPr>
      <w:r>
        <w:rPr>
          <w:rStyle w:val="FootnoteReference"/>
        </w:rPr>
        <w:footnoteRef/>
      </w:r>
      <w:r>
        <w:t xml:space="preserve"> ibid</w:t>
      </w:r>
    </w:p>
  </w:footnote>
  <w:footnote w:id="14">
    <w:p w:rsidR="0011782D" w:rsidRDefault="0011782D" w:rsidP="0011782D">
      <w:pPr>
        <w:pStyle w:val="FootnoteText"/>
      </w:pPr>
      <w:r>
        <w:rPr>
          <w:rStyle w:val="FootnoteReference"/>
        </w:rPr>
        <w:footnoteRef/>
      </w:r>
      <w:r>
        <w:t xml:space="preserve"> William Hare</w:t>
      </w:r>
      <w:r w:rsidRPr="00797CB7">
        <w:rPr>
          <w:i/>
        </w:rPr>
        <w:t>, Journal of Thought</w:t>
      </w:r>
      <w:r>
        <w:t xml:space="preserve"> 36,1,2001:7-16, Twentieth World Congress of Philosophy (The Paideia Project On-line), 1999.</w:t>
      </w:r>
    </w:p>
  </w:footnote>
  <w:footnote w:id="15">
    <w:p w:rsidR="00994CA7" w:rsidRPr="00994CA7" w:rsidRDefault="00994CA7">
      <w:pPr>
        <w:pStyle w:val="FootnoteText"/>
      </w:pPr>
      <w:r>
        <w:rPr>
          <w:rStyle w:val="FootnoteReference"/>
        </w:rPr>
        <w:footnoteRef/>
      </w:r>
      <w:r>
        <w:t xml:space="preserve"> M. Merleau-Ponty, </w:t>
      </w:r>
      <w:r>
        <w:rPr>
          <w:i/>
        </w:rPr>
        <w:t xml:space="preserve">Phenomenology of Perception, </w:t>
      </w:r>
      <w:r>
        <w:t>Routledge, London, 1962, Pg. 94</w:t>
      </w:r>
    </w:p>
  </w:footnote>
  <w:footnote w:id="16">
    <w:p w:rsidR="004B5AA8" w:rsidRPr="004B5AA8" w:rsidRDefault="004B5AA8" w:rsidP="004B5AA8">
      <w:pPr>
        <w:rPr>
          <w:sz w:val="20"/>
          <w:szCs w:val="20"/>
        </w:rPr>
      </w:pPr>
      <w:r w:rsidRPr="004B5AA8">
        <w:rPr>
          <w:rStyle w:val="FootnoteReference"/>
          <w:sz w:val="20"/>
          <w:szCs w:val="20"/>
        </w:rPr>
        <w:footnoteRef/>
      </w:r>
      <w:r w:rsidRPr="004B5AA8">
        <w:rPr>
          <w:sz w:val="20"/>
          <w:szCs w:val="20"/>
        </w:rPr>
        <w:t xml:space="preserve"> </w:t>
      </w:r>
      <w:r w:rsidRPr="004B5AA8">
        <w:rPr>
          <w:rStyle w:val="entryauthor"/>
          <w:sz w:val="20"/>
          <w:szCs w:val="20"/>
        </w:rPr>
        <w:t>M.</w:t>
      </w:r>
      <w:r w:rsidRPr="004B5AA8">
        <w:rPr>
          <w:rStyle w:val="entryauthor"/>
          <w:sz w:val="20"/>
          <w:szCs w:val="20"/>
        </w:rPr>
        <w:t xml:space="preserve"> Sacrini</w:t>
      </w:r>
      <w:r w:rsidRPr="004B5AA8">
        <w:rPr>
          <w:sz w:val="20"/>
          <w:szCs w:val="20"/>
        </w:rPr>
        <w:t xml:space="preserve">, </w:t>
      </w:r>
      <w:hyperlink r:id="rId1" w:history="1">
        <w:r w:rsidRPr="004B5AA8">
          <w:rPr>
            <w:rStyle w:val="Hyperlink"/>
            <w:i/>
            <w:color w:val="auto"/>
            <w:sz w:val="20"/>
            <w:szCs w:val="20"/>
            <w:u w:val="none"/>
          </w:rPr>
          <w:t xml:space="preserve">Merleau-Ponty’s Responses to </w:t>
        </w:r>
        <w:r w:rsidR="00CB7DAF" w:rsidRPr="004B5AA8">
          <w:rPr>
            <w:rStyle w:val="Hyperlink"/>
            <w:i/>
            <w:color w:val="auto"/>
            <w:sz w:val="20"/>
            <w:szCs w:val="20"/>
            <w:u w:val="none"/>
          </w:rPr>
          <w:t>Scepticism</w:t>
        </w:r>
        <w:r w:rsidRPr="004B5AA8">
          <w:rPr>
            <w:rStyle w:val="Hyperlink"/>
            <w:i/>
            <w:color w:val="auto"/>
            <w:sz w:val="20"/>
            <w:szCs w:val="20"/>
            <w:u w:val="none"/>
          </w:rPr>
          <w:t>: A Critical Appraisal</w:t>
        </w:r>
      </w:hyperlink>
      <w:r w:rsidRPr="004B5AA8">
        <w:rPr>
          <w:i/>
          <w:sz w:val="20"/>
          <w:szCs w:val="20"/>
        </w:rPr>
        <w:t xml:space="preserve">, </w:t>
      </w:r>
      <w:hyperlink r:id="rId2" w:history="1">
        <w:r w:rsidRPr="004B5AA8">
          <w:rPr>
            <w:rStyle w:val="journalname"/>
            <w:sz w:val="20"/>
            <w:szCs w:val="20"/>
          </w:rPr>
          <w:t>International Journal of Philosophical Studies</w:t>
        </w:r>
        <w:r w:rsidRPr="004B5AA8">
          <w:rPr>
            <w:rStyle w:val="Hyperlink"/>
            <w:color w:val="auto"/>
            <w:sz w:val="20"/>
            <w:szCs w:val="20"/>
            <w:u w:val="none"/>
          </w:rPr>
          <w:t xml:space="preserve"> </w:t>
        </w:r>
      </w:hyperlink>
      <w:r w:rsidRPr="004B5AA8">
        <w:rPr>
          <w:rStyle w:val="volume"/>
          <w:sz w:val="20"/>
          <w:szCs w:val="20"/>
        </w:rPr>
        <w:t xml:space="preserve">Vol. 21 , Iss. 5,2013 </w:t>
      </w:r>
    </w:p>
  </w:footnote>
  <w:footnote w:id="17">
    <w:p w:rsidR="00DC739C" w:rsidRDefault="00DC739C" w:rsidP="00DC739C">
      <w:pPr>
        <w:pStyle w:val="FootnoteText"/>
      </w:pPr>
      <w:r>
        <w:rPr>
          <w:rStyle w:val="FootnoteReference"/>
        </w:rPr>
        <w:footnoteRef/>
      </w:r>
      <w:r>
        <w:t xml:space="preserve"> R. Descartes, </w:t>
      </w:r>
      <w:r w:rsidR="00994CA7">
        <w:rPr>
          <w:i/>
        </w:rPr>
        <w:t>Meditations on first p</w:t>
      </w:r>
      <w:r w:rsidRPr="00994CA7">
        <w:rPr>
          <w:i/>
        </w:rPr>
        <w:t>hilosophy</w:t>
      </w:r>
      <w:r>
        <w:t>, Cambridge University press, Cambridge</w:t>
      </w:r>
      <w:r w:rsidR="00994CA7">
        <w:t>,</w:t>
      </w:r>
      <w:r>
        <w:t xml:space="preserve"> 1986</w:t>
      </w:r>
      <w:r w:rsidR="00994CA7">
        <w:t>, Pg.</w:t>
      </w:r>
      <w:r>
        <w:t xml:space="preserve"> 12</w:t>
      </w:r>
      <w:r w:rsidR="00994CA7">
        <w:t>.</w:t>
      </w:r>
    </w:p>
  </w:footnote>
  <w:footnote w:id="18">
    <w:p w:rsidR="00D9608D" w:rsidRPr="00D9608D" w:rsidRDefault="00D9608D" w:rsidP="00D9608D">
      <w:pPr>
        <w:pStyle w:val="Heading2"/>
        <w:rPr>
          <w:b w:val="0"/>
          <w:sz w:val="20"/>
          <w:szCs w:val="20"/>
        </w:rPr>
      </w:pPr>
      <w:r w:rsidRPr="00D9608D">
        <w:rPr>
          <w:rStyle w:val="FootnoteReference"/>
          <w:b w:val="0"/>
          <w:sz w:val="20"/>
          <w:szCs w:val="20"/>
        </w:rPr>
        <w:footnoteRef/>
      </w:r>
      <w:r w:rsidRPr="00D9608D">
        <w:rPr>
          <w:b w:val="0"/>
          <w:sz w:val="20"/>
          <w:szCs w:val="20"/>
        </w:rPr>
        <w:t xml:space="preserve"> Timothy Williamson, </w:t>
      </w:r>
      <w:hyperlink r:id="rId3" w:history="1">
        <w:r w:rsidRPr="00797CB7">
          <w:rPr>
            <w:b w:val="0"/>
            <w:i/>
            <w:sz w:val="20"/>
            <w:szCs w:val="20"/>
          </w:rPr>
          <w:t>The Oxford Handbook of Contemporary Philosophy</w:t>
        </w:r>
        <w:r w:rsidRPr="00D9608D">
          <w:rPr>
            <w:b w:val="0"/>
            <w:sz w:val="20"/>
            <w:szCs w:val="20"/>
          </w:rPr>
          <w:t xml:space="preserve">, </w:t>
        </w:r>
      </w:hyperlink>
      <w:r w:rsidRPr="00D9608D">
        <w:rPr>
          <w:b w:val="0"/>
          <w:sz w:val="20"/>
          <w:szCs w:val="20"/>
        </w:rPr>
        <w:t>Ed. Frank Jackson and Michael Smith,  2007.</w:t>
      </w:r>
    </w:p>
  </w:footnote>
  <w:footnote w:id="19">
    <w:p w:rsidR="00D9608D" w:rsidRPr="006D7AD2" w:rsidRDefault="00D9608D" w:rsidP="00D603FF">
      <w:pPr>
        <w:rPr>
          <w:sz w:val="20"/>
          <w:szCs w:val="20"/>
        </w:rPr>
      </w:pPr>
      <w:r w:rsidRPr="006D7AD2">
        <w:rPr>
          <w:rStyle w:val="FootnoteReference"/>
          <w:sz w:val="20"/>
          <w:szCs w:val="20"/>
        </w:rPr>
        <w:footnoteRef/>
      </w:r>
      <w:r w:rsidR="00D603FF" w:rsidRPr="006D7AD2">
        <w:rPr>
          <w:sz w:val="20"/>
          <w:szCs w:val="20"/>
        </w:rPr>
        <w:t xml:space="preserve"> David Chalmers, </w:t>
      </w:r>
      <w:hyperlink r:id="rId4" w:history="1">
        <w:r w:rsidR="00D603FF" w:rsidRPr="006D7AD2">
          <w:rPr>
            <w:rStyle w:val="Hyperlink"/>
            <w:sz w:val="20"/>
            <w:szCs w:val="20"/>
          </w:rPr>
          <w:t>http://serious-science.org/skepticism-and-the-simulation-hypothesis-6189</w:t>
        </w:r>
      </w:hyperlink>
      <w:r w:rsidR="00D603FF" w:rsidRPr="006D7AD2">
        <w:rPr>
          <w:sz w:val="20"/>
          <w:szCs w:val="20"/>
        </w:rPr>
        <w:t>, 13/11/2017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9B63EF6"/>
    <w:multiLevelType w:val="hybridMultilevel"/>
    <w:tmpl w:val="330CB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9798EA0B-7B34-4238-AF05-841312C2A3B4}"/>
    <w:docVar w:name="dgnword-eventsink" w:val="238832024"/>
  </w:docVars>
  <w:rsids>
    <w:rsidRoot w:val="00566BF1"/>
    <w:rsid w:val="00005826"/>
    <w:rsid w:val="00060733"/>
    <w:rsid w:val="00086BF6"/>
    <w:rsid w:val="000A1119"/>
    <w:rsid w:val="000B22CF"/>
    <w:rsid w:val="000E4D5C"/>
    <w:rsid w:val="00110B45"/>
    <w:rsid w:val="0011782D"/>
    <w:rsid w:val="001A130A"/>
    <w:rsid w:val="001A4174"/>
    <w:rsid w:val="001C4BED"/>
    <w:rsid w:val="001F0760"/>
    <w:rsid w:val="00250C23"/>
    <w:rsid w:val="00287F40"/>
    <w:rsid w:val="002A4454"/>
    <w:rsid w:val="002B1ED1"/>
    <w:rsid w:val="002B2890"/>
    <w:rsid w:val="002D5AB8"/>
    <w:rsid w:val="002E099A"/>
    <w:rsid w:val="002E4662"/>
    <w:rsid w:val="0035442F"/>
    <w:rsid w:val="003D1111"/>
    <w:rsid w:val="003F5419"/>
    <w:rsid w:val="0044307F"/>
    <w:rsid w:val="004552E3"/>
    <w:rsid w:val="004B5AA8"/>
    <w:rsid w:val="004C7B9D"/>
    <w:rsid w:val="005145FE"/>
    <w:rsid w:val="005169F6"/>
    <w:rsid w:val="00545F7E"/>
    <w:rsid w:val="00566BF1"/>
    <w:rsid w:val="0058111D"/>
    <w:rsid w:val="005838C3"/>
    <w:rsid w:val="00583EC8"/>
    <w:rsid w:val="005A1984"/>
    <w:rsid w:val="005C5CF6"/>
    <w:rsid w:val="005C6C14"/>
    <w:rsid w:val="005D2141"/>
    <w:rsid w:val="005F1121"/>
    <w:rsid w:val="0064678F"/>
    <w:rsid w:val="00652608"/>
    <w:rsid w:val="00677E1C"/>
    <w:rsid w:val="00691633"/>
    <w:rsid w:val="006B2659"/>
    <w:rsid w:val="006D511D"/>
    <w:rsid w:val="006D7AD2"/>
    <w:rsid w:val="0071236E"/>
    <w:rsid w:val="00713B64"/>
    <w:rsid w:val="00744787"/>
    <w:rsid w:val="00757731"/>
    <w:rsid w:val="00797CB7"/>
    <w:rsid w:val="007A3793"/>
    <w:rsid w:val="007B4D1D"/>
    <w:rsid w:val="007E0449"/>
    <w:rsid w:val="00857D44"/>
    <w:rsid w:val="00862960"/>
    <w:rsid w:val="00881598"/>
    <w:rsid w:val="008D5C45"/>
    <w:rsid w:val="008E6C2A"/>
    <w:rsid w:val="008E7097"/>
    <w:rsid w:val="00912F3D"/>
    <w:rsid w:val="00937FB9"/>
    <w:rsid w:val="00971ACF"/>
    <w:rsid w:val="009871AF"/>
    <w:rsid w:val="00994CA7"/>
    <w:rsid w:val="009A2F29"/>
    <w:rsid w:val="009B4FC3"/>
    <w:rsid w:val="009C1D31"/>
    <w:rsid w:val="009F414C"/>
    <w:rsid w:val="00A85F86"/>
    <w:rsid w:val="00AA2BF0"/>
    <w:rsid w:val="00AB0715"/>
    <w:rsid w:val="00AC7BBC"/>
    <w:rsid w:val="00AF41D3"/>
    <w:rsid w:val="00B034D2"/>
    <w:rsid w:val="00B50ECE"/>
    <w:rsid w:val="00B9194F"/>
    <w:rsid w:val="00BE174F"/>
    <w:rsid w:val="00BF343D"/>
    <w:rsid w:val="00C44576"/>
    <w:rsid w:val="00C55759"/>
    <w:rsid w:val="00C97083"/>
    <w:rsid w:val="00CB7DAF"/>
    <w:rsid w:val="00D132E6"/>
    <w:rsid w:val="00D23B9B"/>
    <w:rsid w:val="00D31600"/>
    <w:rsid w:val="00D36DED"/>
    <w:rsid w:val="00D4214B"/>
    <w:rsid w:val="00D603FF"/>
    <w:rsid w:val="00D624D4"/>
    <w:rsid w:val="00D71CDE"/>
    <w:rsid w:val="00D9608D"/>
    <w:rsid w:val="00D964A4"/>
    <w:rsid w:val="00DA4613"/>
    <w:rsid w:val="00DC739C"/>
    <w:rsid w:val="00DE0A41"/>
    <w:rsid w:val="00E03A32"/>
    <w:rsid w:val="00E30ADF"/>
    <w:rsid w:val="00E82EC5"/>
    <w:rsid w:val="00ED77F7"/>
    <w:rsid w:val="00F0014F"/>
    <w:rsid w:val="00F515F7"/>
    <w:rsid w:val="00F63EBB"/>
    <w:rsid w:val="00F93B3A"/>
    <w:rsid w:val="00FD4E65"/>
    <w:rsid w:val="00FE4D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8290A"/>
  <w15:chartTrackingRefBased/>
  <w15:docId w15:val="{0DB1FA2C-BD10-49A9-AF6D-EFE738313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C5575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66BF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semiHidden/>
    <w:unhideWhenUsed/>
    <w:rsid w:val="00C5575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55759"/>
    <w:rPr>
      <w:sz w:val="20"/>
      <w:szCs w:val="20"/>
    </w:rPr>
  </w:style>
  <w:style w:type="character" w:styleId="FootnoteReference">
    <w:name w:val="footnote reference"/>
    <w:basedOn w:val="DefaultParagraphFont"/>
    <w:uiPriority w:val="99"/>
    <w:semiHidden/>
    <w:unhideWhenUsed/>
    <w:rsid w:val="00C55759"/>
    <w:rPr>
      <w:vertAlign w:val="superscript"/>
    </w:rPr>
  </w:style>
  <w:style w:type="character" w:customStyle="1" w:styleId="Heading2Char">
    <w:name w:val="Heading 2 Char"/>
    <w:basedOn w:val="DefaultParagraphFont"/>
    <w:link w:val="Heading2"/>
    <w:uiPriority w:val="9"/>
    <w:rsid w:val="00C55759"/>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unhideWhenUsed/>
    <w:rsid w:val="00C55759"/>
    <w:rPr>
      <w:color w:val="0000FF"/>
      <w:u w:val="single"/>
    </w:rPr>
  </w:style>
  <w:style w:type="character" w:customStyle="1" w:styleId="entryauthor">
    <w:name w:val="entryauthor"/>
    <w:basedOn w:val="DefaultParagraphFont"/>
    <w:rsid w:val="004B5AA8"/>
  </w:style>
  <w:style w:type="character" w:customStyle="1" w:styleId="journalname">
    <w:name w:val="journalname"/>
    <w:basedOn w:val="DefaultParagraphFont"/>
    <w:rsid w:val="004B5AA8"/>
  </w:style>
  <w:style w:type="character" w:customStyle="1" w:styleId="volume">
    <w:name w:val="volume"/>
    <w:basedOn w:val="DefaultParagraphFont"/>
    <w:rsid w:val="004B5AA8"/>
  </w:style>
  <w:style w:type="paragraph" w:styleId="ListParagraph">
    <w:name w:val="List Paragraph"/>
    <w:basedOn w:val="Normal"/>
    <w:uiPriority w:val="34"/>
    <w:qFormat/>
    <w:rsid w:val="003D11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391327">
      <w:bodyDiv w:val="1"/>
      <w:marLeft w:val="0"/>
      <w:marRight w:val="0"/>
      <w:marTop w:val="0"/>
      <w:marBottom w:val="0"/>
      <w:divBdr>
        <w:top w:val="none" w:sz="0" w:space="0" w:color="auto"/>
        <w:left w:val="none" w:sz="0" w:space="0" w:color="auto"/>
        <w:bottom w:val="none" w:sz="0" w:space="0" w:color="auto"/>
        <w:right w:val="none" w:sz="0" w:space="0" w:color="auto"/>
      </w:divBdr>
    </w:div>
    <w:div w:id="1043214208">
      <w:bodyDiv w:val="1"/>
      <w:marLeft w:val="0"/>
      <w:marRight w:val="0"/>
      <w:marTop w:val="0"/>
      <w:marBottom w:val="0"/>
      <w:divBdr>
        <w:top w:val="none" w:sz="0" w:space="0" w:color="auto"/>
        <w:left w:val="none" w:sz="0" w:space="0" w:color="auto"/>
        <w:bottom w:val="none" w:sz="0" w:space="0" w:color="auto"/>
        <w:right w:val="none" w:sz="0" w:space="0" w:color="auto"/>
      </w:divBdr>
    </w:div>
    <w:div w:id="1659966898">
      <w:bodyDiv w:val="1"/>
      <w:marLeft w:val="0"/>
      <w:marRight w:val="0"/>
      <w:marTop w:val="0"/>
      <w:marBottom w:val="0"/>
      <w:divBdr>
        <w:top w:val="none" w:sz="0" w:space="0" w:color="auto"/>
        <w:left w:val="none" w:sz="0" w:space="0" w:color="auto"/>
        <w:bottom w:val="none" w:sz="0" w:space="0" w:color="auto"/>
        <w:right w:val="none" w:sz="0" w:space="0" w:color="auto"/>
      </w:divBdr>
      <w:divsChild>
        <w:div w:id="2021346158">
          <w:marLeft w:val="0"/>
          <w:marRight w:val="0"/>
          <w:marTop w:val="0"/>
          <w:marBottom w:val="0"/>
          <w:divBdr>
            <w:top w:val="none" w:sz="0" w:space="0" w:color="auto"/>
            <w:left w:val="none" w:sz="0" w:space="0" w:color="auto"/>
            <w:bottom w:val="none" w:sz="0" w:space="0" w:color="auto"/>
            <w:right w:val="none" w:sz="0" w:space="0" w:color="auto"/>
          </w:divBdr>
        </w:div>
        <w:div w:id="702482655">
          <w:marLeft w:val="0"/>
          <w:marRight w:val="0"/>
          <w:marTop w:val="0"/>
          <w:marBottom w:val="0"/>
          <w:divBdr>
            <w:top w:val="none" w:sz="0" w:space="0" w:color="auto"/>
            <w:left w:val="none" w:sz="0" w:space="0" w:color="auto"/>
            <w:bottom w:val="none" w:sz="0" w:space="0" w:color="auto"/>
            <w:right w:val="none" w:sz="0" w:space="0" w:color="auto"/>
          </w:divBdr>
          <w:divsChild>
            <w:div w:id="1393381499">
              <w:marLeft w:val="0"/>
              <w:marRight w:val="0"/>
              <w:marTop w:val="0"/>
              <w:marBottom w:val="0"/>
              <w:divBdr>
                <w:top w:val="none" w:sz="0" w:space="0" w:color="auto"/>
                <w:left w:val="none" w:sz="0" w:space="0" w:color="auto"/>
                <w:bottom w:val="none" w:sz="0" w:space="0" w:color="auto"/>
                <w:right w:val="none" w:sz="0" w:space="0" w:color="auto"/>
              </w:divBdr>
            </w:div>
          </w:divsChild>
        </w:div>
        <w:div w:id="1643848625">
          <w:marLeft w:val="0"/>
          <w:marRight w:val="0"/>
          <w:marTop w:val="0"/>
          <w:marBottom w:val="0"/>
          <w:divBdr>
            <w:top w:val="none" w:sz="0" w:space="0" w:color="auto"/>
            <w:left w:val="none" w:sz="0" w:space="0" w:color="auto"/>
            <w:bottom w:val="none" w:sz="0" w:space="0" w:color="auto"/>
            <w:right w:val="none" w:sz="0" w:space="0" w:color="auto"/>
          </w:divBdr>
        </w:div>
      </w:divsChild>
    </w:div>
    <w:div w:id="1878739704">
      <w:bodyDiv w:val="1"/>
      <w:marLeft w:val="0"/>
      <w:marRight w:val="0"/>
      <w:marTop w:val="0"/>
      <w:marBottom w:val="0"/>
      <w:divBdr>
        <w:top w:val="none" w:sz="0" w:space="0" w:color="auto"/>
        <w:left w:val="none" w:sz="0" w:space="0" w:color="auto"/>
        <w:bottom w:val="none" w:sz="0" w:space="0" w:color="auto"/>
        <w:right w:val="none" w:sz="0" w:space="0" w:color="auto"/>
      </w:divBdr>
      <w:divsChild>
        <w:div w:id="2033993032">
          <w:marLeft w:val="0"/>
          <w:marRight w:val="0"/>
          <w:marTop w:val="0"/>
          <w:marBottom w:val="0"/>
          <w:divBdr>
            <w:top w:val="none" w:sz="0" w:space="0" w:color="auto"/>
            <w:left w:val="none" w:sz="0" w:space="0" w:color="auto"/>
            <w:bottom w:val="none" w:sz="0" w:space="0" w:color="auto"/>
            <w:right w:val="none" w:sz="0" w:space="0" w:color="auto"/>
          </w:divBdr>
        </w:div>
        <w:div w:id="2074770850">
          <w:marLeft w:val="0"/>
          <w:marRight w:val="0"/>
          <w:marTop w:val="0"/>
          <w:marBottom w:val="0"/>
          <w:divBdr>
            <w:top w:val="none" w:sz="0" w:space="0" w:color="auto"/>
            <w:left w:val="none" w:sz="0" w:space="0" w:color="auto"/>
            <w:bottom w:val="none" w:sz="0" w:space="0" w:color="auto"/>
            <w:right w:val="none" w:sz="0" w:space="0" w:color="auto"/>
          </w:divBdr>
          <w:divsChild>
            <w:div w:id="139545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xfordhandbooks.com.ezproxy.uwtsd.ac.uk/view/10.1093/oxfordhb/9780199234769.001.0001/oxfordhb-978019923476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andfonline.com/toc/riph20/21/5" TargetMode="External"/><Relationship Id="rId5" Type="http://schemas.openxmlformats.org/officeDocument/2006/relationships/webSettings" Target="webSettings.xml"/><Relationship Id="rId10" Type="http://schemas.openxmlformats.org/officeDocument/2006/relationships/hyperlink" Target="http://www.tandfonline.com/doi/full/10.1080/09672559.2013.833964" TargetMode="External"/><Relationship Id="rId4" Type="http://schemas.openxmlformats.org/officeDocument/2006/relationships/settings" Target="settings.xml"/><Relationship Id="rId9" Type="http://schemas.openxmlformats.org/officeDocument/2006/relationships/hyperlink" Target="http://serious-science.org/skepticism-and-the-simulation-hypothesis-6189"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oxfordhandbooks.com.ezproxy.uwtsd.ac.uk/view/10.1093/oxfordhb/9780199234769.001.0001/oxfordhb-9780199234769" TargetMode="External"/><Relationship Id="rId2" Type="http://schemas.openxmlformats.org/officeDocument/2006/relationships/hyperlink" Target="http://www.tandfonline.com/toc/riph20/21/5" TargetMode="External"/><Relationship Id="rId1" Type="http://schemas.openxmlformats.org/officeDocument/2006/relationships/hyperlink" Target="http://www.tandfonline.com/doi/full/10.1080/09672559.2013.833964" TargetMode="External"/><Relationship Id="rId4" Type="http://schemas.openxmlformats.org/officeDocument/2006/relationships/hyperlink" Target="http://serious-science.org/skepticism-and-the-simulation-hypothesis-61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35CE92-5C9A-4679-8A7A-23156553F9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1847</TotalTime>
  <Pages>4</Pages>
  <Words>1982</Words>
  <Characters>11299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Harrison</dc:creator>
  <cp:keywords/>
  <dc:description/>
  <cp:lastModifiedBy>Sam Harrison (1601920)</cp:lastModifiedBy>
  <cp:revision>36</cp:revision>
  <dcterms:created xsi:type="dcterms:W3CDTF">2017-10-19T14:48:00Z</dcterms:created>
  <dcterms:modified xsi:type="dcterms:W3CDTF">2017-11-21T14:44:00Z</dcterms:modified>
</cp:coreProperties>
</file>