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AE2935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04323">
              <w:rPr>
                <w:rFonts w:ascii="Times New Roman" w:hAnsi="Times New Roman" w:cs="Times New Roman"/>
                <w:b/>
                <w:color w:val="auto"/>
                <w:sz w:val="48"/>
              </w:rPr>
              <w:t>Natalie Smith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09A7E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04323">
              <w:rPr>
                <w:rFonts w:ascii="Times New Roman" w:hAnsi="Times New Roman" w:cs="Times New Roman"/>
                <w:b/>
                <w:color w:val="auto"/>
                <w:sz w:val="48"/>
              </w:rPr>
              <w:t xml:space="preserve"> 8tyrhos@gmail.com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8DCF71" w14:textId="4247F648" w:rsidR="00904323" w:rsidRPr="005D3F07" w:rsidRDefault="0090432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1202330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31B6700" w14:textId="77777777" w:rsidR="002169F8" w:rsidRDefault="002169F8" w:rsidP="002169F8">
            <w:pPr>
              <w:rPr>
                <w:color w:val="1F1F1F"/>
              </w:rPr>
            </w:pPr>
          </w:p>
          <w:p w14:paraId="7D4B6F3F" w14:textId="77777777"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t>Safeguarding within Adult Services involves protecting adults with care and support needs from abuse, neglect, exploitation, and harm while promoting their wellbeing, autonomy, and human rights. Normal safeguarding practice adopts a person-centred approach that recognises the individual's right to make choices about their own life while ensuring that appropriate measures are taken to reduce risk and prevent harm. As such, safeguarding requires social workers to balance empowerment and protection, ensuring that interventions are proportionate, ethical, and legally compliant. An example would be that a single adult in their home can make unwise decisions even if they are putting themselves at risk, as capacity is assumed.</w:t>
            </w:r>
            <w:r w:rsidRPr="002169F8">
              <w:rPr>
                <w:color w:val="1F1F1F"/>
                <w:sz w:val="24"/>
                <w:szCs w:val="24"/>
              </w:rPr>
              <w:t xml:space="preserve"> </w:t>
            </w:r>
          </w:p>
          <w:p w14:paraId="51F7B4A7" w14:textId="77777777" w:rsidR="002169F8" w:rsidRPr="002169F8" w:rsidRDefault="002169F8" w:rsidP="002169F8">
            <w:pPr>
              <w:spacing w:line="360" w:lineRule="auto"/>
              <w:jc w:val="both"/>
              <w:rPr>
                <w:color w:val="1F1F1F"/>
                <w:sz w:val="24"/>
                <w:szCs w:val="24"/>
              </w:rPr>
            </w:pPr>
          </w:p>
          <w:p w14:paraId="26DA52BF" w14:textId="77777777"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t>The primary legislative framework for adult safeguarding in Wales is provided by the Social Services and Well-being (Wales) Act 2014, which establishes safeguarding as a statutory responsibility of local authorities. The Act places a duty on local authorities to undertake safeguarding enquiries when an adult with care and support needs is experiencing, or is at risk of, abuse or neglect and is unable to protect themselves. The legislation also promotes a preventative approach, emphasising wellbeing, early intervention, and multi-agency collaboration as key elements of effective safeguarding practice.</w:t>
            </w:r>
            <w:r w:rsidRPr="002169F8">
              <w:rPr>
                <w:color w:val="1F1F1F"/>
                <w:sz w:val="24"/>
                <w:szCs w:val="24"/>
              </w:rPr>
              <w:t xml:space="preserve"> </w:t>
            </w:r>
          </w:p>
          <w:p w14:paraId="20A52854" w14:textId="77777777" w:rsidR="002169F8" w:rsidRPr="002169F8" w:rsidRDefault="002169F8" w:rsidP="002169F8">
            <w:pPr>
              <w:spacing w:line="360" w:lineRule="auto"/>
              <w:jc w:val="both"/>
              <w:rPr>
                <w:color w:val="1F1F1F"/>
                <w:sz w:val="24"/>
                <w:szCs w:val="24"/>
              </w:rPr>
            </w:pPr>
          </w:p>
          <w:p w14:paraId="7B08E82B" w14:textId="77777777"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lastRenderedPageBreak/>
              <w:t>Safeguarding practice is further informed by the Mental Capacity Act 2005, which provides a legal framework for assessing a person's capacity to make decisions and for making decisions in an individual's best interests when they lack capacity. The Act reinforces the principles of autonomy and least restrictive intervention. Similarly, the Human Rights Act 1998 underpins safeguarding by ensuring that social work practice respects and protects fundamental rights, including dignity, liberty, privacy, and freedom from degrading treatment. Additional legislation, such as the Mental Health Act 1983, Data Protection Act 2018, Equality Act 2010, and Domestic Abuse Act 2021, all adds to a comprehensive framework for protecting adults from harm and promoting inclusive and rights-based practice.</w:t>
            </w:r>
            <w:r w:rsidRPr="002169F8">
              <w:rPr>
                <w:color w:val="1F1F1F"/>
                <w:sz w:val="24"/>
                <w:szCs w:val="24"/>
              </w:rPr>
              <w:t xml:space="preserve"> </w:t>
            </w:r>
          </w:p>
          <w:p w14:paraId="1FBFA8AB" w14:textId="77777777" w:rsidR="002169F8" w:rsidRPr="002169F8" w:rsidRDefault="002169F8" w:rsidP="002169F8">
            <w:pPr>
              <w:spacing w:line="360" w:lineRule="auto"/>
              <w:jc w:val="both"/>
              <w:rPr>
                <w:color w:val="1F1F1F"/>
                <w:sz w:val="24"/>
                <w:szCs w:val="24"/>
              </w:rPr>
            </w:pPr>
          </w:p>
          <w:p w14:paraId="16B662F1" w14:textId="77777777"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t>According to the National Independent Safeguarding Board (2026), the national safeguarding policy is informed by the Wales Safeguarding Procedures, which outline how organisations should fulfil their safeguarding responsibilities. The guidance is underpinned by six key principles. These principles provide a framework for ethical and effective practice by promoting service-user involvement, early intervention, inter-agency working, and professional responsibility. This approach promotes strengths-based and outcome-focused interventions that place the individual's desired outcomes, views, and wishes at the centre of decision-making.</w:t>
            </w:r>
            <w:r w:rsidRPr="002169F8">
              <w:rPr>
                <w:color w:val="1F1F1F"/>
                <w:sz w:val="24"/>
                <w:szCs w:val="24"/>
              </w:rPr>
              <w:t xml:space="preserve"> </w:t>
            </w:r>
          </w:p>
          <w:p w14:paraId="6DFE8194" w14:textId="77777777" w:rsidR="002169F8" w:rsidRPr="002169F8" w:rsidRDefault="002169F8" w:rsidP="002169F8">
            <w:pPr>
              <w:spacing w:line="360" w:lineRule="auto"/>
              <w:jc w:val="both"/>
              <w:rPr>
                <w:color w:val="1F1F1F"/>
                <w:sz w:val="24"/>
                <w:szCs w:val="24"/>
              </w:rPr>
            </w:pPr>
          </w:p>
          <w:p w14:paraId="57BDF649" w14:textId="2C7E6935"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t xml:space="preserve">Within the local authority, safeguarding is coordinated through </w:t>
            </w:r>
            <w:r w:rsidR="00A26393" w:rsidRPr="00A26393">
              <w:rPr>
                <w:sz w:val="24"/>
                <w:szCs w:val="24"/>
              </w:rPr>
              <w:t>Regional Safeguarding Adults Boards (RSABs)</w:t>
            </w:r>
            <w:r w:rsidR="00A26393">
              <w:rPr>
                <w:sz w:val="24"/>
                <w:szCs w:val="24"/>
              </w:rPr>
              <w:t>,</w:t>
            </w:r>
            <w:r w:rsidR="00A26393" w:rsidRPr="00A26393">
              <w:rPr>
                <w:sz w:val="24"/>
                <w:szCs w:val="24"/>
              </w:rPr>
              <w:t xml:space="preserve"> </w:t>
            </w:r>
            <w:r w:rsidRPr="002169F8">
              <w:rPr>
                <w:color w:val="1F1F1F"/>
                <w:sz w:val="24"/>
                <w:szCs w:val="24"/>
                <w:bdr w:val="none" w:sz="0" w:space="0" w:color="auto" w:frame="1"/>
              </w:rPr>
              <w:t>which are responsible for developing and implementing local safeguarding procedures. These procedures provide guidance on the recognition and reporting of safeguarding concerns, the management of safeguarding enquiries, information sharing, risk assessment, and multi-agency working. Local authority policies ensure that safeguarding responses are consistent, coordinated, and focused on achieving positive outcomes for adults at risk.</w:t>
            </w:r>
            <w:r w:rsidRPr="002169F8">
              <w:rPr>
                <w:color w:val="1F1F1F"/>
                <w:sz w:val="24"/>
                <w:szCs w:val="24"/>
              </w:rPr>
              <w:t xml:space="preserve"> </w:t>
            </w:r>
          </w:p>
          <w:p w14:paraId="2D9E4189" w14:textId="77777777" w:rsidR="002169F8" w:rsidRPr="002169F8" w:rsidRDefault="002169F8" w:rsidP="002169F8">
            <w:pPr>
              <w:spacing w:line="360" w:lineRule="auto"/>
              <w:jc w:val="both"/>
              <w:rPr>
                <w:color w:val="1F1F1F"/>
                <w:sz w:val="24"/>
                <w:szCs w:val="24"/>
              </w:rPr>
            </w:pPr>
          </w:p>
          <w:p w14:paraId="2B44F7A4" w14:textId="77777777" w:rsidR="002169F8" w:rsidRPr="002169F8" w:rsidRDefault="002169F8" w:rsidP="002169F8">
            <w:pPr>
              <w:spacing w:line="360" w:lineRule="auto"/>
              <w:jc w:val="both"/>
              <w:rPr>
                <w:color w:val="1F1F1F"/>
                <w:sz w:val="24"/>
                <w:szCs w:val="24"/>
              </w:rPr>
            </w:pPr>
            <w:r w:rsidRPr="002169F8">
              <w:rPr>
                <w:color w:val="1F1F1F"/>
                <w:sz w:val="24"/>
                <w:szCs w:val="24"/>
                <w:bdr w:val="none" w:sz="0" w:space="0" w:color="auto" w:frame="1"/>
              </w:rPr>
              <w:t xml:space="preserve">Within organisations, safeguarding policies and procedures establish clear expectations for professional practice. Social workers are required to identify and respond quickly to concerns, maintain accurate and evidence-based records, participate in safeguarding training, and comply with information-sharing and whistleblowing procedures. Effective safeguarding </w:t>
            </w:r>
            <w:r w:rsidRPr="002169F8">
              <w:rPr>
                <w:color w:val="1F1F1F"/>
                <w:sz w:val="24"/>
                <w:szCs w:val="24"/>
                <w:bdr w:val="none" w:sz="0" w:space="0" w:color="auto" w:frame="1"/>
              </w:rPr>
              <w:lastRenderedPageBreak/>
              <w:t>therefore relies upon professional accountability, collaborative working, and adherence to both legal and organisational requirements. Therefore, safeguarding is a shared responsibility not only to protect adults from harm but also to promote their rights, wellbeing, independence, and quality of life.</w:t>
            </w:r>
            <w:r w:rsidRPr="002169F8">
              <w:rPr>
                <w:color w:val="1F1F1F"/>
                <w:sz w:val="24"/>
                <w:szCs w:val="24"/>
              </w:rPr>
              <w:t xml:space="preserve"> </w:t>
            </w:r>
          </w:p>
          <w:p w14:paraId="3E277369" w14:textId="77777777" w:rsidR="002169F8" w:rsidRPr="002169F8" w:rsidRDefault="002169F8" w:rsidP="002169F8">
            <w:pPr>
              <w:spacing w:line="360" w:lineRule="auto"/>
              <w:jc w:val="both"/>
              <w:rPr>
                <w:color w:val="1F1F1F"/>
                <w:sz w:val="24"/>
                <w:szCs w:val="24"/>
              </w:rPr>
            </w:pPr>
          </w:p>
          <w:p w14:paraId="6CC6BEE3" w14:textId="2A517B92" w:rsidR="002169F8" w:rsidRPr="002169F8" w:rsidRDefault="002169F8" w:rsidP="002169F8">
            <w:pPr>
              <w:spacing w:line="360" w:lineRule="auto"/>
              <w:jc w:val="both"/>
              <w:rPr>
                <w:color w:val="1F1F1F"/>
                <w:sz w:val="24"/>
                <w:szCs w:val="24"/>
              </w:rPr>
            </w:pPr>
            <w:r w:rsidRPr="002169F8">
              <w:rPr>
                <w:color w:val="1F1F1F"/>
                <w:sz w:val="24"/>
                <w:szCs w:val="24"/>
              </w:rPr>
              <w:t>Word Count 550</w:t>
            </w:r>
          </w:p>
          <w:p w14:paraId="74011914" w14:textId="567226A8" w:rsidR="00904323" w:rsidRDefault="002169F8" w:rsidP="002169F8">
            <w:pPr>
              <w:rPr>
                <w:sz w:val="24"/>
                <w:szCs w:val="24"/>
              </w:rPr>
            </w:pPr>
            <w:r>
              <w:rPr>
                <w:color w:val="1F1F1F"/>
              </w:rPr>
              <w:br/>
            </w:r>
          </w:p>
          <w:p w14:paraId="5C0006FE" w14:textId="77777777" w:rsidR="00904323" w:rsidRDefault="00904323" w:rsidP="00FF7EBB">
            <w:pPr>
              <w:jc w:val="both"/>
              <w:rPr>
                <w:sz w:val="24"/>
                <w:szCs w:val="24"/>
              </w:rPr>
            </w:pPr>
          </w:p>
          <w:p w14:paraId="490EDC0E" w14:textId="77777777" w:rsidR="00904323" w:rsidRDefault="00904323"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E5CB124" w14:textId="77777777" w:rsidR="002169F8" w:rsidRDefault="002169F8" w:rsidP="00FC0334">
            <w:pPr>
              <w:jc w:val="both"/>
              <w:rPr>
                <w:i/>
                <w:sz w:val="24"/>
                <w:szCs w:val="24"/>
              </w:rPr>
            </w:pPr>
          </w:p>
          <w:p w14:paraId="6BA3DD84" w14:textId="635927E7"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283EC896" w14:textId="77777777" w:rsidR="002169F8" w:rsidRDefault="002169F8" w:rsidP="00FC0334">
            <w:pPr>
              <w:jc w:val="both"/>
              <w:rPr>
                <w:iCs/>
                <w:sz w:val="24"/>
                <w:szCs w:val="24"/>
              </w:rPr>
            </w:pPr>
          </w:p>
          <w:p w14:paraId="52DA7FF6" w14:textId="77777777" w:rsidR="00523A72" w:rsidRPr="00686FC4" w:rsidRDefault="00523A72" w:rsidP="00523A72">
            <w:pPr>
              <w:pStyle w:val="NormalWeb"/>
              <w:shd w:val="clear" w:color="auto" w:fill="FFFFFF"/>
              <w:spacing w:before="0" w:beforeAutospacing="0" w:after="300" w:afterAutospacing="0" w:line="360" w:lineRule="auto"/>
              <w:jc w:val="both"/>
              <w:rPr>
                <w:rFonts w:ascii="Arial" w:hAnsi="Arial" w:cs="Arial"/>
                <w:color w:val="000000"/>
              </w:rPr>
            </w:pPr>
            <w:r w:rsidRPr="00686FC4">
              <w:rPr>
                <w:rFonts w:ascii="Arial" w:hAnsi="Arial" w:cs="Arial"/>
                <w:color w:val="000000"/>
              </w:rPr>
              <w:t>Safeguarding in Wales protects people from abuse, neglect and other kinds of harm while promoting well-being. The Social Services and Well-being (Wales) Act 2014</w:t>
            </w:r>
            <w:r>
              <w:rPr>
                <w:rFonts w:ascii="Arial" w:hAnsi="Arial" w:cs="Arial"/>
                <w:color w:val="000000"/>
              </w:rPr>
              <w:t xml:space="preserve"> (SSWBA)</w:t>
            </w:r>
            <w:r w:rsidRPr="00686FC4">
              <w:rPr>
                <w:rFonts w:ascii="Arial" w:hAnsi="Arial" w:cs="Arial"/>
                <w:color w:val="000000"/>
              </w:rPr>
              <w:t xml:space="preserve"> and the Wales Safeguarding Procedures provide a shared legal and practice framework (Social Care Wales, 2019; </w:t>
            </w:r>
            <w:r>
              <w:rPr>
                <w:rFonts w:ascii="Arial" w:hAnsi="Arial" w:cs="Arial"/>
                <w:color w:val="000000"/>
              </w:rPr>
              <w:t>SSWBA</w:t>
            </w:r>
            <w:r w:rsidRPr="00686FC4">
              <w:rPr>
                <w:rFonts w:ascii="Arial" w:hAnsi="Arial" w:cs="Arial"/>
                <w:color w:val="000000"/>
              </w:rPr>
              <w:t xml:space="preserve"> (Wales) Act 2014). </w:t>
            </w:r>
            <w:r>
              <w:rPr>
                <w:rFonts w:ascii="Arial" w:hAnsi="Arial" w:cs="Arial"/>
                <w:color w:val="000000"/>
              </w:rPr>
              <w:t>However</w:t>
            </w:r>
            <w:r w:rsidRPr="00686FC4">
              <w:rPr>
                <w:rFonts w:ascii="Arial" w:hAnsi="Arial" w:cs="Arial"/>
                <w:color w:val="000000"/>
              </w:rPr>
              <w:t xml:space="preserve">, children and adults safeguarding differ in legal tests, </w:t>
            </w:r>
            <w:r>
              <w:rPr>
                <w:rFonts w:ascii="Arial" w:hAnsi="Arial" w:cs="Arial"/>
                <w:color w:val="000000"/>
              </w:rPr>
              <w:t>reasoning</w:t>
            </w:r>
            <w:r w:rsidRPr="00686FC4">
              <w:rPr>
                <w:rFonts w:ascii="Arial" w:hAnsi="Arial" w:cs="Arial"/>
                <w:color w:val="000000"/>
              </w:rPr>
              <w:t xml:space="preserve"> and everyday practice.</w:t>
            </w:r>
          </w:p>
          <w:p w14:paraId="236BE945" w14:textId="77777777" w:rsidR="00523A72" w:rsidRPr="00686FC4" w:rsidRDefault="00523A72" w:rsidP="00523A72">
            <w:pPr>
              <w:pStyle w:val="NormalWeb"/>
              <w:shd w:val="clear" w:color="auto" w:fill="FFFFFF"/>
              <w:spacing w:before="0" w:beforeAutospacing="0" w:after="300" w:afterAutospacing="0" w:line="360" w:lineRule="auto"/>
              <w:jc w:val="both"/>
              <w:rPr>
                <w:rFonts w:ascii="Arial" w:hAnsi="Arial" w:cs="Arial"/>
                <w:color w:val="000000"/>
              </w:rPr>
            </w:pPr>
            <w:r w:rsidRPr="00686FC4">
              <w:rPr>
                <w:rFonts w:ascii="Arial" w:hAnsi="Arial" w:cs="Arial"/>
                <w:color w:val="000000"/>
              </w:rPr>
              <w:t>Children’s safeguarding applies to anyone under 18. A child at risk is experiencing, or is at risk of, abuse, neglect or other kinds of harm and has needs for care and support (</w:t>
            </w:r>
            <w:r>
              <w:rPr>
                <w:rFonts w:ascii="Arial" w:hAnsi="Arial" w:cs="Arial"/>
                <w:color w:val="000000"/>
              </w:rPr>
              <w:t>SSWBA</w:t>
            </w:r>
            <w:r w:rsidRPr="00686FC4">
              <w:rPr>
                <w:rFonts w:ascii="Arial" w:hAnsi="Arial" w:cs="Arial"/>
                <w:color w:val="000000"/>
              </w:rPr>
              <w:t xml:space="preserve"> (Wales) Act 2014, s. 130). Practitioners have a duty to report such concerns</w:t>
            </w:r>
            <w:r>
              <w:rPr>
                <w:rFonts w:ascii="Arial" w:hAnsi="Arial" w:cs="Arial"/>
                <w:color w:val="000000"/>
              </w:rPr>
              <w:t xml:space="preserve"> and t</w:t>
            </w:r>
            <w:r w:rsidRPr="00686FC4">
              <w:rPr>
                <w:rFonts w:ascii="Arial" w:hAnsi="Arial" w:cs="Arial"/>
                <w:color w:val="000000"/>
              </w:rPr>
              <w:t>he child’s welfare is paramount. Decisions rest on the child’s best interests, taking account of age, understanding and the views of those with parental responsibility (Children Act 1989). Responses can be strongly protective: section 47 enquiries, child protection conferences and plans, and, where needed, care proceedings. Schools, health services and the police share a strong reporting culture. Extra-familial harm</w:t>
            </w:r>
            <w:r>
              <w:rPr>
                <w:rFonts w:ascii="Arial" w:hAnsi="Arial" w:cs="Arial"/>
                <w:color w:val="000000"/>
              </w:rPr>
              <w:t xml:space="preserve">, </w:t>
            </w:r>
            <w:r w:rsidRPr="00686FC4">
              <w:rPr>
                <w:rFonts w:ascii="Arial" w:hAnsi="Arial" w:cs="Arial"/>
                <w:color w:val="000000"/>
              </w:rPr>
              <w:t>child sexual exploitation, criminal exploitation and county lines</w:t>
            </w:r>
            <w:r>
              <w:rPr>
                <w:rFonts w:ascii="Arial" w:hAnsi="Arial" w:cs="Arial"/>
                <w:color w:val="000000"/>
              </w:rPr>
              <w:t xml:space="preserve"> </w:t>
            </w:r>
            <w:r w:rsidRPr="00686FC4">
              <w:rPr>
                <w:rFonts w:ascii="Arial" w:hAnsi="Arial" w:cs="Arial"/>
                <w:color w:val="000000"/>
              </w:rPr>
              <w:t>is a distinctive focus, often addressed through contextual safeguarding (Social Care Wales, 2019).</w:t>
            </w:r>
          </w:p>
          <w:p w14:paraId="7DE0BAEE" w14:textId="77777777" w:rsidR="00523A72" w:rsidRPr="00686FC4" w:rsidRDefault="00523A72" w:rsidP="00523A72">
            <w:pPr>
              <w:pStyle w:val="NormalWeb"/>
              <w:shd w:val="clear" w:color="auto" w:fill="FFFFFF"/>
              <w:spacing w:before="0" w:beforeAutospacing="0" w:after="300" w:afterAutospacing="0" w:line="360" w:lineRule="auto"/>
              <w:jc w:val="both"/>
              <w:rPr>
                <w:rFonts w:ascii="Arial" w:hAnsi="Arial" w:cs="Arial"/>
                <w:color w:val="000000"/>
              </w:rPr>
            </w:pPr>
            <w:r w:rsidRPr="00686FC4">
              <w:rPr>
                <w:rFonts w:ascii="Arial" w:hAnsi="Arial" w:cs="Arial"/>
                <w:color w:val="000000"/>
              </w:rPr>
              <w:lastRenderedPageBreak/>
              <w:t>Adults safeguarding concerns people aged 18 and over who meet the definition of an “adult at risk”: they have needs for care and support, are experiencing or at risk of abuse or neglect, and because of those needs cannot protect themselves (</w:t>
            </w:r>
            <w:r>
              <w:rPr>
                <w:rFonts w:ascii="Arial" w:hAnsi="Arial" w:cs="Arial"/>
                <w:color w:val="000000"/>
              </w:rPr>
              <w:t xml:space="preserve">SSWBA </w:t>
            </w:r>
            <w:r w:rsidRPr="00686FC4">
              <w:rPr>
                <w:rFonts w:ascii="Arial" w:hAnsi="Arial" w:cs="Arial"/>
                <w:color w:val="000000"/>
              </w:rPr>
              <w:t xml:space="preserve">(Wales) Act 2014, s. 126). </w:t>
            </w:r>
            <w:r>
              <w:rPr>
                <w:rFonts w:ascii="Arial" w:hAnsi="Arial" w:cs="Arial"/>
                <w:color w:val="000000"/>
              </w:rPr>
              <w:t xml:space="preserve">There is also a duty to report any </w:t>
            </w:r>
            <w:proofErr w:type="gramStart"/>
            <w:r>
              <w:rPr>
                <w:rFonts w:ascii="Arial" w:hAnsi="Arial" w:cs="Arial"/>
                <w:color w:val="000000"/>
              </w:rPr>
              <w:t>concerns</w:t>
            </w:r>
            <w:proofErr w:type="gramEnd"/>
            <w:r>
              <w:rPr>
                <w:rFonts w:ascii="Arial" w:hAnsi="Arial" w:cs="Arial"/>
                <w:color w:val="000000"/>
              </w:rPr>
              <w:t xml:space="preserve"> and</w:t>
            </w:r>
            <w:r w:rsidRPr="00686FC4">
              <w:rPr>
                <w:rFonts w:ascii="Arial" w:hAnsi="Arial" w:cs="Arial"/>
                <w:color w:val="000000"/>
              </w:rPr>
              <w:t xml:space="preserve"> </w:t>
            </w:r>
            <w:r>
              <w:rPr>
                <w:rFonts w:ascii="Arial" w:hAnsi="Arial" w:cs="Arial"/>
                <w:color w:val="000000"/>
              </w:rPr>
              <w:t>t</w:t>
            </w:r>
            <w:r w:rsidRPr="00686FC4">
              <w:rPr>
                <w:rFonts w:ascii="Arial" w:hAnsi="Arial" w:cs="Arial"/>
                <w:color w:val="000000"/>
              </w:rPr>
              <w:t xml:space="preserve">he approach is built on </w:t>
            </w:r>
            <w:r>
              <w:rPr>
                <w:rFonts w:ascii="Arial" w:hAnsi="Arial" w:cs="Arial"/>
                <w:color w:val="000000"/>
              </w:rPr>
              <w:t>individuals making their own informed decisions</w:t>
            </w:r>
            <w:r w:rsidRPr="00686FC4">
              <w:rPr>
                <w:rFonts w:ascii="Arial" w:hAnsi="Arial" w:cs="Arial"/>
                <w:color w:val="000000"/>
              </w:rPr>
              <w:t xml:space="preserve">. The Mental Capacity Act 2005 presumes capacity. An adult with capacity may make unwise decisions, including remaining in an abusive situation, unless others are at risk or a crime is involved (Mental Capacity Act 2005). Person-centred practice under the 2014 Act emphasises outcomes chosen with the adult rather </w:t>
            </w:r>
            <w:r>
              <w:rPr>
                <w:rFonts w:ascii="Arial" w:hAnsi="Arial" w:cs="Arial"/>
                <w:color w:val="000000"/>
              </w:rPr>
              <w:t>than professionals making them for them</w:t>
            </w:r>
            <w:r w:rsidRPr="00686FC4">
              <w:rPr>
                <w:rFonts w:ascii="Arial" w:hAnsi="Arial" w:cs="Arial"/>
                <w:color w:val="000000"/>
              </w:rPr>
              <w:t xml:space="preserve">. Financial abuse, self-neglect and organisational abuse </w:t>
            </w:r>
            <w:r>
              <w:rPr>
                <w:rFonts w:ascii="Arial" w:hAnsi="Arial" w:cs="Arial"/>
                <w:color w:val="000000"/>
              </w:rPr>
              <w:t>are seen</w:t>
            </w:r>
            <w:r w:rsidRPr="00686FC4">
              <w:rPr>
                <w:rFonts w:ascii="Arial" w:hAnsi="Arial" w:cs="Arial"/>
                <w:color w:val="000000"/>
              </w:rPr>
              <w:t xml:space="preserve"> more often. Safeguards around deprivation of liberty add a further legal layer for people who lack capacity.</w:t>
            </w:r>
          </w:p>
          <w:p w14:paraId="31702583" w14:textId="77777777" w:rsidR="00523A72" w:rsidRPr="00686FC4" w:rsidRDefault="00523A72" w:rsidP="00523A72">
            <w:pPr>
              <w:pStyle w:val="NormalWeb"/>
              <w:shd w:val="clear" w:color="auto" w:fill="FFFFFF"/>
              <w:spacing w:before="0" w:beforeAutospacing="0" w:after="300" w:afterAutospacing="0" w:line="360" w:lineRule="auto"/>
              <w:jc w:val="both"/>
              <w:rPr>
                <w:rFonts w:ascii="Arial" w:hAnsi="Arial" w:cs="Arial"/>
                <w:color w:val="000000"/>
              </w:rPr>
            </w:pPr>
            <w:r w:rsidRPr="00686FC4">
              <w:rPr>
                <w:rFonts w:ascii="Arial" w:hAnsi="Arial" w:cs="Arial"/>
                <w:color w:val="000000"/>
              </w:rPr>
              <w:t xml:space="preserve">The core differences therefore lie in age, capacity, the balance between protection and self-determination, and the role of family. Children’s services may override parental wishes in the child’s best interests. Adult services must respect </w:t>
            </w:r>
            <w:r>
              <w:rPr>
                <w:rFonts w:ascii="Arial" w:hAnsi="Arial" w:cs="Arial"/>
                <w:color w:val="000000"/>
              </w:rPr>
              <w:t xml:space="preserve">the </w:t>
            </w:r>
            <w:proofErr w:type="gramStart"/>
            <w:r>
              <w:rPr>
                <w:rFonts w:ascii="Arial" w:hAnsi="Arial" w:cs="Arial"/>
                <w:color w:val="000000"/>
              </w:rPr>
              <w:t>individuals</w:t>
            </w:r>
            <w:proofErr w:type="gramEnd"/>
            <w:r>
              <w:rPr>
                <w:rFonts w:ascii="Arial" w:hAnsi="Arial" w:cs="Arial"/>
                <w:color w:val="000000"/>
              </w:rPr>
              <w:t xml:space="preserve"> </w:t>
            </w:r>
            <w:r w:rsidRPr="00686FC4">
              <w:rPr>
                <w:rFonts w:ascii="Arial" w:hAnsi="Arial" w:cs="Arial"/>
                <w:color w:val="000000"/>
              </w:rPr>
              <w:t>choices. Transition at 18 requires careful planning so that young people do not fall between systems (Social Care Wales, 2019).</w:t>
            </w:r>
          </w:p>
          <w:p w14:paraId="365BDF64" w14:textId="77777777" w:rsidR="00523A72" w:rsidRPr="00686FC4" w:rsidRDefault="00523A72" w:rsidP="00523A72">
            <w:pPr>
              <w:pStyle w:val="NormalWeb"/>
              <w:shd w:val="clear" w:color="auto" w:fill="FFFFFF"/>
              <w:spacing w:before="0" w:beforeAutospacing="0" w:after="300" w:afterAutospacing="0" w:line="360" w:lineRule="auto"/>
              <w:jc w:val="both"/>
              <w:rPr>
                <w:rFonts w:ascii="Arial" w:hAnsi="Arial" w:cs="Arial"/>
                <w:color w:val="000000"/>
              </w:rPr>
            </w:pPr>
            <w:r w:rsidRPr="00686FC4">
              <w:rPr>
                <w:rFonts w:ascii="Arial" w:hAnsi="Arial" w:cs="Arial"/>
                <w:color w:val="000000"/>
              </w:rPr>
              <w:t xml:space="preserve">Both systems nonetheless share multi-agency working, Regional Safeguarding Boards, a well-being focus and the principle that safeguarding is everyone’s responsibility (Social Services and Well-being (Wales) Act 2014). Understanding these distinctions helps practitioners apply the right legal tests, share information appropriately and </w:t>
            </w:r>
            <w:r>
              <w:rPr>
                <w:rFonts w:ascii="Arial" w:hAnsi="Arial" w:cs="Arial"/>
                <w:color w:val="000000"/>
              </w:rPr>
              <w:t>promotes</w:t>
            </w:r>
            <w:r w:rsidRPr="00686FC4">
              <w:rPr>
                <w:rFonts w:ascii="Arial" w:hAnsi="Arial" w:cs="Arial"/>
                <w:color w:val="000000"/>
              </w:rPr>
              <w:t xml:space="preserve"> both children’s rights and adults’ human rights in Wales.</w:t>
            </w:r>
          </w:p>
          <w:p w14:paraId="7D95E022" w14:textId="77777777" w:rsidR="00523A72" w:rsidRPr="00523A72" w:rsidRDefault="00523A72" w:rsidP="00523A72">
            <w:pPr>
              <w:spacing w:line="360" w:lineRule="auto"/>
              <w:jc w:val="both"/>
              <w:rPr>
                <w:sz w:val="24"/>
                <w:szCs w:val="24"/>
              </w:rPr>
            </w:pPr>
            <w:r w:rsidRPr="00523A72">
              <w:rPr>
                <w:sz w:val="24"/>
                <w:szCs w:val="24"/>
              </w:rPr>
              <w:t>Word Count 439</w:t>
            </w:r>
          </w:p>
          <w:p w14:paraId="5CE1E283" w14:textId="77777777" w:rsidR="002169F8" w:rsidRPr="002169F8" w:rsidRDefault="002169F8"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4B5BD" w14:textId="77777777" w:rsidR="004F643A" w:rsidRDefault="004F643A">
      <w:r>
        <w:separator/>
      </w:r>
    </w:p>
  </w:endnote>
  <w:endnote w:type="continuationSeparator" w:id="0">
    <w:p w14:paraId="1EC1D087" w14:textId="77777777" w:rsidR="004F643A" w:rsidRDefault="004F64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04E38" w14:textId="77777777" w:rsidR="004F643A" w:rsidRDefault="004F643A">
      <w:r>
        <w:separator/>
      </w:r>
    </w:p>
  </w:footnote>
  <w:footnote w:type="continuationSeparator" w:id="0">
    <w:p w14:paraId="60F3A3E8" w14:textId="77777777" w:rsidR="004F643A" w:rsidRDefault="004F64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C96547"/>
    <w:multiLevelType w:val="multilevel"/>
    <w:tmpl w:val="41CE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311250730">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69F8"/>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EA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43A"/>
    <w:rsid w:val="004F740D"/>
    <w:rsid w:val="004F7B8F"/>
    <w:rsid w:val="00500748"/>
    <w:rsid w:val="005011D6"/>
    <w:rsid w:val="00502A14"/>
    <w:rsid w:val="005042F1"/>
    <w:rsid w:val="0050481B"/>
    <w:rsid w:val="005113D4"/>
    <w:rsid w:val="0051287D"/>
    <w:rsid w:val="00513C7D"/>
    <w:rsid w:val="00521123"/>
    <w:rsid w:val="00521221"/>
    <w:rsid w:val="0052250B"/>
    <w:rsid w:val="00523A72"/>
    <w:rsid w:val="005305C6"/>
    <w:rsid w:val="00540EEC"/>
    <w:rsid w:val="005414F4"/>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29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323"/>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393"/>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154"/>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169F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2169F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23A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1239</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N. (2027649)</cp:lastModifiedBy>
  <cp:revision>5</cp:revision>
  <cp:lastPrinted>2020-02-11T19:20:00Z</cp:lastPrinted>
  <dcterms:created xsi:type="dcterms:W3CDTF">2025-09-08T10:08:00Z</dcterms:created>
  <dcterms:modified xsi:type="dcterms:W3CDTF">2026-10-07T00:14:00Z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