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32"/>
          <w:szCs w:val="32"/>
        </w:rPr>
        <w:id w:val="-1970966528"/>
        <w:docPartObj>
          <w:docPartGallery w:val="Cover Pages"/>
          <w:docPartUnique/>
        </w:docPartObj>
      </w:sdtPr>
      <w:sdtContent>
        <w:p w14:paraId="3C8992F0" w14:textId="7551269B" w:rsidR="003810F7" w:rsidRDefault="003810F7">
          <w:pPr>
            <w:rPr>
              <w:b/>
              <w:bCs/>
              <w:sz w:val="32"/>
              <w:szCs w:val="32"/>
            </w:rPr>
          </w:pPr>
          <w:r w:rsidRPr="003810F7">
            <w:rPr>
              <w:b/>
              <w:bCs/>
              <w:noProof/>
              <w:sz w:val="32"/>
              <w:szCs w:val="32"/>
            </w:rPr>
            <mc:AlternateContent>
              <mc:Choice Requires="wps">
                <w:drawing>
                  <wp:anchor distT="0" distB="0" distL="114300" distR="114300" simplePos="0" relativeHeight="251659264" behindDoc="0" locked="0" layoutInCell="1" allowOverlap="1" wp14:anchorId="0928492E" wp14:editId="698C314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190"/>
                                  <w:gridCol w:w="2198"/>
                                </w:tblGrid>
                                <w:tr w:rsidR="003810F7" w14:paraId="77F84CCB" w14:textId="77777777">
                                  <w:trPr>
                                    <w:jc w:val="center"/>
                                  </w:trPr>
                                  <w:tc>
                                    <w:tcPr>
                                      <w:tcW w:w="2568" w:type="pct"/>
                                      <w:vAlign w:val="center"/>
                                    </w:tcPr>
                                    <w:p w14:paraId="04D6DFFA" w14:textId="177B8714" w:rsidR="003810F7" w:rsidRDefault="003810F7">
                                      <w:pPr>
                                        <w:jc w:val="right"/>
                                      </w:pPr>
                                      <w:r>
                                        <w:rPr>
                                          <w:noProof/>
                                        </w:rPr>
                                        <w:drawing>
                                          <wp:inline distT="0" distB="0" distL="0" distR="0" wp14:anchorId="78F9D75D" wp14:editId="52041EBE">
                                            <wp:extent cx="4743450" cy="3141218"/>
                                            <wp:effectExtent l="0" t="0" r="0" b="2540"/>
                                            <wp:docPr id="2" name="Picture 2" descr="99 Aston Martin Vanquish Vision render by Autocar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99 Aston Martin Vanquish Vision render by Autocar 20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3324" cy="3154379"/>
                                                    </a:xfrm>
                                                    <a:prstGeom prst="rect">
                                                      <a:avLst/>
                                                    </a:prstGeom>
                                                    <a:noFill/>
                                                    <a:ln>
                                                      <a:noFill/>
                                                    </a:ln>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5B24AE" w14:textId="6EFAA2A8" w:rsidR="003810F7" w:rsidRPr="00DB347B" w:rsidRDefault="003810F7" w:rsidP="003810F7">
                                          <w:pPr>
                                            <w:pStyle w:val="NoSpacing"/>
                                            <w:spacing w:line="312" w:lineRule="auto"/>
                                            <w:rPr>
                                              <w:caps/>
                                              <w:color w:val="191919" w:themeColor="text1" w:themeTint="E6"/>
                                              <w:sz w:val="28"/>
                                              <w:szCs w:val="28"/>
                                            </w:rPr>
                                          </w:pPr>
                                          <w:r w:rsidRPr="00DB347B">
                                            <w:rPr>
                                              <w:caps/>
                                              <w:color w:val="191919" w:themeColor="text1" w:themeTint="E6"/>
                                              <w:sz w:val="28"/>
                                              <w:szCs w:val="28"/>
                                            </w:rPr>
                                            <w:t xml:space="preserve">Business Review: Aston Martin Lagonda </w:t>
                                          </w:r>
                                          <w:r w:rsidR="00DB347B" w:rsidRPr="00DB347B">
                                            <w:rPr>
                                              <w:caps/>
                                              <w:color w:val="191919" w:themeColor="text1" w:themeTint="E6"/>
                                              <w:sz w:val="28"/>
                                              <w:szCs w:val="28"/>
                                            </w:rPr>
                                            <w:t>Recommendations on a</w:t>
                                          </w:r>
                                          <w:r w:rsidR="00DB347B">
                                            <w:rPr>
                                              <w:caps/>
                                              <w:color w:val="191919" w:themeColor="text1" w:themeTint="E6"/>
                                              <w:sz w:val="28"/>
                                              <w:szCs w:val="28"/>
                                            </w:rPr>
                                            <w:t xml:space="preserve"> £5M</w:t>
                                          </w:r>
                                          <w:r w:rsidR="00DB347B" w:rsidRPr="00DB347B">
                                            <w:rPr>
                                              <w:caps/>
                                              <w:color w:val="191919" w:themeColor="text1" w:themeTint="E6"/>
                                              <w:sz w:val="28"/>
                                              <w:szCs w:val="28"/>
                                            </w:rPr>
                                            <w:t xml:space="preserve"> Joint venture opportunity                                                            </w:t>
                                          </w:r>
                                          <w:r w:rsidRPr="00DB347B">
                                            <w:rPr>
                                              <w:caps/>
                                              <w:color w:val="191919" w:themeColor="text1" w:themeTint="E6"/>
                                              <w:sz w:val="28"/>
                                              <w:szCs w:val="28"/>
                                            </w:rPr>
                                            <w:t xml:space="preserve">ACPA7002 </w:t>
                                          </w:r>
                                          <w:r w:rsidR="00DB347B">
                                            <w:rPr>
                                              <w:caps/>
                                              <w:color w:val="191919" w:themeColor="text1" w:themeTint="E6"/>
                                              <w:sz w:val="28"/>
                                              <w:szCs w:val="28"/>
                                            </w:rPr>
                                            <w:t xml:space="preserve">- </w:t>
                                          </w:r>
                                          <w:r w:rsidRPr="00DB347B">
                                            <w:rPr>
                                              <w:caps/>
                                              <w:color w:val="191919" w:themeColor="text1" w:themeTint="E6"/>
                                              <w:sz w:val="28"/>
                                              <w:szCs w:val="28"/>
                                            </w:rPr>
                                            <w:t>Student 2126255 C J Davies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D9AFD27" w14:textId="7BEF502B" w:rsidR="003810F7" w:rsidRDefault="003810F7">
                                          <w:pPr>
                                            <w:jc w:val="right"/>
                                            <w:rPr>
                                              <w:sz w:val="24"/>
                                              <w:szCs w:val="24"/>
                                            </w:rPr>
                                          </w:pPr>
                                          <w:r>
                                            <w:rPr>
                                              <w:color w:val="000000" w:themeColor="text1"/>
                                              <w:sz w:val="24"/>
                                              <w:szCs w:val="24"/>
                                            </w:rPr>
                                            <w:t xml:space="preserve">     </w:t>
                                          </w:r>
                                        </w:p>
                                      </w:sdtContent>
                                    </w:sdt>
                                  </w:tc>
                                  <w:tc>
                                    <w:tcPr>
                                      <w:tcW w:w="2432" w:type="pct"/>
                                      <w:vAlign w:val="center"/>
                                    </w:tcPr>
                                    <w:p w14:paraId="7DEEA81E" w14:textId="77777777" w:rsidR="003810F7" w:rsidRDefault="003810F7">
                                      <w:pPr>
                                        <w:pStyle w:val="NoSpacing"/>
                                        <w:rPr>
                                          <w:caps/>
                                          <w:color w:val="ED7D31" w:themeColor="accent2"/>
                                          <w:sz w:val="26"/>
                                          <w:szCs w:val="26"/>
                                        </w:rPr>
                                      </w:pPr>
                                      <w:r>
                                        <w:rPr>
                                          <w:caps/>
                                          <w:color w:val="ED7D31" w:themeColor="accent2"/>
                                          <w:sz w:val="26"/>
                                          <w:szCs w:val="26"/>
                                        </w:rPr>
                                        <w:t>Abstract</w:t>
                                      </w:r>
                                    </w:p>
                                    <w:sdt>
                                      <w:sdtPr>
                                        <w:rPr>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47B476C4" w14:textId="4B416B74" w:rsidR="003810F7" w:rsidRPr="008F6819" w:rsidRDefault="008F6819">
                                          <w:pPr>
                                            <w:rPr>
                                              <w:color w:val="000000" w:themeColor="text1"/>
                                              <w:sz w:val="24"/>
                                              <w:szCs w:val="24"/>
                                            </w:rPr>
                                          </w:pPr>
                                          <w:r w:rsidRPr="008F6819">
                                            <w:rPr>
                                              <w:sz w:val="24"/>
                                              <w:szCs w:val="24"/>
                                            </w:rPr>
                                            <w:t>Digital transformation has delivered a 30% increase in workflow efficiency for luxury car manufacturer Aston Martin Lagonda (see Appendix 6)</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13D1E62" w14:textId="2CF1FAA5" w:rsidR="003810F7" w:rsidRDefault="003810F7">
                                          <w:pPr>
                                            <w:pStyle w:val="NoSpacing"/>
                                            <w:rPr>
                                              <w:color w:val="ED7D31" w:themeColor="accent2"/>
                                              <w:sz w:val="26"/>
                                              <w:szCs w:val="26"/>
                                            </w:rPr>
                                          </w:pPr>
                                          <w:r>
                                            <w:rPr>
                                              <w:color w:val="ED7D31" w:themeColor="accent2"/>
                                              <w:sz w:val="26"/>
                                              <w:szCs w:val="26"/>
                                            </w:rPr>
                                            <w:t>Christopher Davies (2126255)</w:t>
                                          </w:r>
                                        </w:p>
                                      </w:sdtContent>
                                    </w:sdt>
                                    <w:p w14:paraId="50C385FE" w14:textId="76174296" w:rsidR="003810F7"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C74E3">
                                            <w:rPr>
                                              <w:color w:val="44546A" w:themeColor="text2"/>
                                            </w:rPr>
                                            <w:t>Financial Management</w:t>
                                          </w:r>
                                        </w:sdtContent>
                                      </w:sdt>
                                    </w:p>
                                  </w:tc>
                                </w:tr>
                              </w:tbl>
                              <w:p w14:paraId="0BA6FAB1" w14:textId="77777777" w:rsidR="003810F7" w:rsidRDefault="003810F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928492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190"/>
                            <w:gridCol w:w="2198"/>
                          </w:tblGrid>
                          <w:tr w:rsidR="003810F7" w14:paraId="77F84CCB" w14:textId="77777777">
                            <w:trPr>
                              <w:jc w:val="center"/>
                            </w:trPr>
                            <w:tc>
                              <w:tcPr>
                                <w:tcW w:w="2568" w:type="pct"/>
                                <w:vAlign w:val="center"/>
                              </w:tcPr>
                              <w:p w14:paraId="04D6DFFA" w14:textId="177B8714" w:rsidR="003810F7" w:rsidRDefault="003810F7">
                                <w:pPr>
                                  <w:jc w:val="right"/>
                                </w:pPr>
                                <w:r>
                                  <w:rPr>
                                    <w:noProof/>
                                  </w:rPr>
                                  <w:drawing>
                                    <wp:inline distT="0" distB="0" distL="0" distR="0" wp14:anchorId="78F9D75D" wp14:editId="52041EBE">
                                      <wp:extent cx="4743450" cy="3141218"/>
                                      <wp:effectExtent l="0" t="0" r="0" b="2540"/>
                                      <wp:docPr id="2" name="Picture 2" descr="99 Aston Martin Vanquish Vision render by Autocar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99 Aston Martin Vanquish Vision render by Autocar 20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3324" cy="3154379"/>
                                              </a:xfrm>
                                              <a:prstGeom prst="rect">
                                                <a:avLst/>
                                              </a:prstGeom>
                                              <a:noFill/>
                                              <a:ln>
                                                <a:noFill/>
                                              </a:ln>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5B24AE" w14:textId="6EFAA2A8" w:rsidR="003810F7" w:rsidRPr="00DB347B" w:rsidRDefault="003810F7" w:rsidP="003810F7">
                                    <w:pPr>
                                      <w:pStyle w:val="NoSpacing"/>
                                      <w:spacing w:line="312" w:lineRule="auto"/>
                                      <w:rPr>
                                        <w:caps/>
                                        <w:color w:val="191919" w:themeColor="text1" w:themeTint="E6"/>
                                        <w:sz w:val="28"/>
                                        <w:szCs w:val="28"/>
                                      </w:rPr>
                                    </w:pPr>
                                    <w:r w:rsidRPr="00DB347B">
                                      <w:rPr>
                                        <w:caps/>
                                        <w:color w:val="191919" w:themeColor="text1" w:themeTint="E6"/>
                                        <w:sz w:val="28"/>
                                        <w:szCs w:val="28"/>
                                      </w:rPr>
                                      <w:t xml:space="preserve">Business Review: Aston Martin Lagonda </w:t>
                                    </w:r>
                                    <w:r w:rsidR="00DB347B" w:rsidRPr="00DB347B">
                                      <w:rPr>
                                        <w:caps/>
                                        <w:color w:val="191919" w:themeColor="text1" w:themeTint="E6"/>
                                        <w:sz w:val="28"/>
                                        <w:szCs w:val="28"/>
                                      </w:rPr>
                                      <w:t>Recommendations on a</w:t>
                                    </w:r>
                                    <w:r w:rsidR="00DB347B">
                                      <w:rPr>
                                        <w:caps/>
                                        <w:color w:val="191919" w:themeColor="text1" w:themeTint="E6"/>
                                        <w:sz w:val="28"/>
                                        <w:szCs w:val="28"/>
                                      </w:rPr>
                                      <w:t xml:space="preserve"> £5M</w:t>
                                    </w:r>
                                    <w:r w:rsidR="00DB347B" w:rsidRPr="00DB347B">
                                      <w:rPr>
                                        <w:caps/>
                                        <w:color w:val="191919" w:themeColor="text1" w:themeTint="E6"/>
                                        <w:sz w:val="28"/>
                                        <w:szCs w:val="28"/>
                                      </w:rPr>
                                      <w:t xml:space="preserve"> Joint venture opportunity                                                            </w:t>
                                    </w:r>
                                    <w:r w:rsidRPr="00DB347B">
                                      <w:rPr>
                                        <w:caps/>
                                        <w:color w:val="191919" w:themeColor="text1" w:themeTint="E6"/>
                                        <w:sz w:val="28"/>
                                        <w:szCs w:val="28"/>
                                      </w:rPr>
                                      <w:t xml:space="preserve">ACPA7002 </w:t>
                                    </w:r>
                                    <w:r w:rsidR="00DB347B">
                                      <w:rPr>
                                        <w:caps/>
                                        <w:color w:val="191919" w:themeColor="text1" w:themeTint="E6"/>
                                        <w:sz w:val="28"/>
                                        <w:szCs w:val="28"/>
                                      </w:rPr>
                                      <w:t xml:space="preserve">- </w:t>
                                    </w:r>
                                    <w:r w:rsidRPr="00DB347B">
                                      <w:rPr>
                                        <w:caps/>
                                        <w:color w:val="191919" w:themeColor="text1" w:themeTint="E6"/>
                                        <w:sz w:val="28"/>
                                        <w:szCs w:val="28"/>
                                      </w:rPr>
                                      <w:t>Student 2126255 C J Davies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D9AFD27" w14:textId="7BEF502B" w:rsidR="003810F7" w:rsidRDefault="003810F7">
                                    <w:pPr>
                                      <w:jc w:val="right"/>
                                      <w:rPr>
                                        <w:sz w:val="24"/>
                                        <w:szCs w:val="24"/>
                                      </w:rPr>
                                    </w:pPr>
                                    <w:r>
                                      <w:rPr>
                                        <w:color w:val="000000" w:themeColor="text1"/>
                                        <w:sz w:val="24"/>
                                        <w:szCs w:val="24"/>
                                      </w:rPr>
                                      <w:t xml:space="preserve">     </w:t>
                                    </w:r>
                                  </w:p>
                                </w:sdtContent>
                              </w:sdt>
                            </w:tc>
                            <w:tc>
                              <w:tcPr>
                                <w:tcW w:w="2432" w:type="pct"/>
                                <w:vAlign w:val="center"/>
                              </w:tcPr>
                              <w:p w14:paraId="7DEEA81E" w14:textId="77777777" w:rsidR="003810F7" w:rsidRDefault="003810F7">
                                <w:pPr>
                                  <w:pStyle w:val="NoSpacing"/>
                                  <w:rPr>
                                    <w:caps/>
                                    <w:color w:val="ED7D31" w:themeColor="accent2"/>
                                    <w:sz w:val="26"/>
                                    <w:szCs w:val="26"/>
                                  </w:rPr>
                                </w:pPr>
                                <w:r>
                                  <w:rPr>
                                    <w:caps/>
                                    <w:color w:val="ED7D31" w:themeColor="accent2"/>
                                    <w:sz w:val="26"/>
                                    <w:szCs w:val="26"/>
                                  </w:rPr>
                                  <w:t>Abstract</w:t>
                                </w:r>
                              </w:p>
                              <w:sdt>
                                <w:sdtPr>
                                  <w:rPr>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47B476C4" w14:textId="4B416B74" w:rsidR="003810F7" w:rsidRPr="008F6819" w:rsidRDefault="008F6819">
                                    <w:pPr>
                                      <w:rPr>
                                        <w:color w:val="000000" w:themeColor="text1"/>
                                        <w:sz w:val="24"/>
                                        <w:szCs w:val="24"/>
                                      </w:rPr>
                                    </w:pPr>
                                    <w:r w:rsidRPr="008F6819">
                                      <w:rPr>
                                        <w:sz w:val="24"/>
                                        <w:szCs w:val="24"/>
                                      </w:rPr>
                                      <w:t>Digital transformation has delivered a 30% increase in workflow efficiency for luxury car manufacturer Aston Martin Lagonda (see Appendix 6)</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13D1E62" w14:textId="2CF1FAA5" w:rsidR="003810F7" w:rsidRDefault="003810F7">
                                    <w:pPr>
                                      <w:pStyle w:val="NoSpacing"/>
                                      <w:rPr>
                                        <w:color w:val="ED7D31" w:themeColor="accent2"/>
                                        <w:sz w:val="26"/>
                                        <w:szCs w:val="26"/>
                                      </w:rPr>
                                    </w:pPr>
                                    <w:r>
                                      <w:rPr>
                                        <w:color w:val="ED7D31" w:themeColor="accent2"/>
                                        <w:sz w:val="26"/>
                                        <w:szCs w:val="26"/>
                                      </w:rPr>
                                      <w:t>Christopher Davies (2126255)</w:t>
                                    </w:r>
                                  </w:p>
                                </w:sdtContent>
                              </w:sdt>
                              <w:p w14:paraId="50C385FE" w14:textId="76174296" w:rsidR="003810F7"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C74E3">
                                      <w:rPr>
                                        <w:color w:val="44546A" w:themeColor="text2"/>
                                      </w:rPr>
                                      <w:t>Financial Management</w:t>
                                    </w:r>
                                  </w:sdtContent>
                                </w:sdt>
                              </w:p>
                            </w:tc>
                          </w:tr>
                        </w:tbl>
                        <w:p w14:paraId="0BA6FAB1" w14:textId="77777777" w:rsidR="003810F7" w:rsidRDefault="003810F7"/>
                      </w:txbxContent>
                    </v:textbox>
                    <w10:wrap anchorx="page" anchory="page"/>
                  </v:shape>
                </w:pict>
              </mc:Fallback>
            </mc:AlternateContent>
          </w:r>
          <w:r>
            <w:rPr>
              <w:b/>
              <w:bCs/>
              <w:sz w:val="32"/>
              <w:szCs w:val="32"/>
            </w:rPr>
            <w:br w:type="page"/>
          </w:r>
        </w:p>
      </w:sdtContent>
    </w:sdt>
    <w:p w14:paraId="0932D281" w14:textId="5AC43BBD" w:rsidR="009A3D6B" w:rsidRDefault="009A3D6B" w:rsidP="00C24800">
      <w:pPr>
        <w:jc w:val="center"/>
        <w:rPr>
          <w:b/>
          <w:bCs/>
          <w:sz w:val="32"/>
          <w:szCs w:val="32"/>
        </w:rPr>
      </w:pPr>
      <w:r>
        <w:rPr>
          <w:b/>
          <w:bCs/>
          <w:sz w:val="32"/>
          <w:szCs w:val="32"/>
        </w:rPr>
        <w:lastRenderedPageBreak/>
        <w:t>CONTENTS</w:t>
      </w:r>
    </w:p>
    <w:p w14:paraId="353498F4" w14:textId="5DFF612F" w:rsidR="009A3D6B" w:rsidRPr="009A3D6B" w:rsidRDefault="009A3D6B" w:rsidP="009A3D6B">
      <w:pPr>
        <w:rPr>
          <w:sz w:val="24"/>
          <w:szCs w:val="24"/>
        </w:rPr>
      </w:pPr>
      <w:r>
        <w:rPr>
          <w:sz w:val="24"/>
          <w:szCs w:val="24"/>
        </w:rPr>
        <w:t xml:space="preserve">    </w:t>
      </w:r>
      <w:r w:rsidRPr="009A3D6B">
        <w:rPr>
          <w:sz w:val="24"/>
          <w:szCs w:val="24"/>
        </w:rPr>
        <w:t>Page</w:t>
      </w:r>
      <w:r>
        <w:rPr>
          <w:sz w:val="24"/>
          <w:szCs w:val="24"/>
        </w:rPr>
        <w:tab/>
      </w:r>
      <w:r>
        <w:rPr>
          <w:sz w:val="24"/>
          <w:szCs w:val="24"/>
        </w:rPr>
        <w:tab/>
        <w:t xml:space="preserve">       Details</w:t>
      </w:r>
    </w:p>
    <w:p w14:paraId="7BD6057F" w14:textId="6BD49D78" w:rsidR="009A3D6B" w:rsidRPr="009A3D6B" w:rsidRDefault="009A3D6B" w:rsidP="009A3D6B">
      <w:pPr>
        <w:pStyle w:val="ListParagraph"/>
        <w:numPr>
          <w:ilvl w:val="0"/>
          <w:numId w:val="27"/>
        </w:numPr>
        <w:rPr>
          <w:sz w:val="24"/>
          <w:szCs w:val="24"/>
        </w:rPr>
      </w:pPr>
      <w:r w:rsidRPr="009A3D6B">
        <w:rPr>
          <w:sz w:val="24"/>
          <w:szCs w:val="24"/>
        </w:rPr>
        <w:t>Cover Page</w:t>
      </w:r>
    </w:p>
    <w:p w14:paraId="11971385" w14:textId="6A1A04F2" w:rsidR="009A3D6B" w:rsidRDefault="009A3D6B" w:rsidP="009A3D6B">
      <w:pPr>
        <w:pStyle w:val="ListParagraph"/>
        <w:numPr>
          <w:ilvl w:val="0"/>
          <w:numId w:val="27"/>
        </w:numPr>
        <w:rPr>
          <w:sz w:val="24"/>
          <w:szCs w:val="24"/>
        </w:rPr>
      </w:pPr>
      <w:r>
        <w:rPr>
          <w:sz w:val="24"/>
          <w:szCs w:val="24"/>
        </w:rPr>
        <w:t>Contents</w:t>
      </w:r>
    </w:p>
    <w:p w14:paraId="033CA2B1" w14:textId="55B40FF5" w:rsidR="009A3D6B" w:rsidRDefault="009A3D6B" w:rsidP="009A3D6B">
      <w:pPr>
        <w:pStyle w:val="ListParagraph"/>
        <w:numPr>
          <w:ilvl w:val="0"/>
          <w:numId w:val="27"/>
        </w:numPr>
        <w:rPr>
          <w:sz w:val="24"/>
          <w:szCs w:val="24"/>
        </w:rPr>
      </w:pPr>
      <w:r>
        <w:rPr>
          <w:sz w:val="24"/>
          <w:szCs w:val="24"/>
        </w:rPr>
        <w:t>Executive Summary</w:t>
      </w:r>
    </w:p>
    <w:p w14:paraId="77D4FBD3" w14:textId="483B0EED" w:rsidR="00480C70" w:rsidRDefault="00480C70" w:rsidP="009A3D6B">
      <w:pPr>
        <w:pStyle w:val="ListParagraph"/>
        <w:numPr>
          <w:ilvl w:val="0"/>
          <w:numId w:val="27"/>
        </w:numPr>
        <w:rPr>
          <w:sz w:val="24"/>
          <w:szCs w:val="24"/>
        </w:rPr>
      </w:pPr>
      <w:r>
        <w:rPr>
          <w:sz w:val="24"/>
          <w:szCs w:val="24"/>
        </w:rPr>
        <w:t>Executive Summary</w:t>
      </w:r>
    </w:p>
    <w:p w14:paraId="5A154351" w14:textId="5D6336E3" w:rsidR="00480C70" w:rsidRPr="006452DF" w:rsidRDefault="00480C70" w:rsidP="000159A4">
      <w:pPr>
        <w:pStyle w:val="ListParagraph"/>
        <w:numPr>
          <w:ilvl w:val="0"/>
          <w:numId w:val="27"/>
        </w:numPr>
        <w:rPr>
          <w:sz w:val="24"/>
          <w:szCs w:val="24"/>
        </w:rPr>
      </w:pPr>
      <w:r w:rsidRPr="006452DF">
        <w:rPr>
          <w:sz w:val="24"/>
          <w:szCs w:val="24"/>
        </w:rPr>
        <w:t>Executive Summary</w:t>
      </w:r>
    </w:p>
    <w:p w14:paraId="63ACFC35" w14:textId="51E84F15" w:rsidR="00480C70" w:rsidRDefault="00480C70" w:rsidP="009A3D6B">
      <w:pPr>
        <w:pStyle w:val="ListParagraph"/>
        <w:numPr>
          <w:ilvl w:val="0"/>
          <w:numId w:val="27"/>
        </w:numPr>
        <w:rPr>
          <w:sz w:val="24"/>
          <w:szCs w:val="24"/>
        </w:rPr>
      </w:pPr>
      <w:r>
        <w:rPr>
          <w:sz w:val="24"/>
          <w:szCs w:val="24"/>
        </w:rPr>
        <w:t>Report Introduction</w:t>
      </w:r>
    </w:p>
    <w:p w14:paraId="582EB53D" w14:textId="69B9F08F" w:rsidR="00480C70" w:rsidRPr="00EB4608" w:rsidRDefault="00EB4608" w:rsidP="009A3D6B">
      <w:pPr>
        <w:pStyle w:val="ListParagraph"/>
        <w:numPr>
          <w:ilvl w:val="0"/>
          <w:numId w:val="27"/>
        </w:numPr>
        <w:rPr>
          <w:sz w:val="24"/>
          <w:szCs w:val="24"/>
        </w:rPr>
      </w:pPr>
      <w:r w:rsidRPr="00EB4608">
        <w:t>A review of content published in AML’s annual reports and interim statements</w:t>
      </w:r>
    </w:p>
    <w:p w14:paraId="3DC985E5" w14:textId="722707BA" w:rsidR="00EB4608" w:rsidRPr="00EB4608" w:rsidRDefault="00EB4608" w:rsidP="00EB4608">
      <w:pPr>
        <w:pStyle w:val="ListParagraph"/>
        <w:numPr>
          <w:ilvl w:val="0"/>
          <w:numId w:val="27"/>
        </w:numPr>
      </w:pPr>
      <w:r w:rsidRPr="00EB4608">
        <w:t>A brief review of external evidence to support the various comments and statements made by the Chairman, CEO and CFO in the published information</w:t>
      </w:r>
    </w:p>
    <w:p w14:paraId="1D4E8846" w14:textId="57D0540D" w:rsidR="00EB4608" w:rsidRPr="00EB4608" w:rsidRDefault="00EB4608" w:rsidP="009A3D6B">
      <w:pPr>
        <w:pStyle w:val="ListParagraph"/>
        <w:numPr>
          <w:ilvl w:val="0"/>
          <w:numId w:val="27"/>
        </w:numPr>
        <w:rPr>
          <w:sz w:val="24"/>
          <w:szCs w:val="24"/>
        </w:rPr>
      </w:pPr>
      <w:r w:rsidRPr="00EB4608">
        <w:t xml:space="preserve">Use and Limitation of Ratios </w:t>
      </w:r>
    </w:p>
    <w:p w14:paraId="611791BE" w14:textId="6E356B29" w:rsidR="00EB4608" w:rsidRPr="00EB4608" w:rsidRDefault="00EB4608" w:rsidP="009A3D6B">
      <w:pPr>
        <w:pStyle w:val="ListParagraph"/>
        <w:numPr>
          <w:ilvl w:val="0"/>
          <w:numId w:val="27"/>
        </w:numPr>
        <w:rPr>
          <w:sz w:val="24"/>
          <w:szCs w:val="24"/>
        </w:rPr>
      </w:pPr>
      <w:r>
        <w:t xml:space="preserve">Use and Limitation of Ratios </w:t>
      </w:r>
    </w:p>
    <w:p w14:paraId="741427E1" w14:textId="0EED0A38" w:rsidR="00EB4608" w:rsidRPr="00EB4608" w:rsidRDefault="00EB4608" w:rsidP="00176CB1">
      <w:pPr>
        <w:pStyle w:val="ListParagraph"/>
        <w:numPr>
          <w:ilvl w:val="0"/>
          <w:numId w:val="27"/>
        </w:numPr>
        <w:rPr>
          <w:sz w:val="24"/>
          <w:szCs w:val="24"/>
        </w:rPr>
      </w:pPr>
      <w:r w:rsidRPr="00EB4608">
        <w:t xml:space="preserve">The formulae and calculations of the main AML financial ratios </w:t>
      </w:r>
    </w:p>
    <w:p w14:paraId="36ADCD14" w14:textId="6167E3FF" w:rsidR="00EB4608" w:rsidRPr="00BF1EBC" w:rsidRDefault="00BF1EBC" w:rsidP="00176CB1">
      <w:pPr>
        <w:pStyle w:val="ListParagraph"/>
        <w:numPr>
          <w:ilvl w:val="0"/>
          <w:numId w:val="27"/>
        </w:numPr>
        <w:rPr>
          <w:sz w:val="24"/>
          <w:szCs w:val="24"/>
        </w:rPr>
      </w:pPr>
      <w:r>
        <w:t>Financial ratios (cont’d) and a brief look at AML Q3 2022 results</w:t>
      </w:r>
    </w:p>
    <w:p w14:paraId="69A293E9" w14:textId="1BC4AB53" w:rsidR="00BF1EBC" w:rsidRPr="00BF1EBC" w:rsidRDefault="00BF1EBC" w:rsidP="00176CB1">
      <w:pPr>
        <w:pStyle w:val="ListParagraph"/>
        <w:numPr>
          <w:ilvl w:val="0"/>
          <w:numId w:val="27"/>
        </w:numPr>
        <w:rPr>
          <w:sz w:val="24"/>
          <w:szCs w:val="24"/>
        </w:rPr>
      </w:pPr>
      <w:r w:rsidRPr="00BF1EBC">
        <w:rPr>
          <w:lang w:val="it-IT"/>
        </w:rPr>
        <w:t>EBITDA – AML &amp; FERRARI COMPARED</w:t>
      </w:r>
    </w:p>
    <w:p w14:paraId="62ED61CC" w14:textId="2618F821" w:rsidR="00BF1EBC" w:rsidRPr="00BF1EBC" w:rsidRDefault="00BF1EBC" w:rsidP="00705FF1">
      <w:pPr>
        <w:pStyle w:val="ListParagraph"/>
        <w:numPr>
          <w:ilvl w:val="0"/>
          <w:numId w:val="27"/>
        </w:numPr>
        <w:jc w:val="both"/>
        <w:rPr>
          <w:sz w:val="24"/>
          <w:szCs w:val="24"/>
        </w:rPr>
      </w:pPr>
      <w:r w:rsidRPr="00BF1EBC">
        <w:t>How can AML increase Revenue?</w:t>
      </w:r>
      <w:r>
        <w:t xml:space="preserve"> &amp; Reduce Cost of sales?</w:t>
      </w:r>
    </w:p>
    <w:p w14:paraId="34DAAC9E" w14:textId="77777777" w:rsidR="00BF1EBC" w:rsidRPr="00BF1EBC" w:rsidRDefault="00BF1EBC" w:rsidP="00BF1EBC">
      <w:pPr>
        <w:pStyle w:val="ListParagraph"/>
        <w:numPr>
          <w:ilvl w:val="0"/>
          <w:numId w:val="27"/>
        </w:numPr>
        <w:jc w:val="both"/>
      </w:pPr>
      <w:r w:rsidRPr="00BF1EBC">
        <w:t>BEYOND THE NUMBERS - OUR FINDINGS</w:t>
      </w:r>
    </w:p>
    <w:p w14:paraId="72395537" w14:textId="66484C36" w:rsidR="00185EAE" w:rsidRPr="00185EAE" w:rsidRDefault="00185EAE" w:rsidP="00185EAE">
      <w:pPr>
        <w:pStyle w:val="ListParagraph"/>
        <w:numPr>
          <w:ilvl w:val="0"/>
          <w:numId w:val="27"/>
        </w:numPr>
      </w:pPr>
      <w:r w:rsidRPr="00185EAE">
        <w:t>Conclusion Recommendations</w:t>
      </w:r>
    </w:p>
    <w:p w14:paraId="26F3D7EA" w14:textId="46C5D726" w:rsidR="00BF1EBC" w:rsidRPr="00185EAE" w:rsidRDefault="00185EAE" w:rsidP="00705FF1">
      <w:pPr>
        <w:pStyle w:val="ListParagraph"/>
        <w:numPr>
          <w:ilvl w:val="0"/>
          <w:numId w:val="27"/>
        </w:numPr>
        <w:jc w:val="both"/>
        <w:rPr>
          <w:sz w:val="24"/>
          <w:szCs w:val="24"/>
        </w:rPr>
      </w:pPr>
      <w:r w:rsidRPr="00185EAE">
        <w:t>Recommendations</w:t>
      </w:r>
    </w:p>
    <w:p w14:paraId="2EDB9C74" w14:textId="38B51977" w:rsidR="00185EAE" w:rsidRPr="00D90CBF" w:rsidRDefault="00185EAE" w:rsidP="00705FF1">
      <w:pPr>
        <w:pStyle w:val="ListParagraph"/>
        <w:numPr>
          <w:ilvl w:val="0"/>
          <w:numId w:val="27"/>
        </w:numPr>
        <w:jc w:val="both"/>
        <w:rPr>
          <w:sz w:val="24"/>
          <w:szCs w:val="24"/>
        </w:rPr>
      </w:pPr>
      <w:r>
        <w:t>Schedule of Appendices</w:t>
      </w:r>
    </w:p>
    <w:p w14:paraId="125A03EA" w14:textId="77777777" w:rsidR="00D90CBF" w:rsidRPr="00D90CBF" w:rsidRDefault="00D90CBF" w:rsidP="00D90CBF">
      <w:pPr>
        <w:pStyle w:val="ListParagraph"/>
        <w:numPr>
          <w:ilvl w:val="0"/>
          <w:numId w:val="27"/>
        </w:numPr>
        <w:jc w:val="both"/>
        <w:rPr>
          <w:rFonts w:ascii="Calibri" w:eastAsia="Calibri" w:hAnsi="Calibri" w:cs="Calibri"/>
          <w:color w:val="000000" w:themeColor="text1"/>
        </w:rPr>
      </w:pPr>
      <w:r w:rsidRPr="00D90CBF">
        <w:rPr>
          <w:rFonts w:ascii="Calibri" w:eastAsia="Calibri" w:hAnsi="Calibri" w:cs="Calibri"/>
          <w:color w:val="000000" w:themeColor="text1"/>
        </w:rPr>
        <w:t>Appendix 1 – Formulae showing the calculation of Financial Ratios</w:t>
      </w:r>
    </w:p>
    <w:p w14:paraId="7E4F5F02" w14:textId="77777777" w:rsidR="00D90CBF" w:rsidRPr="00D90CBF" w:rsidRDefault="00D90CBF" w:rsidP="00D90CBF">
      <w:pPr>
        <w:pStyle w:val="ListParagraph"/>
        <w:numPr>
          <w:ilvl w:val="0"/>
          <w:numId w:val="27"/>
        </w:numPr>
        <w:jc w:val="both"/>
        <w:rPr>
          <w:rFonts w:ascii="Calibri" w:eastAsia="Calibri" w:hAnsi="Calibri" w:cs="Calibri"/>
          <w:color w:val="000000" w:themeColor="text1"/>
        </w:rPr>
      </w:pPr>
      <w:r w:rsidRPr="00D90CBF">
        <w:rPr>
          <w:rFonts w:ascii="Calibri" w:eastAsia="Calibri" w:hAnsi="Calibri" w:cs="Calibri"/>
          <w:color w:val="000000" w:themeColor="text1"/>
        </w:rPr>
        <w:t>Appendix 1 – Formulae showing the calculation of Financial Ratios</w:t>
      </w:r>
    </w:p>
    <w:p w14:paraId="1B908DF6" w14:textId="77777777" w:rsidR="00D90CBF" w:rsidRPr="00D90CBF" w:rsidRDefault="00D90CBF" w:rsidP="00D90CBF">
      <w:pPr>
        <w:pStyle w:val="ListParagraph"/>
        <w:numPr>
          <w:ilvl w:val="0"/>
          <w:numId w:val="27"/>
        </w:numPr>
        <w:jc w:val="both"/>
        <w:rPr>
          <w:rFonts w:ascii="Calibri" w:eastAsia="Calibri" w:hAnsi="Calibri" w:cs="Calibri"/>
          <w:color w:val="000000" w:themeColor="text1"/>
        </w:rPr>
      </w:pPr>
      <w:r w:rsidRPr="00D90CBF">
        <w:rPr>
          <w:rFonts w:ascii="Calibri" w:eastAsia="Calibri" w:hAnsi="Calibri" w:cs="Calibri"/>
          <w:color w:val="000000" w:themeColor="text1"/>
        </w:rPr>
        <w:t>Appendix 1 – Formulae showing the calculation of Financial Ratios</w:t>
      </w:r>
    </w:p>
    <w:p w14:paraId="23375A42" w14:textId="77777777" w:rsidR="00D90CBF" w:rsidRPr="00D90CBF" w:rsidRDefault="00D90CBF" w:rsidP="00D90CBF">
      <w:pPr>
        <w:pStyle w:val="ListParagraph"/>
        <w:numPr>
          <w:ilvl w:val="0"/>
          <w:numId w:val="27"/>
        </w:numPr>
        <w:jc w:val="both"/>
        <w:rPr>
          <w:rFonts w:ascii="Calibri" w:eastAsia="Calibri" w:hAnsi="Calibri" w:cs="Calibri"/>
          <w:color w:val="000000" w:themeColor="text1"/>
        </w:rPr>
      </w:pPr>
      <w:r w:rsidRPr="00D90CBF">
        <w:rPr>
          <w:rFonts w:ascii="Calibri" w:eastAsia="Calibri" w:hAnsi="Calibri" w:cs="Calibri"/>
          <w:color w:val="000000" w:themeColor="text1"/>
        </w:rPr>
        <w:t>Appendix 1 – Formulae showing the calculation of Financial Ratios</w:t>
      </w:r>
    </w:p>
    <w:p w14:paraId="37D5DA84" w14:textId="1E46E1A5" w:rsidR="00D90CBF" w:rsidRDefault="00D90CBF" w:rsidP="00D90CBF">
      <w:pPr>
        <w:pStyle w:val="ListParagraph"/>
        <w:numPr>
          <w:ilvl w:val="0"/>
          <w:numId w:val="27"/>
        </w:numPr>
        <w:jc w:val="both"/>
        <w:rPr>
          <w:rFonts w:ascii="Calibri" w:eastAsia="Calibri" w:hAnsi="Calibri" w:cs="Calibri"/>
          <w:color w:val="000000" w:themeColor="text1"/>
        </w:rPr>
      </w:pPr>
      <w:r w:rsidRPr="00D90CBF">
        <w:rPr>
          <w:rFonts w:ascii="Calibri" w:eastAsia="Calibri" w:hAnsi="Calibri" w:cs="Calibri"/>
          <w:color w:val="000000" w:themeColor="text1"/>
        </w:rPr>
        <w:t>Appendix 1 – Formulae showing the calculation of Financial Ratios</w:t>
      </w:r>
    </w:p>
    <w:p w14:paraId="204B4698" w14:textId="675B0CB9" w:rsidR="00A06D0E" w:rsidRPr="00D90CBF" w:rsidRDefault="00A06D0E" w:rsidP="00D90CBF">
      <w:pPr>
        <w:pStyle w:val="ListParagraph"/>
        <w:numPr>
          <w:ilvl w:val="0"/>
          <w:numId w:val="27"/>
        </w:numPr>
        <w:jc w:val="both"/>
        <w:rPr>
          <w:rFonts w:ascii="Calibri" w:eastAsia="Calibri" w:hAnsi="Calibri" w:cs="Calibri"/>
          <w:color w:val="000000" w:themeColor="text1"/>
        </w:rPr>
      </w:pPr>
      <w:r>
        <w:rPr>
          <w:rFonts w:ascii="Calibri" w:eastAsia="Calibri" w:hAnsi="Calibri" w:cs="Calibri"/>
          <w:color w:val="000000" w:themeColor="text1"/>
        </w:rPr>
        <w:t>Appendix 1 – Summary Ratio Table (colour coded)</w:t>
      </w:r>
    </w:p>
    <w:p w14:paraId="169EC8CB" w14:textId="21301C68" w:rsidR="00D90CBF" w:rsidRDefault="00D90CBF" w:rsidP="00705FF1">
      <w:pPr>
        <w:pStyle w:val="ListParagraph"/>
        <w:numPr>
          <w:ilvl w:val="0"/>
          <w:numId w:val="27"/>
        </w:numPr>
        <w:jc w:val="both"/>
        <w:rPr>
          <w:sz w:val="24"/>
          <w:szCs w:val="24"/>
        </w:rPr>
      </w:pPr>
      <w:r>
        <w:rPr>
          <w:sz w:val="24"/>
          <w:szCs w:val="24"/>
        </w:rPr>
        <w:t>Appendices 2, 3 &amp; 4 (embedded PDF documents)</w:t>
      </w:r>
    </w:p>
    <w:p w14:paraId="37531DD8" w14:textId="4DDD908A" w:rsidR="00D90CBF" w:rsidRPr="00D90CBF" w:rsidRDefault="00D90CBF" w:rsidP="00D90CBF">
      <w:pPr>
        <w:pStyle w:val="ListParagraph"/>
        <w:numPr>
          <w:ilvl w:val="0"/>
          <w:numId w:val="27"/>
        </w:numPr>
        <w:jc w:val="both"/>
      </w:pPr>
      <w:r w:rsidRPr="00D90CBF">
        <w:t>Appendix 5 - Executive Summary – Broader Questions (beyond the Numbers)</w:t>
      </w:r>
    </w:p>
    <w:p w14:paraId="4FCB5506" w14:textId="77777777" w:rsidR="00D90CBF" w:rsidRPr="00D90CBF" w:rsidRDefault="00D90CBF" w:rsidP="00D90CBF">
      <w:pPr>
        <w:pStyle w:val="ListParagraph"/>
        <w:numPr>
          <w:ilvl w:val="0"/>
          <w:numId w:val="27"/>
        </w:numPr>
        <w:rPr>
          <w:rFonts w:ascii="Calibri" w:eastAsia="Calibri" w:hAnsi="Calibri" w:cs="Calibri"/>
        </w:rPr>
      </w:pPr>
      <w:r w:rsidRPr="00D90CBF">
        <w:rPr>
          <w:rFonts w:ascii="Calibri" w:eastAsia="Calibri" w:hAnsi="Calibri" w:cs="Calibri"/>
          <w:color w:val="000000" w:themeColor="text1"/>
        </w:rPr>
        <w:t xml:space="preserve">Appendix 6 – External evidence of AML’s pursuit of ‘Project Horizon’ </w:t>
      </w:r>
    </w:p>
    <w:p w14:paraId="2FE78FD5" w14:textId="01756CD3" w:rsidR="00D90CBF" w:rsidRPr="00D90CBF" w:rsidRDefault="00D90CBF" w:rsidP="00D90CBF">
      <w:pPr>
        <w:pStyle w:val="ListParagraph"/>
        <w:numPr>
          <w:ilvl w:val="0"/>
          <w:numId w:val="27"/>
        </w:numPr>
        <w:jc w:val="both"/>
        <w:rPr>
          <w:rFonts w:ascii="Calibri" w:eastAsia="Calibri" w:hAnsi="Calibri" w:cs="Calibri"/>
          <w:color w:val="000000" w:themeColor="text1"/>
        </w:rPr>
      </w:pPr>
      <w:r w:rsidRPr="00D90CBF">
        <w:rPr>
          <w:rFonts w:ascii="Calibri" w:eastAsia="Calibri" w:hAnsi="Calibri" w:cs="Calibri"/>
          <w:color w:val="000000" w:themeColor="text1"/>
        </w:rPr>
        <w:t>Appendices 7 &amp; 8 (embedded PDF Documents)</w:t>
      </w:r>
    </w:p>
    <w:p w14:paraId="4DBE7DCC" w14:textId="6AADDF47" w:rsidR="00D90CBF" w:rsidRDefault="00D90CBF" w:rsidP="00705FF1">
      <w:pPr>
        <w:pStyle w:val="ListParagraph"/>
        <w:numPr>
          <w:ilvl w:val="0"/>
          <w:numId w:val="27"/>
        </w:numPr>
        <w:jc w:val="both"/>
        <w:rPr>
          <w:sz w:val="24"/>
          <w:szCs w:val="24"/>
        </w:rPr>
      </w:pPr>
      <w:r>
        <w:rPr>
          <w:sz w:val="24"/>
          <w:szCs w:val="24"/>
        </w:rPr>
        <w:t>BIBLIOGRAPHY</w:t>
      </w:r>
    </w:p>
    <w:p w14:paraId="2B5B9311" w14:textId="1DC263BC" w:rsidR="006452DF" w:rsidRPr="00BF1EBC" w:rsidRDefault="006452DF" w:rsidP="00705FF1">
      <w:pPr>
        <w:pStyle w:val="ListParagraph"/>
        <w:numPr>
          <w:ilvl w:val="0"/>
          <w:numId w:val="27"/>
        </w:numPr>
        <w:jc w:val="both"/>
        <w:rPr>
          <w:sz w:val="24"/>
          <w:szCs w:val="24"/>
        </w:rPr>
      </w:pPr>
      <w:r>
        <w:rPr>
          <w:sz w:val="24"/>
          <w:szCs w:val="24"/>
        </w:rPr>
        <w:t>BIBLIOGRAPHY</w:t>
      </w:r>
    </w:p>
    <w:p w14:paraId="75ECA8D3" w14:textId="28B4C247" w:rsidR="009A3D6B" w:rsidRDefault="009A3D6B" w:rsidP="009A3D6B">
      <w:pPr>
        <w:rPr>
          <w:sz w:val="24"/>
          <w:szCs w:val="24"/>
        </w:rPr>
      </w:pPr>
    </w:p>
    <w:p w14:paraId="398DED84" w14:textId="14DDC4FC" w:rsidR="009A3D6B" w:rsidRDefault="009A3D6B" w:rsidP="009A3D6B">
      <w:pPr>
        <w:rPr>
          <w:sz w:val="24"/>
          <w:szCs w:val="24"/>
        </w:rPr>
      </w:pPr>
    </w:p>
    <w:p w14:paraId="1ADABDD5" w14:textId="54B15664" w:rsidR="009A3D6B" w:rsidRDefault="009A3D6B" w:rsidP="009A3D6B">
      <w:pPr>
        <w:rPr>
          <w:sz w:val="24"/>
          <w:szCs w:val="24"/>
        </w:rPr>
      </w:pPr>
    </w:p>
    <w:p w14:paraId="324C1524" w14:textId="2BD3E59D" w:rsidR="009A3D6B" w:rsidRDefault="009A3D6B" w:rsidP="009A3D6B">
      <w:pPr>
        <w:rPr>
          <w:sz w:val="24"/>
          <w:szCs w:val="24"/>
        </w:rPr>
      </w:pPr>
    </w:p>
    <w:p w14:paraId="7B1C8236" w14:textId="0FBC4B14" w:rsidR="009A3D6B" w:rsidRDefault="009A3D6B" w:rsidP="009A3D6B">
      <w:pPr>
        <w:rPr>
          <w:sz w:val="24"/>
          <w:szCs w:val="24"/>
        </w:rPr>
      </w:pPr>
    </w:p>
    <w:p w14:paraId="459902AD" w14:textId="1A087A78" w:rsidR="009A3D6B" w:rsidRDefault="009A3D6B" w:rsidP="009A3D6B">
      <w:pPr>
        <w:rPr>
          <w:sz w:val="24"/>
          <w:szCs w:val="24"/>
        </w:rPr>
      </w:pPr>
    </w:p>
    <w:p w14:paraId="418DBC03" w14:textId="2B58CF71" w:rsidR="0D7BFC5D" w:rsidRPr="00C24800" w:rsidRDefault="00D90CBF" w:rsidP="00C24800">
      <w:pPr>
        <w:jc w:val="center"/>
        <w:rPr>
          <w:b/>
          <w:bCs/>
          <w:sz w:val="32"/>
          <w:szCs w:val="32"/>
        </w:rPr>
      </w:pPr>
      <w:r>
        <w:rPr>
          <w:b/>
          <w:bCs/>
          <w:sz w:val="32"/>
          <w:szCs w:val="32"/>
        </w:rPr>
        <w:lastRenderedPageBreak/>
        <w:t>E</w:t>
      </w:r>
      <w:r w:rsidR="3ED1AB33" w:rsidRPr="00C24800">
        <w:rPr>
          <w:b/>
          <w:bCs/>
          <w:sz w:val="32"/>
          <w:szCs w:val="32"/>
        </w:rPr>
        <w:t>xecutive Summary</w:t>
      </w:r>
    </w:p>
    <w:p w14:paraId="5C9D997D" w14:textId="4170411F" w:rsidR="13BB9966" w:rsidRDefault="13BB9966" w:rsidP="79C2323A">
      <w:pPr>
        <w:spacing w:after="240"/>
        <w:jc w:val="center"/>
        <w:rPr>
          <w:rFonts w:ascii="Amasis MT Pro Light" w:eastAsia="Amasis MT Pro Light" w:hAnsi="Amasis MT Pro Light" w:cs="Amasis MT Pro Light"/>
          <w:color w:val="000000" w:themeColor="text1"/>
          <w:sz w:val="20"/>
          <w:szCs w:val="20"/>
        </w:rPr>
      </w:pPr>
      <w:r>
        <w:rPr>
          <w:noProof/>
        </w:rPr>
        <w:drawing>
          <wp:inline distT="0" distB="0" distL="0" distR="0" wp14:anchorId="4EC5142D" wp14:editId="3FD83283">
            <wp:extent cx="4229100" cy="1743075"/>
            <wp:effectExtent l="0" t="0" r="0" b="0"/>
            <wp:docPr id="690233714" name="Picture 690233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229100" cy="1743075"/>
                    </a:xfrm>
                    <a:prstGeom prst="rect">
                      <a:avLst/>
                    </a:prstGeom>
                  </pic:spPr>
                </pic:pic>
              </a:graphicData>
            </a:graphic>
          </wp:inline>
        </w:drawing>
      </w:r>
    </w:p>
    <w:p w14:paraId="4AA83517" w14:textId="7AD56A97" w:rsidR="13BB9966" w:rsidRDefault="64107435" w:rsidP="114D2111">
      <w:pPr>
        <w:spacing w:after="240"/>
        <w:jc w:val="center"/>
        <w:rPr>
          <w:rFonts w:ascii="Calibri" w:eastAsia="Calibri" w:hAnsi="Calibri" w:cs="Calibri"/>
          <w:color w:val="000000" w:themeColor="text1"/>
        </w:rPr>
      </w:pPr>
      <w:r w:rsidRPr="114D2111">
        <w:rPr>
          <w:rFonts w:ascii="Amasis MT Pro Light" w:eastAsia="Amasis MT Pro Light" w:hAnsi="Amasis MT Pro Light" w:cs="Amasis MT Pro Light"/>
          <w:b/>
          <w:bCs/>
          <w:color w:val="000000" w:themeColor="text1"/>
          <w:sz w:val="20"/>
          <w:szCs w:val="20"/>
        </w:rPr>
        <w:t>Source:</w:t>
      </w:r>
      <w:r w:rsidR="39050857" w:rsidRPr="114D2111">
        <w:rPr>
          <w:rFonts w:ascii="Amasis MT Pro Light" w:eastAsia="Amasis MT Pro Light" w:hAnsi="Amasis MT Pro Light" w:cs="Amasis MT Pro Light"/>
          <w:b/>
          <w:bCs/>
          <w:color w:val="000000" w:themeColor="text1"/>
          <w:sz w:val="20"/>
          <w:szCs w:val="20"/>
        </w:rPr>
        <w:t xml:space="preserve"> </w:t>
      </w:r>
      <w:sdt>
        <w:sdtPr>
          <w:alias w:val="Citation"/>
          <w:tag w:val="{&quot;referencesIds&quot;:[&quot;doc:63c4001f4e31ba054ee60c2e&quot;],&quot;referencesOptions&quot;:{&quot;doc:63c4001f4e31ba054ee60c2e&quot;:{&quot;author&quot;:true,&quot;year&quot;:true,&quot;pageReplace&quot;:&quot;&quot;,&quot;prefix&quot;:&quot;&quot;,&quot;suffix&quot;:&quot;&quot;}},&quot;hasBrokenReferences&quot;:false,&quot;hasManualEdits&quot;:false,&quot;citationType&quot;:&quot;inline&quot;}"/>
          <w:id w:val="170779801"/>
          <w:placeholder>
            <w:docPart w:val="DefaultPlaceholder_1081868574"/>
          </w:placeholder>
        </w:sdtPr>
        <w:sdtContent>
          <w:r w:rsidR="5EC524EC" w:rsidRPr="114D2111">
            <w:rPr>
              <w:rFonts w:ascii="Calibri" w:eastAsia="Calibri" w:hAnsi="Calibri" w:cs="Calibri"/>
              <w:color w:val="000000" w:themeColor="text1"/>
            </w:rPr>
            <w:t>(Walsh 200</w:t>
          </w:r>
          <w:bookmarkStart w:id="0" w:name="_Int_dX1INlWd"/>
          <w:r w:rsidR="5EC524EC" w:rsidRPr="114D2111">
            <w:rPr>
              <w:rFonts w:ascii="Calibri" w:eastAsia="Calibri" w:hAnsi="Calibri" w:cs="Calibri"/>
              <w:color w:val="000000" w:themeColor="text1"/>
            </w:rPr>
            <w:t>9)</w:t>
          </w:r>
        </w:sdtContent>
      </w:sdt>
      <w:bookmarkEnd w:id="0"/>
    </w:p>
    <w:p w14:paraId="0A06A500" w14:textId="38055087" w:rsidR="13BB9966" w:rsidRDefault="64107435" w:rsidP="114D2111">
      <w:pPr>
        <w:spacing w:after="240"/>
        <w:jc w:val="both"/>
        <w:rPr>
          <w:rFonts w:ascii="Calibri" w:eastAsia="Calibri" w:hAnsi="Calibri" w:cs="Calibri"/>
          <w:color w:val="000000" w:themeColor="text1"/>
        </w:rPr>
      </w:pPr>
      <w:r w:rsidRPr="114D2111">
        <w:rPr>
          <w:rFonts w:ascii="Calibri" w:eastAsia="Calibri" w:hAnsi="Calibri" w:cs="Calibri"/>
          <w:color w:val="000000" w:themeColor="text1"/>
        </w:rPr>
        <w:t xml:space="preserve">‘Business ratios are the guiding stars for the management of enterprises; they </w:t>
      </w:r>
      <w:bookmarkStart w:id="1" w:name="_Int_E5iThnqT"/>
      <w:r w:rsidRPr="114D2111">
        <w:rPr>
          <w:rFonts w:ascii="Calibri" w:eastAsia="Calibri" w:hAnsi="Calibri" w:cs="Calibri"/>
          <w:color w:val="000000" w:themeColor="text1"/>
        </w:rPr>
        <w:t>provide</w:t>
      </w:r>
      <w:bookmarkEnd w:id="1"/>
      <w:r w:rsidRPr="114D2111">
        <w:rPr>
          <w:rFonts w:ascii="Calibri" w:eastAsia="Calibri" w:hAnsi="Calibri" w:cs="Calibri"/>
          <w:color w:val="000000" w:themeColor="text1"/>
        </w:rPr>
        <w:t xml:space="preserve"> their targets and standards. They are helpful to managers in directing them towards the most beneficial long-term strategies as well as towards effective short-term decision-making.’</w:t>
      </w:r>
      <w:r w:rsidR="39050857" w:rsidRPr="114D2111">
        <w:rPr>
          <w:rFonts w:ascii="Calibri" w:eastAsia="Calibri" w:hAnsi="Calibri" w:cs="Calibri"/>
          <w:color w:val="000000" w:themeColor="text1"/>
        </w:rPr>
        <w:t xml:space="preserve"> </w:t>
      </w:r>
      <w:sdt>
        <w:sdtPr>
          <w:alias w:val="Citation"/>
          <w:tag w:val="{&quot;referencesIds&quot;:[&quot;doc:63c4001f4e31ba054ee60c2e&quot;],&quot;referencesOptions&quot;:{&quot;doc:63c4001f4e31ba054ee60c2e&quot;:{&quot;author&quot;:true,&quot;year&quot;:true,&quot;pageReplace&quot;:&quot;&quot;,&quot;prefix&quot;:&quot;&quot;,&quot;suffix&quot;:&quot;&quot;}},&quot;hasBrokenReferences&quot;:false,&quot;hasManualEdits&quot;:false,&quot;citationType&quot;:&quot;inline&quot;}"/>
          <w:id w:val="75339123"/>
          <w:placeholder>
            <w:docPart w:val="DefaultPlaceholder_1081868574"/>
          </w:placeholder>
        </w:sdtPr>
        <w:sdtContent>
          <w:r w:rsidR="5EC524EC" w:rsidRPr="114D2111">
            <w:rPr>
              <w:rFonts w:ascii="Calibri" w:eastAsia="Calibri" w:hAnsi="Calibri" w:cs="Calibri"/>
              <w:color w:val="000000" w:themeColor="text1"/>
            </w:rPr>
            <w:t>(Walsh 200</w:t>
          </w:r>
          <w:bookmarkStart w:id="2" w:name="_Int_JtMa6Wxv"/>
          <w:r w:rsidR="5EC524EC" w:rsidRPr="114D2111">
            <w:rPr>
              <w:rFonts w:ascii="Calibri" w:eastAsia="Calibri" w:hAnsi="Calibri" w:cs="Calibri"/>
              <w:color w:val="000000" w:themeColor="text1"/>
            </w:rPr>
            <w:t>9)</w:t>
          </w:r>
        </w:sdtContent>
      </w:sdt>
      <w:bookmarkEnd w:id="2"/>
    </w:p>
    <w:p w14:paraId="71EE0A80" w14:textId="44369E17" w:rsidR="13BB9966" w:rsidRPr="0070693B" w:rsidRDefault="7A84BB37" w:rsidP="0E5F69BA">
      <w:pPr>
        <w:spacing w:after="240"/>
        <w:jc w:val="both"/>
        <w:rPr>
          <w:rFonts w:ascii="Calibri" w:eastAsia="Calibri" w:hAnsi="Calibri" w:cs="Calibri"/>
          <w:b/>
          <w:bCs/>
          <w:color w:val="000000" w:themeColor="text1"/>
        </w:rPr>
      </w:pPr>
      <w:r w:rsidRPr="0070693B">
        <w:rPr>
          <w:rFonts w:ascii="Calibri" w:eastAsia="Calibri" w:hAnsi="Calibri" w:cs="Calibri"/>
          <w:b/>
          <w:bCs/>
          <w:color w:val="000000" w:themeColor="text1"/>
        </w:rPr>
        <w:t xml:space="preserve">Our report examines some key financial ratios for Aston Martin Lagonda (AML) in the context of both the internal and external factors which have contributed to </w:t>
      </w:r>
      <w:r w:rsidR="2F6C843D" w:rsidRPr="0070693B">
        <w:rPr>
          <w:rFonts w:ascii="Calibri" w:eastAsia="Calibri" w:hAnsi="Calibri" w:cs="Calibri"/>
          <w:b/>
          <w:bCs/>
          <w:color w:val="000000" w:themeColor="text1"/>
        </w:rPr>
        <w:t>its</w:t>
      </w:r>
      <w:r w:rsidRPr="0070693B">
        <w:rPr>
          <w:rFonts w:ascii="Calibri" w:eastAsia="Calibri" w:hAnsi="Calibri" w:cs="Calibri"/>
          <w:b/>
          <w:bCs/>
          <w:color w:val="000000" w:themeColor="text1"/>
        </w:rPr>
        <w:t xml:space="preserve"> results.</w:t>
      </w:r>
    </w:p>
    <w:p w14:paraId="4D63CB3F" w14:textId="61860416" w:rsidR="13BB9966" w:rsidRDefault="13BB9966" w:rsidP="79C2323A">
      <w:pPr>
        <w:spacing w:after="240"/>
        <w:jc w:val="both"/>
        <w:rPr>
          <w:rFonts w:ascii="Calibri" w:eastAsia="Calibri" w:hAnsi="Calibri" w:cs="Calibri"/>
          <w:color w:val="000000" w:themeColor="text1"/>
        </w:rPr>
      </w:pPr>
      <w:r w:rsidRPr="79C2323A">
        <w:rPr>
          <w:rFonts w:ascii="Calibri" w:eastAsia="Calibri" w:hAnsi="Calibri" w:cs="Calibri"/>
          <w:color w:val="000000" w:themeColor="text1"/>
        </w:rPr>
        <w:t>Understanding what the ratios reveal is one of the first steps in beginning to develop a strategy to set a course for AML to follow. ‘Project Horizon’ is defined in the ‘Glossary’ of AML’s Annual Report 2021 as ‘The Company’s transformation programme, covering all areas of the business.’</w:t>
      </w:r>
    </w:p>
    <w:p w14:paraId="70C21353" w14:textId="31B8A093" w:rsidR="13BB9966" w:rsidRDefault="13BB9966" w:rsidP="79C2323A">
      <w:pPr>
        <w:jc w:val="both"/>
        <w:rPr>
          <w:rFonts w:ascii="Calibri" w:eastAsia="Calibri" w:hAnsi="Calibri" w:cs="Calibri"/>
          <w:color w:val="000000" w:themeColor="text1"/>
        </w:rPr>
      </w:pPr>
      <w:r w:rsidRPr="79C2323A">
        <w:rPr>
          <w:rFonts w:ascii="Calibri" w:eastAsia="Calibri" w:hAnsi="Calibri" w:cs="Calibri"/>
          <w:color w:val="000000" w:themeColor="text1"/>
        </w:rPr>
        <w:t>Project Horizon as summarised on page 34 of AML’s 2021 Annual Report lists the following key goals:</w:t>
      </w:r>
    </w:p>
    <w:p w14:paraId="12EEEC30" w14:textId="2A06723F" w:rsidR="13BB9966" w:rsidRDefault="13BB9966" w:rsidP="79C2323A">
      <w:pPr>
        <w:pStyle w:val="ListParagraph"/>
        <w:numPr>
          <w:ilvl w:val="0"/>
          <w:numId w:val="7"/>
        </w:numPr>
        <w:spacing w:after="240"/>
        <w:jc w:val="both"/>
        <w:rPr>
          <w:rFonts w:ascii="Calibri" w:eastAsia="Calibri" w:hAnsi="Calibri" w:cs="Calibri"/>
          <w:color w:val="000000" w:themeColor="text1"/>
        </w:rPr>
      </w:pPr>
      <w:r w:rsidRPr="79C2323A">
        <w:rPr>
          <w:rFonts w:ascii="Calibri" w:eastAsia="Calibri" w:hAnsi="Calibri" w:cs="Calibri"/>
          <w:color w:val="000000" w:themeColor="text1"/>
        </w:rPr>
        <w:t xml:space="preserve">Create desire, excitement and individuality in the product and brand </w:t>
      </w:r>
    </w:p>
    <w:p w14:paraId="0925448D" w14:textId="0EFF6EF5" w:rsidR="13BB9966" w:rsidRDefault="13BB9966" w:rsidP="79C2323A">
      <w:pPr>
        <w:pStyle w:val="ListParagraph"/>
        <w:numPr>
          <w:ilvl w:val="0"/>
          <w:numId w:val="7"/>
        </w:numPr>
        <w:spacing w:after="240"/>
        <w:jc w:val="both"/>
        <w:rPr>
          <w:rFonts w:ascii="Calibri" w:eastAsia="Calibri" w:hAnsi="Calibri" w:cs="Calibri"/>
          <w:color w:val="000000" w:themeColor="text1"/>
        </w:rPr>
      </w:pPr>
      <w:r w:rsidRPr="79C2323A">
        <w:rPr>
          <w:rFonts w:ascii="Calibri" w:eastAsia="Calibri" w:hAnsi="Calibri" w:cs="Calibri"/>
          <w:color w:val="000000" w:themeColor="text1"/>
        </w:rPr>
        <w:t xml:space="preserve">Expand and strengthen our product portfolio with personalised Specials strategically embedded in our roadmap to becoming an ultra‑luxury business </w:t>
      </w:r>
    </w:p>
    <w:p w14:paraId="56105CAC" w14:textId="6606E4AE" w:rsidR="13BB9966" w:rsidRDefault="13BB9966" w:rsidP="79C2323A">
      <w:pPr>
        <w:pStyle w:val="ListParagraph"/>
        <w:numPr>
          <w:ilvl w:val="0"/>
          <w:numId w:val="7"/>
        </w:numPr>
        <w:spacing w:after="240"/>
        <w:jc w:val="both"/>
        <w:rPr>
          <w:rFonts w:ascii="Calibri" w:eastAsia="Calibri" w:hAnsi="Calibri" w:cs="Calibri"/>
          <w:color w:val="000000" w:themeColor="text1"/>
        </w:rPr>
      </w:pPr>
      <w:r w:rsidRPr="79C2323A">
        <w:rPr>
          <w:rFonts w:ascii="Calibri" w:eastAsia="Calibri" w:hAnsi="Calibri" w:cs="Calibri"/>
          <w:color w:val="000000" w:themeColor="text1"/>
        </w:rPr>
        <w:t xml:space="preserve">Deliver operational excellence, agility and efficiency </w:t>
      </w:r>
    </w:p>
    <w:p w14:paraId="0EDA8FD8" w14:textId="69974F89" w:rsidR="13BB9966" w:rsidRDefault="13BB9966" w:rsidP="79C2323A">
      <w:pPr>
        <w:pStyle w:val="ListParagraph"/>
        <w:numPr>
          <w:ilvl w:val="0"/>
          <w:numId w:val="7"/>
        </w:numPr>
        <w:spacing w:after="240"/>
        <w:jc w:val="both"/>
        <w:rPr>
          <w:rFonts w:ascii="Calibri" w:eastAsia="Calibri" w:hAnsi="Calibri" w:cs="Calibri"/>
          <w:color w:val="000000" w:themeColor="text1"/>
        </w:rPr>
      </w:pPr>
      <w:r w:rsidRPr="79C2323A">
        <w:rPr>
          <w:rFonts w:ascii="Calibri" w:eastAsia="Calibri" w:hAnsi="Calibri" w:cs="Calibri"/>
          <w:color w:val="000000" w:themeColor="text1"/>
        </w:rPr>
        <w:t xml:space="preserve">Deliver engineering efficiencies (controlling costs and investment) and implement technologies and electrification strategy </w:t>
      </w:r>
    </w:p>
    <w:p w14:paraId="5DEBF833" w14:textId="0DC1C332" w:rsidR="13BB9966" w:rsidRDefault="13BB9966" w:rsidP="114D2111">
      <w:pPr>
        <w:pStyle w:val="ListParagraph"/>
        <w:numPr>
          <w:ilvl w:val="0"/>
          <w:numId w:val="7"/>
        </w:numPr>
        <w:spacing w:after="240"/>
        <w:jc w:val="both"/>
        <w:rPr>
          <w:rFonts w:ascii="Calibri" w:eastAsia="Calibri" w:hAnsi="Calibri" w:cs="Calibri"/>
          <w:color w:val="000000" w:themeColor="text1"/>
        </w:rPr>
      </w:pPr>
      <w:r w:rsidRPr="114D2111">
        <w:rPr>
          <w:rFonts w:ascii="Calibri" w:eastAsia="Calibri" w:hAnsi="Calibri" w:cs="Calibri"/>
          <w:color w:val="000000" w:themeColor="text1"/>
        </w:rPr>
        <w:t xml:space="preserve">Establish a secure and structured supply chain and </w:t>
      </w:r>
      <w:bookmarkStart w:id="3" w:name="_Int_4fxJ9R0V"/>
      <w:r w:rsidRPr="114D2111">
        <w:rPr>
          <w:rFonts w:ascii="Calibri" w:eastAsia="Calibri" w:hAnsi="Calibri" w:cs="Calibri"/>
          <w:color w:val="000000" w:themeColor="text1"/>
        </w:rPr>
        <w:t>logistics</w:t>
      </w:r>
      <w:bookmarkEnd w:id="3"/>
      <w:r w:rsidRPr="114D2111">
        <w:rPr>
          <w:rFonts w:ascii="Calibri" w:eastAsia="Calibri" w:hAnsi="Calibri" w:cs="Calibri"/>
          <w:color w:val="000000" w:themeColor="text1"/>
        </w:rPr>
        <w:t xml:space="preserve"> framework to stabilise the production line and mitigate disruption </w:t>
      </w:r>
    </w:p>
    <w:p w14:paraId="438CC6A0" w14:textId="09864CA3" w:rsidR="13BB9966" w:rsidRDefault="13BB9966" w:rsidP="79C2323A">
      <w:pPr>
        <w:pStyle w:val="ListParagraph"/>
        <w:numPr>
          <w:ilvl w:val="0"/>
          <w:numId w:val="7"/>
        </w:numPr>
        <w:spacing w:after="240"/>
        <w:jc w:val="both"/>
        <w:rPr>
          <w:rFonts w:ascii="Calibri" w:eastAsia="Calibri" w:hAnsi="Calibri" w:cs="Calibri"/>
          <w:color w:val="000000" w:themeColor="text1"/>
        </w:rPr>
      </w:pPr>
      <w:r w:rsidRPr="79C2323A">
        <w:rPr>
          <w:rFonts w:ascii="Calibri" w:eastAsia="Calibri" w:hAnsi="Calibri" w:cs="Calibri"/>
          <w:color w:val="000000" w:themeColor="text1"/>
        </w:rPr>
        <w:t xml:space="preserve">Prepare the dealership network for our future product portfolio in the ultra-luxury segment </w:t>
      </w:r>
    </w:p>
    <w:p w14:paraId="2A72E155" w14:textId="67B06DF5" w:rsidR="13BB9966" w:rsidRDefault="13BB9966" w:rsidP="79C2323A">
      <w:pPr>
        <w:pStyle w:val="ListParagraph"/>
        <w:numPr>
          <w:ilvl w:val="0"/>
          <w:numId w:val="7"/>
        </w:numPr>
        <w:spacing w:after="240"/>
        <w:jc w:val="both"/>
        <w:rPr>
          <w:rFonts w:ascii="Calibri" w:eastAsia="Calibri" w:hAnsi="Calibri" w:cs="Calibri"/>
          <w:color w:val="000000" w:themeColor="text1"/>
        </w:rPr>
      </w:pPr>
      <w:r w:rsidRPr="79C2323A">
        <w:rPr>
          <w:rFonts w:ascii="Calibri" w:eastAsia="Calibri" w:hAnsi="Calibri" w:cs="Calibri"/>
          <w:color w:val="000000" w:themeColor="text1"/>
          <w:highlight w:val="yellow"/>
        </w:rPr>
        <w:t>Achieve financial stability and sustainability</w:t>
      </w:r>
      <w:r w:rsidRPr="79C2323A">
        <w:rPr>
          <w:rFonts w:ascii="Calibri" w:eastAsia="Calibri" w:hAnsi="Calibri" w:cs="Calibri"/>
          <w:color w:val="000000" w:themeColor="text1"/>
        </w:rPr>
        <w:t xml:space="preserve"> </w:t>
      </w:r>
    </w:p>
    <w:p w14:paraId="38A79BE4" w14:textId="3BBD77FB" w:rsidR="13BB9966" w:rsidRDefault="13BB9966" w:rsidP="79C2323A">
      <w:pPr>
        <w:pStyle w:val="ListParagraph"/>
        <w:numPr>
          <w:ilvl w:val="0"/>
          <w:numId w:val="7"/>
        </w:numPr>
        <w:spacing w:after="240"/>
        <w:jc w:val="both"/>
        <w:rPr>
          <w:rFonts w:ascii="Calibri" w:eastAsia="Calibri" w:hAnsi="Calibri" w:cs="Calibri"/>
          <w:color w:val="000000" w:themeColor="text1"/>
        </w:rPr>
      </w:pPr>
      <w:r w:rsidRPr="79C2323A">
        <w:rPr>
          <w:rFonts w:ascii="Calibri" w:eastAsia="Calibri" w:hAnsi="Calibri" w:cs="Calibri"/>
          <w:color w:val="000000" w:themeColor="text1"/>
        </w:rPr>
        <w:t xml:space="preserve">Integrate the new ESG strategy to realise our ambition to become a world-leading sustainable ultra-luxury business </w:t>
      </w:r>
    </w:p>
    <w:p w14:paraId="373BE7DB" w14:textId="094F6ABD" w:rsidR="79C2323A" w:rsidRDefault="7A84BB37" w:rsidP="0E5F69BA">
      <w:pPr>
        <w:pStyle w:val="ListParagraph"/>
        <w:numPr>
          <w:ilvl w:val="0"/>
          <w:numId w:val="7"/>
        </w:numPr>
        <w:spacing w:after="240"/>
        <w:jc w:val="both"/>
        <w:rPr>
          <w:rFonts w:ascii="Calibri" w:eastAsia="Calibri" w:hAnsi="Calibri" w:cs="Calibri"/>
          <w:color w:val="000000" w:themeColor="text1"/>
        </w:rPr>
      </w:pPr>
      <w:r w:rsidRPr="0E5F69BA">
        <w:rPr>
          <w:rFonts w:ascii="Calibri" w:eastAsia="Calibri" w:hAnsi="Calibri" w:cs="Calibri"/>
          <w:color w:val="000000" w:themeColor="text1"/>
        </w:rPr>
        <w:t xml:space="preserve">Become a ‘Best Place to Work’ </w:t>
      </w:r>
    </w:p>
    <w:p w14:paraId="03476C80" w14:textId="63CFA7B1" w:rsidR="40EF858B" w:rsidRDefault="7A84BB37" w:rsidP="114D2111">
      <w:pPr>
        <w:spacing w:after="240"/>
        <w:jc w:val="both"/>
        <w:rPr>
          <w:rFonts w:ascii="Calibri" w:eastAsia="Calibri" w:hAnsi="Calibri" w:cs="Calibri"/>
          <w:color w:val="000000" w:themeColor="text1"/>
        </w:rPr>
      </w:pPr>
      <w:r w:rsidRPr="114D2111">
        <w:rPr>
          <w:rFonts w:ascii="Calibri" w:eastAsia="Calibri" w:hAnsi="Calibri" w:cs="Calibri"/>
          <w:color w:val="000000" w:themeColor="text1"/>
        </w:rPr>
        <w:t xml:space="preserve">This report examines </w:t>
      </w:r>
      <w:r w:rsidR="7ACB8491" w:rsidRPr="114D2111">
        <w:rPr>
          <w:rFonts w:ascii="Calibri" w:eastAsia="Calibri" w:hAnsi="Calibri" w:cs="Calibri"/>
          <w:color w:val="000000" w:themeColor="text1"/>
        </w:rPr>
        <w:t>AML’s key financial ratios together with its</w:t>
      </w:r>
      <w:r w:rsidRPr="114D2111">
        <w:rPr>
          <w:rFonts w:ascii="Calibri" w:eastAsia="Calibri" w:hAnsi="Calibri" w:cs="Calibri"/>
          <w:color w:val="000000" w:themeColor="text1"/>
        </w:rPr>
        <w:t xml:space="preserve"> strategic plan which is built upon four identified ‘key pillars’ as described on page 33 of AM Group 2021 Annual </w:t>
      </w:r>
      <w:r w:rsidR="2E0DE75F" w:rsidRPr="114D2111">
        <w:rPr>
          <w:rFonts w:ascii="Calibri" w:eastAsia="Calibri" w:hAnsi="Calibri" w:cs="Calibri"/>
          <w:color w:val="000000" w:themeColor="text1"/>
        </w:rPr>
        <w:t>Report.</w:t>
      </w:r>
    </w:p>
    <w:p w14:paraId="6998C305" w14:textId="4D32C319" w:rsidR="40EF858B" w:rsidRDefault="40EF858B" w:rsidP="74871879"/>
    <w:p w14:paraId="24308F41" w14:textId="610AB60A" w:rsidR="6D3EB64B" w:rsidRDefault="6D3EB64B" w:rsidP="6D3EB64B"/>
    <w:p w14:paraId="735A9E7D" w14:textId="6735A291" w:rsidR="40EF858B" w:rsidRDefault="6D091FDF" w:rsidP="74871879">
      <w:pPr>
        <w:jc w:val="both"/>
      </w:pPr>
      <w:r>
        <w:lastRenderedPageBreak/>
        <w:t xml:space="preserve">Our </w:t>
      </w:r>
      <w:r w:rsidR="10BFDFA5">
        <w:t xml:space="preserve">summary </w:t>
      </w:r>
      <w:r>
        <w:t>observations on these key pillars are:</w:t>
      </w:r>
    </w:p>
    <w:p w14:paraId="75FA21DA" w14:textId="1FC347BB" w:rsidR="40EF858B" w:rsidRDefault="4F0D07AB" w:rsidP="74871879">
      <w:pPr>
        <w:jc w:val="both"/>
        <w:rPr>
          <w:b/>
          <w:bCs/>
        </w:rPr>
      </w:pPr>
      <w:r w:rsidRPr="74871879">
        <w:rPr>
          <w:b/>
          <w:bCs/>
        </w:rPr>
        <w:t>BRAND</w:t>
      </w:r>
    </w:p>
    <w:p w14:paraId="1866E7FC" w14:textId="665378B6" w:rsidR="40EF858B" w:rsidRDefault="4F0D07AB" w:rsidP="74871879">
      <w:pPr>
        <w:jc w:val="both"/>
      </w:pPr>
      <w:r>
        <w:t>Aston Martin</w:t>
      </w:r>
      <w:r w:rsidR="2CAD46FC">
        <w:t xml:space="preserve"> Lagonda (AML)</w:t>
      </w:r>
      <w:r>
        <w:t xml:space="preserve"> is intent on developing its strong international brand as it looks to emulate the success of Ferrari. Indeed, the appointment of Amedeo Felisa, former CEO at Ferrari, suggests Lawrence Stroll recognises Ferrari are several years ahead of AM</w:t>
      </w:r>
      <w:r w:rsidR="5BCC0A12">
        <w:t>L</w:t>
      </w:r>
      <w:r>
        <w:t xml:space="preserve"> in their journey to achieving stable and profitable growth.</w:t>
      </w:r>
    </w:p>
    <w:p w14:paraId="1EF56B81" w14:textId="69B997A0" w:rsidR="40EF858B" w:rsidRDefault="4F0D07AB" w:rsidP="74871879">
      <w:pPr>
        <w:jc w:val="both"/>
        <w:rPr>
          <w:b/>
          <w:bCs/>
        </w:rPr>
      </w:pPr>
      <w:r w:rsidRPr="74871879">
        <w:rPr>
          <w:b/>
          <w:bCs/>
        </w:rPr>
        <w:t>PRODUCT INNOVATION</w:t>
      </w:r>
    </w:p>
    <w:p w14:paraId="7B08A1A8" w14:textId="1AD277C7" w:rsidR="40EF858B" w:rsidRDefault="19C5D28D" w:rsidP="74871879">
      <w:pPr>
        <w:jc w:val="both"/>
      </w:pPr>
      <w:r>
        <w:t>We could become part of the AM</w:t>
      </w:r>
      <w:r w:rsidR="0391FDFF">
        <w:t>L</w:t>
      </w:r>
      <w:r>
        <w:t xml:space="preserve"> innovation ecosystem which would enable us to capture value from our IP and extend our </w:t>
      </w:r>
      <w:bookmarkStart w:id="4" w:name="_Int_4GdHRHq9"/>
      <w:r>
        <w:t>expertise</w:t>
      </w:r>
      <w:bookmarkEnd w:id="4"/>
      <w:r>
        <w:t xml:space="preserve"> to AM</w:t>
      </w:r>
      <w:r w:rsidR="34B361A2">
        <w:t>L</w:t>
      </w:r>
      <w:r>
        <w:t>’s key partners such as Mercedes Benz Group (MB).</w:t>
      </w:r>
    </w:p>
    <w:p w14:paraId="26027456" w14:textId="4D5866BF" w:rsidR="40EF858B" w:rsidRDefault="1533869A" w:rsidP="74871879">
      <w:pPr>
        <w:jc w:val="both"/>
      </w:pPr>
      <w:r>
        <w:t xml:space="preserve">MB have </w:t>
      </w:r>
      <w:r w:rsidR="34576FCA">
        <w:t>entered</w:t>
      </w:r>
      <w:r>
        <w:t xml:space="preserve"> a technology sharing agreement with AM</w:t>
      </w:r>
      <w:r w:rsidR="481EE0B5">
        <w:t>L</w:t>
      </w:r>
      <w:r>
        <w:t xml:space="preserve"> in consideration for an Ordinary Share issue. This technology was originally valued at £142.3 Million (as explained on page 175 of the 2021 Annual Report in Note 12)</w:t>
      </w:r>
    </w:p>
    <w:p w14:paraId="115E2C9A" w14:textId="71DA66CD" w:rsidR="40EF858B" w:rsidRDefault="4F0D07AB" w:rsidP="74871879">
      <w:pPr>
        <w:jc w:val="both"/>
        <w:rPr>
          <w:b/>
          <w:bCs/>
        </w:rPr>
      </w:pPr>
      <w:r w:rsidRPr="74871879">
        <w:rPr>
          <w:b/>
          <w:bCs/>
        </w:rPr>
        <w:t xml:space="preserve">SUSTAINABILITY </w:t>
      </w:r>
    </w:p>
    <w:p w14:paraId="0B8F977A" w14:textId="03B9E1F2" w:rsidR="40EF858B" w:rsidRDefault="4F0D07AB" w:rsidP="74871879">
      <w:pPr>
        <w:jc w:val="both"/>
      </w:pPr>
      <w:r>
        <w:t>The drive for sustainability is essential for AM</w:t>
      </w:r>
      <w:r w:rsidR="40150CAC">
        <w:t>L</w:t>
      </w:r>
      <w:r>
        <w:t xml:space="preserve"> to embrace as part of its core strategy. The reason for the strategic cooperation agreement with MB was to access its first tranche of powertrain and electronic architecture in readiness for the first fully electric AM car. Pivoting to fully electric cars will be a fundamental requirement for AM</w:t>
      </w:r>
      <w:r w:rsidR="150B8CC6">
        <w:t>L</w:t>
      </w:r>
      <w:r>
        <w:t>’s appeal and survival.</w:t>
      </w:r>
    </w:p>
    <w:p w14:paraId="205D9156" w14:textId="6AF428D2" w:rsidR="40EF858B" w:rsidRDefault="4F0D07AB" w:rsidP="74871879">
      <w:pPr>
        <w:jc w:val="both"/>
        <w:rPr>
          <w:b/>
          <w:bCs/>
        </w:rPr>
      </w:pPr>
      <w:r w:rsidRPr="74871879">
        <w:rPr>
          <w:b/>
          <w:bCs/>
        </w:rPr>
        <w:t>TEAM</w:t>
      </w:r>
    </w:p>
    <w:p w14:paraId="7BC14559" w14:textId="70A337D6" w:rsidR="40EF858B" w:rsidRDefault="1533869A" w:rsidP="74871879">
      <w:pPr>
        <w:jc w:val="both"/>
      </w:pPr>
      <w:r>
        <w:t xml:space="preserve">The value of having the right team </w:t>
      </w:r>
      <w:r w:rsidR="3534E80B">
        <w:t xml:space="preserve">members </w:t>
      </w:r>
      <w:r>
        <w:t xml:space="preserve">with relevant sector </w:t>
      </w:r>
      <w:r w:rsidR="3DD472FF">
        <w:t>ability</w:t>
      </w:r>
      <w:r>
        <w:t>, who are fully in tune and aligned with AM</w:t>
      </w:r>
      <w:r w:rsidR="701CB051">
        <w:t>L</w:t>
      </w:r>
      <w:r>
        <w:t>’s strategic purpose is essential. The 2021 Annual Report includes a section which describes the background of both executive and non-executive directors together with an excellent infographic (on page 98) which shows the range and balance of their collective skillsets.</w:t>
      </w:r>
    </w:p>
    <w:p w14:paraId="40A210EA" w14:textId="77777777" w:rsidR="00E5570A" w:rsidRDefault="00E5570A" w:rsidP="74871879">
      <w:pPr>
        <w:jc w:val="both"/>
      </w:pPr>
    </w:p>
    <w:p w14:paraId="20216042" w14:textId="6A6F32E4" w:rsidR="114D2111" w:rsidRDefault="00E5570A" w:rsidP="00E5570A">
      <w:pPr>
        <w:jc w:val="center"/>
        <w:rPr>
          <w:b/>
          <w:bCs/>
        </w:rPr>
      </w:pPr>
      <w:r>
        <w:rPr>
          <w:noProof/>
        </w:rPr>
        <w:drawing>
          <wp:inline distT="0" distB="0" distL="0" distR="0" wp14:anchorId="47004F56" wp14:editId="16986D3B">
            <wp:extent cx="4673917" cy="3115945"/>
            <wp:effectExtent l="0" t="0" r="0" b="8255"/>
            <wp:docPr id="1" name="Picture 1" descr="Aston Martin DBX707  Satin Neutron Whit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DBX707  Satin Neutron White  (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5364" cy="3116910"/>
                    </a:xfrm>
                    <a:prstGeom prst="rect">
                      <a:avLst/>
                    </a:prstGeom>
                    <a:noFill/>
                    <a:ln>
                      <a:noFill/>
                    </a:ln>
                  </pic:spPr>
                </pic:pic>
              </a:graphicData>
            </a:graphic>
          </wp:inline>
        </w:drawing>
      </w:r>
    </w:p>
    <w:p w14:paraId="001B309E" w14:textId="423F41EB" w:rsidR="114D2111" w:rsidRDefault="114D2111" w:rsidP="114D2111">
      <w:pPr>
        <w:jc w:val="both"/>
        <w:rPr>
          <w:b/>
          <w:bCs/>
        </w:rPr>
      </w:pPr>
    </w:p>
    <w:p w14:paraId="4DC17541" w14:textId="5F2F55A7" w:rsidR="40EF858B" w:rsidRDefault="4F0D07AB" w:rsidP="74871879">
      <w:pPr>
        <w:jc w:val="both"/>
        <w:rPr>
          <w:b/>
          <w:bCs/>
        </w:rPr>
      </w:pPr>
      <w:r w:rsidRPr="74871879">
        <w:rPr>
          <w:b/>
          <w:bCs/>
        </w:rPr>
        <w:t>OUR APPROACH</w:t>
      </w:r>
    </w:p>
    <w:p w14:paraId="5A3329E3" w14:textId="67A6389E" w:rsidR="40EF858B" w:rsidRDefault="19C5D28D" w:rsidP="74871879">
      <w:pPr>
        <w:jc w:val="both"/>
      </w:pPr>
      <w:r>
        <w:t xml:space="preserve">We examine </w:t>
      </w:r>
      <w:r w:rsidR="5989FC23">
        <w:t xml:space="preserve">AML’s </w:t>
      </w:r>
      <w:r>
        <w:t xml:space="preserve">conventional financial ratios (included in Appendix 1) together with </w:t>
      </w:r>
      <w:r w:rsidR="5666295C">
        <w:t>its</w:t>
      </w:r>
      <w:r>
        <w:t xml:space="preserve"> EBITDA (earnings before interest, taxes, depreciation, and amortisation).</w:t>
      </w:r>
    </w:p>
    <w:p w14:paraId="2CD9288F" w14:textId="07597462" w:rsidR="40EF858B" w:rsidRDefault="4F0D07AB" w:rsidP="74871879">
      <w:pPr>
        <w:jc w:val="both"/>
      </w:pPr>
      <w:r>
        <w:t>We also compare AM</w:t>
      </w:r>
      <w:r w:rsidR="2FFD36B0">
        <w:t>L</w:t>
      </w:r>
      <w:r>
        <w:t xml:space="preserve">’s </w:t>
      </w:r>
      <w:r w:rsidR="6271DDC3">
        <w:t xml:space="preserve">EBITDA </w:t>
      </w:r>
      <w:r>
        <w:t>results with Ferrari’s over the 3 years ending on 31 December 2021, followed by a brief examination of what happened in the first 9 months of 2022.</w:t>
      </w:r>
    </w:p>
    <w:p w14:paraId="6CD43F12" w14:textId="64D0FBF6" w:rsidR="600D2006" w:rsidRDefault="600D2006" w:rsidP="114D2111">
      <w:pPr>
        <w:jc w:val="both"/>
        <w:rPr>
          <w:b/>
          <w:bCs/>
        </w:rPr>
      </w:pPr>
      <w:r w:rsidRPr="114D2111">
        <w:rPr>
          <w:b/>
          <w:bCs/>
        </w:rPr>
        <w:t xml:space="preserve">The framework </w:t>
      </w:r>
      <w:r w:rsidR="2C208EDA" w:rsidRPr="114D2111">
        <w:rPr>
          <w:b/>
          <w:bCs/>
        </w:rPr>
        <w:t>for our</w:t>
      </w:r>
      <w:r w:rsidRPr="114D2111">
        <w:rPr>
          <w:b/>
          <w:bCs/>
        </w:rPr>
        <w:t xml:space="preserve"> financial analysis exercise will be:</w:t>
      </w:r>
    </w:p>
    <w:p w14:paraId="356D7D7B" w14:textId="16BECA43" w:rsidR="600D2006" w:rsidRDefault="600D2006" w:rsidP="114D2111">
      <w:pPr>
        <w:pStyle w:val="ListParagraph"/>
        <w:numPr>
          <w:ilvl w:val="0"/>
          <w:numId w:val="8"/>
        </w:numPr>
        <w:jc w:val="both"/>
      </w:pPr>
      <w:r>
        <w:t>A review of content published in AML’s annual reports and interim statements</w:t>
      </w:r>
    </w:p>
    <w:p w14:paraId="399E5529" w14:textId="7CB5169F" w:rsidR="600D2006" w:rsidRDefault="600D2006" w:rsidP="114D2111">
      <w:pPr>
        <w:pStyle w:val="ListParagraph"/>
        <w:numPr>
          <w:ilvl w:val="0"/>
          <w:numId w:val="8"/>
        </w:numPr>
        <w:jc w:val="both"/>
      </w:pPr>
      <w:r>
        <w:t>A review of the use and limitations of Financial Ratio Analysis</w:t>
      </w:r>
    </w:p>
    <w:p w14:paraId="79DBAE93" w14:textId="3076BEB7" w:rsidR="600D2006" w:rsidRDefault="600D2006" w:rsidP="114D2111">
      <w:pPr>
        <w:pStyle w:val="ListParagraph"/>
        <w:numPr>
          <w:ilvl w:val="0"/>
          <w:numId w:val="8"/>
        </w:numPr>
        <w:jc w:val="both"/>
      </w:pPr>
      <w:r>
        <w:t>Observations on the Financial Ratios derived from AML’s Annual Reports for the years ended 31 December 2019, 2020, and 2021 together with those that are determinable from the 2022 interim statements</w:t>
      </w:r>
    </w:p>
    <w:p w14:paraId="79D7D8F8" w14:textId="1E83F34F" w:rsidR="600D2006" w:rsidRDefault="600D2006" w:rsidP="114D2111">
      <w:pPr>
        <w:pStyle w:val="ListParagraph"/>
        <w:numPr>
          <w:ilvl w:val="0"/>
          <w:numId w:val="8"/>
        </w:numPr>
        <w:jc w:val="both"/>
      </w:pPr>
      <w:r>
        <w:t xml:space="preserve">A comparison of AML’s </w:t>
      </w:r>
      <w:r w:rsidR="012F2179">
        <w:t xml:space="preserve">EBITDA </w:t>
      </w:r>
      <w:r>
        <w:t>ratios with Ferrari’s over the same reporting periods</w:t>
      </w:r>
    </w:p>
    <w:p w14:paraId="2A621CF0" w14:textId="773B62E0" w:rsidR="600D2006" w:rsidRDefault="600D2006" w:rsidP="114D2111">
      <w:pPr>
        <w:pStyle w:val="ListParagraph"/>
        <w:numPr>
          <w:ilvl w:val="0"/>
          <w:numId w:val="8"/>
        </w:numPr>
        <w:jc w:val="both"/>
      </w:pPr>
      <w:r>
        <w:t>Recommendations and conclusions with key points that require further investigation</w:t>
      </w:r>
    </w:p>
    <w:p w14:paraId="504E40A1" w14:textId="2C5F0AA0" w:rsidR="600D2006" w:rsidRPr="004A0F77" w:rsidRDefault="600D2006" w:rsidP="114D2111">
      <w:pPr>
        <w:jc w:val="both"/>
        <w:rPr>
          <w:u w:val="single"/>
        </w:rPr>
      </w:pPr>
      <w:r>
        <w:t>Finally, a series of appendices are included which are referred to in the report</w:t>
      </w:r>
      <w:r w:rsidR="7FA534CD">
        <w:t xml:space="preserve">, including </w:t>
      </w:r>
      <w:r w:rsidR="1B6358BF">
        <w:t xml:space="preserve">(in Appendix 5) </w:t>
      </w:r>
      <w:r w:rsidR="7FA534CD">
        <w:t>a list of non-financial questions</w:t>
      </w:r>
      <w:r w:rsidR="018AF9A1">
        <w:t xml:space="preserve">. </w:t>
      </w:r>
      <w:r w:rsidR="018AF9A1" w:rsidRPr="004A0F77">
        <w:rPr>
          <w:u w:val="single"/>
        </w:rPr>
        <w:t>W</w:t>
      </w:r>
      <w:r w:rsidRPr="004A0F77">
        <w:rPr>
          <w:u w:val="single"/>
        </w:rPr>
        <w:t xml:space="preserve">hilst these are outside </w:t>
      </w:r>
      <w:r w:rsidR="21BA8B9B" w:rsidRPr="004A0F77">
        <w:rPr>
          <w:u w:val="single"/>
        </w:rPr>
        <w:t>the report’s</w:t>
      </w:r>
      <w:r w:rsidRPr="004A0F77">
        <w:rPr>
          <w:u w:val="single"/>
        </w:rPr>
        <w:t xml:space="preserve"> main scope, nevertheless they catalyse thought on connected issues which are essential in arriving at a balanced consensus on the merit of entering a JV with AML.</w:t>
      </w:r>
    </w:p>
    <w:p w14:paraId="23F4EA67" w14:textId="1931489A" w:rsidR="2B11ECF0" w:rsidRDefault="2B11ECF0" w:rsidP="114D2111">
      <w:pPr>
        <w:jc w:val="both"/>
        <w:rPr>
          <w:b/>
          <w:bCs/>
        </w:rPr>
      </w:pPr>
      <w:r w:rsidRPr="114D2111">
        <w:rPr>
          <w:b/>
          <w:bCs/>
        </w:rPr>
        <w:t>LATEST DEVELOPMENTS – SIGNIFICANCE TO JV OPPORTUNITY</w:t>
      </w:r>
    </w:p>
    <w:p w14:paraId="4D3431CB" w14:textId="25EE133E" w:rsidR="3DFE507E" w:rsidRDefault="3DFE507E" w:rsidP="114D2111">
      <w:pPr>
        <w:pStyle w:val="ListParagraph"/>
        <w:numPr>
          <w:ilvl w:val="0"/>
          <w:numId w:val="1"/>
        </w:numPr>
        <w:jc w:val="both"/>
      </w:pPr>
      <w:r>
        <w:t xml:space="preserve">DBS770 Ultimate will be built in strictly limited numbers – 300 Coupes and 199 Volantes – with all examples sold ahead of release </w:t>
      </w:r>
      <w:r w:rsidRPr="002378C7">
        <w:rPr>
          <w:b/>
          <w:bCs/>
        </w:rPr>
        <w:t xml:space="preserve">(see Appendix </w:t>
      </w:r>
      <w:r w:rsidR="06B6C94C" w:rsidRPr="002378C7">
        <w:rPr>
          <w:b/>
          <w:bCs/>
        </w:rPr>
        <w:t>7</w:t>
      </w:r>
      <w:r w:rsidR="4464E6E2" w:rsidRPr="002378C7">
        <w:rPr>
          <w:b/>
          <w:bCs/>
        </w:rPr>
        <w:t>)</w:t>
      </w:r>
    </w:p>
    <w:p w14:paraId="28B43D41" w14:textId="05A04761" w:rsidR="57D65062" w:rsidRDefault="57D65062" w:rsidP="114D2111">
      <w:pPr>
        <w:pStyle w:val="ListParagraph"/>
        <w:numPr>
          <w:ilvl w:val="0"/>
          <w:numId w:val="1"/>
        </w:numPr>
        <w:jc w:val="both"/>
      </w:pPr>
      <w:r>
        <w:t>Q3 2022 AML results</w:t>
      </w:r>
      <w:r w:rsidR="6B6372C0">
        <w:t xml:space="preserve"> (and operational highlights)</w:t>
      </w:r>
      <w:r>
        <w:t xml:space="preserve"> summarised in MarketLine Report </w:t>
      </w:r>
      <w:r w:rsidRPr="002378C7">
        <w:rPr>
          <w:b/>
          <w:bCs/>
        </w:rPr>
        <w:t xml:space="preserve">(see Appendix </w:t>
      </w:r>
      <w:r w:rsidR="276456B3" w:rsidRPr="002378C7">
        <w:rPr>
          <w:b/>
          <w:bCs/>
        </w:rPr>
        <w:t>8</w:t>
      </w:r>
      <w:r w:rsidRPr="002378C7">
        <w:rPr>
          <w:b/>
          <w:bCs/>
        </w:rPr>
        <w:t>)</w:t>
      </w:r>
    </w:p>
    <w:p w14:paraId="3045F669" w14:textId="779B46C1" w:rsidR="0C86F930" w:rsidRDefault="0C86F930" w:rsidP="114D2111">
      <w:pPr>
        <w:pStyle w:val="ListParagraph"/>
        <w:numPr>
          <w:ilvl w:val="0"/>
          <w:numId w:val="1"/>
        </w:numPr>
        <w:jc w:val="both"/>
      </w:pPr>
      <w:r>
        <w:t xml:space="preserve">The demise of </w:t>
      </w:r>
      <w:r w:rsidR="729530D2">
        <w:t>‘</w:t>
      </w:r>
      <w:r>
        <w:t>Britishvolt</w:t>
      </w:r>
      <w:r w:rsidR="65064267">
        <w:t>’</w:t>
      </w:r>
      <w:r>
        <w:t>, an intended supply chain collaboration partner, means AML will need to reconsider its strategic pos</w:t>
      </w:r>
      <w:r w:rsidR="4B2BDE61">
        <w:t xml:space="preserve">ition in terms of securing batteries for its new </w:t>
      </w:r>
      <w:r w:rsidR="6340D1E9">
        <w:t>planned</w:t>
      </w:r>
      <w:r w:rsidR="4B2BDE61">
        <w:t xml:space="preserve"> electric models</w:t>
      </w:r>
    </w:p>
    <w:p w14:paraId="1AF6651C" w14:textId="7A03A3B5" w:rsidR="00E5570A" w:rsidRDefault="00E5570A" w:rsidP="00E5570A">
      <w:pPr>
        <w:jc w:val="both"/>
      </w:pPr>
    </w:p>
    <w:p w14:paraId="78AC48DE" w14:textId="77777777" w:rsidR="00E5570A" w:rsidRDefault="00E5570A" w:rsidP="00E5570A">
      <w:pPr>
        <w:jc w:val="both"/>
      </w:pPr>
    </w:p>
    <w:p w14:paraId="1F4810D4" w14:textId="6D901A10" w:rsidR="114D2111" w:rsidRDefault="114D2111" w:rsidP="00E5570A">
      <w:pPr>
        <w:jc w:val="center"/>
      </w:pPr>
    </w:p>
    <w:p w14:paraId="080A003A" w14:textId="45435EC5" w:rsidR="114D2111" w:rsidRDefault="114D2111" w:rsidP="114D2111">
      <w:pPr>
        <w:rPr>
          <w:b/>
          <w:bCs/>
        </w:rPr>
      </w:pPr>
    </w:p>
    <w:p w14:paraId="1BEA2B90" w14:textId="02ACFD11" w:rsidR="114D2111" w:rsidRDefault="114D2111" w:rsidP="114D2111">
      <w:pPr>
        <w:rPr>
          <w:b/>
          <w:bCs/>
        </w:rPr>
      </w:pPr>
    </w:p>
    <w:p w14:paraId="49CE99DD" w14:textId="39090131" w:rsidR="114D2111" w:rsidRDefault="114D2111" w:rsidP="114D2111">
      <w:pPr>
        <w:rPr>
          <w:b/>
          <w:bCs/>
        </w:rPr>
      </w:pPr>
    </w:p>
    <w:p w14:paraId="6900DE3C" w14:textId="7D3089DB" w:rsidR="114D2111" w:rsidRDefault="114D2111" w:rsidP="114D2111">
      <w:pPr>
        <w:rPr>
          <w:b/>
          <w:bCs/>
        </w:rPr>
      </w:pPr>
    </w:p>
    <w:p w14:paraId="301B9F18" w14:textId="1EBDD124" w:rsidR="114D2111" w:rsidRDefault="114D2111" w:rsidP="114D2111">
      <w:pPr>
        <w:rPr>
          <w:b/>
          <w:bCs/>
        </w:rPr>
      </w:pPr>
    </w:p>
    <w:p w14:paraId="69F416C0" w14:textId="5A3871F1" w:rsidR="114D2111" w:rsidRDefault="114D2111" w:rsidP="114D2111">
      <w:pPr>
        <w:rPr>
          <w:b/>
          <w:bCs/>
        </w:rPr>
      </w:pPr>
    </w:p>
    <w:p w14:paraId="6549BAA9" w14:textId="588AC35A" w:rsidR="00A06D0E" w:rsidRDefault="00A06D0E" w:rsidP="114D2111">
      <w:pPr>
        <w:rPr>
          <w:b/>
          <w:bCs/>
        </w:rPr>
      </w:pPr>
    </w:p>
    <w:p w14:paraId="3ABDCCE8" w14:textId="7DE24FE7" w:rsidR="4FC4DBAA" w:rsidRDefault="46CE3DF6" w:rsidP="26E4B921">
      <w:pPr>
        <w:rPr>
          <w:b/>
          <w:bCs/>
        </w:rPr>
      </w:pPr>
      <w:r w:rsidRPr="26E4B921">
        <w:rPr>
          <w:b/>
          <w:bCs/>
        </w:rPr>
        <w:lastRenderedPageBreak/>
        <w:t>REPORT</w:t>
      </w:r>
    </w:p>
    <w:p w14:paraId="51526BEB" w14:textId="2363015C" w:rsidR="4FC4DBAA" w:rsidRDefault="46CE3DF6" w:rsidP="1402E4C3">
      <w:pPr>
        <w:rPr>
          <w:b/>
          <w:bCs/>
        </w:rPr>
      </w:pPr>
      <w:r w:rsidRPr="1402E4C3">
        <w:rPr>
          <w:b/>
          <w:bCs/>
        </w:rPr>
        <w:t>Introduction</w:t>
      </w:r>
    </w:p>
    <w:p w14:paraId="2AC8D5FD" w14:textId="6E2785AD" w:rsidR="4FC4DBAA" w:rsidRDefault="3F2E9519" w:rsidP="1402E4C3">
      <w:pPr>
        <w:jc w:val="both"/>
      </w:pPr>
      <w:r>
        <w:t xml:space="preserve">The </w:t>
      </w:r>
      <w:r w:rsidR="2A3D1898">
        <w:t>main part</w:t>
      </w:r>
      <w:r>
        <w:t xml:space="preserve"> of this report is limited to a financial analysis of AML’s performance for the 3 years ended 31 December 2019, 2020 &amp; </w:t>
      </w:r>
      <w:r w:rsidR="21785095">
        <w:t xml:space="preserve">2021, together with a review of </w:t>
      </w:r>
      <w:r w:rsidR="6C8F5556">
        <w:t>its</w:t>
      </w:r>
      <w:r w:rsidR="21785095">
        <w:t xml:space="preserve"> interim figures for the 6 months to 30 June 2022 a</w:t>
      </w:r>
      <w:r w:rsidR="5C8B9AC2">
        <w:t>nd 9 months to 30 September 2022.</w:t>
      </w:r>
    </w:p>
    <w:p w14:paraId="3204606F" w14:textId="18BD6D08" w:rsidR="4FC4DBAA" w:rsidRDefault="5C8B9AC2" w:rsidP="1402E4C3">
      <w:pPr>
        <w:jc w:val="both"/>
      </w:pPr>
      <w:r>
        <w:t xml:space="preserve">The analysis will </w:t>
      </w:r>
      <w:r w:rsidR="3962627F">
        <w:t>firstly</w:t>
      </w:r>
      <w:r w:rsidR="5B2203C0">
        <w:t xml:space="preserve"> </w:t>
      </w:r>
      <w:r>
        <w:t>cover the content published in these annual reports and interim statements to ensure that</w:t>
      </w:r>
      <w:r w:rsidR="67E6E799">
        <w:t xml:space="preserve"> </w:t>
      </w:r>
      <w:r w:rsidR="4784C2BC">
        <w:t>the</w:t>
      </w:r>
      <w:r w:rsidR="67E6E799">
        <w:t xml:space="preserve"> ratio analysis is conducted in the correct context</w:t>
      </w:r>
      <w:r w:rsidR="7E981D1B">
        <w:t>.</w:t>
      </w:r>
    </w:p>
    <w:p w14:paraId="24627E93" w14:textId="46CDF17B" w:rsidR="7A02E036" w:rsidRDefault="7A02E036" w:rsidP="114D2111">
      <w:pPr>
        <w:jc w:val="both"/>
        <w:rPr>
          <w:rFonts w:ascii="Calibri" w:eastAsia="Calibri" w:hAnsi="Calibri" w:cs="Calibri"/>
        </w:rPr>
      </w:pPr>
      <w:r>
        <w:t>W</w:t>
      </w:r>
      <w:r w:rsidR="3A3F73B6">
        <w:t>e</w:t>
      </w:r>
      <w:r w:rsidR="1901B779">
        <w:t xml:space="preserve"> </w:t>
      </w:r>
      <w:r w:rsidR="7587B8BF">
        <w:t>also review</w:t>
      </w:r>
      <w:r w:rsidR="1901B779">
        <w:t xml:space="preserve"> external evidence</w:t>
      </w:r>
      <w:r w:rsidR="07652217">
        <w:t xml:space="preserve"> support</w:t>
      </w:r>
      <w:r w:rsidR="68C9CF7E">
        <w:t>ing some of</w:t>
      </w:r>
      <w:r w:rsidR="07652217">
        <w:t xml:space="preserve"> the </w:t>
      </w:r>
      <w:r w:rsidR="3A14CD91">
        <w:t>com</w:t>
      </w:r>
      <w:r w:rsidR="49E1B714">
        <w:t>ments</w:t>
      </w:r>
      <w:r w:rsidR="07652217">
        <w:t xml:space="preserve"> made in the various</w:t>
      </w:r>
      <w:r w:rsidR="3AFC8E44">
        <w:t>, Chairman,</w:t>
      </w:r>
      <w:r w:rsidR="07652217">
        <w:t xml:space="preserve"> CEO and CFO statements</w:t>
      </w:r>
      <w:r w:rsidR="4DE213FE">
        <w:t xml:space="preserve"> and w</w:t>
      </w:r>
      <w:r w:rsidR="4DE213FE" w:rsidRPr="114D2111">
        <w:rPr>
          <w:rFonts w:ascii="Calibri" w:eastAsia="Calibri" w:hAnsi="Calibri" w:cs="Calibri"/>
        </w:rPr>
        <w:t xml:space="preserve">e include a MarketLine SWOT analysis in Appendix </w:t>
      </w:r>
      <w:r w:rsidR="00966878">
        <w:rPr>
          <w:rFonts w:ascii="Calibri" w:eastAsia="Calibri" w:hAnsi="Calibri" w:cs="Calibri"/>
        </w:rPr>
        <w:t>4</w:t>
      </w:r>
      <w:r w:rsidR="4DE213FE" w:rsidRPr="114D2111">
        <w:rPr>
          <w:rFonts w:ascii="Calibri" w:eastAsia="Calibri" w:hAnsi="Calibri" w:cs="Calibri"/>
        </w:rPr>
        <w:t>.</w:t>
      </w:r>
    </w:p>
    <w:p w14:paraId="3D676A37" w14:textId="21F1B4EA" w:rsidR="4FC4DBAA" w:rsidRDefault="024B5F04" w:rsidP="1402E4C3">
      <w:pPr>
        <w:jc w:val="both"/>
      </w:pPr>
      <w:r>
        <w:t>To</w:t>
      </w:r>
      <w:r w:rsidR="7E981D1B">
        <w:t xml:space="preserve"> benchmark the ratio analysis exercise, </w:t>
      </w:r>
      <w:r w:rsidR="6DB668BE">
        <w:t>we</w:t>
      </w:r>
      <w:r w:rsidR="7E981D1B">
        <w:t xml:space="preserve"> also e</w:t>
      </w:r>
      <w:r w:rsidR="6548F476">
        <w:t>xamine the results of Ferrari over the same periods, covering the annual reports</w:t>
      </w:r>
      <w:r w:rsidR="008E4E20">
        <w:t>.</w:t>
      </w:r>
    </w:p>
    <w:p w14:paraId="6290F3C1" w14:textId="561FDDDB" w:rsidR="4FC4DBAA" w:rsidRDefault="6747E4D2" w:rsidP="1402E4C3">
      <w:pPr>
        <w:jc w:val="both"/>
      </w:pPr>
      <w:r>
        <w:t xml:space="preserve">The creation of </w:t>
      </w:r>
      <w:r w:rsidRPr="00C57EEE">
        <w:rPr>
          <w:b/>
          <w:bCs/>
        </w:rPr>
        <w:t>cross</w:t>
      </w:r>
      <w:r w:rsidR="008E4E20" w:rsidRPr="00C57EEE">
        <w:rPr>
          <w:b/>
          <w:bCs/>
        </w:rPr>
        <w:t>-</w:t>
      </w:r>
      <w:r w:rsidRPr="00C57EEE">
        <w:rPr>
          <w:b/>
          <w:bCs/>
        </w:rPr>
        <w:t>functional teams</w:t>
      </w:r>
      <w:r>
        <w:t>,</w:t>
      </w:r>
      <w:r w:rsidR="420AD82A">
        <w:t xml:space="preserve"> highlighted in the Q3 2022 Results Presentation, in the statement </w:t>
      </w:r>
      <w:r w:rsidR="15611756">
        <w:t>titled ‘</w:t>
      </w:r>
      <w:r w:rsidR="4044BB34">
        <w:t>CEO s</w:t>
      </w:r>
      <w:r w:rsidR="14B5F04B">
        <w:t xml:space="preserve">trategic </w:t>
      </w:r>
      <w:r w:rsidR="27ED80FB">
        <w:t>prog</w:t>
      </w:r>
      <w:r w:rsidR="5FF114B5">
        <w:t>ress &amp; priorities’, may sound a litt</w:t>
      </w:r>
      <w:r w:rsidR="72A0A5BF">
        <w:t xml:space="preserve">le bland, but to the discerning analyst it </w:t>
      </w:r>
      <w:r w:rsidR="31458AF1">
        <w:t>reveals a focus on cultural change within AML which augurs well for developing colla</w:t>
      </w:r>
      <w:r w:rsidR="462E4FD4">
        <w:t>borative partnerships.</w:t>
      </w:r>
    </w:p>
    <w:p w14:paraId="2151FA65" w14:textId="30166F7D" w:rsidR="26E4B921" w:rsidRDefault="26E4B921" w:rsidP="26E4B921">
      <w:pPr>
        <w:jc w:val="both"/>
        <w:rPr>
          <w:rFonts w:ascii="Calibri" w:eastAsia="Calibri" w:hAnsi="Calibri" w:cs="Calibri"/>
          <w:b/>
          <w:bCs/>
        </w:rPr>
      </w:pPr>
    </w:p>
    <w:p w14:paraId="35812720" w14:textId="2ED320E2" w:rsidR="26E4B921" w:rsidRDefault="00E5570A" w:rsidP="00E5570A">
      <w:pPr>
        <w:jc w:val="center"/>
        <w:rPr>
          <w:rFonts w:ascii="Calibri" w:eastAsia="Calibri" w:hAnsi="Calibri" w:cs="Calibri"/>
          <w:b/>
          <w:bCs/>
        </w:rPr>
      </w:pPr>
      <w:r>
        <w:rPr>
          <w:noProof/>
        </w:rPr>
        <w:drawing>
          <wp:inline distT="0" distB="0" distL="0" distR="0" wp14:anchorId="74A154F1" wp14:editId="6C448F65">
            <wp:extent cx="4762500" cy="3171825"/>
            <wp:effectExtent l="0" t="0" r="0" b="9525"/>
            <wp:docPr id="4" name="Picture 4" descr="Aston Martin DBS Concorde  Photo Max Earey 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ton Martin DBS Concorde  Photo Max Earey 02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3171825"/>
                    </a:xfrm>
                    <a:prstGeom prst="rect">
                      <a:avLst/>
                    </a:prstGeom>
                    <a:noFill/>
                    <a:ln>
                      <a:noFill/>
                    </a:ln>
                  </pic:spPr>
                </pic:pic>
              </a:graphicData>
            </a:graphic>
          </wp:inline>
        </w:drawing>
      </w:r>
    </w:p>
    <w:p w14:paraId="30B64C53" w14:textId="2E2F16DB" w:rsidR="26E4B921" w:rsidRDefault="26E4B921" w:rsidP="26E4B921">
      <w:pPr>
        <w:jc w:val="both"/>
        <w:rPr>
          <w:rFonts w:ascii="Calibri" w:eastAsia="Calibri" w:hAnsi="Calibri" w:cs="Calibri"/>
          <w:b/>
          <w:bCs/>
        </w:rPr>
      </w:pPr>
    </w:p>
    <w:p w14:paraId="7CC8BC99" w14:textId="6EA708D6" w:rsidR="26E4B921" w:rsidRDefault="26E4B921" w:rsidP="26E4B921">
      <w:pPr>
        <w:jc w:val="both"/>
        <w:rPr>
          <w:rFonts w:ascii="Calibri" w:eastAsia="Calibri" w:hAnsi="Calibri" w:cs="Calibri"/>
          <w:b/>
          <w:bCs/>
        </w:rPr>
      </w:pPr>
    </w:p>
    <w:p w14:paraId="60A4EC06" w14:textId="5E2A1423" w:rsidR="26E4B921" w:rsidRDefault="26E4B921" w:rsidP="26E4B921">
      <w:pPr>
        <w:jc w:val="both"/>
        <w:rPr>
          <w:rFonts w:ascii="Calibri" w:eastAsia="Calibri" w:hAnsi="Calibri" w:cs="Calibri"/>
          <w:b/>
          <w:bCs/>
        </w:rPr>
      </w:pPr>
    </w:p>
    <w:p w14:paraId="451ACE16" w14:textId="1285990E" w:rsidR="26E4B921" w:rsidRDefault="26E4B921" w:rsidP="26E4B921">
      <w:pPr>
        <w:jc w:val="both"/>
        <w:rPr>
          <w:rFonts w:ascii="Calibri" w:eastAsia="Calibri" w:hAnsi="Calibri" w:cs="Calibri"/>
          <w:b/>
          <w:bCs/>
        </w:rPr>
      </w:pPr>
    </w:p>
    <w:p w14:paraId="5BD4D4A1" w14:textId="745C0921" w:rsidR="114D2111" w:rsidRDefault="114D2111" w:rsidP="114D2111">
      <w:pPr>
        <w:jc w:val="both"/>
        <w:rPr>
          <w:rFonts w:ascii="Calibri" w:eastAsia="Calibri" w:hAnsi="Calibri" w:cs="Calibri"/>
          <w:b/>
          <w:bCs/>
        </w:rPr>
      </w:pPr>
    </w:p>
    <w:p w14:paraId="1B22F9E3" w14:textId="262787F1" w:rsidR="4FC4DBAA" w:rsidRDefault="43231E8B" w:rsidP="652274AA">
      <w:pPr>
        <w:jc w:val="both"/>
        <w:rPr>
          <w:rFonts w:ascii="Calibri" w:eastAsia="Calibri" w:hAnsi="Calibri" w:cs="Calibri"/>
        </w:rPr>
      </w:pPr>
      <w:r w:rsidRPr="114D2111">
        <w:rPr>
          <w:b/>
          <w:bCs/>
        </w:rPr>
        <w:lastRenderedPageBreak/>
        <w:t xml:space="preserve">1. </w:t>
      </w:r>
      <w:r w:rsidR="3745C163" w:rsidRPr="114D2111">
        <w:rPr>
          <w:b/>
          <w:bCs/>
        </w:rPr>
        <w:t>A review of content published in AML’s annual reports and interim statements</w:t>
      </w:r>
    </w:p>
    <w:p w14:paraId="1C451C75" w14:textId="49C1C65C" w:rsidR="4FC4DBAA" w:rsidRDefault="3745C163" w:rsidP="652274AA">
      <w:pPr>
        <w:jc w:val="both"/>
        <w:rPr>
          <w:rFonts w:ascii="Calibri" w:eastAsia="Calibri" w:hAnsi="Calibri" w:cs="Calibri"/>
        </w:rPr>
      </w:pPr>
      <w:r w:rsidRPr="652274AA">
        <w:rPr>
          <w:rFonts w:ascii="Calibri" w:eastAsia="Calibri" w:hAnsi="Calibri" w:cs="Calibri"/>
        </w:rPr>
        <w:t>AML has experienced major changes in the Group’s ownership, governance and vision, all taking place within the last 3 years.</w:t>
      </w:r>
    </w:p>
    <w:p w14:paraId="772D1D4B" w14:textId="7A8A9FFD" w:rsidR="4FC4DBAA" w:rsidRDefault="055999F9" w:rsidP="1402E4C3">
      <w:pPr>
        <w:jc w:val="both"/>
        <w:rPr>
          <w:b/>
          <w:bCs/>
        </w:rPr>
      </w:pPr>
      <w:r w:rsidRPr="0E5F69BA">
        <w:rPr>
          <w:rFonts w:ascii="Calibri" w:eastAsia="Calibri" w:hAnsi="Calibri" w:cs="Calibri"/>
        </w:rPr>
        <w:t>These changes can be seen by examining the AML Group’s Annual Reports and are vital for gaining a broader understanding of what has happened during the review period. A summary of some key findings from the 2021 AML Annual Report are tabulated below:</w:t>
      </w:r>
    </w:p>
    <w:p w14:paraId="06EF0716" w14:textId="151AF481" w:rsidR="0E5F69BA" w:rsidRDefault="0E5F69BA" w:rsidP="0E5F69BA">
      <w:pPr>
        <w:jc w:val="both"/>
        <w:rPr>
          <w:rFonts w:ascii="Calibri" w:eastAsia="Calibri" w:hAnsi="Calibri" w:cs="Calibri"/>
        </w:rPr>
      </w:pPr>
    </w:p>
    <w:tbl>
      <w:tblPr>
        <w:tblStyle w:val="TableGrid"/>
        <w:tblW w:w="0" w:type="auto"/>
        <w:tblLook w:val="06A0" w:firstRow="1" w:lastRow="0" w:firstColumn="1" w:lastColumn="0" w:noHBand="1" w:noVBand="1"/>
      </w:tblPr>
      <w:tblGrid>
        <w:gridCol w:w="915"/>
        <w:gridCol w:w="1740"/>
        <w:gridCol w:w="3195"/>
        <w:gridCol w:w="3165"/>
      </w:tblGrid>
      <w:tr w:rsidR="1402E4C3" w14:paraId="1F203766" w14:textId="77777777" w:rsidTr="114D2111">
        <w:trPr>
          <w:trHeight w:val="300"/>
        </w:trPr>
        <w:tc>
          <w:tcPr>
            <w:tcW w:w="915" w:type="dxa"/>
          </w:tcPr>
          <w:p w14:paraId="6144CD9C" w14:textId="0AC2AAF6" w:rsidR="1402E4C3" w:rsidRDefault="1402E4C3" w:rsidP="1402E4C3">
            <w:pPr>
              <w:rPr>
                <w:b/>
                <w:bCs/>
                <w:sz w:val="18"/>
                <w:szCs w:val="18"/>
              </w:rPr>
            </w:pPr>
            <w:r w:rsidRPr="1402E4C3">
              <w:rPr>
                <w:b/>
                <w:bCs/>
                <w:sz w:val="18"/>
                <w:szCs w:val="18"/>
              </w:rPr>
              <w:t>Page #</w:t>
            </w:r>
          </w:p>
        </w:tc>
        <w:tc>
          <w:tcPr>
            <w:tcW w:w="1740" w:type="dxa"/>
          </w:tcPr>
          <w:p w14:paraId="4BE333EF" w14:textId="69C5CC7E" w:rsidR="1402E4C3" w:rsidRDefault="1402E4C3" w:rsidP="1402E4C3">
            <w:pPr>
              <w:rPr>
                <w:b/>
                <w:bCs/>
                <w:sz w:val="18"/>
                <w:szCs w:val="18"/>
              </w:rPr>
            </w:pPr>
            <w:r w:rsidRPr="1402E4C3">
              <w:rPr>
                <w:b/>
                <w:bCs/>
                <w:sz w:val="18"/>
                <w:szCs w:val="18"/>
              </w:rPr>
              <w:t>Section Heading</w:t>
            </w:r>
          </w:p>
        </w:tc>
        <w:tc>
          <w:tcPr>
            <w:tcW w:w="3195" w:type="dxa"/>
          </w:tcPr>
          <w:p w14:paraId="07174D13" w14:textId="0D1FD85C" w:rsidR="1402E4C3" w:rsidRDefault="1402E4C3" w:rsidP="1402E4C3">
            <w:pPr>
              <w:rPr>
                <w:b/>
                <w:bCs/>
                <w:sz w:val="18"/>
                <w:szCs w:val="18"/>
              </w:rPr>
            </w:pPr>
            <w:r w:rsidRPr="1402E4C3">
              <w:rPr>
                <w:b/>
                <w:bCs/>
                <w:sz w:val="18"/>
                <w:szCs w:val="18"/>
              </w:rPr>
              <w:t>Report Excerpts</w:t>
            </w:r>
          </w:p>
        </w:tc>
        <w:tc>
          <w:tcPr>
            <w:tcW w:w="3165" w:type="dxa"/>
          </w:tcPr>
          <w:p w14:paraId="734CBB89" w14:textId="13CD1FB9" w:rsidR="1402E4C3" w:rsidRDefault="1402E4C3" w:rsidP="1402E4C3">
            <w:pPr>
              <w:rPr>
                <w:b/>
                <w:bCs/>
                <w:sz w:val="18"/>
                <w:szCs w:val="18"/>
              </w:rPr>
            </w:pPr>
            <w:r w:rsidRPr="1402E4C3">
              <w:rPr>
                <w:b/>
                <w:bCs/>
                <w:sz w:val="18"/>
                <w:szCs w:val="18"/>
              </w:rPr>
              <w:t>Relevance to recommendations</w:t>
            </w:r>
          </w:p>
        </w:tc>
      </w:tr>
      <w:tr w:rsidR="1402E4C3" w14:paraId="48715F82" w14:textId="77777777" w:rsidTr="114D2111">
        <w:trPr>
          <w:trHeight w:val="300"/>
        </w:trPr>
        <w:tc>
          <w:tcPr>
            <w:tcW w:w="915" w:type="dxa"/>
          </w:tcPr>
          <w:p w14:paraId="12D15319" w14:textId="17C957A5" w:rsidR="1402E4C3" w:rsidRDefault="1402E4C3" w:rsidP="1402E4C3">
            <w:pPr>
              <w:rPr>
                <w:sz w:val="18"/>
                <w:szCs w:val="18"/>
              </w:rPr>
            </w:pPr>
            <w:r w:rsidRPr="1402E4C3">
              <w:rPr>
                <w:sz w:val="18"/>
                <w:szCs w:val="18"/>
              </w:rPr>
              <w:t>18</w:t>
            </w:r>
          </w:p>
        </w:tc>
        <w:tc>
          <w:tcPr>
            <w:tcW w:w="1740" w:type="dxa"/>
          </w:tcPr>
          <w:p w14:paraId="081352DF" w14:textId="7785BA0B" w:rsidR="1402E4C3" w:rsidRDefault="1402E4C3" w:rsidP="1402E4C3">
            <w:pPr>
              <w:rPr>
                <w:sz w:val="18"/>
                <w:szCs w:val="18"/>
              </w:rPr>
            </w:pPr>
            <w:r w:rsidRPr="1402E4C3">
              <w:rPr>
                <w:sz w:val="18"/>
                <w:szCs w:val="18"/>
              </w:rPr>
              <w:t>EXECUTIVE CHAIRMAN’S STATEMENT</w:t>
            </w:r>
          </w:p>
        </w:tc>
        <w:tc>
          <w:tcPr>
            <w:tcW w:w="3195" w:type="dxa"/>
          </w:tcPr>
          <w:p w14:paraId="208A75FF" w14:textId="307553AB" w:rsidR="1402E4C3" w:rsidRDefault="1402E4C3" w:rsidP="1402E4C3">
            <w:pPr>
              <w:rPr>
                <w:sz w:val="18"/>
                <w:szCs w:val="18"/>
              </w:rPr>
            </w:pPr>
            <w:r w:rsidRPr="1402E4C3">
              <w:rPr>
                <w:sz w:val="18"/>
                <w:szCs w:val="18"/>
              </w:rPr>
              <w:t xml:space="preserve">“The evidence is there that our strategy is working, </w:t>
            </w:r>
            <w:r w:rsidRPr="1402E4C3">
              <w:rPr>
                <w:sz w:val="18"/>
                <w:szCs w:val="18"/>
                <w:highlight w:val="yellow"/>
              </w:rPr>
              <w:t>and it is a very long time since the core business was in such good health as it is today</w:t>
            </w:r>
            <w:r w:rsidRPr="1402E4C3">
              <w:rPr>
                <w:sz w:val="18"/>
                <w:szCs w:val="18"/>
              </w:rPr>
              <w:t>.”</w:t>
            </w:r>
          </w:p>
        </w:tc>
        <w:tc>
          <w:tcPr>
            <w:tcW w:w="3165" w:type="dxa"/>
          </w:tcPr>
          <w:p w14:paraId="3ACF797A" w14:textId="73156723" w:rsidR="1402E4C3" w:rsidRDefault="3955AE1F" w:rsidP="1402E4C3">
            <w:pPr>
              <w:rPr>
                <w:sz w:val="18"/>
                <w:szCs w:val="18"/>
              </w:rPr>
            </w:pPr>
            <w:r w:rsidRPr="114D2111">
              <w:rPr>
                <w:sz w:val="18"/>
                <w:szCs w:val="18"/>
              </w:rPr>
              <w:t xml:space="preserve">Strategic purpose clearly </w:t>
            </w:r>
            <w:bookmarkStart w:id="5" w:name="_Int_0AH7Vd34"/>
            <w:r w:rsidRPr="114D2111">
              <w:rPr>
                <w:sz w:val="18"/>
                <w:szCs w:val="18"/>
              </w:rPr>
              <w:t>stated</w:t>
            </w:r>
            <w:bookmarkEnd w:id="5"/>
            <w:r w:rsidR="7C5DF3F1" w:rsidRPr="114D2111">
              <w:rPr>
                <w:sz w:val="18"/>
                <w:szCs w:val="18"/>
              </w:rPr>
              <w:t>,</w:t>
            </w:r>
            <w:r w:rsidRPr="114D2111">
              <w:rPr>
                <w:sz w:val="18"/>
                <w:szCs w:val="18"/>
              </w:rPr>
              <w:t xml:space="preserve"> and is being backed up by key senior executive board appointments</w:t>
            </w:r>
          </w:p>
        </w:tc>
      </w:tr>
      <w:tr w:rsidR="1402E4C3" w14:paraId="63F63D1A" w14:textId="77777777" w:rsidTr="114D2111">
        <w:trPr>
          <w:trHeight w:val="300"/>
        </w:trPr>
        <w:tc>
          <w:tcPr>
            <w:tcW w:w="915" w:type="dxa"/>
          </w:tcPr>
          <w:p w14:paraId="7E0890D7" w14:textId="667B425B" w:rsidR="1402E4C3" w:rsidRDefault="1402E4C3" w:rsidP="1402E4C3">
            <w:pPr>
              <w:rPr>
                <w:sz w:val="18"/>
                <w:szCs w:val="18"/>
              </w:rPr>
            </w:pPr>
            <w:r w:rsidRPr="1402E4C3">
              <w:rPr>
                <w:sz w:val="18"/>
                <w:szCs w:val="18"/>
              </w:rPr>
              <w:t>21</w:t>
            </w:r>
          </w:p>
        </w:tc>
        <w:tc>
          <w:tcPr>
            <w:tcW w:w="1740" w:type="dxa"/>
          </w:tcPr>
          <w:p w14:paraId="33269978" w14:textId="5D20073E" w:rsidR="1402E4C3" w:rsidRDefault="1402E4C3" w:rsidP="1402E4C3">
            <w:pPr>
              <w:rPr>
                <w:sz w:val="18"/>
                <w:szCs w:val="18"/>
              </w:rPr>
            </w:pPr>
            <w:r w:rsidRPr="1402E4C3">
              <w:rPr>
                <w:sz w:val="18"/>
                <w:szCs w:val="18"/>
              </w:rPr>
              <w:t>EXECUTIVE CHAIRMAN’S STATEMENT CONTINUED</w:t>
            </w:r>
          </w:p>
        </w:tc>
        <w:tc>
          <w:tcPr>
            <w:tcW w:w="3195" w:type="dxa"/>
          </w:tcPr>
          <w:p w14:paraId="6EE2DDF4" w14:textId="40E31133" w:rsidR="1402E4C3" w:rsidRDefault="1402E4C3" w:rsidP="1402E4C3">
            <w:pPr>
              <w:rPr>
                <w:sz w:val="18"/>
                <w:szCs w:val="18"/>
              </w:rPr>
            </w:pPr>
            <w:r w:rsidRPr="1402E4C3">
              <w:rPr>
                <w:sz w:val="18"/>
                <w:szCs w:val="18"/>
              </w:rPr>
              <w:t>“I am more assured than ever of reaching our medium-term objectives of achieving revenues of circa £2bn and Adjusted EBITDA of circa £500m by 2024/25.”</w:t>
            </w:r>
          </w:p>
        </w:tc>
        <w:tc>
          <w:tcPr>
            <w:tcW w:w="3165" w:type="dxa"/>
          </w:tcPr>
          <w:p w14:paraId="2C706419" w14:textId="45EF9E19" w:rsidR="1402E4C3" w:rsidRDefault="3DB2BB7F" w:rsidP="1402E4C3">
            <w:pPr>
              <w:rPr>
                <w:sz w:val="18"/>
                <w:szCs w:val="18"/>
              </w:rPr>
            </w:pPr>
            <w:r w:rsidRPr="47647186">
              <w:rPr>
                <w:sz w:val="18"/>
                <w:szCs w:val="18"/>
              </w:rPr>
              <w:t>The focus on EBITDA is worthy of note both for measuring AM</w:t>
            </w:r>
            <w:r w:rsidR="157F6E28" w:rsidRPr="47647186">
              <w:rPr>
                <w:sz w:val="18"/>
                <w:szCs w:val="18"/>
              </w:rPr>
              <w:t>L</w:t>
            </w:r>
            <w:r w:rsidRPr="47647186">
              <w:rPr>
                <w:sz w:val="18"/>
                <w:szCs w:val="18"/>
              </w:rPr>
              <w:t xml:space="preserve">’s progress towards achieving its goals and helping comparison with competing businesses such as Ferrari </w:t>
            </w:r>
          </w:p>
        </w:tc>
      </w:tr>
      <w:tr w:rsidR="1402E4C3" w14:paraId="7D0CBB22" w14:textId="77777777" w:rsidTr="114D2111">
        <w:trPr>
          <w:trHeight w:val="300"/>
        </w:trPr>
        <w:tc>
          <w:tcPr>
            <w:tcW w:w="915" w:type="dxa"/>
          </w:tcPr>
          <w:p w14:paraId="7391EF08" w14:textId="3683D40B" w:rsidR="1402E4C3" w:rsidRDefault="1402E4C3" w:rsidP="1402E4C3">
            <w:pPr>
              <w:rPr>
                <w:sz w:val="18"/>
                <w:szCs w:val="18"/>
              </w:rPr>
            </w:pPr>
            <w:r w:rsidRPr="1402E4C3">
              <w:rPr>
                <w:sz w:val="18"/>
                <w:szCs w:val="18"/>
              </w:rPr>
              <w:t>29</w:t>
            </w:r>
          </w:p>
        </w:tc>
        <w:tc>
          <w:tcPr>
            <w:tcW w:w="1740" w:type="dxa"/>
          </w:tcPr>
          <w:p w14:paraId="421D68AB" w14:textId="0AC12397" w:rsidR="1402E4C3" w:rsidRDefault="1402E4C3" w:rsidP="1402E4C3">
            <w:pPr>
              <w:rPr>
                <w:sz w:val="18"/>
                <w:szCs w:val="18"/>
              </w:rPr>
            </w:pPr>
            <w:r w:rsidRPr="1402E4C3">
              <w:rPr>
                <w:sz w:val="18"/>
                <w:szCs w:val="18"/>
              </w:rPr>
              <w:t>ASTON MARTIN MEGATRENDS</w:t>
            </w:r>
          </w:p>
        </w:tc>
        <w:tc>
          <w:tcPr>
            <w:tcW w:w="3195" w:type="dxa"/>
          </w:tcPr>
          <w:p w14:paraId="54CDE70E" w14:textId="7C0F2751" w:rsidR="1402E4C3" w:rsidRDefault="344C4914" w:rsidP="114D2111">
            <w:pPr>
              <w:rPr>
                <w:rFonts w:ascii="Calibri" w:eastAsia="Calibri" w:hAnsi="Calibri" w:cs="Calibri"/>
                <w:color w:val="000000" w:themeColor="text1"/>
              </w:rPr>
            </w:pPr>
            <w:r w:rsidRPr="114D2111">
              <w:rPr>
                <w:sz w:val="18"/>
                <w:szCs w:val="18"/>
              </w:rPr>
              <w:t xml:space="preserve">Signing our enhanced technology agreement with Mercedes Benz AG, </w:t>
            </w:r>
            <w:bookmarkStart w:id="6" w:name="_Int_X42HB1EF"/>
            <w:r w:rsidRPr="114D2111">
              <w:rPr>
                <w:sz w:val="18"/>
                <w:szCs w:val="18"/>
              </w:rPr>
              <w:t>providing</w:t>
            </w:r>
            <w:bookmarkEnd w:id="6"/>
            <w:r w:rsidRPr="114D2111">
              <w:rPr>
                <w:sz w:val="18"/>
                <w:szCs w:val="18"/>
              </w:rPr>
              <w:t xml:space="preserve"> access to advanced technologies</w:t>
            </w:r>
            <w:r w:rsidRPr="00796534">
              <w:rPr>
                <w:sz w:val="18"/>
                <w:szCs w:val="18"/>
              </w:rPr>
              <w:t xml:space="preserve"> </w:t>
            </w:r>
            <w:sdt>
              <w:sdtPr>
                <w:rPr>
                  <w:sz w:val="18"/>
                  <w:szCs w:val="18"/>
                </w:rPr>
                <w:alias w:val="Citation"/>
                <w:tag w:val="{&quot;referencesIds&quot;:[&quot;doc:637e09fd8f08434b457eefce&quot;],&quot;referencesOptions&quot;:{&quot;doc:637e09fd8f08434b457eefce&quot;:{&quot;author&quot;:true,&quot;year&quot;:true,&quot;pageReplace&quot;:&quot;&quot;,&quot;prefix&quot;:&quot;&quot;,&quot;suffix&quot;:&quot;&quot;}},&quot;hasBrokenReferences&quot;:false,&quot;hasManualEdits&quot;:false,&quot;citationType&quot;:&quot;inline&quot;,&quot;id&quot;:1713338835,&quot;citationText&quot;:&quot;&lt;span style=\&quot;font-family:Calibri;font-size:14.666666666666666px;color:#000000\&quot;&gt;(Truett 2022)&lt;/span&gt;&quot;}"/>
                <w:id w:val="1173192012"/>
                <w:placeholder>
                  <w:docPart w:val="DefaultPlaceholder_1081868574"/>
                </w:placeholder>
              </w:sdtPr>
              <w:sdtContent>
                <w:r w:rsidR="5EC524EC" w:rsidRPr="00796534">
                  <w:rPr>
                    <w:rFonts w:ascii="Calibri" w:eastAsia="Calibri" w:hAnsi="Calibri" w:cs="Calibri"/>
                    <w:color w:val="000000" w:themeColor="text1"/>
                    <w:sz w:val="18"/>
                    <w:szCs w:val="18"/>
                  </w:rPr>
                  <w:t>(Truett 2022)</w:t>
                </w:r>
              </w:sdtContent>
            </w:sdt>
          </w:p>
        </w:tc>
        <w:tc>
          <w:tcPr>
            <w:tcW w:w="3165" w:type="dxa"/>
          </w:tcPr>
          <w:p w14:paraId="351B95B8" w14:textId="77426895" w:rsidR="1402E4C3" w:rsidRDefault="3229CD88" w:rsidP="1402E4C3">
            <w:pPr>
              <w:rPr>
                <w:sz w:val="18"/>
                <w:szCs w:val="18"/>
              </w:rPr>
            </w:pPr>
            <w:r w:rsidRPr="26E4B921">
              <w:rPr>
                <w:sz w:val="18"/>
                <w:szCs w:val="18"/>
              </w:rPr>
              <w:t xml:space="preserve">This could open the door for a wider opportunity should we decide to go ahead. </w:t>
            </w:r>
          </w:p>
        </w:tc>
      </w:tr>
      <w:tr w:rsidR="1402E4C3" w14:paraId="0626EA8C" w14:textId="77777777" w:rsidTr="114D2111">
        <w:trPr>
          <w:trHeight w:val="300"/>
        </w:trPr>
        <w:tc>
          <w:tcPr>
            <w:tcW w:w="915" w:type="dxa"/>
          </w:tcPr>
          <w:p w14:paraId="533D95ED" w14:textId="40939270" w:rsidR="1402E4C3" w:rsidRDefault="1402E4C3" w:rsidP="1402E4C3">
            <w:pPr>
              <w:rPr>
                <w:sz w:val="18"/>
                <w:szCs w:val="18"/>
              </w:rPr>
            </w:pPr>
            <w:r w:rsidRPr="1402E4C3">
              <w:rPr>
                <w:sz w:val="18"/>
                <w:szCs w:val="18"/>
              </w:rPr>
              <w:t>30</w:t>
            </w:r>
          </w:p>
        </w:tc>
        <w:tc>
          <w:tcPr>
            <w:tcW w:w="1740" w:type="dxa"/>
          </w:tcPr>
          <w:p w14:paraId="5AB5E26D" w14:textId="62C9AB17" w:rsidR="1402E4C3" w:rsidRDefault="1402E4C3" w:rsidP="1402E4C3">
            <w:pPr>
              <w:rPr>
                <w:sz w:val="18"/>
                <w:szCs w:val="18"/>
              </w:rPr>
            </w:pPr>
            <w:r w:rsidRPr="1402E4C3">
              <w:rPr>
                <w:sz w:val="18"/>
                <w:szCs w:val="18"/>
              </w:rPr>
              <w:t>CREATING FUTURE VALUE</w:t>
            </w:r>
          </w:p>
        </w:tc>
        <w:tc>
          <w:tcPr>
            <w:tcW w:w="3195" w:type="dxa"/>
          </w:tcPr>
          <w:p w14:paraId="0B5F97BA" w14:textId="09E5B489" w:rsidR="1402E4C3" w:rsidRDefault="1660638A" w:rsidP="1402E4C3">
            <w:pPr>
              <w:rPr>
                <w:sz w:val="18"/>
                <w:szCs w:val="18"/>
              </w:rPr>
            </w:pPr>
            <w:r w:rsidRPr="114D2111">
              <w:rPr>
                <w:sz w:val="18"/>
                <w:szCs w:val="18"/>
              </w:rPr>
              <w:t xml:space="preserve">‘Restructuring of supply chain and </w:t>
            </w:r>
            <w:bookmarkStart w:id="7" w:name="_Int_PZIsCzDE"/>
            <w:r w:rsidRPr="114D2111">
              <w:rPr>
                <w:sz w:val="18"/>
                <w:szCs w:val="18"/>
              </w:rPr>
              <w:t>logistics</w:t>
            </w:r>
            <w:bookmarkEnd w:id="7"/>
            <w:r w:rsidRPr="114D2111">
              <w:rPr>
                <w:sz w:val="18"/>
                <w:szCs w:val="18"/>
              </w:rPr>
              <w:t xml:space="preserve"> framework with key strategic partners’</w:t>
            </w:r>
          </w:p>
        </w:tc>
        <w:tc>
          <w:tcPr>
            <w:tcW w:w="3165" w:type="dxa"/>
          </w:tcPr>
          <w:p w14:paraId="2A74C10F" w14:textId="0F3F7EA0" w:rsidR="1402E4C3" w:rsidRDefault="35A96CFB" w:rsidP="1402E4C3">
            <w:pPr>
              <w:rPr>
                <w:sz w:val="18"/>
                <w:szCs w:val="18"/>
              </w:rPr>
            </w:pPr>
            <w:r w:rsidRPr="114D2111">
              <w:rPr>
                <w:sz w:val="18"/>
                <w:szCs w:val="18"/>
              </w:rPr>
              <w:t>The key technology agreement with MB gives AM access to MB’s electric powertrain technology in exchange for ordinary shares in AML</w:t>
            </w:r>
          </w:p>
        </w:tc>
      </w:tr>
      <w:tr w:rsidR="1402E4C3" w14:paraId="4CD3B1FB" w14:textId="77777777" w:rsidTr="114D2111">
        <w:trPr>
          <w:trHeight w:val="300"/>
        </w:trPr>
        <w:tc>
          <w:tcPr>
            <w:tcW w:w="915" w:type="dxa"/>
          </w:tcPr>
          <w:p w14:paraId="146FF75F" w14:textId="2FCB4611" w:rsidR="1402E4C3" w:rsidRDefault="1402E4C3" w:rsidP="1402E4C3">
            <w:pPr>
              <w:rPr>
                <w:sz w:val="18"/>
                <w:szCs w:val="18"/>
              </w:rPr>
            </w:pPr>
            <w:r w:rsidRPr="1402E4C3">
              <w:rPr>
                <w:sz w:val="18"/>
                <w:szCs w:val="18"/>
              </w:rPr>
              <w:t>34-36</w:t>
            </w:r>
          </w:p>
        </w:tc>
        <w:tc>
          <w:tcPr>
            <w:tcW w:w="1740" w:type="dxa"/>
          </w:tcPr>
          <w:p w14:paraId="5194AA1C" w14:textId="6A8FC2D4" w:rsidR="1402E4C3" w:rsidRDefault="1402E4C3" w:rsidP="1402E4C3">
            <w:pPr>
              <w:rPr>
                <w:sz w:val="18"/>
                <w:szCs w:val="18"/>
              </w:rPr>
            </w:pPr>
            <w:r w:rsidRPr="1402E4C3">
              <w:rPr>
                <w:sz w:val="18"/>
                <w:szCs w:val="18"/>
              </w:rPr>
              <w:t>ACHIEVING OUR STRATEGY &amp; MEASURING OUR PERFORMANCE</w:t>
            </w:r>
          </w:p>
        </w:tc>
        <w:tc>
          <w:tcPr>
            <w:tcW w:w="3195" w:type="dxa"/>
          </w:tcPr>
          <w:p w14:paraId="27C519EB" w14:textId="0427EA3B" w:rsidR="1402E4C3" w:rsidRDefault="1402E4C3" w:rsidP="1402E4C3">
            <w:pPr>
              <w:rPr>
                <w:sz w:val="18"/>
                <w:szCs w:val="18"/>
              </w:rPr>
            </w:pPr>
            <w:r w:rsidRPr="1402E4C3">
              <w:rPr>
                <w:sz w:val="18"/>
                <w:szCs w:val="18"/>
              </w:rPr>
              <w:t>“To achieve our strategy, we completed an extensive transformation programme, Project Horizon, targeted at every area of the business to drive efficiency and push Aston Martin into a new era.”</w:t>
            </w:r>
          </w:p>
        </w:tc>
        <w:tc>
          <w:tcPr>
            <w:tcW w:w="3165" w:type="dxa"/>
          </w:tcPr>
          <w:p w14:paraId="6BB9663D" w14:textId="11B68775" w:rsidR="1402E4C3" w:rsidRDefault="522E3F31" w:rsidP="1402E4C3">
            <w:pPr>
              <w:rPr>
                <w:sz w:val="18"/>
                <w:szCs w:val="18"/>
              </w:rPr>
            </w:pPr>
            <w:r w:rsidRPr="0E5F69BA">
              <w:rPr>
                <w:sz w:val="18"/>
                <w:szCs w:val="18"/>
              </w:rPr>
              <w:t>Progress</w:t>
            </w:r>
            <w:r w:rsidR="37721091" w:rsidRPr="0E5F69BA">
              <w:rPr>
                <w:sz w:val="18"/>
                <w:szCs w:val="18"/>
              </w:rPr>
              <w:t xml:space="preserve"> is being made towards implementation of Project Horizon</w:t>
            </w:r>
            <w:r w:rsidR="5C951635" w:rsidRPr="0E5F69BA">
              <w:rPr>
                <w:sz w:val="18"/>
                <w:szCs w:val="18"/>
              </w:rPr>
              <w:t xml:space="preserve"> which covers all aspects of business transformation</w:t>
            </w:r>
          </w:p>
        </w:tc>
      </w:tr>
      <w:tr w:rsidR="1402E4C3" w14:paraId="7FED865B" w14:textId="77777777" w:rsidTr="114D2111">
        <w:trPr>
          <w:trHeight w:val="300"/>
        </w:trPr>
        <w:tc>
          <w:tcPr>
            <w:tcW w:w="915" w:type="dxa"/>
          </w:tcPr>
          <w:p w14:paraId="68EF3841" w14:textId="165E33F3" w:rsidR="1402E4C3" w:rsidRDefault="1402E4C3" w:rsidP="1402E4C3">
            <w:pPr>
              <w:rPr>
                <w:sz w:val="18"/>
                <w:szCs w:val="18"/>
              </w:rPr>
            </w:pPr>
            <w:r w:rsidRPr="1402E4C3">
              <w:rPr>
                <w:sz w:val="18"/>
                <w:szCs w:val="18"/>
              </w:rPr>
              <w:t>76</w:t>
            </w:r>
          </w:p>
        </w:tc>
        <w:tc>
          <w:tcPr>
            <w:tcW w:w="1740" w:type="dxa"/>
          </w:tcPr>
          <w:p w14:paraId="4B038616" w14:textId="2C9D4AA1" w:rsidR="1402E4C3" w:rsidRDefault="1402E4C3" w:rsidP="1402E4C3">
            <w:pPr>
              <w:rPr>
                <w:sz w:val="18"/>
                <w:szCs w:val="18"/>
              </w:rPr>
            </w:pPr>
            <w:r w:rsidRPr="1402E4C3">
              <w:rPr>
                <w:sz w:val="18"/>
                <w:szCs w:val="18"/>
              </w:rPr>
              <w:t>CHIEF FINANCIAL OFFICER’S STATEMENT</w:t>
            </w:r>
          </w:p>
        </w:tc>
        <w:tc>
          <w:tcPr>
            <w:tcW w:w="3195" w:type="dxa"/>
          </w:tcPr>
          <w:p w14:paraId="7E6181AD" w14:textId="1E3387D3" w:rsidR="1402E4C3" w:rsidRDefault="1402E4C3" w:rsidP="1402E4C3">
            <w:pPr>
              <w:rPr>
                <w:sz w:val="18"/>
                <w:szCs w:val="18"/>
              </w:rPr>
            </w:pPr>
            <w:r w:rsidRPr="1402E4C3">
              <w:rPr>
                <w:sz w:val="18"/>
                <w:szCs w:val="18"/>
              </w:rPr>
              <w:t xml:space="preserve">“The financial position of the Company has improved substantially over the past year.......Through Project Horizon, the Company took actions on costs, </w:t>
            </w:r>
            <w:r w:rsidRPr="1402E4C3">
              <w:rPr>
                <w:sz w:val="18"/>
                <w:szCs w:val="18"/>
                <w:highlight w:val="yellow"/>
              </w:rPr>
              <w:t>including a 20% reduction in manufacturing cost per unit.”</w:t>
            </w:r>
          </w:p>
        </w:tc>
        <w:tc>
          <w:tcPr>
            <w:tcW w:w="3165" w:type="dxa"/>
          </w:tcPr>
          <w:p w14:paraId="6D1A91CA" w14:textId="3910719F" w:rsidR="1402E4C3" w:rsidRDefault="1402E4C3" w:rsidP="1402E4C3">
            <w:pPr>
              <w:rPr>
                <w:sz w:val="18"/>
                <w:szCs w:val="18"/>
              </w:rPr>
            </w:pPr>
            <w:r w:rsidRPr="1402E4C3">
              <w:rPr>
                <w:sz w:val="18"/>
                <w:szCs w:val="18"/>
              </w:rPr>
              <w:t>2021 was certainly a step forward for AML. A 20% reduction in cost per unit is a significant step towards achieving the EBITDA target margin of 25%</w:t>
            </w:r>
          </w:p>
        </w:tc>
      </w:tr>
    </w:tbl>
    <w:p w14:paraId="0A94B18F" w14:textId="06F110B4" w:rsidR="4FC4DBAA" w:rsidRDefault="4FC4DBAA" w:rsidP="1402E4C3">
      <w:pPr>
        <w:jc w:val="both"/>
      </w:pPr>
    </w:p>
    <w:p w14:paraId="06425A28" w14:textId="5863C1A8" w:rsidR="4FC4DBAA" w:rsidRDefault="4FC4DBAA" w:rsidP="1402E4C3">
      <w:pPr>
        <w:jc w:val="both"/>
      </w:pPr>
    </w:p>
    <w:p w14:paraId="495CED23" w14:textId="113CAAFF" w:rsidR="4FC4DBAA" w:rsidRDefault="4FC4DBAA" w:rsidP="1402E4C3">
      <w:pPr>
        <w:jc w:val="both"/>
      </w:pPr>
    </w:p>
    <w:p w14:paraId="47745585" w14:textId="368673EA" w:rsidR="4FC4DBAA" w:rsidRDefault="4FC4DBAA" w:rsidP="1402E4C3">
      <w:pPr>
        <w:jc w:val="both"/>
      </w:pPr>
    </w:p>
    <w:p w14:paraId="172CE323" w14:textId="046BA847" w:rsidR="4FC4DBAA" w:rsidRDefault="4FC4DBAA" w:rsidP="1402E4C3">
      <w:pPr>
        <w:rPr>
          <w:b/>
          <w:bCs/>
        </w:rPr>
      </w:pPr>
    </w:p>
    <w:p w14:paraId="3D739D40" w14:textId="03DEAC68" w:rsidR="4FC4DBAA" w:rsidRDefault="4FC4DBAA" w:rsidP="1402E4C3">
      <w:pPr>
        <w:rPr>
          <w:b/>
          <w:bCs/>
        </w:rPr>
      </w:pPr>
    </w:p>
    <w:p w14:paraId="2FEB6BCC" w14:textId="4619738D" w:rsidR="26E4B921" w:rsidRDefault="26E4B921" w:rsidP="26E4B921">
      <w:pPr>
        <w:rPr>
          <w:b/>
          <w:bCs/>
        </w:rPr>
      </w:pPr>
    </w:p>
    <w:p w14:paraId="1CC3B322" w14:textId="31C5C1FB" w:rsidR="26E4B921" w:rsidRDefault="26E4B921" w:rsidP="26E4B921">
      <w:pPr>
        <w:rPr>
          <w:b/>
          <w:bCs/>
        </w:rPr>
      </w:pPr>
    </w:p>
    <w:p w14:paraId="69172E0B" w14:textId="738A1F85" w:rsidR="26E4B921" w:rsidRDefault="26E4B921" w:rsidP="26E4B921">
      <w:pPr>
        <w:rPr>
          <w:b/>
          <w:bCs/>
        </w:rPr>
      </w:pPr>
    </w:p>
    <w:p w14:paraId="6D2BA767" w14:textId="53849C89" w:rsidR="4FC4DBAA" w:rsidRDefault="009D245D" w:rsidP="5057B384">
      <w:pPr>
        <w:rPr>
          <w:b/>
          <w:bCs/>
        </w:rPr>
      </w:pPr>
      <w:r>
        <w:rPr>
          <w:b/>
          <w:bCs/>
        </w:rPr>
        <w:lastRenderedPageBreak/>
        <w:t>2</w:t>
      </w:r>
      <w:r w:rsidR="6EDDF1E5" w:rsidRPr="114D2111">
        <w:rPr>
          <w:b/>
          <w:bCs/>
        </w:rPr>
        <w:t xml:space="preserve">. </w:t>
      </w:r>
      <w:r w:rsidR="507D7B22" w:rsidRPr="114D2111">
        <w:rPr>
          <w:b/>
          <w:bCs/>
        </w:rPr>
        <w:t xml:space="preserve">Use and Limitation of Ratio Analysis </w:t>
      </w:r>
    </w:p>
    <w:p w14:paraId="4410DA19" w14:textId="15B1B84E" w:rsidR="7491F1CA" w:rsidRDefault="7491F1CA" w:rsidP="114D2111">
      <w:pPr>
        <w:rPr>
          <w:rFonts w:ascii="Calibri" w:eastAsia="Calibri" w:hAnsi="Calibri" w:cs="Calibri"/>
          <w:color w:val="000000" w:themeColor="text1"/>
        </w:rPr>
      </w:pPr>
      <w:r w:rsidRPr="114D2111">
        <w:rPr>
          <w:sz w:val="28"/>
          <w:szCs w:val="28"/>
        </w:rPr>
        <w:t xml:space="preserve">“The key to using ratios </w:t>
      </w:r>
      <w:bookmarkStart w:id="8" w:name="_Int_JsJEO9Hl"/>
      <w:r w:rsidRPr="114D2111">
        <w:rPr>
          <w:sz w:val="28"/>
          <w:szCs w:val="28"/>
        </w:rPr>
        <w:t>is</w:t>
      </w:r>
      <w:bookmarkEnd w:id="8"/>
      <w:r w:rsidRPr="114D2111">
        <w:rPr>
          <w:sz w:val="28"/>
          <w:szCs w:val="28"/>
        </w:rPr>
        <w:t xml:space="preserve"> selectivity, not saturation”</w:t>
      </w:r>
      <w:r w:rsidR="114D2111">
        <w:t xml:space="preserve"> </w:t>
      </w:r>
      <w:sdt>
        <w:sdtPr>
          <w:alias w:val="Citation"/>
          <w:tag w:val="{&quot;referencesIds&quot;:[&quot;doc:63ad4e44a73b2805988e3d8f&quot;],&quot;referencesOptions&quot;:{&quot;doc:63ad4e44a73b2805988e3d8f&quot;:{&quot;author&quot;:true,&quot;year&quot;:true,&quot;pageReplace&quot;:&quot;&quot;,&quot;prefix&quot;:&quot;&quot;,&quot;suffix&quot;:&quot;&quot;}},&quot;hasBrokenReferences&quot;:false,&quot;hasManualEdits&quot;:false,&quot;citationType&quot;:&quot;inline&quot;}"/>
          <w:id w:val="536438913"/>
          <w:placeholder>
            <w:docPart w:val="DefaultPlaceholder_1081868574"/>
          </w:placeholder>
        </w:sdtPr>
        <w:sdtContent>
          <w:r w:rsidR="5EC524EC" w:rsidRPr="114D2111">
            <w:rPr>
              <w:rFonts w:ascii="Calibri" w:eastAsia="Calibri" w:hAnsi="Calibri" w:cs="Calibri"/>
              <w:color w:val="000000" w:themeColor="text1"/>
            </w:rPr>
            <w:t>(Holmes, Sugden et al. 2008)</w:t>
          </w:r>
        </w:sdtContent>
      </w:sdt>
    </w:p>
    <w:p w14:paraId="6654D4F3" w14:textId="23645014" w:rsidR="4FC4DBAA" w:rsidRDefault="507D7B22" w:rsidP="5057B384">
      <w:r>
        <w:t>We begin with a look at how ratios can be used as a helpful tool for analysing business performance before considering their limitations.</w:t>
      </w:r>
    </w:p>
    <w:p w14:paraId="7B552EEF" w14:textId="47B30D92" w:rsidR="4FC4DBAA" w:rsidRDefault="507D7B22" w:rsidP="5057B384">
      <w:pPr>
        <w:rPr>
          <w:b/>
          <w:bCs/>
        </w:rPr>
      </w:pPr>
      <w:r w:rsidRPr="5057B384">
        <w:rPr>
          <w:b/>
          <w:bCs/>
        </w:rPr>
        <w:t>The Use of Financial Ratios</w:t>
      </w:r>
    </w:p>
    <w:p w14:paraId="4668C480" w14:textId="153C5C90" w:rsidR="4FC4DBAA" w:rsidRDefault="507D7B22" w:rsidP="5057B384">
      <w:r>
        <w:t>Types of Financial Ratios</w:t>
      </w:r>
    </w:p>
    <w:p w14:paraId="3B7A2920" w14:textId="06B2D2B4" w:rsidR="254AD835" w:rsidRDefault="2E343C1F" w:rsidP="3C041A8E">
      <w:pPr>
        <w:jc w:val="both"/>
      </w:pPr>
      <w:r>
        <w:t>In the context of Financial Statement Analysis, the ratios that are most often used by analysts can be categorised into 5 headings</w:t>
      </w:r>
      <w:r w:rsidR="5C6093BD">
        <w:t xml:space="preserve"> </w:t>
      </w:r>
      <w:bookmarkStart w:id="9" w:name="_Hlk125572497"/>
      <w:sdt>
        <w:sdtPr>
          <w:alias w:val="Citation"/>
          <w:tag w:val="{&quot;referencesIds&quot;:[&quot;doc:63af1dde42c21905506cd803&quot;],&quot;referencesOptions&quot;:{&quot;doc:63af1dde42c21905506cd803&quot;:{&quot;author&quot;:true,&quot;year&quot;:true,&quot;pageReplace&quot;:&quot;&quot;,&quot;prefix&quot;:&quot;&quot;,&quot;suffix&quot;:&quot;&quot;}},&quot;hasBrokenReferences&quot;:false,&quot;hasManualEdits&quot;:false,&quot;citationType&quot;:&quot;inline&quot;,&quot;id&quot;:336383116,&quot;citationText&quot;:&quot;&lt;span style=\&quot;font-family:Calibri;font-size:14.666666666666666px;color:#000000\&quot;&gt;(Atrill, McLaney 2015)&lt;/span&gt;&quot;}"/>
          <w:id w:val="944113403"/>
          <w:placeholder>
            <w:docPart w:val="DefaultPlaceholder_1081868574"/>
          </w:placeholder>
        </w:sdtPr>
        <w:sdtContent>
          <w:r w:rsidR="5EC524EC" w:rsidRPr="114D2111">
            <w:rPr>
              <w:rFonts w:ascii="Calibri" w:eastAsia="Calibri" w:hAnsi="Calibri" w:cs="Calibri"/>
              <w:color w:val="000000" w:themeColor="text1"/>
            </w:rPr>
            <w:t>(Atrill, M</w:t>
          </w:r>
          <w:bookmarkStart w:id="10" w:name="_Int_MwOCYyM0"/>
          <w:r w:rsidR="5EC524EC" w:rsidRPr="114D2111">
            <w:rPr>
              <w:rFonts w:ascii="Calibri" w:eastAsia="Calibri" w:hAnsi="Calibri" w:cs="Calibri"/>
              <w:color w:val="000000" w:themeColor="text1"/>
            </w:rPr>
            <w:t>cL</w:t>
          </w:r>
          <w:bookmarkEnd w:id="10"/>
          <w:r w:rsidR="5EC524EC" w:rsidRPr="114D2111">
            <w:rPr>
              <w:rFonts w:ascii="Calibri" w:eastAsia="Calibri" w:hAnsi="Calibri" w:cs="Calibri"/>
              <w:color w:val="000000" w:themeColor="text1"/>
            </w:rPr>
            <w:t>aney 2015)</w:t>
          </w:r>
        </w:sdtContent>
      </w:sdt>
      <w:r>
        <w:t xml:space="preserve"> </w:t>
      </w:r>
      <w:bookmarkEnd w:id="9"/>
      <w:r w:rsidR="00C31CCD">
        <w:t>and</w:t>
      </w:r>
      <w:sdt>
        <w:sdtPr>
          <w:id w:val="-1654057070"/>
          <w:citation/>
        </w:sdtPr>
        <w:sdtContent>
          <w:r w:rsidR="00C31CCD">
            <w:fldChar w:fldCharType="begin"/>
          </w:r>
          <w:r w:rsidR="00C31CCD">
            <w:instrText xml:space="preserve"> CITATION Dat22 \l 2057 </w:instrText>
          </w:r>
          <w:r w:rsidR="00C31CCD">
            <w:fldChar w:fldCharType="separate"/>
          </w:r>
          <w:r w:rsidR="00C31CCD">
            <w:rPr>
              <w:noProof/>
            </w:rPr>
            <w:t xml:space="preserve"> </w:t>
          </w:r>
          <w:r w:rsidR="00C31CCD" w:rsidRPr="00C31CCD">
            <w:rPr>
              <w:noProof/>
            </w:rPr>
            <w:t>(Datarails, 2022)</w:t>
          </w:r>
          <w:r w:rsidR="00C31CCD">
            <w:fldChar w:fldCharType="end"/>
          </w:r>
        </w:sdtContent>
      </w:sdt>
      <w:r w:rsidR="00C31CCD">
        <w:t xml:space="preserve"> </w:t>
      </w:r>
      <w:r>
        <w:t>as follows:</w:t>
      </w:r>
    </w:p>
    <w:p w14:paraId="706E0C3E" w14:textId="72FAB4D0" w:rsidR="254AD835" w:rsidRDefault="254AD835" w:rsidP="3C041A8E">
      <w:pPr>
        <w:pStyle w:val="ListParagraph"/>
        <w:numPr>
          <w:ilvl w:val="0"/>
          <w:numId w:val="21"/>
        </w:numPr>
        <w:jc w:val="both"/>
      </w:pPr>
      <w:r>
        <w:t>Profitability</w:t>
      </w:r>
      <w:r w:rsidR="009D245D">
        <w:t xml:space="preserve"> </w:t>
      </w:r>
    </w:p>
    <w:p w14:paraId="1F6F6FB8" w14:textId="0DFCAE79" w:rsidR="254AD835" w:rsidRDefault="254AD835" w:rsidP="3C041A8E">
      <w:pPr>
        <w:pStyle w:val="ListParagraph"/>
        <w:numPr>
          <w:ilvl w:val="0"/>
          <w:numId w:val="21"/>
        </w:numPr>
        <w:jc w:val="both"/>
      </w:pPr>
      <w:r>
        <w:t>Efficiency/Activity</w:t>
      </w:r>
    </w:p>
    <w:p w14:paraId="1ED7B043" w14:textId="6BC7E407" w:rsidR="254AD835" w:rsidRDefault="254AD835" w:rsidP="3C041A8E">
      <w:pPr>
        <w:pStyle w:val="ListParagraph"/>
        <w:numPr>
          <w:ilvl w:val="0"/>
          <w:numId w:val="21"/>
        </w:numPr>
        <w:jc w:val="both"/>
      </w:pPr>
      <w:r>
        <w:t>Liquidity</w:t>
      </w:r>
    </w:p>
    <w:p w14:paraId="20E213A8" w14:textId="52165B40" w:rsidR="254AD835" w:rsidRDefault="254AD835" w:rsidP="3C041A8E">
      <w:pPr>
        <w:pStyle w:val="ListParagraph"/>
        <w:numPr>
          <w:ilvl w:val="0"/>
          <w:numId w:val="21"/>
        </w:numPr>
        <w:jc w:val="both"/>
      </w:pPr>
      <w:r>
        <w:t>Financial Gearing</w:t>
      </w:r>
    </w:p>
    <w:p w14:paraId="4ED37D5A" w14:textId="4EB2F1F8" w:rsidR="254AD835" w:rsidRDefault="44B9ABE3" w:rsidP="3C041A8E">
      <w:pPr>
        <w:pStyle w:val="ListParagraph"/>
        <w:numPr>
          <w:ilvl w:val="0"/>
          <w:numId w:val="21"/>
        </w:numPr>
        <w:jc w:val="both"/>
      </w:pPr>
      <w:r>
        <w:t>Investment</w:t>
      </w:r>
      <w:r w:rsidR="00C31CCD">
        <w:t>/Market Value</w:t>
      </w:r>
      <w:sdt>
        <w:sdtPr>
          <w:id w:val="-1622911189"/>
          <w:citation/>
        </w:sdtPr>
        <w:sdtContent>
          <w:r w:rsidR="00FD1133">
            <w:fldChar w:fldCharType="begin"/>
          </w:r>
          <w:r w:rsidR="00FD1133">
            <w:instrText xml:space="preserve"> CITATION Dat22 \l 2057 </w:instrText>
          </w:r>
          <w:r w:rsidR="00FD1133">
            <w:fldChar w:fldCharType="separate"/>
          </w:r>
          <w:r w:rsidR="00FD1133">
            <w:rPr>
              <w:noProof/>
            </w:rPr>
            <w:t xml:space="preserve"> </w:t>
          </w:r>
          <w:r w:rsidR="00FD1133" w:rsidRPr="00FD1133">
            <w:rPr>
              <w:noProof/>
            </w:rPr>
            <w:t>(Datarails, 2022)</w:t>
          </w:r>
          <w:r w:rsidR="00FD1133">
            <w:fldChar w:fldCharType="end"/>
          </w:r>
        </w:sdtContent>
      </w:sdt>
    </w:p>
    <w:p w14:paraId="79ECE392" w14:textId="6972575E" w:rsidR="71AFAFB5" w:rsidRDefault="71AFAFB5" w:rsidP="5AC7D45C">
      <w:pPr>
        <w:jc w:val="both"/>
      </w:pPr>
      <w:r w:rsidRPr="26E4B921">
        <w:rPr>
          <w:b/>
          <w:bCs/>
        </w:rPr>
        <w:t>Profitability ratios</w:t>
      </w:r>
      <w:r w:rsidR="009D245D" w:rsidRPr="009D245D">
        <w:t xml:space="preserve"> </w:t>
      </w:r>
      <w:sdt>
        <w:sdtPr>
          <w:alias w:val="Citation"/>
          <w:tag w:val="{&quot;referencesIds&quot;:[&quot;doc:63af1dde42c21905506cd803&quot;],&quot;referencesOptions&quot;:{&quot;doc:63af1dde42c21905506cd803&quot;:{&quot;author&quot;:true,&quot;year&quot;:true,&quot;pageReplace&quot;:&quot;&quot;,&quot;prefix&quot;:&quot;&quot;,&quot;suffix&quot;:&quot;&quot;}},&quot;hasBrokenReferences&quot;:false,&quot;hasManualEdits&quot;:false,&quot;citationType&quot;:&quot;inline&quot;,&quot;id&quot;:336383116,&quot;citationText&quot;:&quot;&lt;span style=\&quot;font-family:Calibri;font-size:14.666666666666666px;color:#000000\&quot;&gt;(Atrill, McLaney 2015)&lt;/span&gt;&quot;}"/>
          <w:id w:val="-1010289379"/>
          <w:placeholder>
            <w:docPart w:val="EF5C32DE25DC46488889F2F4DE0557DF"/>
          </w:placeholder>
        </w:sdtPr>
        <w:sdtContent>
          <w:r w:rsidR="009D245D" w:rsidRPr="114D2111">
            <w:rPr>
              <w:rFonts w:ascii="Calibri" w:eastAsia="Calibri" w:hAnsi="Calibri" w:cs="Calibri"/>
              <w:color w:val="000000" w:themeColor="text1"/>
            </w:rPr>
            <w:t>(Atrill, McLaney 2015)</w:t>
          </w:r>
        </w:sdtContent>
      </w:sdt>
      <w:r w:rsidR="009D245D">
        <w:rPr>
          <w:b/>
          <w:bCs/>
        </w:rPr>
        <w:t xml:space="preserve"> </w:t>
      </w:r>
      <w:r>
        <w:t xml:space="preserve"> express how much profit is earned </w:t>
      </w:r>
      <w:r w:rsidR="453DDE05">
        <w:t>as a percentage of sales revenue. Expressing all classifications of revenue and costs as a percentage of sales revenue ena</w:t>
      </w:r>
      <w:r w:rsidR="62B103AD">
        <w:t>bles managers to spot any anomalies which would require further investigation</w:t>
      </w:r>
      <w:r w:rsidR="2155E8DF">
        <w:t>. A comparison can be made by looking at current and past reporting periods</w:t>
      </w:r>
      <w:r w:rsidR="25A45D48">
        <w:t xml:space="preserve"> and against forecasts or budgets.</w:t>
      </w:r>
    </w:p>
    <w:p w14:paraId="77F25C6E" w14:textId="4E57D96C" w:rsidR="497E1954" w:rsidRDefault="497E1954" w:rsidP="26E4B921">
      <w:pPr>
        <w:jc w:val="both"/>
      </w:pPr>
      <w:r>
        <w:t xml:space="preserve">Comparisons can also highlight potential strengths and weaknesses of competing businesses and </w:t>
      </w:r>
      <w:r w:rsidR="00A715D9">
        <w:t>invite</w:t>
      </w:r>
      <w:r>
        <w:t xml:space="preserve"> corrective action</w:t>
      </w:r>
      <w:r w:rsidR="6AAFD8DD">
        <w:t>.</w:t>
      </w:r>
    </w:p>
    <w:p w14:paraId="2D438FA7" w14:textId="39D37888" w:rsidR="6AAFD8DD" w:rsidRDefault="6AAFD8DD" w:rsidP="26E4B921">
      <w:pPr>
        <w:jc w:val="both"/>
      </w:pPr>
      <w:r w:rsidRPr="26E4B921">
        <w:rPr>
          <w:b/>
          <w:bCs/>
        </w:rPr>
        <w:t>Efficiency/Activity Ratios</w:t>
      </w:r>
      <w:r w:rsidR="009D245D" w:rsidRPr="009D245D">
        <w:t xml:space="preserve"> </w:t>
      </w:r>
      <w:sdt>
        <w:sdtPr>
          <w:alias w:val="Citation"/>
          <w:tag w:val="{&quot;referencesIds&quot;:[&quot;doc:63af1dde42c21905506cd803&quot;],&quot;referencesOptions&quot;:{&quot;doc:63af1dde42c21905506cd803&quot;:{&quot;author&quot;:true,&quot;year&quot;:true,&quot;pageReplace&quot;:&quot;&quot;,&quot;prefix&quot;:&quot;&quot;,&quot;suffix&quot;:&quot;&quot;}},&quot;hasBrokenReferences&quot;:false,&quot;hasManualEdits&quot;:false,&quot;citationType&quot;:&quot;inline&quot;,&quot;id&quot;:336383116,&quot;citationText&quot;:&quot;&lt;span style=\&quot;font-family:Calibri;font-size:14.666666666666666px;color:#000000\&quot;&gt;(Atrill, McLaney 2015)&lt;/span&gt;&quot;}"/>
          <w:id w:val="-1809775893"/>
          <w:placeholder>
            <w:docPart w:val="21E6DF8E84184B0694CA5BB82D86F498"/>
          </w:placeholder>
        </w:sdtPr>
        <w:sdtContent>
          <w:r w:rsidR="009D245D" w:rsidRPr="114D2111">
            <w:rPr>
              <w:rFonts w:ascii="Calibri" w:eastAsia="Calibri" w:hAnsi="Calibri" w:cs="Calibri"/>
              <w:color w:val="000000" w:themeColor="text1"/>
            </w:rPr>
            <w:t>(Atrill, McLaney 2015)</w:t>
          </w:r>
        </w:sdtContent>
      </w:sdt>
      <w:r w:rsidRPr="26E4B921">
        <w:rPr>
          <w:b/>
          <w:bCs/>
        </w:rPr>
        <w:t xml:space="preserve"> </w:t>
      </w:r>
      <w:r w:rsidR="0E8994EA">
        <w:t>show</w:t>
      </w:r>
      <w:r>
        <w:t xml:space="preserve"> the level of stewardship being administered</w:t>
      </w:r>
      <w:r w:rsidR="064FF337">
        <w:t xml:space="preserve"> in terms of asset utilisation. Questions like how many times is inventory replenished </w:t>
      </w:r>
      <w:r w:rsidR="597774C1">
        <w:t>during a financial year, or what sales were generated from the total assets employed within the business</w:t>
      </w:r>
      <w:r w:rsidR="7923CE42">
        <w:t xml:space="preserve"> can </w:t>
      </w:r>
      <w:r w:rsidR="4411AE1A">
        <w:t xml:space="preserve">help to </w:t>
      </w:r>
      <w:r w:rsidR="7923CE42">
        <w:t>reveal asset utilisation levels.</w:t>
      </w:r>
    </w:p>
    <w:p w14:paraId="1067F476" w14:textId="04B0A04B" w:rsidR="171B260D" w:rsidRDefault="171B260D" w:rsidP="26E4B921">
      <w:pPr>
        <w:jc w:val="both"/>
      </w:pPr>
      <w:r w:rsidRPr="26E4B921">
        <w:rPr>
          <w:b/>
          <w:bCs/>
        </w:rPr>
        <w:t>Liquidity Ratios</w:t>
      </w:r>
      <w:r w:rsidR="009D245D" w:rsidRPr="009D245D">
        <w:t xml:space="preserve"> </w:t>
      </w:r>
      <w:sdt>
        <w:sdtPr>
          <w:alias w:val="Citation"/>
          <w:tag w:val="{&quot;referencesIds&quot;:[&quot;doc:63af1dde42c21905506cd803&quot;],&quot;referencesOptions&quot;:{&quot;doc:63af1dde42c21905506cd803&quot;:{&quot;author&quot;:true,&quot;year&quot;:true,&quot;pageReplace&quot;:&quot;&quot;,&quot;prefix&quot;:&quot;&quot;,&quot;suffix&quot;:&quot;&quot;}},&quot;hasBrokenReferences&quot;:false,&quot;hasManualEdits&quot;:false,&quot;citationType&quot;:&quot;inline&quot;,&quot;id&quot;:336383116,&quot;citationText&quot;:&quot;&lt;span style=\&quot;font-family:Calibri;font-size:14.666666666666666px;color:#000000\&quot;&gt;(Atrill, McLaney 2015)&lt;/span&gt;&quot;}"/>
          <w:id w:val="25683884"/>
          <w:placeholder>
            <w:docPart w:val="A690526351254A72A4F19E1DDDB93ED4"/>
          </w:placeholder>
        </w:sdtPr>
        <w:sdtContent>
          <w:r w:rsidR="009D245D" w:rsidRPr="114D2111">
            <w:rPr>
              <w:rFonts w:ascii="Calibri" w:eastAsia="Calibri" w:hAnsi="Calibri" w:cs="Calibri"/>
              <w:color w:val="000000" w:themeColor="text1"/>
            </w:rPr>
            <w:t>(Atrill, McLaney 2015)</w:t>
          </w:r>
        </w:sdtContent>
      </w:sdt>
      <w:r>
        <w:t xml:space="preserve"> show the short-term ability </w:t>
      </w:r>
      <w:r w:rsidR="766D98A5">
        <w:t>of a business to liquidate current assets to pay its current liabilities when they fall due</w:t>
      </w:r>
      <w:r w:rsidR="5C26A1A2">
        <w:t>.</w:t>
      </w:r>
    </w:p>
    <w:p w14:paraId="40D0862D" w14:textId="2E607272" w:rsidR="5C26A1A2" w:rsidRDefault="5C26A1A2" w:rsidP="26E4B921">
      <w:pPr>
        <w:jc w:val="both"/>
      </w:pPr>
      <w:r w:rsidRPr="26E4B921">
        <w:rPr>
          <w:b/>
          <w:bCs/>
        </w:rPr>
        <w:t>Financial Gearing Ratios</w:t>
      </w:r>
      <w:r w:rsidR="009D245D" w:rsidRPr="009D245D">
        <w:t xml:space="preserve"> </w:t>
      </w:r>
      <w:sdt>
        <w:sdtPr>
          <w:alias w:val="Citation"/>
          <w:tag w:val="{&quot;referencesIds&quot;:[&quot;doc:63af1dde42c21905506cd803&quot;],&quot;referencesOptions&quot;:{&quot;doc:63af1dde42c21905506cd803&quot;:{&quot;author&quot;:true,&quot;year&quot;:true,&quot;pageReplace&quot;:&quot;&quot;,&quot;prefix&quot;:&quot;&quot;,&quot;suffix&quot;:&quot;&quot;}},&quot;hasBrokenReferences&quot;:false,&quot;hasManualEdits&quot;:false,&quot;citationType&quot;:&quot;inline&quot;,&quot;id&quot;:336383116,&quot;citationText&quot;:&quot;&lt;span style=\&quot;font-family:Calibri;font-size:14.666666666666666px;color:#000000\&quot;&gt;(Atrill, McLaney 2015)&lt;/span&gt;&quot;}"/>
          <w:id w:val="235136300"/>
          <w:placeholder>
            <w:docPart w:val="819D46EF333B4A97BB7944E662C8818C"/>
          </w:placeholder>
        </w:sdtPr>
        <w:sdtContent>
          <w:r w:rsidR="009D245D" w:rsidRPr="114D2111">
            <w:rPr>
              <w:rFonts w:ascii="Calibri" w:eastAsia="Calibri" w:hAnsi="Calibri" w:cs="Calibri"/>
              <w:color w:val="000000" w:themeColor="text1"/>
            </w:rPr>
            <w:t>(Atrill, McLaney 2015)</w:t>
          </w:r>
        </w:sdtContent>
      </w:sdt>
      <w:r w:rsidRPr="26E4B921">
        <w:rPr>
          <w:b/>
          <w:bCs/>
        </w:rPr>
        <w:t xml:space="preserve"> </w:t>
      </w:r>
      <w:r>
        <w:t>focus on the proportion of loans that a business is obliged to ser</w:t>
      </w:r>
      <w:r w:rsidR="5061D91E">
        <w:t xml:space="preserve">vice, both in terms of making interest payments and settling any loan </w:t>
      </w:r>
      <w:r w:rsidR="7A1DF96C">
        <w:t xml:space="preserve">notes when they mature. In simple terms AML has been vulnerable to its loan financing due to </w:t>
      </w:r>
      <w:r w:rsidR="11AEBAD3">
        <w:t>high levels of interest-bearing debt together with unhedged exposure to adverse exc</w:t>
      </w:r>
      <w:r w:rsidR="5053A004">
        <w:t>hange rates on its USD denominated loan notes.</w:t>
      </w:r>
    </w:p>
    <w:p w14:paraId="1AA7160A" w14:textId="2EC4AA87" w:rsidR="254AD835" w:rsidRDefault="00F656FF" w:rsidP="3C041A8E">
      <w:pPr>
        <w:jc w:val="both"/>
      </w:pPr>
      <w:r w:rsidRPr="00F656FF">
        <w:rPr>
          <w:b/>
          <w:bCs/>
        </w:rPr>
        <w:t>Investment Ratios</w:t>
      </w:r>
      <w:r w:rsidR="002958C0">
        <w:rPr>
          <w:b/>
          <w:bCs/>
        </w:rPr>
        <w:t xml:space="preserve"> </w:t>
      </w:r>
      <w:sdt>
        <w:sdtPr>
          <w:rPr>
            <w:b/>
            <w:bCs/>
          </w:rPr>
          <w:id w:val="-77609005"/>
          <w:citation/>
        </w:sdtPr>
        <w:sdtContent>
          <w:r w:rsidR="002958C0">
            <w:rPr>
              <w:b/>
              <w:bCs/>
            </w:rPr>
            <w:fldChar w:fldCharType="begin"/>
          </w:r>
          <w:r w:rsidR="002958C0">
            <w:rPr>
              <w:b/>
              <w:bCs/>
            </w:rPr>
            <w:instrText xml:space="preserve"> CITATION Dat22 \l 2057 </w:instrText>
          </w:r>
          <w:r w:rsidR="002958C0">
            <w:rPr>
              <w:b/>
              <w:bCs/>
            </w:rPr>
            <w:fldChar w:fldCharType="separate"/>
          </w:r>
          <w:r w:rsidR="002958C0" w:rsidRPr="002958C0">
            <w:rPr>
              <w:noProof/>
            </w:rPr>
            <w:t>(Datarails, 2022)</w:t>
          </w:r>
          <w:r w:rsidR="002958C0">
            <w:rPr>
              <w:b/>
              <w:bCs/>
            </w:rPr>
            <w:fldChar w:fldCharType="end"/>
          </w:r>
        </w:sdtContent>
      </w:sdt>
      <w:r w:rsidR="002958C0" w:rsidRPr="002958C0">
        <w:t xml:space="preserve"> explains</w:t>
      </w:r>
      <w:r w:rsidR="254AD835">
        <w:t xml:space="preserve"> </w:t>
      </w:r>
      <w:r w:rsidR="002958C0">
        <w:t>the</w:t>
      </w:r>
      <w:r w:rsidR="254AD835">
        <w:t xml:space="preserve"> series of standard ratios, used by analysts, to help them assess the performance of a business and these </w:t>
      </w:r>
      <w:r w:rsidR="00A715D9">
        <w:t>are included</w:t>
      </w:r>
      <w:r w:rsidR="254AD835">
        <w:t xml:space="preserve"> in Appendix 1 to this report.</w:t>
      </w:r>
    </w:p>
    <w:p w14:paraId="4ABB70D0" w14:textId="37424704" w:rsidR="114D2111" w:rsidRDefault="5C6093BD" w:rsidP="114D2111">
      <w:pPr>
        <w:jc w:val="both"/>
        <w:rPr>
          <w:rFonts w:ascii="Calibri" w:eastAsia="Calibri" w:hAnsi="Calibri" w:cs="Calibri"/>
          <w:color w:val="000000" w:themeColor="text1"/>
        </w:rPr>
      </w:pPr>
      <w:r>
        <w:t xml:space="preserve"> </w:t>
      </w:r>
      <w:sdt>
        <w:sdtPr>
          <w:alias w:val="Citation"/>
          <w:tag w:val="{&quot;referencesIds&quot;:[&quot;doc:638b67af8f080049921a7572&quot;],&quot;referencesOptions&quot;:{&quot;doc:638b67af8f080049921a7572&quot;:{&quot;author&quot;:true,&quot;year&quot;:true,&quot;pageReplace&quot;:&quot;&quot;,&quot;prefix&quot;:&quot;&quot;,&quot;suffix&quot;:&quot;&quot;}},&quot;hasBrokenReferences&quot;:false,&quot;hasManualEdits&quot;:false,&quot;citationType&quot;:&quot;inline&quot;,&quot;id&quot;:1843826709,&quot;citationText&quot;:&quot;&lt;span style=\&quot;font-family:Calibri;font-size:14.666666666666666px;color:#000000\&quot;&gt;(Fields 2016)&lt;/span&gt;&quot;}"/>
          <w:id w:val="1121907509"/>
          <w:placeholder>
            <w:docPart w:val="DefaultPlaceholder_1081868574"/>
          </w:placeholder>
        </w:sdtPr>
        <w:sdtContent>
          <w:r w:rsidR="5EC524EC" w:rsidRPr="114D2111">
            <w:rPr>
              <w:rFonts w:ascii="Calibri" w:eastAsia="Calibri" w:hAnsi="Calibri" w:cs="Calibri"/>
              <w:color w:val="000000" w:themeColor="text1"/>
            </w:rPr>
            <w:t>(Fields 20</w:t>
          </w:r>
          <w:bookmarkStart w:id="11" w:name="_Int_rezBGoQt"/>
          <w:r w:rsidR="5EC524EC" w:rsidRPr="114D2111">
            <w:rPr>
              <w:rFonts w:ascii="Calibri" w:eastAsia="Calibri" w:hAnsi="Calibri" w:cs="Calibri"/>
              <w:color w:val="000000" w:themeColor="text1"/>
            </w:rPr>
            <w:t>16</w:t>
          </w:r>
          <w:bookmarkEnd w:id="11"/>
          <w:r w:rsidR="5EC524EC" w:rsidRPr="114D2111">
            <w:rPr>
              <w:rFonts w:ascii="Calibri" w:eastAsia="Calibri" w:hAnsi="Calibri" w:cs="Calibri"/>
              <w:color w:val="000000" w:themeColor="text1"/>
            </w:rPr>
            <w:t>)</w:t>
          </w:r>
        </w:sdtContent>
      </w:sdt>
      <w:r w:rsidR="0211AE04" w:rsidRPr="114D2111">
        <w:rPr>
          <w:rFonts w:ascii="Calibri" w:eastAsia="Calibri" w:hAnsi="Calibri" w:cs="Calibri"/>
          <w:color w:val="000000" w:themeColor="text1"/>
        </w:rPr>
        <w:t xml:space="preserve"> points out that ratios are helpful for detecting trends </w:t>
      </w:r>
      <w:r w:rsidR="5B68C35A" w:rsidRPr="114D2111">
        <w:rPr>
          <w:rFonts w:ascii="Calibri" w:eastAsia="Calibri" w:hAnsi="Calibri" w:cs="Calibri"/>
          <w:color w:val="000000" w:themeColor="text1"/>
        </w:rPr>
        <w:t xml:space="preserve">in a business </w:t>
      </w:r>
      <w:r w:rsidR="0211AE04" w:rsidRPr="114D2111">
        <w:rPr>
          <w:rFonts w:ascii="Calibri" w:eastAsia="Calibri" w:hAnsi="Calibri" w:cs="Calibri"/>
          <w:color w:val="000000" w:themeColor="text1"/>
        </w:rPr>
        <w:t>over time</w:t>
      </w:r>
      <w:r w:rsidR="434C56B0" w:rsidRPr="114D2111">
        <w:rPr>
          <w:rFonts w:ascii="Calibri" w:eastAsia="Calibri" w:hAnsi="Calibri" w:cs="Calibri"/>
          <w:color w:val="000000" w:themeColor="text1"/>
        </w:rPr>
        <w:t xml:space="preserve"> </w:t>
      </w:r>
      <w:r w:rsidR="514F5896" w:rsidRPr="114D2111">
        <w:rPr>
          <w:rFonts w:ascii="Calibri" w:eastAsia="Calibri" w:hAnsi="Calibri" w:cs="Calibri"/>
          <w:color w:val="000000" w:themeColor="text1"/>
        </w:rPr>
        <w:t>and for comparing its results with competing businesses</w:t>
      </w:r>
      <w:r w:rsidR="2F12C9B9" w:rsidRPr="114D2111">
        <w:rPr>
          <w:rFonts w:ascii="Calibri" w:eastAsia="Calibri" w:hAnsi="Calibri" w:cs="Calibri"/>
          <w:color w:val="000000" w:themeColor="text1"/>
        </w:rPr>
        <w:t>, together with setting targets or parameters</w:t>
      </w:r>
      <w:r w:rsidR="00A715D9">
        <w:rPr>
          <w:rFonts w:ascii="Calibri" w:eastAsia="Calibri" w:hAnsi="Calibri" w:cs="Calibri"/>
          <w:color w:val="000000" w:themeColor="text1"/>
        </w:rPr>
        <w:t>.</w:t>
      </w:r>
      <w:r w:rsidR="2F12C9B9" w:rsidRPr="114D2111">
        <w:rPr>
          <w:rFonts w:ascii="Calibri" w:eastAsia="Calibri" w:hAnsi="Calibri" w:cs="Calibri"/>
          <w:color w:val="000000" w:themeColor="text1"/>
        </w:rPr>
        <w:t xml:space="preserve"> </w:t>
      </w:r>
    </w:p>
    <w:p w14:paraId="20EE8235" w14:textId="77777777" w:rsidR="0005709B" w:rsidRDefault="0005709B" w:rsidP="114D2111">
      <w:pPr>
        <w:jc w:val="both"/>
        <w:rPr>
          <w:rFonts w:ascii="Calibri" w:eastAsia="Calibri" w:hAnsi="Calibri" w:cs="Calibri"/>
          <w:color w:val="000000" w:themeColor="text1"/>
        </w:rPr>
      </w:pPr>
    </w:p>
    <w:p w14:paraId="431F82D9" w14:textId="3E85C347" w:rsidR="6D6EA351" w:rsidRDefault="6D6EA351" w:rsidP="14A3A10E">
      <w:pPr>
        <w:jc w:val="center"/>
      </w:pPr>
      <w:r>
        <w:rPr>
          <w:noProof/>
        </w:rPr>
        <w:lastRenderedPageBreak/>
        <w:drawing>
          <wp:inline distT="0" distB="0" distL="0" distR="0" wp14:anchorId="2FB2F6E1" wp14:editId="31DD0A3B">
            <wp:extent cx="2478742" cy="3189803"/>
            <wp:effectExtent l="0" t="0" r="0" b="0"/>
            <wp:docPr id="1756617933" name="Picture 1756617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478742" cy="3189803"/>
                    </a:xfrm>
                    <a:prstGeom prst="rect">
                      <a:avLst/>
                    </a:prstGeom>
                  </pic:spPr>
                </pic:pic>
              </a:graphicData>
            </a:graphic>
          </wp:inline>
        </w:drawing>
      </w:r>
    </w:p>
    <w:p w14:paraId="004E73EC" w14:textId="6D2EEDB6" w:rsidR="4FC4DBAA" w:rsidRPr="0070693B" w:rsidRDefault="1C515BCB" w:rsidP="14A3A10E">
      <w:pPr>
        <w:jc w:val="center"/>
        <w:rPr>
          <w:b/>
          <w:bCs/>
          <w:sz w:val="16"/>
          <w:szCs w:val="16"/>
          <w:lang w:val="fr-FR"/>
        </w:rPr>
      </w:pPr>
      <w:r w:rsidRPr="0070693B">
        <w:rPr>
          <w:sz w:val="16"/>
          <w:szCs w:val="16"/>
          <w:lang w:val="fr-FR"/>
        </w:rPr>
        <w:t>Source</w:t>
      </w:r>
      <w:r w:rsidR="5B3DDC44" w:rsidRPr="0070693B">
        <w:rPr>
          <w:sz w:val="16"/>
          <w:szCs w:val="16"/>
          <w:lang w:val="fr-FR"/>
        </w:rPr>
        <w:t xml:space="preserve"> - </w:t>
      </w:r>
      <w:hyperlink r:id="rId14">
        <w:r w:rsidR="5B3DDC44" w:rsidRPr="0070693B">
          <w:rPr>
            <w:rStyle w:val="Hyperlink"/>
            <w:rFonts w:ascii="Calibri" w:eastAsia="Calibri" w:hAnsi="Calibri" w:cs="Calibri"/>
            <w:sz w:val="16"/>
            <w:szCs w:val="16"/>
            <w:lang w:val="fr-FR"/>
          </w:rPr>
          <w:t>https://corporatefinanceinstitute.com/resources/accounting/limitations-ratio-analysis/</w:t>
        </w:r>
      </w:hyperlink>
    </w:p>
    <w:p w14:paraId="051B89F6" w14:textId="5E4982E9" w:rsidR="1402E4C3" w:rsidRPr="0070693B" w:rsidRDefault="1402E4C3" w:rsidP="1402E4C3">
      <w:pPr>
        <w:jc w:val="center"/>
        <w:rPr>
          <w:rFonts w:ascii="Calibri" w:eastAsia="Calibri" w:hAnsi="Calibri" w:cs="Calibri"/>
          <w:sz w:val="16"/>
          <w:szCs w:val="16"/>
          <w:lang w:val="fr-FR"/>
        </w:rPr>
      </w:pPr>
    </w:p>
    <w:p w14:paraId="52D24A11" w14:textId="4EB11C86" w:rsidR="14A3A10E" w:rsidRDefault="3D7B6440" w:rsidP="114D2111">
      <w:pPr>
        <w:jc w:val="both"/>
        <w:rPr>
          <w:rFonts w:ascii="Calibri" w:eastAsia="Calibri" w:hAnsi="Calibri" w:cs="Calibri"/>
        </w:rPr>
      </w:pPr>
      <w:r w:rsidRPr="114D2111">
        <w:rPr>
          <w:rFonts w:ascii="Calibri" w:eastAsia="Calibri" w:hAnsi="Calibri" w:cs="Calibri"/>
        </w:rPr>
        <w:t>Ratios suffer from at least 6 types of weakness</w:t>
      </w:r>
      <w:sdt>
        <w:sdtPr>
          <w:rPr>
            <w:rFonts w:ascii="Calibri" w:eastAsia="Calibri" w:hAnsi="Calibri" w:cs="Calibri"/>
          </w:rPr>
          <w:id w:val="-1617054848"/>
          <w:citation/>
        </w:sdtPr>
        <w:sdtContent>
          <w:r w:rsidR="006876B4">
            <w:rPr>
              <w:rFonts w:ascii="Calibri" w:eastAsia="Calibri" w:hAnsi="Calibri" w:cs="Calibri"/>
            </w:rPr>
            <w:fldChar w:fldCharType="begin"/>
          </w:r>
          <w:r w:rsidR="006876B4">
            <w:rPr>
              <w:rFonts w:ascii="Calibri" w:eastAsia="Calibri" w:hAnsi="Calibri" w:cs="Calibri"/>
            </w:rPr>
            <w:instrText xml:space="preserve"> CITATION COR23 \l 2057 </w:instrText>
          </w:r>
          <w:r w:rsidR="006876B4">
            <w:rPr>
              <w:rFonts w:ascii="Calibri" w:eastAsia="Calibri" w:hAnsi="Calibri" w:cs="Calibri"/>
            </w:rPr>
            <w:fldChar w:fldCharType="separate"/>
          </w:r>
          <w:r w:rsidR="006876B4">
            <w:rPr>
              <w:rFonts w:ascii="Calibri" w:eastAsia="Calibri" w:hAnsi="Calibri" w:cs="Calibri"/>
              <w:noProof/>
            </w:rPr>
            <w:t xml:space="preserve"> </w:t>
          </w:r>
          <w:r w:rsidR="006876B4" w:rsidRPr="006876B4">
            <w:rPr>
              <w:rFonts w:ascii="Calibri" w:eastAsia="Calibri" w:hAnsi="Calibri" w:cs="Calibri"/>
              <w:noProof/>
            </w:rPr>
            <w:t>(CORPORATE FINANCE INSTITUTE, 2023)</w:t>
          </w:r>
          <w:r w:rsidR="006876B4">
            <w:rPr>
              <w:rFonts w:ascii="Calibri" w:eastAsia="Calibri" w:hAnsi="Calibri" w:cs="Calibri"/>
            </w:rPr>
            <w:fldChar w:fldCharType="end"/>
          </w:r>
        </w:sdtContent>
      </w:sdt>
      <w:r w:rsidRPr="114D2111">
        <w:rPr>
          <w:rFonts w:ascii="Calibri" w:eastAsia="Calibri" w:hAnsi="Calibri" w:cs="Calibri"/>
        </w:rPr>
        <w:t xml:space="preserve"> as illustrated abo</w:t>
      </w:r>
      <w:r w:rsidR="4B79609D" w:rsidRPr="114D2111">
        <w:rPr>
          <w:rFonts w:ascii="Calibri" w:eastAsia="Calibri" w:hAnsi="Calibri" w:cs="Calibri"/>
        </w:rPr>
        <w:t>ve because:</w:t>
      </w:r>
    </w:p>
    <w:p w14:paraId="7E36A280" w14:textId="6CFCA30E" w:rsidR="4B79609D" w:rsidRDefault="4B79609D" w:rsidP="114D2111">
      <w:pPr>
        <w:pStyle w:val="ListParagraph"/>
        <w:numPr>
          <w:ilvl w:val="0"/>
          <w:numId w:val="9"/>
        </w:numPr>
        <w:jc w:val="both"/>
        <w:rPr>
          <w:rFonts w:ascii="Calibri" w:eastAsia="Calibri" w:hAnsi="Calibri" w:cs="Calibri"/>
        </w:rPr>
      </w:pPr>
      <w:r w:rsidRPr="114D2111">
        <w:rPr>
          <w:rFonts w:ascii="Calibri" w:eastAsia="Calibri" w:hAnsi="Calibri" w:cs="Calibri"/>
        </w:rPr>
        <w:t>They are based upon historical information which can quickly become redundant in the light of new macroeconomic factors and changing business mode</w:t>
      </w:r>
      <w:r w:rsidR="403199DD" w:rsidRPr="114D2111">
        <w:rPr>
          <w:rFonts w:ascii="Calibri" w:eastAsia="Calibri" w:hAnsi="Calibri" w:cs="Calibri"/>
        </w:rPr>
        <w:t>ls</w:t>
      </w:r>
    </w:p>
    <w:p w14:paraId="4D0B31B2" w14:textId="10D13275" w:rsidR="403199DD" w:rsidRDefault="403199DD" w:rsidP="114D2111">
      <w:pPr>
        <w:pStyle w:val="ListParagraph"/>
        <w:numPr>
          <w:ilvl w:val="0"/>
          <w:numId w:val="9"/>
        </w:numPr>
        <w:jc w:val="both"/>
        <w:rPr>
          <w:rFonts w:ascii="Calibri" w:eastAsia="Calibri" w:hAnsi="Calibri" w:cs="Calibri"/>
        </w:rPr>
      </w:pPr>
      <w:r w:rsidRPr="114D2111">
        <w:rPr>
          <w:rFonts w:ascii="Calibri" w:eastAsia="Calibri" w:hAnsi="Calibri" w:cs="Calibri"/>
        </w:rPr>
        <w:t>These external factors might include inflation, bank base rates, foreign exchange rate fluctuations</w:t>
      </w:r>
      <w:r w:rsidR="54962C9E" w:rsidRPr="114D2111">
        <w:rPr>
          <w:rFonts w:ascii="Calibri" w:eastAsia="Calibri" w:hAnsi="Calibri" w:cs="Calibri"/>
        </w:rPr>
        <w:t xml:space="preserve">, global pandemics, and in the case of UK based </w:t>
      </w:r>
      <w:r w:rsidR="09A84CC7" w:rsidRPr="114D2111">
        <w:rPr>
          <w:rFonts w:ascii="Calibri" w:eastAsia="Calibri" w:hAnsi="Calibri" w:cs="Calibri"/>
        </w:rPr>
        <w:t>businesses, the impact of BREXIT</w:t>
      </w:r>
    </w:p>
    <w:p w14:paraId="3905B672" w14:textId="4FA3DA8A" w:rsidR="7193593E" w:rsidRDefault="7193593E" w:rsidP="114D2111">
      <w:pPr>
        <w:pStyle w:val="ListParagraph"/>
        <w:numPr>
          <w:ilvl w:val="0"/>
          <w:numId w:val="9"/>
        </w:numPr>
        <w:jc w:val="both"/>
        <w:rPr>
          <w:rFonts w:ascii="Calibri" w:eastAsia="Calibri" w:hAnsi="Calibri" w:cs="Calibri"/>
        </w:rPr>
      </w:pPr>
      <w:r w:rsidRPr="114D2111">
        <w:rPr>
          <w:rFonts w:ascii="Calibri" w:eastAsia="Calibri" w:hAnsi="Calibri" w:cs="Calibri"/>
        </w:rPr>
        <w:t>Changes in accounting policies can scupper a quick comparison of one period to another and will require a deeper dive in</w:t>
      </w:r>
      <w:r w:rsidR="5A0297D8" w:rsidRPr="114D2111">
        <w:rPr>
          <w:rFonts w:ascii="Calibri" w:eastAsia="Calibri" w:hAnsi="Calibri" w:cs="Calibri"/>
        </w:rPr>
        <w:t xml:space="preserve">to the notes that </w:t>
      </w:r>
      <w:bookmarkStart w:id="12" w:name="_Int_p6Jj6gyl"/>
      <w:r w:rsidR="5A0297D8" w:rsidRPr="114D2111">
        <w:rPr>
          <w:rFonts w:ascii="Calibri" w:eastAsia="Calibri" w:hAnsi="Calibri" w:cs="Calibri"/>
        </w:rPr>
        <w:t>accompany</w:t>
      </w:r>
      <w:bookmarkEnd w:id="12"/>
      <w:r w:rsidR="5A0297D8" w:rsidRPr="114D2111">
        <w:rPr>
          <w:rFonts w:ascii="Calibri" w:eastAsia="Calibri" w:hAnsi="Calibri" w:cs="Calibri"/>
        </w:rPr>
        <w:t xml:space="preserve"> the financial statements</w:t>
      </w:r>
    </w:p>
    <w:p w14:paraId="0624030C" w14:textId="737FDC31" w:rsidR="5A0297D8" w:rsidRDefault="55069F25" w:rsidP="114D2111">
      <w:pPr>
        <w:pStyle w:val="ListParagraph"/>
        <w:numPr>
          <w:ilvl w:val="0"/>
          <w:numId w:val="9"/>
        </w:numPr>
        <w:jc w:val="both"/>
        <w:rPr>
          <w:rFonts w:ascii="Calibri" w:eastAsia="Calibri" w:hAnsi="Calibri" w:cs="Calibri"/>
        </w:rPr>
      </w:pPr>
      <w:r w:rsidRPr="114D2111">
        <w:rPr>
          <w:rFonts w:ascii="Calibri" w:eastAsia="Calibri" w:hAnsi="Calibri" w:cs="Calibri"/>
        </w:rPr>
        <w:t xml:space="preserve">Operational changes may include a change in manufacturing processes linked to efficiency gains and might relate to </w:t>
      </w:r>
      <w:r w:rsidR="12B311A6" w:rsidRPr="114D2111">
        <w:rPr>
          <w:rFonts w:ascii="Calibri" w:eastAsia="Calibri" w:hAnsi="Calibri" w:cs="Calibri"/>
        </w:rPr>
        <w:t>several</w:t>
      </w:r>
      <w:r w:rsidRPr="114D2111">
        <w:rPr>
          <w:rFonts w:ascii="Calibri" w:eastAsia="Calibri" w:hAnsi="Calibri" w:cs="Calibri"/>
        </w:rPr>
        <w:t xml:space="preserve"> Ind</w:t>
      </w:r>
      <w:r w:rsidR="211F9115" w:rsidRPr="114D2111">
        <w:rPr>
          <w:rFonts w:ascii="Calibri" w:eastAsia="Calibri" w:hAnsi="Calibri" w:cs="Calibri"/>
        </w:rPr>
        <w:t xml:space="preserve">ustry 4.0 technologies such as </w:t>
      </w:r>
      <w:r w:rsidR="0526FCB9" w:rsidRPr="114D2111">
        <w:rPr>
          <w:rFonts w:ascii="Calibri" w:eastAsia="Calibri" w:hAnsi="Calibri" w:cs="Calibri"/>
        </w:rPr>
        <w:t>robotics</w:t>
      </w:r>
      <w:r w:rsidR="211F9115" w:rsidRPr="114D2111">
        <w:rPr>
          <w:rFonts w:ascii="Calibri" w:eastAsia="Calibri" w:hAnsi="Calibri" w:cs="Calibri"/>
        </w:rPr>
        <w:t>, artificial intelligence, machine learning, addit</w:t>
      </w:r>
      <w:r w:rsidR="1E48F853" w:rsidRPr="114D2111">
        <w:rPr>
          <w:rFonts w:ascii="Calibri" w:eastAsia="Calibri" w:hAnsi="Calibri" w:cs="Calibri"/>
        </w:rPr>
        <w:t>i</w:t>
      </w:r>
      <w:r w:rsidR="211F9115" w:rsidRPr="114D2111">
        <w:rPr>
          <w:rFonts w:ascii="Calibri" w:eastAsia="Calibri" w:hAnsi="Calibri" w:cs="Calibri"/>
        </w:rPr>
        <w:t xml:space="preserve">ve </w:t>
      </w:r>
      <w:r w:rsidR="1EA79878" w:rsidRPr="114D2111">
        <w:rPr>
          <w:rFonts w:ascii="Calibri" w:eastAsia="Calibri" w:hAnsi="Calibri" w:cs="Calibri"/>
        </w:rPr>
        <w:t>manufacturing,</w:t>
      </w:r>
      <w:r w:rsidR="18FA1375" w:rsidRPr="114D2111">
        <w:rPr>
          <w:rFonts w:ascii="Calibri" w:eastAsia="Calibri" w:hAnsi="Calibri" w:cs="Calibri"/>
        </w:rPr>
        <w:t xml:space="preserve"> </w:t>
      </w:r>
      <w:r w:rsidR="70CB2F03" w:rsidRPr="114D2111">
        <w:rPr>
          <w:rFonts w:ascii="Calibri" w:eastAsia="Calibri" w:hAnsi="Calibri" w:cs="Calibri"/>
        </w:rPr>
        <w:t>and others</w:t>
      </w:r>
    </w:p>
    <w:p w14:paraId="296F99D2" w14:textId="3FDD7D40" w:rsidR="60246394" w:rsidRDefault="60246394" w:rsidP="114D2111">
      <w:pPr>
        <w:pStyle w:val="ListParagraph"/>
        <w:numPr>
          <w:ilvl w:val="0"/>
          <w:numId w:val="9"/>
        </w:numPr>
        <w:jc w:val="both"/>
        <w:rPr>
          <w:rFonts w:ascii="Calibri" w:eastAsia="Calibri" w:hAnsi="Calibri" w:cs="Calibri"/>
        </w:rPr>
      </w:pPr>
      <w:r w:rsidRPr="114D2111">
        <w:rPr>
          <w:rFonts w:ascii="Calibri" w:eastAsia="Calibri" w:hAnsi="Calibri" w:cs="Calibri"/>
        </w:rPr>
        <w:t>Seasonal businesses may have completely different ratios depending on the time of year in which they are</w:t>
      </w:r>
      <w:r w:rsidR="38DF1169" w:rsidRPr="114D2111">
        <w:rPr>
          <w:rFonts w:ascii="Calibri" w:eastAsia="Calibri" w:hAnsi="Calibri" w:cs="Calibri"/>
        </w:rPr>
        <w:t xml:space="preserve"> most active</w:t>
      </w:r>
    </w:p>
    <w:p w14:paraId="696B5A8D" w14:textId="2E3DEE19" w:rsidR="38DF1169" w:rsidRDefault="1BB03061" w:rsidP="114D2111">
      <w:pPr>
        <w:pStyle w:val="ListParagraph"/>
        <w:numPr>
          <w:ilvl w:val="0"/>
          <w:numId w:val="9"/>
        </w:numPr>
        <w:jc w:val="both"/>
        <w:rPr>
          <w:rFonts w:ascii="Calibri" w:eastAsia="Calibri" w:hAnsi="Calibri" w:cs="Calibri"/>
        </w:rPr>
      </w:pPr>
      <w:r w:rsidRPr="114D2111">
        <w:rPr>
          <w:rFonts w:ascii="Calibri" w:eastAsia="Calibri" w:hAnsi="Calibri" w:cs="Calibri"/>
        </w:rPr>
        <w:t xml:space="preserve">The term ‘manipulation of financial statements’ sounds </w:t>
      </w:r>
      <w:r w:rsidR="71FE7B6A" w:rsidRPr="114D2111">
        <w:rPr>
          <w:rFonts w:ascii="Calibri" w:eastAsia="Calibri" w:hAnsi="Calibri" w:cs="Calibri"/>
        </w:rPr>
        <w:t>sinister;</w:t>
      </w:r>
      <w:r w:rsidRPr="114D2111">
        <w:rPr>
          <w:rFonts w:ascii="Calibri" w:eastAsia="Calibri" w:hAnsi="Calibri" w:cs="Calibri"/>
        </w:rPr>
        <w:t xml:space="preserve"> </w:t>
      </w:r>
      <w:r w:rsidR="08A7D6E4" w:rsidRPr="114D2111">
        <w:rPr>
          <w:rFonts w:ascii="Calibri" w:eastAsia="Calibri" w:hAnsi="Calibri" w:cs="Calibri"/>
        </w:rPr>
        <w:t>however,</w:t>
      </w:r>
      <w:r w:rsidRPr="114D2111">
        <w:rPr>
          <w:rFonts w:ascii="Calibri" w:eastAsia="Calibri" w:hAnsi="Calibri" w:cs="Calibri"/>
        </w:rPr>
        <w:t xml:space="preserve"> </w:t>
      </w:r>
      <w:r w:rsidR="04FF621A" w:rsidRPr="114D2111">
        <w:rPr>
          <w:rFonts w:ascii="Calibri" w:eastAsia="Calibri" w:hAnsi="Calibri" w:cs="Calibri"/>
        </w:rPr>
        <w:t xml:space="preserve">numbers can be made to look a little more palatable, </w:t>
      </w:r>
      <w:r w:rsidR="4102FF2E" w:rsidRPr="114D2111">
        <w:rPr>
          <w:rFonts w:ascii="Calibri" w:eastAsia="Calibri" w:hAnsi="Calibri" w:cs="Calibri"/>
        </w:rPr>
        <w:t xml:space="preserve">just </w:t>
      </w:r>
      <w:r w:rsidR="04FF621A" w:rsidRPr="114D2111">
        <w:rPr>
          <w:rFonts w:ascii="Calibri" w:eastAsia="Calibri" w:hAnsi="Calibri" w:cs="Calibri"/>
        </w:rPr>
        <w:t xml:space="preserve">by carefully applying </w:t>
      </w:r>
      <w:r w:rsidR="783E961D" w:rsidRPr="114D2111">
        <w:rPr>
          <w:rFonts w:ascii="Calibri" w:eastAsia="Calibri" w:hAnsi="Calibri" w:cs="Calibri"/>
        </w:rPr>
        <w:t xml:space="preserve">different </w:t>
      </w:r>
      <w:r w:rsidR="04FF621A" w:rsidRPr="114D2111">
        <w:rPr>
          <w:rFonts w:ascii="Calibri" w:eastAsia="Calibri" w:hAnsi="Calibri" w:cs="Calibri"/>
        </w:rPr>
        <w:t>accounting policies</w:t>
      </w:r>
      <w:r w:rsidR="5DD39E3C" w:rsidRPr="114D2111">
        <w:rPr>
          <w:rFonts w:ascii="Calibri" w:eastAsia="Calibri" w:hAnsi="Calibri" w:cs="Calibri"/>
        </w:rPr>
        <w:t>, the impact of</w:t>
      </w:r>
      <w:r w:rsidR="04FF621A" w:rsidRPr="114D2111">
        <w:rPr>
          <w:rFonts w:ascii="Calibri" w:eastAsia="Calibri" w:hAnsi="Calibri" w:cs="Calibri"/>
        </w:rPr>
        <w:t xml:space="preserve"> which may not be easi</w:t>
      </w:r>
      <w:r w:rsidR="09B90F4F" w:rsidRPr="114D2111">
        <w:rPr>
          <w:rFonts w:ascii="Calibri" w:eastAsia="Calibri" w:hAnsi="Calibri" w:cs="Calibri"/>
        </w:rPr>
        <w:t xml:space="preserve">ly </w:t>
      </w:r>
      <w:bookmarkStart w:id="13" w:name="_Int_hkp3ZgBP"/>
      <w:r w:rsidR="568D3D10" w:rsidRPr="114D2111">
        <w:rPr>
          <w:rFonts w:ascii="Calibri" w:eastAsia="Calibri" w:hAnsi="Calibri" w:cs="Calibri"/>
        </w:rPr>
        <w:t>identified</w:t>
      </w:r>
      <w:bookmarkEnd w:id="13"/>
      <w:r w:rsidR="6D3C624F" w:rsidRPr="114D2111">
        <w:rPr>
          <w:rFonts w:ascii="Calibri" w:eastAsia="Calibri" w:hAnsi="Calibri" w:cs="Calibri"/>
        </w:rPr>
        <w:t xml:space="preserve"> to the untrained eye</w:t>
      </w:r>
    </w:p>
    <w:p w14:paraId="1E90B0FE" w14:textId="0135036F" w:rsidR="09A84CC7" w:rsidRDefault="7253697F" w:rsidP="114D2111">
      <w:pPr>
        <w:jc w:val="both"/>
        <w:rPr>
          <w:rFonts w:ascii="Calibri" w:eastAsia="Calibri" w:hAnsi="Calibri" w:cs="Calibri"/>
          <w:u w:val="single"/>
        </w:rPr>
      </w:pPr>
      <w:r w:rsidRPr="00C57EEE">
        <w:rPr>
          <w:rFonts w:ascii="Calibri" w:eastAsia="Calibri" w:hAnsi="Calibri" w:cs="Calibri"/>
          <w:highlight w:val="yellow"/>
          <w:u w:val="single"/>
        </w:rPr>
        <w:t xml:space="preserve">Our analysis of AML’s performance includes the year ended 31 December 2020 which hit the jackpot in terms of </w:t>
      </w:r>
      <w:r w:rsidR="4A5A4276" w:rsidRPr="00C57EEE">
        <w:rPr>
          <w:rFonts w:ascii="Calibri" w:eastAsia="Calibri" w:hAnsi="Calibri" w:cs="Calibri"/>
          <w:highlight w:val="yellow"/>
          <w:u w:val="single"/>
        </w:rPr>
        <w:t>unforeseen externalities!</w:t>
      </w:r>
    </w:p>
    <w:p w14:paraId="4B902BA1" w14:textId="6EF2B080" w:rsidR="7689CB70" w:rsidRDefault="7689CB70" w:rsidP="114D2111">
      <w:pPr>
        <w:jc w:val="both"/>
        <w:rPr>
          <w:rFonts w:ascii="Calibri" w:eastAsia="Calibri" w:hAnsi="Calibri" w:cs="Calibri"/>
        </w:rPr>
      </w:pPr>
      <w:r w:rsidRPr="114D2111">
        <w:rPr>
          <w:rFonts w:ascii="Calibri" w:eastAsia="Calibri" w:hAnsi="Calibri" w:cs="Calibri"/>
        </w:rPr>
        <w:t xml:space="preserve">Some </w:t>
      </w:r>
      <w:r w:rsidR="0BEF9218" w:rsidRPr="114D2111">
        <w:rPr>
          <w:rFonts w:ascii="Calibri" w:eastAsia="Calibri" w:hAnsi="Calibri" w:cs="Calibri"/>
        </w:rPr>
        <w:t xml:space="preserve">other </w:t>
      </w:r>
      <w:r w:rsidRPr="114D2111">
        <w:rPr>
          <w:rFonts w:ascii="Calibri" w:eastAsia="Calibri" w:hAnsi="Calibri" w:cs="Calibri"/>
        </w:rPr>
        <w:t>examples of areas of uncertainty include the following questions:</w:t>
      </w:r>
    </w:p>
    <w:p w14:paraId="40CC69A7" w14:textId="56C4D41D" w:rsidR="4FC4DBAA" w:rsidRDefault="507D7B22" w:rsidP="3C041A8E">
      <w:pPr>
        <w:pStyle w:val="ListParagraph"/>
        <w:numPr>
          <w:ilvl w:val="0"/>
          <w:numId w:val="11"/>
        </w:numPr>
        <w:jc w:val="both"/>
        <w:rPr>
          <w:rFonts w:ascii="Calibri" w:eastAsia="Calibri" w:hAnsi="Calibri" w:cs="Calibri"/>
        </w:rPr>
      </w:pPr>
      <w:r w:rsidRPr="40EF858B">
        <w:rPr>
          <w:rFonts w:ascii="Calibri" w:eastAsia="Calibri" w:hAnsi="Calibri" w:cs="Calibri"/>
        </w:rPr>
        <w:t>What accounts are included in</w:t>
      </w:r>
      <w:r w:rsidR="6B4204B0" w:rsidRPr="40EF858B">
        <w:rPr>
          <w:rFonts w:ascii="Calibri" w:eastAsia="Calibri" w:hAnsi="Calibri" w:cs="Calibri"/>
        </w:rPr>
        <w:t xml:space="preserve"> (or excluded from)</w:t>
      </w:r>
      <w:r w:rsidRPr="40EF858B">
        <w:rPr>
          <w:rFonts w:ascii="Calibri" w:eastAsia="Calibri" w:hAnsi="Calibri" w:cs="Calibri"/>
        </w:rPr>
        <w:t xml:space="preserve"> Cost of Sales? </w:t>
      </w:r>
    </w:p>
    <w:p w14:paraId="1CFF46F8" w14:textId="1CCF2B08" w:rsidR="4FC4DBAA" w:rsidRDefault="507D7B22" w:rsidP="3C041A8E">
      <w:pPr>
        <w:pStyle w:val="ListParagraph"/>
        <w:numPr>
          <w:ilvl w:val="0"/>
          <w:numId w:val="11"/>
        </w:numPr>
        <w:jc w:val="both"/>
        <w:rPr>
          <w:rFonts w:ascii="Calibri" w:eastAsia="Calibri" w:hAnsi="Calibri" w:cs="Calibri"/>
        </w:rPr>
      </w:pPr>
      <w:r w:rsidRPr="3C041A8E">
        <w:rPr>
          <w:rFonts w:ascii="Calibri" w:eastAsia="Calibri" w:hAnsi="Calibri" w:cs="Calibri"/>
        </w:rPr>
        <w:t xml:space="preserve">How is depreciation accounted for in the income statement? </w:t>
      </w:r>
    </w:p>
    <w:p w14:paraId="10F21F21" w14:textId="4AD21D87" w:rsidR="0E5F69BA" w:rsidRDefault="5B3DDC44" w:rsidP="26E4B921">
      <w:pPr>
        <w:pStyle w:val="ListParagraph"/>
        <w:numPr>
          <w:ilvl w:val="0"/>
          <w:numId w:val="11"/>
        </w:numPr>
        <w:jc w:val="both"/>
        <w:rPr>
          <w:rFonts w:ascii="Calibri" w:eastAsia="Calibri" w:hAnsi="Calibri" w:cs="Calibri"/>
        </w:rPr>
      </w:pPr>
      <w:r w:rsidRPr="26E4B921">
        <w:rPr>
          <w:rFonts w:ascii="Calibri" w:eastAsia="Calibri" w:hAnsi="Calibri" w:cs="Calibri"/>
        </w:rPr>
        <w:t xml:space="preserve">How is the capitalisation of Research &amp; Development costs reflected in the income statement? </w:t>
      </w:r>
    </w:p>
    <w:p w14:paraId="0B3B958F" w14:textId="6618FCA0" w:rsidR="0E5F69BA" w:rsidRDefault="0E5F69BA" w:rsidP="0E5F69BA">
      <w:pPr>
        <w:jc w:val="both"/>
      </w:pPr>
    </w:p>
    <w:p w14:paraId="2C83B1E1" w14:textId="77777777" w:rsidR="0005709B" w:rsidRDefault="0005709B" w:rsidP="114D2111">
      <w:pPr>
        <w:jc w:val="both"/>
        <w:rPr>
          <w:b/>
          <w:bCs/>
        </w:rPr>
      </w:pPr>
    </w:p>
    <w:p w14:paraId="6D8E8D4B" w14:textId="4C842259" w:rsidR="4B788B88" w:rsidRDefault="009D245D" w:rsidP="114D2111">
      <w:pPr>
        <w:jc w:val="both"/>
        <w:rPr>
          <w:b/>
          <w:bCs/>
        </w:rPr>
      </w:pPr>
      <w:r>
        <w:rPr>
          <w:b/>
          <w:bCs/>
        </w:rPr>
        <w:t>3</w:t>
      </w:r>
      <w:r w:rsidR="2BEC75AD" w:rsidRPr="114D2111">
        <w:rPr>
          <w:b/>
          <w:bCs/>
        </w:rPr>
        <w:t xml:space="preserve">. </w:t>
      </w:r>
      <w:bookmarkStart w:id="14" w:name="_Hlk125310393"/>
      <w:r w:rsidR="277BE23A" w:rsidRPr="114D2111">
        <w:rPr>
          <w:b/>
          <w:bCs/>
        </w:rPr>
        <w:t>The formulae and calculation</w:t>
      </w:r>
      <w:r w:rsidR="197DE5DD" w:rsidRPr="114D2111">
        <w:rPr>
          <w:b/>
          <w:bCs/>
        </w:rPr>
        <w:t>s</w:t>
      </w:r>
      <w:r w:rsidR="277BE23A" w:rsidRPr="114D2111">
        <w:rPr>
          <w:b/>
          <w:bCs/>
        </w:rPr>
        <w:t xml:space="preserve"> </w:t>
      </w:r>
      <w:r w:rsidR="01DB0602" w:rsidRPr="114D2111">
        <w:rPr>
          <w:b/>
          <w:bCs/>
        </w:rPr>
        <w:t>of</w:t>
      </w:r>
      <w:r w:rsidR="277BE23A" w:rsidRPr="114D2111">
        <w:rPr>
          <w:b/>
          <w:bCs/>
        </w:rPr>
        <w:t xml:space="preserve"> the </w:t>
      </w:r>
      <w:r w:rsidR="6EF27129" w:rsidRPr="114D2111">
        <w:rPr>
          <w:b/>
          <w:bCs/>
        </w:rPr>
        <w:t xml:space="preserve">main </w:t>
      </w:r>
      <w:r w:rsidR="2BBF4273" w:rsidRPr="114D2111">
        <w:rPr>
          <w:b/>
          <w:bCs/>
        </w:rPr>
        <w:t>AM</w:t>
      </w:r>
      <w:r w:rsidR="4FEBC7D1" w:rsidRPr="114D2111">
        <w:rPr>
          <w:b/>
          <w:bCs/>
        </w:rPr>
        <w:t>L</w:t>
      </w:r>
      <w:r w:rsidR="2BBF4273" w:rsidRPr="114D2111">
        <w:rPr>
          <w:b/>
          <w:bCs/>
        </w:rPr>
        <w:t xml:space="preserve"> </w:t>
      </w:r>
      <w:r w:rsidR="277BE23A" w:rsidRPr="114D2111">
        <w:rPr>
          <w:b/>
          <w:bCs/>
        </w:rPr>
        <w:t>financial ratios for 2021, 2020 and 2019</w:t>
      </w:r>
      <w:bookmarkEnd w:id="14"/>
      <w:r w:rsidR="277BE23A" w:rsidRPr="114D2111">
        <w:rPr>
          <w:b/>
          <w:bCs/>
        </w:rPr>
        <w:t xml:space="preserve"> are shown in Appendix </w:t>
      </w:r>
      <w:r w:rsidR="07E2872C" w:rsidRPr="114D2111">
        <w:rPr>
          <w:b/>
          <w:bCs/>
        </w:rPr>
        <w:t>1</w:t>
      </w:r>
      <w:r w:rsidR="530085E9" w:rsidRPr="114D2111">
        <w:rPr>
          <w:b/>
          <w:bCs/>
        </w:rPr>
        <w:t xml:space="preserve"> and </w:t>
      </w:r>
      <w:r w:rsidR="1959D4C6" w:rsidRPr="114D2111">
        <w:rPr>
          <w:b/>
          <w:bCs/>
        </w:rPr>
        <w:t xml:space="preserve">observations </w:t>
      </w:r>
      <w:r w:rsidR="530085E9" w:rsidRPr="114D2111">
        <w:rPr>
          <w:b/>
          <w:bCs/>
        </w:rPr>
        <w:t>summarised in the following table:</w:t>
      </w:r>
    </w:p>
    <w:tbl>
      <w:tblPr>
        <w:tblStyle w:val="TableGrid"/>
        <w:tblW w:w="0" w:type="auto"/>
        <w:tblLayout w:type="fixed"/>
        <w:tblLook w:val="06A0" w:firstRow="1" w:lastRow="0" w:firstColumn="1" w:lastColumn="0" w:noHBand="1" w:noVBand="1"/>
      </w:tblPr>
      <w:tblGrid>
        <w:gridCol w:w="2503"/>
        <w:gridCol w:w="237"/>
        <w:gridCol w:w="4333"/>
        <w:gridCol w:w="647"/>
        <w:gridCol w:w="647"/>
        <w:gridCol w:w="647"/>
      </w:tblGrid>
      <w:tr w:rsidR="3C041A8E" w14:paraId="0A37FF69" w14:textId="77777777" w:rsidTr="114D2111">
        <w:trPr>
          <w:trHeight w:val="300"/>
        </w:trPr>
        <w:tc>
          <w:tcPr>
            <w:tcW w:w="2503" w:type="dxa"/>
            <w:tcBorders>
              <w:top w:val="nil"/>
              <w:left w:val="nil"/>
              <w:bottom w:val="nil"/>
              <w:right w:val="nil"/>
            </w:tcBorders>
            <w:tcMar>
              <w:top w:w="15" w:type="dxa"/>
              <w:left w:w="15" w:type="dxa"/>
              <w:right w:w="15" w:type="dxa"/>
            </w:tcMar>
            <w:vAlign w:val="bottom"/>
          </w:tcPr>
          <w:p w14:paraId="7CAA71C6" w14:textId="02C9F3ED" w:rsidR="3C041A8E" w:rsidRDefault="3C041A8E">
            <w:r w:rsidRPr="3C041A8E">
              <w:rPr>
                <w:rFonts w:ascii="Calibri" w:eastAsia="Calibri" w:hAnsi="Calibri" w:cs="Calibri"/>
                <w:color w:val="000000" w:themeColor="text1"/>
                <w:sz w:val="16"/>
                <w:szCs w:val="16"/>
              </w:rPr>
              <w:t>Ratio</w:t>
            </w:r>
          </w:p>
        </w:tc>
        <w:tc>
          <w:tcPr>
            <w:tcW w:w="237" w:type="dxa"/>
            <w:tcBorders>
              <w:top w:val="nil"/>
              <w:left w:val="nil"/>
              <w:bottom w:val="nil"/>
              <w:right w:val="nil"/>
            </w:tcBorders>
            <w:tcMar>
              <w:top w:w="15" w:type="dxa"/>
              <w:left w:w="15" w:type="dxa"/>
              <w:right w:w="15" w:type="dxa"/>
            </w:tcMar>
            <w:vAlign w:val="bottom"/>
          </w:tcPr>
          <w:p w14:paraId="64B774A6" w14:textId="2FC44E8D" w:rsidR="3C041A8E" w:rsidRDefault="3C041A8E" w:rsidP="3C041A8E">
            <w:pPr>
              <w:jc w:val="center"/>
            </w:pPr>
            <w:r w:rsidRPr="3C041A8E">
              <w:rPr>
                <w:rFonts w:ascii="Calibri" w:eastAsia="Calibri" w:hAnsi="Calibri" w:cs="Calibri"/>
                <w:color w:val="000000" w:themeColor="text1"/>
                <w:sz w:val="16"/>
                <w:szCs w:val="16"/>
                <w:u w:val="single"/>
              </w:rPr>
              <w:t>#</w:t>
            </w:r>
          </w:p>
        </w:tc>
        <w:tc>
          <w:tcPr>
            <w:tcW w:w="4333" w:type="dxa"/>
            <w:tcBorders>
              <w:top w:val="nil"/>
              <w:left w:val="nil"/>
              <w:bottom w:val="nil"/>
              <w:right w:val="nil"/>
            </w:tcBorders>
            <w:tcMar>
              <w:top w:w="15" w:type="dxa"/>
              <w:left w:w="15" w:type="dxa"/>
              <w:right w:w="15" w:type="dxa"/>
            </w:tcMar>
            <w:vAlign w:val="bottom"/>
          </w:tcPr>
          <w:p w14:paraId="4D39E83B" w14:textId="7DC2FEF0" w:rsidR="3C041A8E" w:rsidRDefault="3C041A8E" w:rsidP="3C041A8E">
            <w:pPr>
              <w:jc w:val="center"/>
            </w:pPr>
            <w:r w:rsidRPr="3C041A8E">
              <w:rPr>
                <w:rFonts w:ascii="Calibri" w:eastAsia="Calibri" w:hAnsi="Calibri" w:cs="Calibri"/>
                <w:color w:val="000000" w:themeColor="text1"/>
                <w:sz w:val="16"/>
                <w:szCs w:val="16"/>
                <w:u w:val="single"/>
              </w:rPr>
              <w:t>Initial Observations for further consideration</w:t>
            </w:r>
          </w:p>
        </w:tc>
        <w:tc>
          <w:tcPr>
            <w:tcW w:w="647" w:type="dxa"/>
            <w:tcBorders>
              <w:top w:val="nil"/>
              <w:left w:val="nil"/>
              <w:bottom w:val="nil"/>
              <w:right w:val="nil"/>
            </w:tcBorders>
            <w:tcMar>
              <w:top w:w="15" w:type="dxa"/>
              <w:left w:w="15" w:type="dxa"/>
              <w:right w:w="15" w:type="dxa"/>
            </w:tcMar>
            <w:vAlign w:val="bottom"/>
          </w:tcPr>
          <w:p w14:paraId="59EF2F8B" w14:textId="03F0F90E" w:rsidR="3C041A8E" w:rsidRDefault="3C041A8E" w:rsidP="3C041A8E">
            <w:pPr>
              <w:jc w:val="center"/>
            </w:pPr>
            <w:r w:rsidRPr="3C041A8E">
              <w:rPr>
                <w:rFonts w:ascii="Calibri" w:eastAsia="Calibri" w:hAnsi="Calibri" w:cs="Calibri"/>
                <w:color w:val="000000" w:themeColor="text1"/>
                <w:sz w:val="16"/>
                <w:szCs w:val="16"/>
                <w:u w:val="single"/>
              </w:rPr>
              <w:t>2021</w:t>
            </w:r>
          </w:p>
        </w:tc>
        <w:tc>
          <w:tcPr>
            <w:tcW w:w="647" w:type="dxa"/>
            <w:tcBorders>
              <w:top w:val="nil"/>
              <w:left w:val="nil"/>
              <w:bottom w:val="nil"/>
              <w:right w:val="nil"/>
            </w:tcBorders>
            <w:tcMar>
              <w:top w:w="15" w:type="dxa"/>
              <w:left w:w="15" w:type="dxa"/>
              <w:right w:w="15" w:type="dxa"/>
            </w:tcMar>
            <w:vAlign w:val="bottom"/>
          </w:tcPr>
          <w:p w14:paraId="2DB87425" w14:textId="4C70B301" w:rsidR="3C041A8E" w:rsidRDefault="3C041A8E" w:rsidP="3C041A8E">
            <w:pPr>
              <w:jc w:val="center"/>
            </w:pPr>
            <w:r w:rsidRPr="3C041A8E">
              <w:rPr>
                <w:rFonts w:ascii="Calibri" w:eastAsia="Calibri" w:hAnsi="Calibri" w:cs="Calibri"/>
                <w:color w:val="000000" w:themeColor="text1"/>
                <w:sz w:val="16"/>
                <w:szCs w:val="16"/>
                <w:u w:val="single"/>
              </w:rPr>
              <w:t>2020</w:t>
            </w:r>
          </w:p>
        </w:tc>
        <w:tc>
          <w:tcPr>
            <w:tcW w:w="647" w:type="dxa"/>
            <w:tcBorders>
              <w:top w:val="nil"/>
              <w:left w:val="nil"/>
              <w:bottom w:val="nil"/>
              <w:right w:val="nil"/>
            </w:tcBorders>
            <w:tcMar>
              <w:top w:w="15" w:type="dxa"/>
              <w:left w:w="15" w:type="dxa"/>
              <w:right w:w="15" w:type="dxa"/>
            </w:tcMar>
            <w:vAlign w:val="bottom"/>
          </w:tcPr>
          <w:p w14:paraId="28338A73" w14:textId="7344E81F" w:rsidR="3C041A8E" w:rsidRDefault="3C041A8E" w:rsidP="3C041A8E">
            <w:pPr>
              <w:jc w:val="center"/>
            </w:pPr>
            <w:r w:rsidRPr="3C041A8E">
              <w:rPr>
                <w:rFonts w:ascii="Calibri" w:eastAsia="Calibri" w:hAnsi="Calibri" w:cs="Calibri"/>
                <w:color w:val="000000" w:themeColor="text1"/>
                <w:sz w:val="16"/>
                <w:szCs w:val="16"/>
                <w:u w:val="single"/>
              </w:rPr>
              <w:t>2019</w:t>
            </w:r>
          </w:p>
        </w:tc>
      </w:tr>
      <w:tr w:rsidR="3C041A8E" w14:paraId="13B40CF3" w14:textId="77777777" w:rsidTr="114D2111">
        <w:trPr>
          <w:trHeight w:val="300"/>
        </w:trPr>
        <w:tc>
          <w:tcPr>
            <w:tcW w:w="2503" w:type="dxa"/>
            <w:tcBorders>
              <w:top w:val="nil"/>
              <w:left w:val="nil"/>
              <w:bottom w:val="nil"/>
              <w:right w:val="nil"/>
            </w:tcBorders>
            <w:tcMar>
              <w:top w:w="15" w:type="dxa"/>
              <w:left w:w="15" w:type="dxa"/>
              <w:right w:w="15" w:type="dxa"/>
            </w:tcMar>
            <w:vAlign w:val="bottom"/>
          </w:tcPr>
          <w:p w14:paraId="27192788" w14:textId="62BE69D5" w:rsidR="3C041A8E" w:rsidRDefault="3C041A8E"/>
        </w:tc>
        <w:tc>
          <w:tcPr>
            <w:tcW w:w="237" w:type="dxa"/>
            <w:tcBorders>
              <w:top w:val="nil"/>
              <w:left w:val="nil"/>
              <w:bottom w:val="nil"/>
              <w:right w:val="nil"/>
            </w:tcBorders>
            <w:tcMar>
              <w:top w:w="15" w:type="dxa"/>
              <w:left w:w="15" w:type="dxa"/>
              <w:right w:w="15" w:type="dxa"/>
            </w:tcMar>
            <w:vAlign w:val="bottom"/>
          </w:tcPr>
          <w:p w14:paraId="5988B0A8" w14:textId="67B3B4AE" w:rsidR="3C041A8E" w:rsidRDefault="3C041A8E"/>
        </w:tc>
        <w:tc>
          <w:tcPr>
            <w:tcW w:w="4333" w:type="dxa"/>
            <w:tcBorders>
              <w:top w:val="nil"/>
              <w:left w:val="nil"/>
              <w:bottom w:val="nil"/>
              <w:right w:val="nil"/>
            </w:tcBorders>
            <w:tcMar>
              <w:top w:w="15" w:type="dxa"/>
              <w:left w:w="15" w:type="dxa"/>
              <w:right w:w="15" w:type="dxa"/>
            </w:tcMar>
            <w:vAlign w:val="bottom"/>
          </w:tcPr>
          <w:p w14:paraId="1BDFE970" w14:textId="0E12CBBD" w:rsidR="3C041A8E" w:rsidRDefault="3C041A8E"/>
        </w:tc>
        <w:tc>
          <w:tcPr>
            <w:tcW w:w="647" w:type="dxa"/>
            <w:tcBorders>
              <w:top w:val="nil"/>
              <w:left w:val="nil"/>
              <w:bottom w:val="nil"/>
              <w:right w:val="nil"/>
            </w:tcBorders>
            <w:tcMar>
              <w:top w:w="15" w:type="dxa"/>
              <w:left w:w="15" w:type="dxa"/>
              <w:right w:w="15" w:type="dxa"/>
            </w:tcMar>
            <w:vAlign w:val="bottom"/>
          </w:tcPr>
          <w:p w14:paraId="61A8AC13" w14:textId="6FFDC8D1" w:rsidR="3C041A8E" w:rsidRDefault="3C041A8E"/>
        </w:tc>
        <w:tc>
          <w:tcPr>
            <w:tcW w:w="647" w:type="dxa"/>
            <w:tcBorders>
              <w:top w:val="nil"/>
              <w:left w:val="nil"/>
              <w:bottom w:val="nil"/>
              <w:right w:val="nil"/>
            </w:tcBorders>
            <w:tcMar>
              <w:top w:w="15" w:type="dxa"/>
              <w:left w:w="15" w:type="dxa"/>
              <w:right w:w="15" w:type="dxa"/>
            </w:tcMar>
            <w:vAlign w:val="bottom"/>
          </w:tcPr>
          <w:p w14:paraId="740B09D6" w14:textId="7AFCEFFC" w:rsidR="3C041A8E" w:rsidRDefault="3C041A8E"/>
        </w:tc>
        <w:tc>
          <w:tcPr>
            <w:tcW w:w="647" w:type="dxa"/>
            <w:tcBorders>
              <w:top w:val="nil"/>
              <w:left w:val="nil"/>
              <w:bottom w:val="nil"/>
              <w:right w:val="nil"/>
            </w:tcBorders>
            <w:tcMar>
              <w:top w:w="15" w:type="dxa"/>
              <w:left w:w="15" w:type="dxa"/>
              <w:right w:w="15" w:type="dxa"/>
            </w:tcMar>
            <w:vAlign w:val="bottom"/>
          </w:tcPr>
          <w:p w14:paraId="0C79E314" w14:textId="0BAA2729" w:rsidR="3C041A8E" w:rsidRDefault="3C041A8E" w:rsidP="3C041A8E">
            <w:pPr>
              <w:jc w:val="center"/>
            </w:pPr>
            <w:r w:rsidRPr="3C041A8E">
              <w:rPr>
                <w:rFonts w:ascii="Calibri" w:eastAsia="Calibri" w:hAnsi="Calibri" w:cs="Calibri"/>
                <w:i/>
                <w:iCs/>
                <w:color w:val="000000" w:themeColor="text1"/>
                <w:sz w:val="16"/>
                <w:szCs w:val="16"/>
              </w:rPr>
              <w:t>Restated</w:t>
            </w:r>
          </w:p>
        </w:tc>
      </w:tr>
      <w:tr w:rsidR="3C041A8E" w14:paraId="76078BDF" w14:textId="77777777" w:rsidTr="114D2111">
        <w:trPr>
          <w:trHeight w:val="90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90D4586" w14:textId="2D5C57EA" w:rsidR="3C041A8E" w:rsidRDefault="3C041A8E">
            <w:r w:rsidRPr="3C041A8E">
              <w:rPr>
                <w:rFonts w:ascii="Calibri" w:eastAsia="Calibri" w:hAnsi="Calibri" w:cs="Calibri"/>
                <w:color w:val="000000" w:themeColor="text1"/>
                <w:sz w:val="16"/>
                <w:szCs w:val="16"/>
              </w:rPr>
              <w:t>Gross Profit Margin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29A2C3C" w14:textId="035B2B04" w:rsidR="3C041A8E" w:rsidRDefault="3C041A8E" w:rsidP="3C041A8E">
            <w:pPr>
              <w:jc w:val="center"/>
            </w:pPr>
            <w:r w:rsidRPr="3C041A8E">
              <w:rPr>
                <w:rFonts w:ascii="Calibri" w:eastAsia="Calibri" w:hAnsi="Calibri" w:cs="Calibri"/>
                <w:color w:val="000000" w:themeColor="text1"/>
                <w:sz w:val="16"/>
                <w:szCs w:val="16"/>
              </w:rPr>
              <w:t>1</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78D8B2F" w14:textId="7C2FAF1A" w:rsidR="3C041A8E" w:rsidRDefault="3C041A8E" w:rsidP="3C041A8E">
            <w:r w:rsidRPr="3C041A8E">
              <w:rPr>
                <w:rFonts w:ascii="Calibri" w:eastAsia="Calibri" w:hAnsi="Calibri" w:cs="Calibri"/>
                <w:color w:val="000000" w:themeColor="text1"/>
                <w:sz w:val="16"/>
                <w:szCs w:val="16"/>
              </w:rPr>
              <w:t xml:space="preserve">Drop in 2020 reflected Covid 19 impact and related supply chain problems. The recovery is </w:t>
            </w:r>
            <w:r w:rsidR="1D7197D1" w:rsidRPr="3C041A8E">
              <w:rPr>
                <w:rFonts w:ascii="Calibri" w:eastAsia="Calibri" w:hAnsi="Calibri" w:cs="Calibri"/>
                <w:color w:val="000000" w:themeColor="text1"/>
                <w:sz w:val="16"/>
                <w:szCs w:val="16"/>
              </w:rPr>
              <w:t>underway,</w:t>
            </w:r>
            <w:r w:rsidRPr="3C041A8E">
              <w:rPr>
                <w:rFonts w:ascii="Calibri" w:eastAsia="Calibri" w:hAnsi="Calibri" w:cs="Calibri"/>
                <w:color w:val="000000" w:themeColor="text1"/>
                <w:sz w:val="16"/>
                <w:szCs w:val="16"/>
              </w:rPr>
              <w:t xml:space="preserve"> and plans are being implemented to address the residual supply chain issues. The CEO's comments in the Annual Report for 2021 indicate a target GP of 40% which is now within reach.</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DCB0FA3" w14:textId="3C213A46" w:rsidR="3C041A8E" w:rsidRDefault="3C041A8E" w:rsidP="3C041A8E">
            <w:pPr>
              <w:jc w:val="center"/>
            </w:pPr>
            <w:r w:rsidRPr="3C041A8E">
              <w:rPr>
                <w:rFonts w:ascii="Calibri" w:eastAsia="Calibri" w:hAnsi="Calibri" w:cs="Calibri"/>
                <w:color w:val="000000" w:themeColor="text1"/>
                <w:sz w:val="16"/>
                <w:szCs w:val="16"/>
              </w:rPr>
              <w:t>31.38%</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1B932AD" w14:textId="413C285A" w:rsidR="3C041A8E" w:rsidRDefault="3C041A8E" w:rsidP="3C041A8E">
            <w:pPr>
              <w:jc w:val="center"/>
            </w:pPr>
            <w:r w:rsidRPr="3C041A8E">
              <w:rPr>
                <w:rFonts w:ascii="Calibri" w:eastAsia="Calibri" w:hAnsi="Calibri" w:cs="Calibri"/>
                <w:color w:val="000000" w:themeColor="text1"/>
                <w:sz w:val="16"/>
                <w:szCs w:val="16"/>
              </w:rPr>
              <w:t>18.16%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7EE1C50" w14:textId="2938D9CF" w:rsidR="3C041A8E" w:rsidRDefault="3C041A8E" w:rsidP="3C041A8E">
            <w:pPr>
              <w:jc w:val="center"/>
            </w:pPr>
            <w:r w:rsidRPr="3C041A8E">
              <w:rPr>
                <w:rFonts w:ascii="Calibri" w:eastAsia="Calibri" w:hAnsi="Calibri" w:cs="Calibri"/>
                <w:color w:val="000000" w:themeColor="text1"/>
                <w:sz w:val="16"/>
                <w:szCs w:val="16"/>
              </w:rPr>
              <w:t>34.45%</w:t>
            </w:r>
          </w:p>
        </w:tc>
      </w:tr>
      <w:tr w:rsidR="3C041A8E" w14:paraId="10B353EA"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0623AA6" w14:textId="429251A8" w:rsidR="3C041A8E" w:rsidRDefault="3C041A8E">
            <w:r w:rsidRPr="3C041A8E">
              <w:rPr>
                <w:rFonts w:ascii="Calibri" w:eastAsia="Calibri" w:hAnsi="Calibri" w:cs="Calibri"/>
                <w:color w:val="000000" w:themeColor="text1"/>
                <w:sz w:val="16"/>
                <w:szCs w:val="16"/>
              </w:rPr>
              <w:t>Operating Profit Margin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D66B91E" w14:textId="11462395" w:rsidR="3C041A8E" w:rsidRDefault="3C041A8E" w:rsidP="3C041A8E">
            <w:pPr>
              <w:jc w:val="center"/>
            </w:pPr>
            <w:r w:rsidRPr="3C041A8E">
              <w:rPr>
                <w:rFonts w:ascii="Calibri" w:eastAsia="Calibri" w:hAnsi="Calibri" w:cs="Calibri"/>
                <w:color w:val="000000" w:themeColor="text1"/>
                <w:sz w:val="16"/>
                <w:szCs w:val="16"/>
              </w:rPr>
              <w:t>2</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764EF3C" w14:textId="556850F0" w:rsidR="3C041A8E" w:rsidRDefault="3C041A8E" w:rsidP="3C041A8E">
            <w:r w:rsidRPr="3C041A8E">
              <w:rPr>
                <w:rFonts w:ascii="Calibri" w:eastAsia="Calibri" w:hAnsi="Calibri" w:cs="Calibri"/>
                <w:color w:val="000000" w:themeColor="text1"/>
                <w:sz w:val="16"/>
                <w:szCs w:val="16"/>
              </w:rPr>
              <w:t>This broadly reflects the Gross Profit movement over the 3 years and is to be expected</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31F9D97" w14:textId="42F91CD4" w:rsidR="3C041A8E" w:rsidRDefault="3C041A8E" w:rsidP="3C041A8E">
            <w:pPr>
              <w:jc w:val="center"/>
            </w:pPr>
            <w:r w:rsidRPr="3C041A8E">
              <w:rPr>
                <w:rFonts w:ascii="Calibri" w:eastAsia="Calibri" w:hAnsi="Calibri" w:cs="Calibri"/>
                <w:color w:val="000000" w:themeColor="text1"/>
                <w:sz w:val="16"/>
                <w:szCs w:val="16"/>
              </w:rPr>
              <w:t>-6.98%</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2B2013B" w14:textId="33EA53A4" w:rsidR="3C041A8E" w:rsidRDefault="3C041A8E" w:rsidP="3C041A8E">
            <w:pPr>
              <w:jc w:val="center"/>
            </w:pPr>
            <w:r w:rsidRPr="3C041A8E">
              <w:rPr>
                <w:rFonts w:ascii="Calibri" w:eastAsia="Calibri" w:hAnsi="Calibri" w:cs="Calibri"/>
                <w:color w:val="000000" w:themeColor="text1"/>
                <w:sz w:val="16"/>
                <w:szCs w:val="16"/>
              </w:rPr>
              <w:t>-52.78%</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A27F2A9" w14:textId="3D32C9F8" w:rsidR="3C041A8E" w:rsidRDefault="3C041A8E" w:rsidP="3C041A8E">
            <w:pPr>
              <w:jc w:val="center"/>
            </w:pPr>
            <w:r w:rsidRPr="3C041A8E">
              <w:rPr>
                <w:rFonts w:ascii="Calibri" w:eastAsia="Calibri" w:hAnsi="Calibri" w:cs="Calibri"/>
                <w:color w:val="000000" w:themeColor="text1"/>
                <w:sz w:val="16"/>
                <w:szCs w:val="16"/>
              </w:rPr>
              <w:t>-5.30%</w:t>
            </w:r>
          </w:p>
        </w:tc>
      </w:tr>
      <w:tr w:rsidR="3C041A8E" w14:paraId="4629E941" w14:textId="77777777" w:rsidTr="114D2111">
        <w:trPr>
          <w:trHeight w:val="67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9A55FB6" w14:textId="2884980C" w:rsidR="3C041A8E" w:rsidRDefault="3C041A8E">
            <w:r w:rsidRPr="3C041A8E">
              <w:rPr>
                <w:rFonts w:ascii="Calibri" w:eastAsia="Calibri" w:hAnsi="Calibri" w:cs="Calibri"/>
                <w:color w:val="000000" w:themeColor="text1"/>
                <w:sz w:val="16"/>
                <w:szCs w:val="16"/>
              </w:rPr>
              <w:t>Net Profit Margin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241CD5A" w14:textId="2601A787" w:rsidR="3C041A8E" w:rsidRDefault="3C041A8E" w:rsidP="3C041A8E">
            <w:pPr>
              <w:jc w:val="center"/>
            </w:pPr>
            <w:r w:rsidRPr="3C041A8E">
              <w:rPr>
                <w:rFonts w:ascii="Calibri" w:eastAsia="Calibri" w:hAnsi="Calibri" w:cs="Calibri"/>
                <w:color w:val="000000" w:themeColor="text1"/>
                <w:sz w:val="16"/>
                <w:szCs w:val="16"/>
              </w:rPr>
              <w:t>3</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4B6DF66" w14:textId="196C3ED1" w:rsidR="3C041A8E" w:rsidRDefault="3C041A8E" w:rsidP="3C041A8E">
            <w:r w:rsidRPr="3C041A8E">
              <w:rPr>
                <w:rFonts w:ascii="Calibri" w:eastAsia="Calibri" w:hAnsi="Calibri" w:cs="Calibri"/>
                <w:color w:val="000000" w:themeColor="text1"/>
                <w:sz w:val="16"/>
                <w:szCs w:val="16"/>
              </w:rPr>
              <w:t>Variations here are consistent Gross and Operating profit together with fluctuations in currency, depreciation &amp; amortisation, and marketing costs related to the online configurator</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8EC66C0" w14:textId="3B837C42" w:rsidR="3C041A8E" w:rsidRDefault="3C041A8E" w:rsidP="3C041A8E">
            <w:pPr>
              <w:jc w:val="center"/>
            </w:pPr>
            <w:r w:rsidRPr="3C041A8E">
              <w:rPr>
                <w:rFonts w:ascii="Calibri" w:eastAsia="Calibri" w:hAnsi="Calibri" w:cs="Calibri"/>
                <w:color w:val="000000" w:themeColor="text1"/>
                <w:sz w:val="16"/>
                <w:szCs w:val="16"/>
              </w:rPr>
              <w:t>-17.28%</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78EBEC5" w14:textId="3CC2CA41" w:rsidR="3C041A8E" w:rsidRDefault="3C041A8E" w:rsidP="3C041A8E">
            <w:pPr>
              <w:jc w:val="center"/>
            </w:pPr>
            <w:r w:rsidRPr="3C041A8E">
              <w:rPr>
                <w:rFonts w:ascii="Calibri" w:eastAsia="Calibri" w:hAnsi="Calibri" w:cs="Calibri"/>
                <w:color w:val="000000" w:themeColor="text1"/>
                <w:sz w:val="16"/>
                <w:szCs w:val="16"/>
              </w:rPr>
              <w:t>-67.10%</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EE4B029" w14:textId="47590A4C" w:rsidR="3C041A8E" w:rsidRDefault="3C041A8E" w:rsidP="3C041A8E">
            <w:pPr>
              <w:jc w:val="center"/>
            </w:pPr>
            <w:r w:rsidRPr="3C041A8E">
              <w:rPr>
                <w:rFonts w:ascii="Calibri" w:eastAsia="Calibri" w:hAnsi="Calibri" w:cs="Calibri"/>
                <w:color w:val="000000" w:themeColor="text1"/>
                <w:sz w:val="16"/>
                <w:szCs w:val="16"/>
              </w:rPr>
              <w:t>-11.99%</w:t>
            </w:r>
          </w:p>
        </w:tc>
      </w:tr>
      <w:tr w:rsidR="3C041A8E" w14:paraId="52B5D508" w14:textId="77777777" w:rsidTr="114D2111">
        <w:trPr>
          <w:trHeight w:val="112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1CB0D46" w14:textId="3C543B3B" w:rsidR="3C041A8E" w:rsidRDefault="3C041A8E">
            <w:r w:rsidRPr="3C041A8E">
              <w:rPr>
                <w:rFonts w:ascii="Calibri" w:eastAsia="Calibri" w:hAnsi="Calibri" w:cs="Calibri"/>
                <w:color w:val="000000" w:themeColor="text1"/>
                <w:sz w:val="16"/>
                <w:szCs w:val="16"/>
              </w:rPr>
              <w:t>EBITDA % Margin</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4757302" w14:textId="280664B7" w:rsidR="3C041A8E" w:rsidRDefault="3C041A8E" w:rsidP="3C041A8E">
            <w:pPr>
              <w:jc w:val="center"/>
            </w:pPr>
            <w:r w:rsidRPr="3C041A8E">
              <w:rPr>
                <w:rFonts w:ascii="Calibri" w:eastAsia="Calibri" w:hAnsi="Calibri" w:cs="Calibri"/>
                <w:color w:val="000000" w:themeColor="text1"/>
                <w:sz w:val="16"/>
                <w:szCs w:val="16"/>
              </w:rPr>
              <w:t>4</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F9F8591" w14:textId="1682D4E2" w:rsidR="3C041A8E" w:rsidRDefault="7DDCF792" w:rsidP="3C041A8E">
            <w:r w:rsidRPr="114D2111">
              <w:rPr>
                <w:rFonts w:ascii="Calibri" w:eastAsia="Calibri" w:hAnsi="Calibri" w:cs="Calibri"/>
                <w:color w:val="000000" w:themeColor="text1"/>
                <w:sz w:val="16"/>
                <w:szCs w:val="16"/>
              </w:rPr>
              <w:t>This metric is important to the Board of Directors in AM</w:t>
            </w:r>
            <w:r w:rsidR="2BFD709B" w:rsidRPr="114D2111">
              <w:rPr>
                <w:rFonts w:ascii="Calibri" w:eastAsia="Calibri" w:hAnsi="Calibri" w:cs="Calibri"/>
                <w:color w:val="000000" w:themeColor="text1"/>
                <w:sz w:val="16"/>
                <w:szCs w:val="16"/>
              </w:rPr>
              <w:t>L</w:t>
            </w:r>
            <w:r w:rsidRPr="114D2111">
              <w:rPr>
                <w:rFonts w:ascii="Calibri" w:eastAsia="Calibri" w:hAnsi="Calibri" w:cs="Calibri"/>
                <w:color w:val="000000" w:themeColor="text1"/>
                <w:sz w:val="16"/>
                <w:szCs w:val="16"/>
              </w:rPr>
              <w:t xml:space="preserve"> who use it as a key </w:t>
            </w:r>
            <w:bookmarkStart w:id="15" w:name="_Int_hRRgSgjn"/>
            <w:r w:rsidRPr="114D2111">
              <w:rPr>
                <w:rFonts w:ascii="Calibri" w:eastAsia="Calibri" w:hAnsi="Calibri" w:cs="Calibri"/>
                <w:color w:val="000000" w:themeColor="text1"/>
                <w:sz w:val="16"/>
                <w:szCs w:val="16"/>
              </w:rPr>
              <w:t>component</w:t>
            </w:r>
            <w:bookmarkEnd w:id="15"/>
            <w:r w:rsidRPr="114D2111">
              <w:rPr>
                <w:rFonts w:ascii="Calibri" w:eastAsia="Calibri" w:hAnsi="Calibri" w:cs="Calibri"/>
                <w:color w:val="000000" w:themeColor="text1"/>
                <w:sz w:val="16"/>
                <w:szCs w:val="16"/>
              </w:rPr>
              <w:t xml:space="preserve"> in Directors' and employees' bonus entitlement. It is also helpful for assessing how AM</w:t>
            </w:r>
            <w:r w:rsidR="7640F82A" w:rsidRPr="114D2111">
              <w:rPr>
                <w:rFonts w:ascii="Calibri" w:eastAsia="Calibri" w:hAnsi="Calibri" w:cs="Calibri"/>
                <w:color w:val="000000" w:themeColor="text1"/>
                <w:sz w:val="16"/>
                <w:szCs w:val="16"/>
              </w:rPr>
              <w:t>L</w:t>
            </w:r>
            <w:r w:rsidRPr="114D2111">
              <w:rPr>
                <w:rFonts w:ascii="Calibri" w:eastAsia="Calibri" w:hAnsi="Calibri" w:cs="Calibri"/>
                <w:color w:val="000000" w:themeColor="text1"/>
                <w:sz w:val="16"/>
                <w:szCs w:val="16"/>
              </w:rPr>
              <w:t xml:space="preserve"> measures its performance and </w:t>
            </w:r>
            <w:bookmarkStart w:id="16" w:name="_Int_4Ah0CJuo"/>
            <w:r w:rsidRPr="114D2111">
              <w:rPr>
                <w:rFonts w:ascii="Calibri" w:eastAsia="Calibri" w:hAnsi="Calibri" w:cs="Calibri"/>
                <w:color w:val="000000" w:themeColor="text1"/>
                <w:sz w:val="16"/>
                <w:szCs w:val="16"/>
              </w:rPr>
              <w:t>facilitates</w:t>
            </w:r>
            <w:bookmarkEnd w:id="16"/>
            <w:r w:rsidRPr="114D2111">
              <w:rPr>
                <w:rFonts w:ascii="Calibri" w:eastAsia="Calibri" w:hAnsi="Calibri" w:cs="Calibri"/>
                <w:color w:val="000000" w:themeColor="text1"/>
                <w:sz w:val="16"/>
                <w:szCs w:val="16"/>
              </w:rPr>
              <w:t xml:space="preserve"> comparison with the results of its competitors. The directors </w:t>
            </w:r>
            <w:bookmarkStart w:id="17" w:name="_Int_aUNrLssW"/>
            <w:r w:rsidRPr="114D2111">
              <w:rPr>
                <w:rFonts w:ascii="Calibri" w:eastAsia="Calibri" w:hAnsi="Calibri" w:cs="Calibri"/>
                <w:color w:val="000000" w:themeColor="text1"/>
                <w:sz w:val="16"/>
                <w:szCs w:val="16"/>
              </w:rPr>
              <w:t>anticipate</w:t>
            </w:r>
            <w:bookmarkEnd w:id="17"/>
            <w:r w:rsidRPr="114D2111">
              <w:rPr>
                <w:rFonts w:ascii="Calibri" w:eastAsia="Calibri" w:hAnsi="Calibri" w:cs="Calibri"/>
                <w:color w:val="000000" w:themeColor="text1"/>
                <w:sz w:val="16"/>
                <w:szCs w:val="16"/>
              </w:rPr>
              <w:t xml:space="preserve"> EBITDA of 25% in 2024/25 which means doubling the rate achieved in 2022</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1A8B9CB" w14:textId="2C761BB4" w:rsidR="3C041A8E" w:rsidRDefault="3C041A8E" w:rsidP="3C041A8E">
            <w:pPr>
              <w:jc w:val="center"/>
            </w:pPr>
            <w:r w:rsidRPr="3C041A8E">
              <w:rPr>
                <w:rFonts w:ascii="Calibri" w:eastAsia="Calibri" w:hAnsi="Calibri" w:cs="Calibri"/>
                <w:color w:val="000000" w:themeColor="text1"/>
                <w:sz w:val="16"/>
                <w:szCs w:val="16"/>
              </w:rPr>
              <w:t>12.59%</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BE88723" w14:textId="355DF7FE" w:rsidR="3C041A8E" w:rsidRDefault="3C041A8E" w:rsidP="3C041A8E">
            <w:pPr>
              <w:jc w:val="center"/>
            </w:pPr>
            <w:r w:rsidRPr="3C041A8E">
              <w:rPr>
                <w:rFonts w:ascii="Calibri" w:eastAsia="Calibri" w:hAnsi="Calibri" w:cs="Calibri"/>
                <w:color w:val="000000" w:themeColor="text1"/>
                <w:sz w:val="16"/>
                <w:szCs w:val="16"/>
              </w:rPr>
              <w:t>-11.46%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62895BE" w14:textId="0B8E0606" w:rsidR="3C041A8E" w:rsidRDefault="3C041A8E" w:rsidP="3C041A8E">
            <w:pPr>
              <w:jc w:val="center"/>
            </w:pPr>
            <w:r w:rsidRPr="3C041A8E">
              <w:rPr>
                <w:rFonts w:ascii="Calibri" w:eastAsia="Calibri" w:hAnsi="Calibri" w:cs="Calibri"/>
                <w:color w:val="000000" w:themeColor="text1"/>
                <w:sz w:val="16"/>
                <w:szCs w:val="16"/>
              </w:rPr>
              <w:t>12.13%</w:t>
            </w:r>
          </w:p>
        </w:tc>
      </w:tr>
      <w:tr w:rsidR="3C041A8E" w14:paraId="5D484E93" w14:textId="77777777" w:rsidTr="114D2111">
        <w:trPr>
          <w:trHeight w:val="67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13BF5D2" w14:textId="53FFF161" w:rsidR="3C041A8E" w:rsidRDefault="3C041A8E">
            <w:r w:rsidRPr="3C041A8E">
              <w:rPr>
                <w:rFonts w:ascii="Calibri" w:eastAsia="Calibri" w:hAnsi="Calibri" w:cs="Calibri"/>
                <w:color w:val="000000" w:themeColor="text1"/>
                <w:sz w:val="16"/>
                <w:szCs w:val="16"/>
              </w:rPr>
              <w:t>Return on Assets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3783D54" w14:textId="47B8FAA8" w:rsidR="3C041A8E" w:rsidRDefault="3C041A8E" w:rsidP="3C041A8E">
            <w:pPr>
              <w:jc w:val="center"/>
            </w:pPr>
            <w:r w:rsidRPr="3C041A8E">
              <w:rPr>
                <w:rFonts w:ascii="Calibri" w:eastAsia="Calibri" w:hAnsi="Calibri" w:cs="Calibri"/>
                <w:color w:val="000000" w:themeColor="text1"/>
                <w:sz w:val="16"/>
                <w:szCs w:val="16"/>
              </w:rPr>
              <w:t>5</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D556EF9" w14:textId="0D1EE6C5" w:rsidR="3C041A8E" w:rsidRDefault="3C041A8E" w:rsidP="3C041A8E">
            <w:r w:rsidRPr="14A3A10E">
              <w:rPr>
                <w:rFonts w:ascii="Calibri" w:eastAsia="Calibri" w:hAnsi="Calibri" w:cs="Calibri"/>
                <w:color w:val="000000" w:themeColor="text1"/>
                <w:sz w:val="16"/>
                <w:szCs w:val="16"/>
              </w:rPr>
              <w:t>High levels of debt finance, depreciation &amp; amortisation, coupled with supply chain challenges, all contributed to the net loss in 2021. This resulted in a negative overall return on Assets</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73457FB" w14:textId="49F7B858" w:rsidR="3C041A8E" w:rsidRDefault="3C041A8E" w:rsidP="3C041A8E">
            <w:pPr>
              <w:jc w:val="center"/>
            </w:pPr>
            <w:r w:rsidRPr="3C041A8E">
              <w:rPr>
                <w:rFonts w:ascii="Calibri" w:eastAsia="Calibri" w:hAnsi="Calibri" w:cs="Calibri"/>
                <w:color w:val="000000" w:themeColor="text1"/>
                <w:sz w:val="16"/>
                <w:szCs w:val="16"/>
              </w:rPr>
              <w:t>-6.66%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56B2C05" w14:textId="76088987" w:rsidR="3C041A8E" w:rsidRDefault="3C041A8E" w:rsidP="3C041A8E">
            <w:pPr>
              <w:jc w:val="center"/>
            </w:pPr>
            <w:r w:rsidRPr="3C041A8E">
              <w:rPr>
                <w:rFonts w:ascii="Calibri" w:eastAsia="Calibri" w:hAnsi="Calibri" w:cs="Calibri"/>
                <w:color w:val="000000" w:themeColor="text1"/>
                <w:sz w:val="16"/>
                <w:szCs w:val="16"/>
              </w:rPr>
              <w:t>-14.69%</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67645CB" w14:textId="4172F55B" w:rsidR="3C041A8E" w:rsidRDefault="3C041A8E" w:rsidP="3C041A8E">
            <w:pPr>
              <w:jc w:val="center"/>
            </w:pPr>
            <w:r w:rsidRPr="3C041A8E">
              <w:rPr>
                <w:rFonts w:ascii="Calibri" w:eastAsia="Calibri" w:hAnsi="Calibri" w:cs="Calibri"/>
                <w:color w:val="000000" w:themeColor="text1"/>
                <w:sz w:val="16"/>
                <w:szCs w:val="16"/>
              </w:rPr>
              <w:t>-5.27%</w:t>
            </w:r>
          </w:p>
        </w:tc>
      </w:tr>
      <w:tr w:rsidR="3C041A8E" w14:paraId="2D569545" w14:textId="77777777" w:rsidTr="114D2111">
        <w:trPr>
          <w:trHeight w:val="90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170FDDD" w14:textId="7C1F69FA" w:rsidR="3C041A8E" w:rsidRDefault="3C041A8E">
            <w:r w:rsidRPr="3C041A8E">
              <w:rPr>
                <w:rFonts w:ascii="Calibri" w:eastAsia="Calibri" w:hAnsi="Calibri" w:cs="Calibri"/>
                <w:color w:val="000000" w:themeColor="text1"/>
                <w:sz w:val="16"/>
                <w:szCs w:val="16"/>
              </w:rPr>
              <w:t>EBITDA Return on Assets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75E151A" w14:textId="43E0B6BC" w:rsidR="3C041A8E" w:rsidRDefault="3C041A8E" w:rsidP="3C041A8E">
            <w:pPr>
              <w:jc w:val="center"/>
            </w:pPr>
            <w:r w:rsidRPr="3C041A8E">
              <w:rPr>
                <w:rFonts w:ascii="Calibri" w:eastAsia="Calibri" w:hAnsi="Calibri" w:cs="Calibri"/>
                <w:color w:val="000000" w:themeColor="text1"/>
                <w:sz w:val="16"/>
                <w:szCs w:val="16"/>
              </w:rPr>
              <w:t>6</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CF792FC" w14:textId="1283BA3E" w:rsidR="3C041A8E" w:rsidRDefault="3C041A8E" w:rsidP="3C041A8E">
            <w:r w:rsidRPr="40EF858B">
              <w:rPr>
                <w:rFonts w:ascii="Calibri" w:eastAsia="Calibri" w:hAnsi="Calibri" w:cs="Calibri"/>
                <w:color w:val="000000" w:themeColor="text1"/>
                <w:sz w:val="16"/>
                <w:szCs w:val="16"/>
              </w:rPr>
              <w:t>EBITDA is expected to double from the 2021 baseline during 2024/2025 trading periods. £833.3</w:t>
            </w:r>
            <w:r w:rsidR="2613509B" w:rsidRPr="40EF858B">
              <w:rPr>
                <w:rFonts w:ascii="Calibri" w:eastAsia="Calibri" w:hAnsi="Calibri" w:cs="Calibri"/>
                <w:color w:val="000000" w:themeColor="text1"/>
                <w:sz w:val="16"/>
                <w:szCs w:val="16"/>
              </w:rPr>
              <w:t xml:space="preserve">M </w:t>
            </w:r>
            <w:r w:rsidRPr="40EF858B">
              <w:rPr>
                <w:rFonts w:ascii="Calibri" w:eastAsia="Calibri" w:hAnsi="Calibri" w:cs="Calibri"/>
                <w:color w:val="000000" w:themeColor="text1"/>
                <w:sz w:val="16"/>
                <w:szCs w:val="16"/>
              </w:rPr>
              <w:t xml:space="preserve">of capitalised Development Costs will have to be amortised over the next few years so whilst EBITDA may hit the forecast targets, the Net Profit Margin is likely to remain </w:t>
            </w:r>
            <w:r w:rsidR="18E65ABD" w:rsidRPr="40EF858B">
              <w:rPr>
                <w:rFonts w:ascii="Calibri" w:eastAsia="Calibri" w:hAnsi="Calibri" w:cs="Calibri"/>
                <w:color w:val="000000" w:themeColor="text1"/>
                <w:sz w:val="16"/>
                <w:szCs w:val="16"/>
              </w:rPr>
              <w:t>small</w:t>
            </w:r>
            <w:r w:rsidRPr="40EF858B">
              <w:rPr>
                <w:rFonts w:ascii="Calibri" w:eastAsia="Calibri" w:hAnsi="Calibri" w:cs="Calibri"/>
                <w:color w:val="000000" w:themeColor="text1"/>
                <w:sz w:val="16"/>
                <w:szCs w:val="16"/>
              </w:rPr>
              <w:t xml:space="preserve"> after I, D&amp;A</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F43D75B" w14:textId="0FE5D720" w:rsidR="3C041A8E" w:rsidRDefault="3C041A8E" w:rsidP="3C041A8E">
            <w:pPr>
              <w:jc w:val="center"/>
            </w:pPr>
            <w:r w:rsidRPr="3C041A8E">
              <w:rPr>
                <w:rFonts w:ascii="Calibri" w:eastAsia="Calibri" w:hAnsi="Calibri" w:cs="Calibri"/>
                <w:color w:val="000000" w:themeColor="text1"/>
                <w:sz w:val="16"/>
                <w:szCs w:val="16"/>
              </w:rPr>
              <w:t>4.85%</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F56FB47" w14:textId="66BD0DCA" w:rsidR="3C041A8E" w:rsidRDefault="3C041A8E" w:rsidP="3C041A8E">
            <w:pPr>
              <w:jc w:val="center"/>
            </w:pPr>
            <w:r w:rsidRPr="3C041A8E">
              <w:rPr>
                <w:rFonts w:ascii="Calibri" w:eastAsia="Calibri" w:hAnsi="Calibri" w:cs="Calibri"/>
                <w:color w:val="000000" w:themeColor="text1"/>
                <w:sz w:val="16"/>
                <w:szCs w:val="16"/>
              </w:rPr>
              <w:t>-2.51%</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AD56D67" w14:textId="7803FDCA" w:rsidR="3C041A8E" w:rsidRDefault="3C041A8E" w:rsidP="3C041A8E">
            <w:pPr>
              <w:jc w:val="center"/>
            </w:pPr>
            <w:r w:rsidRPr="3C041A8E">
              <w:rPr>
                <w:rFonts w:ascii="Calibri" w:eastAsia="Calibri" w:hAnsi="Calibri" w:cs="Calibri"/>
                <w:color w:val="000000" w:themeColor="text1"/>
                <w:sz w:val="16"/>
                <w:szCs w:val="16"/>
              </w:rPr>
              <w:t>5.33%</w:t>
            </w:r>
          </w:p>
        </w:tc>
      </w:tr>
      <w:tr w:rsidR="3C041A8E" w14:paraId="4DD0147C" w14:textId="77777777" w:rsidTr="114D2111">
        <w:trPr>
          <w:trHeight w:val="67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6644A29" w14:textId="1BB926E2" w:rsidR="3C041A8E" w:rsidRDefault="3C041A8E">
            <w:r w:rsidRPr="3C041A8E">
              <w:rPr>
                <w:rFonts w:ascii="Calibri" w:eastAsia="Calibri" w:hAnsi="Calibri" w:cs="Calibri"/>
                <w:color w:val="000000" w:themeColor="text1"/>
                <w:sz w:val="16"/>
                <w:szCs w:val="16"/>
              </w:rPr>
              <w:t>Return on Equity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2DD9D71" w14:textId="1F869225" w:rsidR="3C041A8E" w:rsidRDefault="3C041A8E" w:rsidP="3C041A8E">
            <w:pPr>
              <w:jc w:val="center"/>
            </w:pPr>
            <w:r w:rsidRPr="3C041A8E">
              <w:rPr>
                <w:rFonts w:ascii="Calibri" w:eastAsia="Calibri" w:hAnsi="Calibri" w:cs="Calibri"/>
                <w:color w:val="000000" w:themeColor="text1"/>
                <w:sz w:val="16"/>
                <w:szCs w:val="16"/>
              </w:rPr>
              <w:t>7</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5228390" w14:textId="1B4DA0B5" w:rsidR="3C041A8E" w:rsidRDefault="3C041A8E" w:rsidP="3C041A8E">
            <w:r w:rsidRPr="14A3A10E">
              <w:rPr>
                <w:rFonts w:ascii="Calibri" w:eastAsia="Calibri" w:hAnsi="Calibri" w:cs="Calibri"/>
                <w:color w:val="000000" w:themeColor="text1"/>
                <w:sz w:val="16"/>
                <w:szCs w:val="16"/>
              </w:rPr>
              <w:t>The negative returns are compounded by the cost of servicing the high levels of debt finance. This has been partly addressed by AM issuing new shares in 2022, the proceeds of which were intended to repay a large tranche of loan notes.</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70E710A" w14:textId="3BBF7946" w:rsidR="3C041A8E" w:rsidRDefault="3C041A8E" w:rsidP="3C041A8E">
            <w:pPr>
              <w:jc w:val="center"/>
            </w:pPr>
            <w:r w:rsidRPr="3C041A8E">
              <w:rPr>
                <w:rFonts w:ascii="Calibri" w:eastAsia="Calibri" w:hAnsi="Calibri" w:cs="Calibri"/>
                <w:color w:val="000000" w:themeColor="text1"/>
                <w:sz w:val="16"/>
                <w:szCs w:val="16"/>
              </w:rPr>
              <w:t>-28.66%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66D7FAD" w14:textId="120DDA25" w:rsidR="3C041A8E" w:rsidRDefault="3C041A8E" w:rsidP="3C041A8E">
            <w:pPr>
              <w:jc w:val="center"/>
            </w:pPr>
            <w:r w:rsidRPr="3C041A8E">
              <w:rPr>
                <w:rFonts w:ascii="Calibri" w:eastAsia="Calibri" w:hAnsi="Calibri" w:cs="Calibri"/>
                <w:color w:val="000000" w:themeColor="text1"/>
                <w:sz w:val="16"/>
                <w:szCs w:val="16"/>
              </w:rPr>
              <w:t>-51.05%</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789A19A" w14:textId="733CFE52" w:rsidR="3C041A8E" w:rsidRDefault="3C041A8E" w:rsidP="3C041A8E">
            <w:pPr>
              <w:jc w:val="center"/>
            </w:pPr>
            <w:r w:rsidRPr="3C041A8E">
              <w:rPr>
                <w:rFonts w:ascii="Calibri" w:eastAsia="Calibri" w:hAnsi="Calibri" w:cs="Calibri"/>
                <w:color w:val="000000" w:themeColor="text1"/>
                <w:sz w:val="16"/>
                <w:szCs w:val="16"/>
              </w:rPr>
              <w:t>-35.68%</w:t>
            </w:r>
          </w:p>
        </w:tc>
      </w:tr>
      <w:tr w:rsidR="3C041A8E" w14:paraId="0398B6C7"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DEC87F9" w14:textId="740975A3" w:rsidR="3C041A8E" w:rsidRDefault="3C041A8E">
            <w:r w:rsidRPr="3C041A8E">
              <w:rPr>
                <w:rFonts w:ascii="Calibri" w:eastAsia="Calibri" w:hAnsi="Calibri" w:cs="Calibri"/>
                <w:color w:val="000000" w:themeColor="text1"/>
                <w:sz w:val="16"/>
                <w:szCs w:val="16"/>
              </w:rPr>
              <w:t>Current Ratio</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A9AF833" w14:textId="09BD7561" w:rsidR="3C041A8E" w:rsidRDefault="3C041A8E" w:rsidP="3C041A8E">
            <w:pPr>
              <w:jc w:val="center"/>
            </w:pPr>
            <w:r w:rsidRPr="3C041A8E">
              <w:rPr>
                <w:rFonts w:ascii="Calibri" w:eastAsia="Calibri" w:hAnsi="Calibri" w:cs="Calibri"/>
                <w:color w:val="000000" w:themeColor="text1"/>
                <w:sz w:val="16"/>
                <w:szCs w:val="16"/>
              </w:rPr>
              <w:t>8</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F9C2881" w14:textId="6DFD4968" w:rsidR="3C041A8E" w:rsidRDefault="3C041A8E" w:rsidP="3C041A8E">
            <w:r w:rsidRPr="3C041A8E">
              <w:rPr>
                <w:rFonts w:ascii="Calibri" w:eastAsia="Calibri" w:hAnsi="Calibri" w:cs="Calibri"/>
                <w:color w:val="000000" w:themeColor="text1"/>
                <w:sz w:val="16"/>
                <w:szCs w:val="16"/>
              </w:rPr>
              <w:t>Whilst there has been an improvement from 2019, ideally a desirable ratio in the region between 1.8 and 2.2 could be set as a target</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3BF1695" w14:textId="6DDC4AD4" w:rsidR="3C041A8E" w:rsidRDefault="3C041A8E" w:rsidP="3C041A8E">
            <w:pPr>
              <w:jc w:val="center"/>
            </w:pPr>
            <w:r w:rsidRPr="3C041A8E">
              <w:rPr>
                <w:rFonts w:ascii="Calibri" w:eastAsia="Calibri" w:hAnsi="Calibri" w:cs="Calibri"/>
                <w:color w:val="000000" w:themeColor="text1"/>
                <w:sz w:val="16"/>
                <w:szCs w:val="16"/>
              </w:rPr>
              <w:t>0.96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AA197D0" w14:textId="52CE5242" w:rsidR="3C041A8E" w:rsidRDefault="3C041A8E" w:rsidP="3C041A8E">
            <w:pPr>
              <w:jc w:val="center"/>
            </w:pPr>
            <w:r w:rsidRPr="3C041A8E">
              <w:rPr>
                <w:rFonts w:ascii="Calibri" w:eastAsia="Calibri" w:hAnsi="Calibri" w:cs="Calibri"/>
                <w:color w:val="000000" w:themeColor="text1"/>
                <w:sz w:val="16"/>
                <w:szCs w:val="16"/>
              </w:rPr>
              <w:t>1.1</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EC45A9F" w14:textId="6AC717BF" w:rsidR="3C041A8E" w:rsidRDefault="3C041A8E" w:rsidP="3C041A8E">
            <w:pPr>
              <w:jc w:val="center"/>
            </w:pPr>
            <w:r w:rsidRPr="3C041A8E">
              <w:rPr>
                <w:rFonts w:ascii="Calibri" w:eastAsia="Calibri" w:hAnsi="Calibri" w:cs="Calibri"/>
                <w:color w:val="000000" w:themeColor="text1"/>
                <w:sz w:val="16"/>
                <w:szCs w:val="16"/>
              </w:rPr>
              <w:t>0.64</w:t>
            </w:r>
          </w:p>
        </w:tc>
      </w:tr>
      <w:tr w:rsidR="3C041A8E" w14:paraId="4EC7E501" w14:textId="77777777" w:rsidTr="114D2111">
        <w:trPr>
          <w:trHeight w:val="58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91B9ED2" w14:textId="2A4885CA" w:rsidR="3C041A8E" w:rsidRDefault="3C041A8E">
            <w:r w:rsidRPr="3C041A8E">
              <w:rPr>
                <w:rFonts w:ascii="Calibri" w:eastAsia="Calibri" w:hAnsi="Calibri" w:cs="Calibri"/>
                <w:color w:val="000000" w:themeColor="text1"/>
                <w:sz w:val="16"/>
                <w:szCs w:val="16"/>
              </w:rPr>
              <w:t>Quick Ratio</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1F64510" w14:textId="1857FAB5" w:rsidR="3C041A8E" w:rsidRDefault="3C041A8E" w:rsidP="3C041A8E">
            <w:pPr>
              <w:jc w:val="center"/>
            </w:pPr>
            <w:r w:rsidRPr="3C041A8E">
              <w:rPr>
                <w:rFonts w:ascii="Calibri" w:eastAsia="Calibri" w:hAnsi="Calibri" w:cs="Calibri"/>
                <w:color w:val="000000" w:themeColor="text1"/>
                <w:sz w:val="16"/>
                <w:szCs w:val="16"/>
              </w:rPr>
              <w:t>9</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2296732" w14:textId="47C0503E" w:rsidR="3C041A8E" w:rsidRDefault="3C041A8E" w:rsidP="3C041A8E">
            <w:r w:rsidRPr="3C041A8E">
              <w:rPr>
                <w:rFonts w:ascii="Calibri" w:eastAsia="Calibri" w:hAnsi="Calibri" w:cs="Calibri"/>
                <w:color w:val="000000" w:themeColor="text1"/>
                <w:sz w:val="16"/>
                <w:szCs w:val="16"/>
              </w:rPr>
              <w:t>A quick ratio of circa 0.8 would be ideal and this target is certainly within reach</w:t>
            </w:r>
            <w:sdt>
              <w:sdtPr>
                <w:rPr>
                  <w:rFonts w:ascii="Calibri" w:eastAsia="Calibri" w:hAnsi="Calibri" w:cs="Calibri"/>
                  <w:color w:val="000000" w:themeColor="text1"/>
                  <w:sz w:val="16"/>
                  <w:szCs w:val="16"/>
                </w:rPr>
                <w:id w:val="603538355"/>
                <w:citation/>
              </w:sdtPr>
              <w:sdtContent>
                <w:r w:rsidR="004A0217">
                  <w:rPr>
                    <w:rFonts w:ascii="Calibri" w:eastAsia="Calibri" w:hAnsi="Calibri" w:cs="Calibri"/>
                    <w:color w:val="000000" w:themeColor="text1"/>
                    <w:sz w:val="16"/>
                    <w:szCs w:val="16"/>
                  </w:rPr>
                  <w:fldChar w:fldCharType="begin"/>
                </w:r>
                <w:r w:rsidR="004A0217">
                  <w:rPr>
                    <w:rFonts w:ascii="Calibri" w:eastAsia="Calibri" w:hAnsi="Calibri" w:cs="Calibri"/>
                    <w:color w:val="000000" w:themeColor="text1"/>
                    <w:sz w:val="16"/>
                    <w:szCs w:val="16"/>
                  </w:rPr>
                  <w:instrText xml:space="preserve"> CITATION Inv23 \l 2057 </w:instrText>
                </w:r>
                <w:r w:rsidR="004A0217">
                  <w:rPr>
                    <w:rFonts w:ascii="Calibri" w:eastAsia="Calibri" w:hAnsi="Calibri" w:cs="Calibri"/>
                    <w:color w:val="000000" w:themeColor="text1"/>
                    <w:sz w:val="16"/>
                    <w:szCs w:val="16"/>
                  </w:rPr>
                  <w:fldChar w:fldCharType="separate"/>
                </w:r>
                <w:r w:rsidR="004A0217">
                  <w:rPr>
                    <w:rFonts w:ascii="Calibri" w:eastAsia="Calibri" w:hAnsi="Calibri" w:cs="Calibri"/>
                    <w:noProof/>
                    <w:color w:val="000000" w:themeColor="text1"/>
                    <w:sz w:val="16"/>
                    <w:szCs w:val="16"/>
                  </w:rPr>
                  <w:t xml:space="preserve"> </w:t>
                </w:r>
                <w:r w:rsidR="004A0217" w:rsidRPr="004A0217">
                  <w:rPr>
                    <w:rFonts w:ascii="Calibri" w:eastAsia="Calibri" w:hAnsi="Calibri" w:cs="Calibri"/>
                    <w:noProof/>
                    <w:color w:val="000000" w:themeColor="text1"/>
                    <w:sz w:val="16"/>
                    <w:szCs w:val="16"/>
                  </w:rPr>
                  <w:t>(Investopedia, 2023)</w:t>
                </w:r>
                <w:r w:rsidR="004A0217">
                  <w:rPr>
                    <w:rFonts w:ascii="Calibri" w:eastAsia="Calibri" w:hAnsi="Calibri" w:cs="Calibri"/>
                    <w:color w:val="000000" w:themeColor="text1"/>
                    <w:sz w:val="16"/>
                    <w:szCs w:val="16"/>
                  </w:rPr>
                  <w:fldChar w:fldCharType="end"/>
                </w:r>
              </w:sdtContent>
            </w:sdt>
            <w:r w:rsidR="004A0217">
              <w:rPr>
                <w:rFonts w:ascii="Calibri" w:eastAsia="Calibri" w:hAnsi="Calibri" w:cs="Calibri"/>
                <w:color w:val="000000" w:themeColor="text1"/>
                <w:sz w:val="16"/>
                <w:szCs w:val="16"/>
              </w:rPr>
              <w:t>. Future free cash flow generation would also be important to consider</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A833916" w14:textId="756AEB73" w:rsidR="3C041A8E" w:rsidRDefault="3C041A8E" w:rsidP="3C041A8E">
            <w:pPr>
              <w:jc w:val="center"/>
            </w:pPr>
            <w:r w:rsidRPr="3C041A8E">
              <w:rPr>
                <w:rFonts w:ascii="Calibri" w:eastAsia="Calibri" w:hAnsi="Calibri" w:cs="Calibri"/>
                <w:color w:val="000000" w:themeColor="text1"/>
                <w:sz w:val="16"/>
                <w:szCs w:val="16"/>
              </w:rPr>
              <w:t>0.74</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9A8FB63" w14:textId="1CCD62C7" w:rsidR="3C041A8E" w:rsidRDefault="3C041A8E" w:rsidP="3C041A8E">
            <w:pPr>
              <w:jc w:val="center"/>
            </w:pPr>
            <w:r w:rsidRPr="3C041A8E">
              <w:rPr>
                <w:rFonts w:ascii="Calibri" w:eastAsia="Calibri" w:hAnsi="Calibri" w:cs="Calibri"/>
                <w:color w:val="000000" w:themeColor="text1"/>
                <w:sz w:val="16"/>
                <w:szCs w:val="16"/>
              </w:rPr>
              <w:t>0.84</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0FBECD9" w14:textId="62236E28" w:rsidR="3C041A8E" w:rsidRDefault="3C041A8E" w:rsidP="3C041A8E">
            <w:pPr>
              <w:jc w:val="center"/>
            </w:pPr>
            <w:r w:rsidRPr="3C041A8E">
              <w:rPr>
                <w:rFonts w:ascii="Calibri" w:eastAsia="Calibri" w:hAnsi="Calibri" w:cs="Calibri"/>
                <w:color w:val="000000" w:themeColor="text1"/>
                <w:sz w:val="16"/>
                <w:szCs w:val="16"/>
              </w:rPr>
              <w:t>0.41</w:t>
            </w:r>
          </w:p>
        </w:tc>
      </w:tr>
      <w:tr w:rsidR="3C041A8E" w14:paraId="5D8B5021" w14:textId="77777777" w:rsidTr="114D2111">
        <w:trPr>
          <w:trHeight w:val="30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0264D2F" w14:textId="0FED3A01" w:rsidR="3C041A8E" w:rsidRDefault="3C041A8E">
            <w:r w:rsidRPr="3C041A8E">
              <w:rPr>
                <w:rFonts w:ascii="Calibri" w:eastAsia="Calibri" w:hAnsi="Calibri" w:cs="Calibri"/>
                <w:color w:val="000000" w:themeColor="text1"/>
                <w:sz w:val="16"/>
                <w:szCs w:val="16"/>
              </w:rPr>
              <w:t>Cash Ratio</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4FCA45B" w14:textId="48227FC7" w:rsidR="3C041A8E" w:rsidRDefault="3C041A8E" w:rsidP="3C041A8E">
            <w:pPr>
              <w:jc w:val="center"/>
            </w:pPr>
            <w:r w:rsidRPr="3C041A8E">
              <w:rPr>
                <w:rFonts w:ascii="Calibri" w:eastAsia="Calibri" w:hAnsi="Calibri" w:cs="Calibri"/>
                <w:color w:val="000000" w:themeColor="text1"/>
                <w:sz w:val="16"/>
                <w:szCs w:val="16"/>
              </w:rPr>
              <w:t>10</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3219D59" w14:textId="4B042E9C" w:rsidR="3C041A8E" w:rsidRDefault="3C041A8E" w:rsidP="3C041A8E">
            <w:r w:rsidRPr="3C041A8E">
              <w:rPr>
                <w:rFonts w:ascii="Calibri" w:eastAsia="Calibri" w:hAnsi="Calibri" w:cs="Calibri"/>
                <w:color w:val="000000" w:themeColor="text1"/>
                <w:sz w:val="16"/>
                <w:szCs w:val="16"/>
              </w:rPr>
              <w:t xml:space="preserve"> </w:t>
            </w:r>
            <w:r w:rsidR="00D24177">
              <w:rPr>
                <w:rFonts w:ascii="Calibri" w:eastAsia="Calibri" w:hAnsi="Calibri" w:cs="Calibri"/>
                <w:color w:val="000000" w:themeColor="text1"/>
                <w:sz w:val="16"/>
                <w:szCs w:val="16"/>
              </w:rPr>
              <w:t xml:space="preserve">According to GAAP, </w:t>
            </w:r>
            <w:r w:rsidR="004A0217" w:rsidRPr="004A0217">
              <w:rPr>
                <w:rFonts w:ascii="Calibri" w:eastAsia="Calibri" w:hAnsi="Calibri" w:cs="Calibri"/>
                <w:color w:val="000000" w:themeColor="text1"/>
                <w:sz w:val="16"/>
                <w:szCs w:val="16"/>
              </w:rPr>
              <w:t>cash equivalents are investments and other assets which can convert into cash within 90 days</w:t>
            </w:r>
            <w:r w:rsidR="00D24177">
              <w:rPr>
                <w:rFonts w:ascii="Calibri" w:eastAsia="Calibri" w:hAnsi="Calibri" w:cs="Calibri"/>
                <w:color w:val="000000" w:themeColor="text1"/>
                <w:sz w:val="16"/>
                <w:szCs w:val="16"/>
              </w:rPr>
              <w:t xml:space="preserve"> </w:t>
            </w:r>
            <w:sdt>
              <w:sdtPr>
                <w:rPr>
                  <w:rFonts w:ascii="Calibri" w:eastAsia="Calibri" w:hAnsi="Calibri" w:cs="Calibri"/>
                  <w:color w:val="000000" w:themeColor="text1"/>
                  <w:sz w:val="16"/>
                  <w:szCs w:val="16"/>
                </w:rPr>
                <w:id w:val="-1811775369"/>
                <w:citation/>
              </w:sdtPr>
              <w:sdtContent>
                <w:r w:rsidR="00D24177">
                  <w:rPr>
                    <w:rFonts w:ascii="Calibri" w:eastAsia="Calibri" w:hAnsi="Calibri" w:cs="Calibri"/>
                    <w:color w:val="000000" w:themeColor="text1"/>
                    <w:sz w:val="16"/>
                    <w:szCs w:val="16"/>
                  </w:rPr>
                  <w:fldChar w:fldCharType="begin"/>
                </w:r>
                <w:r w:rsidR="00D24177">
                  <w:rPr>
                    <w:rFonts w:ascii="Calibri" w:eastAsia="Calibri" w:hAnsi="Calibri" w:cs="Calibri"/>
                    <w:color w:val="000000" w:themeColor="text1"/>
                    <w:sz w:val="16"/>
                    <w:szCs w:val="16"/>
                  </w:rPr>
                  <w:instrText xml:space="preserve"> CITATION Wal23 \l 2057 </w:instrText>
                </w:r>
                <w:r w:rsidR="00D24177">
                  <w:rPr>
                    <w:rFonts w:ascii="Calibri" w:eastAsia="Calibri" w:hAnsi="Calibri" w:cs="Calibri"/>
                    <w:color w:val="000000" w:themeColor="text1"/>
                    <w:sz w:val="16"/>
                    <w:szCs w:val="16"/>
                  </w:rPr>
                  <w:fldChar w:fldCharType="separate"/>
                </w:r>
                <w:r w:rsidR="00D24177" w:rsidRPr="00D24177">
                  <w:rPr>
                    <w:rFonts w:ascii="Calibri" w:eastAsia="Calibri" w:hAnsi="Calibri" w:cs="Calibri"/>
                    <w:noProof/>
                    <w:color w:val="000000" w:themeColor="text1"/>
                    <w:sz w:val="16"/>
                    <w:szCs w:val="16"/>
                  </w:rPr>
                  <w:t>(WallStreetMojo, 2023)</w:t>
                </w:r>
                <w:r w:rsidR="00D24177">
                  <w:rPr>
                    <w:rFonts w:ascii="Calibri" w:eastAsia="Calibri" w:hAnsi="Calibri" w:cs="Calibri"/>
                    <w:color w:val="000000" w:themeColor="text1"/>
                    <w:sz w:val="16"/>
                    <w:szCs w:val="16"/>
                  </w:rPr>
                  <w:fldChar w:fldCharType="end"/>
                </w:r>
              </w:sdtContent>
            </w:sdt>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844A909" w14:textId="34598413" w:rsidR="3C041A8E" w:rsidRDefault="3C041A8E" w:rsidP="3C041A8E">
            <w:pPr>
              <w:jc w:val="center"/>
            </w:pPr>
            <w:r w:rsidRPr="3C041A8E">
              <w:rPr>
                <w:rFonts w:ascii="Calibri" w:eastAsia="Calibri" w:hAnsi="Calibri" w:cs="Calibri"/>
                <w:color w:val="000000" w:themeColor="text1"/>
                <w:sz w:val="16"/>
                <w:szCs w:val="16"/>
              </w:rPr>
              <w:t>0.43</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A94AD50" w14:textId="7BEC94D4" w:rsidR="3C041A8E" w:rsidRDefault="3C041A8E" w:rsidP="3C041A8E">
            <w:pPr>
              <w:jc w:val="center"/>
            </w:pPr>
            <w:r w:rsidRPr="3C041A8E">
              <w:rPr>
                <w:rFonts w:ascii="Calibri" w:eastAsia="Calibri" w:hAnsi="Calibri" w:cs="Calibri"/>
                <w:color w:val="000000" w:themeColor="text1"/>
                <w:sz w:val="16"/>
                <w:szCs w:val="16"/>
              </w:rPr>
              <w:t>0.56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3C1E789" w14:textId="77D56478" w:rsidR="3C041A8E" w:rsidRDefault="3C041A8E" w:rsidP="3C041A8E">
            <w:pPr>
              <w:jc w:val="center"/>
            </w:pPr>
            <w:r w:rsidRPr="3C041A8E">
              <w:rPr>
                <w:rFonts w:ascii="Calibri" w:eastAsia="Calibri" w:hAnsi="Calibri" w:cs="Calibri"/>
                <w:color w:val="000000" w:themeColor="text1"/>
                <w:sz w:val="16"/>
                <w:szCs w:val="16"/>
              </w:rPr>
              <w:t>0.08</w:t>
            </w:r>
          </w:p>
        </w:tc>
      </w:tr>
      <w:tr w:rsidR="3C041A8E" w14:paraId="099CD736" w14:textId="77777777" w:rsidTr="114D2111">
        <w:trPr>
          <w:trHeight w:val="67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29DECE9" w14:textId="129C3102" w:rsidR="3C041A8E" w:rsidRDefault="01FD2733">
            <w:r w:rsidRPr="6D3EB64B">
              <w:rPr>
                <w:rFonts w:ascii="Calibri" w:eastAsia="Calibri" w:hAnsi="Calibri" w:cs="Calibri"/>
                <w:color w:val="000000" w:themeColor="text1"/>
                <w:sz w:val="16"/>
                <w:szCs w:val="16"/>
              </w:rPr>
              <w:t xml:space="preserve">Days Sales </w:t>
            </w:r>
            <w:r w:rsidR="25C5C86B" w:rsidRPr="6D3EB64B">
              <w:rPr>
                <w:rFonts w:ascii="Calibri" w:eastAsia="Calibri" w:hAnsi="Calibri" w:cs="Calibri"/>
                <w:color w:val="000000" w:themeColor="text1"/>
                <w:sz w:val="16"/>
                <w:szCs w:val="16"/>
              </w:rPr>
              <w:t>Outstanding</w:t>
            </w:r>
            <w:r w:rsidRPr="6D3EB64B">
              <w:rPr>
                <w:rFonts w:ascii="Calibri" w:eastAsia="Calibri" w:hAnsi="Calibri" w:cs="Calibri"/>
                <w:color w:val="000000" w:themeColor="text1"/>
                <w:sz w:val="16"/>
                <w:szCs w:val="16"/>
              </w:rPr>
              <w:t xml:space="preserve"> (DSO) based upon Trade and Other Receivables</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FC56C0B" w14:textId="552C58D4" w:rsidR="3C041A8E" w:rsidRDefault="3C041A8E" w:rsidP="3C041A8E">
            <w:pPr>
              <w:jc w:val="center"/>
            </w:pPr>
            <w:r w:rsidRPr="3C041A8E">
              <w:rPr>
                <w:rFonts w:ascii="Calibri" w:eastAsia="Calibri" w:hAnsi="Calibri" w:cs="Calibri"/>
                <w:color w:val="000000" w:themeColor="text1"/>
                <w:sz w:val="16"/>
                <w:szCs w:val="16"/>
              </w:rPr>
              <w:t>11</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3F3186F" w14:textId="3D26A8DD" w:rsidR="3C041A8E" w:rsidRDefault="7DDCF792" w:rsidP="3C041A8E">
            <w:r w:rsidRPr="114D2111">
              <w:rPr>
                <w:rFonts w:ascii="Calibri" w:eastAsia="Calibri" w:hAnsi="Calibri" w:cs="Calibri"/>
                <w:color w:val="000000" w:themeColor="text1"/>
                <w:sz w:val="16"/>
                <w:szCs w:val="16"/>
              </w:rPr>
              <w:t xml:space="preserve">The inclusion of other receivables </w:t>
            </w:r>
            <w:r w:rsidR="08C9A209" w:rsidRPr="114D2111">
              <w:rPr>
                <w:rFonts w:ascii="Calibri" w:eastAsia="Calibri" w:hAnsi="Calibri" w:cs="Calibri"/>
                <w:color w:val="000000" w:themeColor="text1"/>
                <w:sz w:val="16"/>
                <w:szCs w:val="16"/>
              </w:rPr>
              <w:t>clouds</w:t>
            </w:r>
            <w:r w:rsidRPr="114D2111">
              <w:rPr>
                <w:rFonts w:ascii="Calibri" w:eastAsia="Calibri" w:hAnsi="Calibri" w:cs="Calibri"/>
                <w:color w:val="000000" w:themeColor="text1"/>
                <w:sz w:val="16"/>
                <w:szCs w:val="16"/>
              </w:rPr>
              <w:t xml:space="preserve"> the </w:t>
            </w:r>
            <w:r w:rsidR="4929E430" w:rsidRPr="114D2111">
              <w:rPr>
                <w:rFonts w:ascii="Calibri" w:eastAsia="Calibri" w:hAnsi="Calibri" w:cs="Calibri"/>
                <w:color w:val="000000" w:themeColor="text1"/>
                <w:sz w:val="16"/>
                <w:szCs w:val="16"/>
              </w:rPr>
              <w:t>picture,</w:t>
            </w:r>
            <w:r w:rsidRPr="114D2111">
              <w:rPr>
                <w:rFonts w:ascii="Calibri" w:eastAsia="Calibri" w:hAnsi="Calibri" w:cs="Calibri"/>
                <w:color w:val="000000" w:themeColor="text1"/>
                <w:sz w:val="16"/>
                <w:szCs w:val="16"/>
              </w:rPr>
              <w:t xml:space="preserve"> and we really need to focus solely on Trade receivables to </w:t>
            </w:r>
            <w:bookmarkStart w:id="18" w:name="_Int_WQLtCXw2"/>
            <w:r w:rsidRPr="114D2111">
              <w:rPr>
                <w:rFonts w:ascii="Calibri" w:eastAsia="Calibri" w:hAnsi="Calibri" w:cs="Calibri"/>
                <w:color w:val="000000" w:themeColor="text1"/>
                <w:sz w:val="16"/>
                <w:szCs w:val="16"/>
              </w:rPr>
              <w:t>determine</w:t>
            </w:r>
            <w:bookmarkEnd w:id="18"/>
            <w:r w:rsidRPr="114D2111">
              <w:rPr>
                <w:rFonts w:ascii="Calibri" w:eastAsia="Calibri" w:hAnsi="Calibri" w:cs="Calibri"/>
                <w:color w:val="000000" w:themeColor="text1"/>
                <w:sz w:val="16"/>
                <w:szCs w:val="16"/>
              </w:rPr>
              <w:t xml:space="preserve"> the </w:t>
            </w:r>
            <w:bookmarkStart w:id="19" w:name="_Int_M5gEsmVn"/>
            <w:r w:rsidRPr="114D2111">
              <w:rPr>
                <w:rFonts w:ascii="Calibri" w:eastAsia="Calibri" w:hAnsi="Calibri" w:cs="Calibri"/>
                <w:color w:val="000000" w:themeColor="text1"/>
                <w:sz w:val="16"/>
                <w:szCs w:val="16"/>
              </w:rPr>
              <w:t>accurate</w:t>
            </w:r>
            <w:bookmarkEnd w:id="19"/>
            <w:r w:rsidRPr="114D2111">
              <w:rPr>
                <w:rFonts w:ascii="Calibri" w:eastAsia="Calibri" w:hAnsi="Calibri" w:cs="Calibri"/>
                <w:color w:val="000000" w:themeColor="text1"/>
                <w:sz w:val="16"/>
                <w:szCs w:val="16"/>
              </w:rPr>
              <w:t xml:space="preserve"> DSO ratio for our purposes</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14EB780" w14:textId="2A5A78DF" w:rsidR="3C041A8E" w:rsidRDefault="3C041A8E" w:rsidP="3C041A8E">
            <w:pPr>
              <w:jc w:val="center"/>
            </w:pPr>
            <w:r w:rsidRPr="3C041A8E">
              <w:rPr>
                <w:rFonts w:ascii="Calibri" w:eastAsia="Calibri" w:hAnsi="Calibri" w:cs="Calibri"/>
                <w:color w:val="000000" w:themeColor="text1"/>
                <w:sz w:val="16"/>
                <w:szCs w:val="16"/>
              </w:rPr>
              <w:t>82</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6E82DBF" w14:textId="1893ED03" w:rsidR="3C041A8E" w:rsidRDefault="3C041A8E" w:rsidP="3C041A8E">
            <w:pPr>
              <w:jc w:val="center"/>
            </w:pPr>
            <w:r w:rsidRPr="3C041A8E">
              <w:rPr>
                <w:rFonts w:ascii="Calibri" w:eastAsia="Calibri" w:hAnsi="Calibri" w:cs="Calibri"/>
                <w:color w:val="000000" w:themeColor="text1"/>
                <w:sz w:val="16"/>
                <w:szCs w:val="16"/>
              </w:rPr>
              <w:t>107</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254FC9C" w14:textId="0E200378" w:rsidR="3C041A8E" w:rsidRDefault="3C041A8E" w:rsidP="3C041A8E">
            <w:pPr>
              <w:jc w:val="center"/>
            </w:pPr>
            <w:r w:rsidRPr="3C041A8E">
              <w:rPr>
                <w:rFonts w:ascii="Calibri" w:eastAsia="Calibri" w:hAnsi="Calibri" w:cs="Calibri"/>
                <w:color w:val="000000" w:themeColor="text1"/>
                <w:sz w:val="16"/>
                <w:szCs w:val="16"/>
              </w:rPr>
              <w:t>94</w:t>
            </w:r>
          </w:p>
        </w:tc>
      </w:tr>
      <w:tr w:rsidR="3C041A8E" w14:paraId="61E07E6C"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72179A9" w14:textId="17E1EB9C" w:rsidR="3C041A8E" w:rsidRDefault="01FD2733">
            <w:r w:rsidRPr="6D3EB64B">
              <w:rPr>
                <w:rFonts w:ascii="Calibri" w:eastAsia="Calibri" w:hAnsi="Calibri" w:cs="Calibri"/>
                <w:color w:val="000000" w:themeColor="text1"/>
                <w:sz w:val="16"/>
                <w:szCs w:val="16"/>
              </w:rPr>
              <w:t xml:space="preserve">Days Sales </w:t>
            </w:r>
            <w:r w:rsidR="1442A04F" w:rsidRPr="6D3EB64B">
              <w:rPr>
                <w:rFonts w:ascii="Calibri" w:eastAsia="Calibri" w:hAnsi="Calibri" w:cs="Calibri"/>
                <w:color w:val="000000" w:themeColor="text1"/>
                <w:sz w:val="16"/>
                <w:szCs w:val="16"/>
              </w:rPr>
              <w:t>Outstanding</w:t>
            </w:r>
            <w:r w:rsidRPr="6D3EB64B">
              <w:rPr>
                <w:rFonts w:ascii="Calibri" w:eastAsia="Calibri" w:hAnsi="Calibri" w:cs="Calibri"/>
                <w:color w:val="000000" w:themeColor="text1"/>
                <w:sz w:val="16"/>
                <w:szCs w:val="16"/>
              </w:rPr>
              <w:t xml:space="preserve"> (DSO) based upon ONLY Trade Receivables</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31C4F2A" w14:textId="3D56CEE6" w:rsidR="3C041A8E" w:rsidRDefault="3C041A8E" w:rsidP="3C041A8E">
            <w:pPr>
              <w:jc w:val="center"/>
            </w:pPr>
            <w:r w:rsidRPr="3C041A8E">
              <w:rPr>
                <w:rFonts w:ascii="Calibri" w:eastAsia="Calibri" w:hAnsi="Calibri" w:cs="Calibri"/>
                <w:color w:val="000000" w:themeColor="text1"/>
                <w:sz w:val="16"/>
                <w:szCs w:val="16"/>
              </w:rPr>
              <w:t>12</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B967DC6" w14:textId="0A072F16" w:rsidR="3C041A8E" w:rsidRDefault="7DDCF792" w:rsidP="3C041A8E">
            <w:r w:rsidRPr="114D2111">
              <w:rPr>
                <w:rFonts w:ascii="Calibri" w:eastAsia="Calibri" w:hAnsi="Calibri" w:cs="Calibri"/>
                <w:color w:val="000000" w:themeColor="text1"/>
                <w:sz w:val="16"/>
                <w:szCs w:val="16"/>
              </w:rPr>
              <w:t xml:space="preserve">It is </w:t>
            </w:r>
            <w:bookmarkStart w:id="20" w:name="_Int_rQLHcYfR"/>
            <w:r w:rsidRPr="114D2111">
              <w:rPr>
                <w:rFonts w:ascii="Calibri" w:eastAsia="Calibri" w:hAnsi="Calibri" w:cs="Calibri"/>
                <w:color w:val="000000" w:themeColor="text1"/>
                <w:sz w:val="16"/>
                <w:szCs w:val="16"/>
              </w:rPr>
              <w:t>evident</w:t>
            </w:r>
            <w:bookmarkEnd w:id="20"/>
            <w:r w:rsidRPr="114D2111">
              <w:rPr>
                <w:rFonts w:ascii="Calibri" w:eastAsia="Calibri" w:hAnsi="Calibri" w:cs="Calibri"/>
                <w:color w:val="000000" w:themeColor="text1"/>
                <w:sz w:val="16"/>
                <w:szCs w:val="16"/>
              </w:rPr>
              <w:t xml:space="preserve"> that the DSO ratio is moving in the right direction</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B18245A" w14:textId="53AC7005" w:rsidR="3C041A8E" w:rsidRDefault="3C041A8E" w:rsidP="3C041A8E">
            <w:pPr>
              <w:jc w:val="center"/>
            </w:pPr>
            <w:r w:rsidRPr="3C041A8E">
              <w:rPr>
                <w:rFonts w:ascii="Calibri" w:eastAsia="Calibri" w:hAnsi="Calibri" w:cs="Calibri"/>
                <w:color w:val="000000" w:themeColor="text1"/>
                <w:sz w:val="16"/>
                <w:szCs w:val="16"/>
              </w:rPr>
              <w:t>46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3FA10B0" w14:textId="5BF93AEA" w:rsidR="3C041A8E" w:rsidRDefault="3C041A8E" w:rsidP="3C041A8E">
            <w:pPr>
              <w:jc w:val="center"/>
            </w:pPr>
            <w:r w:rsidRPr="3C041A8E">
              <w:rPr>
                <w:rFonts w:ascii="Calibri" w:eastAsia="Calibri" w:hAnsi="Calibri" w:cs="Calibri"/>
                <w:color w:val="000000" w:themeColor="text1"/>
                <w:sz w:val="16"/>
                <w:szCs w:val="16"/>
              </w:rPr>
              <w:t>61</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3D2788A" w14:textId="785443E9" w:rsidR="3C041A8E" w:rsidRDefault="3C041A8E" w:rsidP="3C041A8E">
            <w:pPr>
              <w:jc w:val="center"/>
            </w:pPr>
            <w:r w:rsidRPr="3C041A8E">
              <w:rPr>
                <w:rFonts w:ascii="Calibri" w:eastAsia="Calibri" w:hAnsi="Calibri" w:cs="Calibri"/>
                <w:color w:val="000000" w:themeColor="text1"/>
                <w:sz w:val="16"/>
                <w:szCs w:val="16"/>
              </w:rPr>
              <w:t>65</w:t>
            </w:r>
          </w:p>
        </w:tc>
      </w:tr>
      <w:tr w:rsidR="3C041A8E" w14:paraId="54FAF479"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449A66A" w14:textId="22CC7674" w:rsidR="3C041A8E" w:rsidRDefault="3C041A8E">
            <w:r w:rsidRPr="3C041A8E">
              <w:rPr>
                <w:rFonts w:ascii="Calibri" w:eastAsia="Calibri" w:hAnsi="Calibri" w:cs="Calibri"/>
                <w:color w:val="000000" w:themeColor="text1"/>
                <w:sz w:val="16"/>
                <w:szCs w:val="16"/>
              </w:rPr>
              <w:t>Inventory Turnover</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1B8F350" w14:textId="2BC2F0C2" w:rsidR="3C041A8E" w:rsidRDefault="3C041A8E" w:rsidP="3C041A8E">
            <w:pPr>
              <w:jc w:val="center"/>
            </w:pPr>
            <w:r w:rsidRPr="3C041A8E">
              <w:rPr>
                <w:rFonts w:ascii="Calibri" w:eastAsia="Calibri" w:hAnsi="Calibri" w:cs="Calibri"/>
                <w:color w:val="000000" w:themeColor="text1"/>
                <w:sz w:val="16"/>
                <w:szCs w:val="16"/>
              </w:rPr>
              <w:t>13</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4547E7C" w14:textId="05B79E08" w:rsidR="3C041A8E" w:rsidRDefault="3C041A8E" w:rsidP="3C041A8E">
            <w:r w:rsidRPr="3C041A8E">
              <w:rPr>
                <w:rFonts w:ascii="Calibri" w:eastAsia="Calibri" w:hAnsi="Calibri" w:cs="Calibri"/>
                <w:color w:val="000000" w:themeColor="text1"/>
                <w:sz w:val="16"/>
                <w:szCs w:val="16"/>
              </w:rPr>
              <w:t>Supply chain shortages have resulted in lower efficiency in terms of inventory turnover with some improvement in 2021</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6080FF8" w14:textId="2395A5BF" w:rsidR="3C041A8E" w:rsidRDefault="3C041A8E" w:rsidP="3C041A8E">
            <w:pPr>
              <w:jc w:val="center"/>
            </w:pPr>
            <w:r w:rsidRPr="3C041A8E">
              <w:rPr>
                <w:rFonts w:ascii="Calibri" w:eastAsia="Calibri" w:hAnsi="Calibri" w:cs="Calibri"/>
                <w:color w:val="000000" w:themeColor="text1"/>
                <w:sz w:val="16"/>
                <w:szCs w:val="16"/>
              </w:rPr>
              <w:t>3.72</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34FAE89" w14:textId="597C70B7" w:rsidR="3C041A8E" w:rsidRDefault="3C041A8E" w:rsidP="3C041A8E">
            <w:pPr>
              <w:jc w:val="center"/>
            </w:pPr>
            <w:r w:rsidRPr="3C041A8E">
              <w:rPr>
                <w:rFonts w:ascii="Calibri" w:eastAsia="Calibri" w:hAnsi="Calibri" w:cs="Calibri"/>
                <w:color w:val="000000" w:themeColor="text1"/>
                <w:sz w:val="16"/>
                <w:szCs w:val="16"/>
              </w:rPr>
              <w:t>2.45</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2ED834B" w14:textId="18EEA723" w:rsidR="3C041A8E" w:rsidRDefault="3C041A8E" w:rsidP="3C041A8E">
            <w:pPr>
              <w:jc w:val="center"/>
            </w:pPr>
            <w:r w:rsidRPr="3C041A8E">
              <w:rPr>
                <w:rFonts w:ascii="Calibri" w:eastAsia="Calibri" w:hAnsi="Calibri" w:cs="Calibri"/>
                <w:color w:val="000000" w:themeColor="text1"/>
                <w:sz w:val="16"/>
                <w:szCs w:val="16"/>
              </w:rPr>
              <w:t>3.51</w:t>
            </w:r>
          </w:p>
        </w:tc>
      </w:tr>
      <w:tr w:rsidR="3C041A8E" w14:paraId="5EE0D6D8"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AEF3FA0" w14:textId="28BD770B" w:rsidR="3C041A8E" w:rsidRDefault="3C041A8E">
            <w:r w:rsidRPr="3C041A8E">
              <w:rPr>
                <w:rFonts w:ascii="Calibri" w:eastAsia="Calibri" w:hAnsi="Calibri" w:cs="Calibri"/>
                <w:color w:val="000000" w:themeColor="text1"/>
                <w:sz w:val="16"/>
                <w:szCs w:val="16"/>
              </w:rPr>
              <w:t>Days Payable Outstanding (DPO) based upon Trade and Other Payables</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5B19FA1" w14:textId="335D86F8" w:rsidR="3C041A8E" w:rsidRDefault="3C041A8E" w:rsidP="3C041A8E">
            <w:pPr>
              <w:jc w:val="center"/>
            </w:pPr>
            <w:r w:rsidRPr="3C041A8E">
              <w:rPr>
                <w:rFonts w:ascii="Calibri" w:eastAsia="Calibri" w:hAnsi="Calibri" w:cs="Calibri"/>
                <w:color w:val="000000" w:themeColor="text1"/>
                <w:sz w:val="16"/>
                <w:szCs w:val="16"/>
              </w:rPr>
              <w:t>14</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E464DB8" w14:textId="0E7D9888" w:rsidR="3C041A8E" w:rsidRDefault="7DDCF792" w:rsidP="3C041A8E">
            <w:r w:rsidRPr="114D2111">
              <w:rPr>
                <w:rFonts w:ascii="Calibri" w:eastAsia="Calibri" w:hAnsi="Calibri" w:cs="Calibri"/>
                <w:color w:val="000000" w:themeColor="text1"/>
                <w:sz w:val="16"/>
                <w:szCs w:val="16"/>
              </w:rPr>
              <w:t xml:space="preserve">The inclusion of other payables distorts the </w:t>
            </w:r>
            <w:r w:rsidR="2B57B1C2" w:rsidRPr="114D2111">
              <w:rPr>
                <w:rFonts w:ascii="Calibri" w:eastAsia="Calibri" w:hAnsi="Calibri" w:cs="Calibri"/>
                <w:color w:val="000000" w:themeColor="text1"/>
                <w:sz w:val="16"/>
                <w:szCs w:val="16"/>
              </w:rPr>
              <w:t>picture,</w:t>
            </w:r>
            <w:r w:rsidRPr="114D2111">
              <w:rPr>
                <w:rFonts w:ascii="Calibri" w:eastAsia="Calibri" w:hAnsi="Calibri" w:cs="Calibri"/>
                <w:color w:val="000000" w:themeColor="text1"/>
                <w:sz w:val="16"/>
                <w:szCs w:val="16"/>
              </w:rPr>
              <w:t xml:space="preserve"> and we really need to focus on Trade payables alone to </w:t>
            </w:r>
            <w:bookmarkStart w:id="21" w:name="_Int_bL4dY4kj"/>
            <w:r w:rsidRPr="114D2111">
              <w:rPr>
                <w:rFonts w:ascii="Calibri" w:eastAsia="Calibri" w:hAnsi="Calibri" w:cs="Calibri"/>
                <w:color w:val="000000" w:themeColor="text1"/>
                <w:sz w:val="16"/>
                <w:szCs w:val="16"/>
              </w:rPr>
              <w:t>determine</w:t>
            </w:r>
            <w:bookmarkEnd w:id="21"/>
            <w:r w:rsidRPr="114D2111">
              <w:rPr>
                <w:rFonts w:ascii="Calibri" w:eastAsia="Calibri" w:hAnsi="Calibri" w:cs="Calibri"/>
                <w:color w:val="000000" w:themeColor="text1"/>
                <w:sz w:val="16"/>
                <w:szCs w:val="16"/>
              </w:rPr>
              <w:t xml:space="preserve"> the </w:t>
            </w:r>
            <w:bookmarkStart w:id="22" w:name="_Int_qO2tSvsN"/>
            <w:r w:rsidRPr="114D2111">
              <w:rPr>
                <w:rFonts w:ascii="Calibri" w:eastAsia="Calibri" w:hAnsi="Calibri" w:cs="Calibri"/>
                <w:color w:val="000000" w:themeColor="text1"/>
                <w:sz w:val="16"/>
                <w:szCs w:val="16"/>
              </w:rPr>
              <w:t>accurate</w:t>
            </w:r>
            <w:bookmarkEnd w:id="22"/>
            <w:r w:rsidRPr="114D2111">
              <w:rPr>
                <w:rFonts w:ascii="Calibri" w:eastAsia="Calibri" w:hAnsi="Calibri" w:cs="Calibri"/>
                <w:color w:val="000000" w:themeColor="text1"/>
                <w:sz w:val="16"/>
                <w:szCs w:val="16"/>
              </w:rPr>
              <w:t xml:space="preserve"> DSO ratio for our purposes</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56D4F1E" w14:textId="0A47EF22" w:rsidR="3C041A8E" w:rsidRDefault="3C041A8E" w:rsidP="3C041A8E">
            <w:pPr>
              <w:jc w:val="center"/>
            </w:pPr>
            <w:r w:rsidRPr="3C041A8E">
              <w:rPr>
                <w:rFonts w:ascii="Calibri" w:eastAsia="Calibri" w:hAnsi="Calibri" w:cs="Calibri"/>
                <w:color w:val="000000" w:themeColor="text1"/>
                <w:sz w:val="16"/>
                <w:szCs w:val="16"/>
              </w:rPr>
              <w:t>355</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7F8432E" w14:textId="13F555DB" w:rsidR="3C041A8E" w:rsidRDefault="3C041A8E" w:rsidP="3C041A8E">
            <w:pPr>
              <w:jc w:val="center"/>
            </w:pPr>
            <w:r w:rsidRPr="3C041A8E">
              <w:rPr>
                <w:rFonts w:ascii="Calibri" w:eastAsia="Calibri" w:hAnsi="Calibri" w:cs="Calibri"/>
                <w:color w:val="000000" w:themeColor="text1"/>
                <w:sz w:val="16"/>
                <w:szCs w:val="16"/>
              </w:rPr>
              <w:t>427</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92A4A42" w14:textId="7B2DDD6C" w:rsidR="3C041A8E" w:rsidRDefault="3C041A8E" w:rsidP="3C041A8E">
            <w:pPr>
              <w:jc w:val="center"/>
            </w:pPr>
            <w:r w:rsidRPr="3C041A8E">
              <w:rPr>
                <w:rFonts w:ascii="Calibri" w:eastAsia="Calibri" w:hAnsi="Calibri" w:cs="Calibri"/>
                <w:color w:val="000000" w:themeColor="text1"/>
                <w:sz w:val="16"/>
                <w:szCs w:val="16"/>
              </w:rPr>
              <w:t>422</w:t>
            </w:r>
          </w:p>
        </w:tc>
      </w:tr>
      <w:tr w:rsidR="3C041A8E" w14:paraId="19309F27"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59DAA69" w14:textId="7CD7A9CA" w:rsidR="3C041A8E" w:rsidRDefault="3C041A8E">
            <w:r w:rsidRPr="3C041A8E">
              <w:rPr>
                <w:rFonts w:ascii="Calibri" w:eastAsia="Calibri" w:hAnsi="Calibri" w:cs="Calibri"/>
                <w:color w:val="000000" w:themeColor="text1"/>
                <w:sz w:val="16"/>
                <w:szCs w:val="16"/>
              </w:rPr>
              <w:t>Days Payable Outstanding Trade based upon Trade Creditors ONLY</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6746A1E" w14:textId="5F378BB6" w:rsidR="3C041A8E" w:rsidRDefault="3C041A8E" w:rsidP="3C041A8E">
            <w:pPr>
              <w:jc w:val="center"/>
            </w:pPr>
            <w:r w:rsidRPr="3C041A8E">
              <w:rPr>
                <w:rFonts w:ascii="Calibri" w:eastAsia="Calibri" w:hAnsi="Calibri" w:cs="Calibri"/>
                <w:color w:val="000000" w:themeColor="text1"/>
                <w:sz w:val="16"/>
                <w:szCs w:val="16"/>
              </w:rPr>
              <w:t>15</w:t>
            </w:r>
          </w:p>
        </w:tc>
        <w:tc>
          <w:tcPr>
            <w:tcW w:w="433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538D900" w14:textId="41688EBE" w:rsidR="3C041A8E" w:rsidRDefault="3C041A8E" w:rsidP="3C041A8E">
            <w:r w:rsidRPr="3C041A8E">
              <w:rPr>
                <w:rFonts w:ascii="Calibri" w:eastAsia="Calibri" w:hAnsi="Calibri" w:cs="Calibri"/>
                <w:color w:val="000000" w:themeColor="text1"/>
                <w:sz w:val="16"/>
                <w:szCs w:val="16"/>
              </w:rPr>
              <w:t xml:space="preserve">AM intend to ensure that supplier payments are made within agreed </w:t>
            </w:r>
            <w:r w:rsidR="262BC6AA" w:rsidRPr="3C041A8E">
              <w:rPr>
                <w:rFonts w:ascii="Calibri" w:eastAsia="Calibri" w:hAnsi="Calibri" w:cs="Calibri"/>
                <w:color w:val="000000" w:themeColor="text1"/>
                <w:sz w:val="16"/>
                <w:szCs w:val="16"/>
              </w:rPr>
              <w:t>terms,</w:t>
            </w:r>
            <w:r w:rsidRPr="3C041A8E">
              <w:rPr>
                <w:rFonts w:ascii="Calibri" w:eastAsia="Calibri" w:hAnsi="Calibri" w:cs="Calibri"/>
                <w:color w:val="000000" w:themeColor="text1"/>
                <w:sz w:val="16"/>
                <w:szCs w:val="16"/>
              </w:rPr>
              <w:t xml:space="preserve"> and we can derive some comfort that this is happening</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A414F7C" w14:textId="3DD6DED0" w:rsidR="3C041A8E" w:rsidRDefault="3C041A8E" w:rsidP="3C041A8E">
            <w:pPr>
              <w:jc w:val="center"/>
            </w:pPr>
            <w:r w:rsidRPr="3C041A8E">
              <w:rPr>
                <w:rFonts w:ascii="Calibri" w:eastAsia="Calibri" w:hAnsi="Calibri" w:cs="Calibri"/>
                <w:color w:val="000000" w:themeColor="text1"/>
                <w:sz w:val="16"/>
                <w:szCs w:val="16"/>
              </w:rPr>
              <w:t>65</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81AEE96" w14:textId="024465CC" w:rsidR="3C041A8E" w:rsidRDefault="3C041A8E" w:rsidP="3C041A8E">
            <w:pPr>
              <w:jc w:val="center"/>
            </w:pPr>
            <w:r w:rsidRPr="3C041A8E">
              <w:rPr>
                <w:rFonts w:ascii="Calibri" w:eastAsia="Calibri" w:hAnsi="Calibri" w:cs="Calibri"/>
                <w:color w:val="000000" w:themeColor="text1"/>
                <w:sz w:val="16"/>
                <w:szCs w:val="16"/>
              </w:rPr>
              <w:t>76</w:t>
            </w:r>
          </w:p>
        </w:tc>
        <w:tc>
          <w:tcPr>
            <w:tcW w:w="64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8727501" w14:textId="0BC8C343" w:rsidR="3C041A8E" w:rsidRDefault="3C041A8E" w:rsidP="3C041A8E">
            <w:pPr>
              <w:jc w:val="center"/>
            </w:pPr>
            <w:r w:rsidRPr="3C041A8E">
              <w:rPr>
                <w:rFonts w:ascii="Calibri" w:eastAsia="Calibri" w:hAnsi="Calibri" w:cs="Calibri"/>
                <w:color w:val="000000" w:themeColor="text1"/>
                <w:sz w:val="16"/>
                <w:szCs w:val="16"/>
              </w:rPr>
              <w:t>79</w:t>
            </w:r>
          </w:p>
        </w:tc>
      </w:tr>
    </w:tbl>
    <w:p w14:paraId="0E10A425" w14:textId="3EF58251" w:rsidR="3C041A8E" w:rsidRDefault="3C041A8E" w:rsidP="3C041A8E">
      <w:pPr>
        <w:jc w:val="both"/>
      </w:pPr>
    </w:p>
    <w:p w14:paraId="715D55AD" w14:textId="4ADB1378" w:rsidR="6478761B" w:rsidRDefault="6478761B" w:rsidP="6478761B">
      <w:pPr>
        <w:jc w:val="both"/>
      </w:pPr>
    </w:p>
    <w:p w14:paraId="02404E71" w14:textId="1AC3D7F8" w:rsidR="0E5F69BA" w:rsidRDefault="0E5F69BA" w:rsidP="0E5F69BA">
      <w:pPr>
        <w:jc w:val="both"/>
        <w:rPr>
          <w:b/>
          <w:bCs/>
        </w:rPr>
      </w:pPr>
    </w:p>
    <w:p w14:paraId="656F43A4" w14:textId="0A93AFDC" w:rsidR="206D7551" w:rsidRDefault="081A0A44" w:rsidP="3C041A8E">
      <w:pPr>
        <w:jc w:val="both"/>
      </w:pPr>
      <w:r>
        <w:t>Ratio Summary (Continued)</w:t>
      </w:r>
    </w:p>
    <w:tbl>
      <w:tblPr>
        <w:tblStyle w:val="TableGrid"/>
        <w:tblW w:w="0" w:type="auto"/>
        <w:tblLayout w:type="fixed"/>
        <w:tblLook w:val="06A0" w:firstRow="1" w:lastRow="0" w:firstColumn="1" w:lastColumn="0" w:noHBand="1" w:noVBand="1"/>
      </w:tblPr>
      <w:tblGrid>
        <w:gridCol w:w="2503"/>
        <w:gridCol w:w="237"/>
        <w:gridCol w:w="4215"/>
        <w:gridCol w:w="118"/>
        <w:gridCol w:w="557"/>
        <w:gridCol w:w="90"/>
        <w:gridCol w:w="600"/>
        <w:gridCol w:w="47"/>
        <w:gridCol w:w="647"/>
        <w:gridCol w:w="7"/>
      </w:tblGrid>
      <w:tr w:rsidR="3C041A8E" w14:paraId="1372676C" w14:textId="77777777" w:rsidTr="3C041A8E">
        <w:trPr>
          <w:gridAfter w:val="1"/>
          <w:wAfter w:w="7" w:type="dxa"/>
          <w:trHeight w:val="300"/>
        </w:trPr>
        <w:tc>
          <w:tcPr>
            <w:tcW w:w="2503" w:type="dxa"/>
            <w:tcBorders>
              <w:top w:val="nil"/>
              <w:left w:val="nil"/>
              <w:bottom w:val="nil"/>
              <w:right w:val="nil"/>
            </w:tcBorders>
            <w:tcMar>
              <w:top w:w="15" w:type="dxa"/>
              <w:left w:w="15" w:type="dxa"/>
              <w:right w:w="15" w:type="dxa"/>
            </w:tcMar>
            <w:vAlign w:val="bottom"/>
          </w:tcPr>
          <w:p w14:paraId="4D83702A" w14:textId="71852D21" w:rsidR="3C041A8E" w:rsidRDefault="3C041A8E">
            <w:r w:rsidRPr="3C041A8E">
              <w:rPr>
                <w:rFonts w:ascii="Calibri" w:eastAsia="Calibri" w:hAnsi="Calibri" w:cs="Calibri"/>
                <w:color w:val="000000" w:themeColor="text1"/>
                <w:sz w:val="16"/>
                <w:szCs w:val="16"/>
              </w:rPr>
              <w:t>Ratio</w:t>
            </w:r>
          </w:p>
        </w:tc>
        <w:tc>
          <w:tcPr>
            <w:tcW w:w="237" w:type="dxa"/>
            <w:tcBorders>
              <w:top w:val="nil"/>
              <w:left w:val="nil"/>
              <w:bottom w:val="nil"/>
              <w:right w:val="nil"/>
            </w:tcBorders>
            <w:tcMar>
              <w:top w:w="15" w:type="dxa"/>
              <w:left w:w="15" w:type="dxa"/>
              <w:right w:w="15" w:type="dxa"/>
            </w:tcMar>
            <w:vAlign w:val="bottom"/>
          </w:tcPr>
          <w:p w14:paraId="4785B2CF" w14:textId="177F0CAB" w:rsidR="3C041A8E" w:rsidRDefault="3C041A8E" w:rsidP="3C041A8E">
            <w:pPr>
              <w:jc w:val="center"/>
            </w:pPr>
            <w:r w:rsidRPr="3C041A8E">
              <w:rPr>
                <w:rFonts w:ascii="Calibri" w:eastAsia="Calibri" w:hAnsi="Calibri" w:cs="Calibri"/>
                <w:color w:val="000000" w:themeColor="text1"/>
                <w:sz w:val="16"/>
                <w:szCs w:val="16"/>
                <w:u w:val="single"/>
              </w:rPr>
              <w:t>#</w:t>
            </w:r>
          </w:p>
        </w:tc>
        <w:tc>
          <w:tcPr>
            <w:tcW w:w="4333" w:type="dxa"/>
            <w:gridSpan w:val="2"/>
            <w:tcBorders>
              <w:top w:val="nil"/>
              <w:left w:val="nil"/>
              <w:bottom w:val="nil"/>
              <w:right w:val="nil"/>
            </w:tcBorders>
            <w:tcMar>
              <w:top w:w="15" w:type="dxa"/>
              <w:left w:w="15" w:type="dxa"/>
              <w:right w:w="15" w:type="dxa"/>
            </w:tcMar>
            <w:vAlign w:val="bottom"/>
          </w:tcPr>
          <w:p w14:paraId="15847C19" w14:textId="1AB3B4F2" w:rsidR="3C041A8E" w:rsidRDefault="3C041A8E" w:rsidP="3C041A8E">
            <w:pPr>
              <w:jc w:val="center"/>
            </w:pPr>
            <w:r w:rsidRPr="3C041A8E">
              <w:rPr>
                <w:rFonts w:ascii="Calibri" w:eastAsia="Calibri" w:hAnsi="Calibri" w:cs="Calibri"/>
                <w:color w:val="000000" w:themeColor="text1"/>
                <w:sz w:val="16"/>
                <w:szCs w:val="16"/>
                <w:u w:val="single"/>
              </w:rPr>
              <w:t>Initial Observations for further consideration</w:t>
            </w:r>
          </w:p>
        </w:tc>
        <w:tc>
          <w:tcPr>
            <w:tcW w:w="647" w:type="dxa"/>
            <w:gridSpan w:val="2"/>
            <w:tcBorders>
              <w:top w:val="nil"/>
              <w:left w:val="nil"/>
              <w:bottom w:val="nil"/>
              <w:right w:val="nil"/>
            </w:tcBorders>
            <w:tcMar>
              <w:top w:w="15" w:type="dxa"/>
              <w:left w:w="15" w:type="dxa"/>
              <w:right w:w="15" w:type="dxa"/>
            </w:tcMar>
            <w:vAlign w:val="bottom"/>
          </w:tcPr>
          <w:p w14:paraId="092E9410" w14:textId="47F6484B" w:rsidR="3C041A8E" w:rsidRDefault="3C041A8E" w:rsidP="3C041A8E">
            <w:pPr>
              <w:jc w:val="center"/>
            </w:pPr>
            <w:r w:rsidRPr="3C041A8E">
              <w:rPr>
                <w:rFonts w:ascii="Calibri" w:eastAsia="Calibri" w:hAnsi="Calibri" w:cs="Calibri"/>
                <w:color w:val="000000" w:themeColor="text1"/>
                <w:sz w:val="16"/>
                <w:szCs w:val="16"/>
                <w:u w:val="single"/>
              </w:rPr>
              <w:t>2021</w:t>
            </w:r>
          </w:p>
        </w:tc>
        <w:tc>
          <w:tcPr>
            <w:tcW w:w="647" w:type="dxa"/>
            <w:gridSpan w:val="2"/>
            <w:tcBorders>
              <w:top w:val="nil"/>
              <w:left w:val="nil"/>
              <w:bottom w:val="nil"/>
              <w:right w:val="nil"/>
            </w:tcBorders>
            <w:tcMar>
              <w:top w:w="15" w:type="dxa"/>
              <w:left w:w="15" w:type="dxa"/>
              <w:right w:w="15" w:type="dxa"/>
            </w:tcMar>
            <w:vAlign w:val="bottom"/>
          </w:tcPr>
          <w:p w14:paraId="1EEEB4FF" w14:textId="58C1D9AE" w:rsidR="3C041A8E" w:rsidRDefault="3C041A8E" w:rsidP="3C041A8E">
            <w:pPr>
              <w:jc w:val="center"/>
            </w:pPr>
            <w:r w:rsidRPr="3C041A8E">
              <w:rPr>
                <w:rFonts w:ascii="Calibri" w:eastAsia="Calibri" w:hAnsi="Calibri" w:cs="Calibri"/>
                <w:color w:val="000000" w:themeColor="text1"/>
                <w:sz w:val="16"/>
                <w:szCs w:val="16"/>
                <w:u w:val="single"/>
              </w:rPr>
              <w:t>2020</w:t>
            </w:r>
          </w:p>
        </w:tc>
        <w:tc>
          <w:tcPr>
            <w:tcW w:w="647" w:type="dxa"/>
            <w:tcBorders>
              <w:top w:val="nil"/>
              <w:left w:val="nil"/>
              <w:bottom w:val="nil"/>
              <w:right w:val="nil"/>
            </w:tcBorders>
            <w:tcMar>
              <w:top w:w="15" w:type="dxa"/>
              <w:left w:w="15" w:type="dxa"/>
              <w:right w:w="15" w:type="dxa"/>
            </w:tcMar>
            <w:vAlign w:val="bottom"/>
          </w:tcPr>
          <w:p w14:paraId="148B4DA7" w14:textId="6A850AFE" w:rsidR="3C041A8E" w:rsidRDefault="3C041A8E" w:rsidP="3C041A8E">
            <w:pPr>
              <w:jc w:val="center"/>
            </w:pPr>
            <w:r w:rsidRPr="3C041A8E">
              <w:rPr>
                <w:rFonts w:ascii="Calibri" w:eastAsia="Calibri" w:hAnsi="Calibri" w:cs="Calibri"/>
                <w:color w:val="000000" w:themeColor="text1"/>
                <w:sz w:val="16"/>
                <w:szCs w:val="16"/>
                <w:u w:val="single"/>
              </w:rPr>
              <w:t>2019</w:t>
            </w:r>
          </w:p>
        </w:tc>
      </w:tr>
      <w:tr w:rsidR="3C041A8E" w14:paraId="5273E9EB" w14:textId="77777777" w:rsidTr="114D2111">
        <w:trPr>
          <w:trHeight w:val="67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D2B0CB1" w14:textId="4303EF7B" w:rsidR="3C041A8E" w:rsidRDefault="3C041A8E">
            <w:r w:rsidRPr="3C041A8E">
              <w:rPr>
                <w:rFonts w:ascii="Calibri" w:eastAsia="Calibri" w:hAnsi="Calibri" w:cs="Calibri"/>
                <w:color w:val="000000" w:themeColor="text1"/>
                <w:sz w:val="16"/>
                <w:szCs w:val="16"/>
              </w:rPr>
              <w:t>Gearing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569AA9E" w14:textId="4AA85748" w:rsidR="3C041A8E" w:rsidRDefault="3C041A8E" w:rsidP="3C041A8E">
            <w:pPr>
              <w:jc w:val="center"/>
            </w:pPr>
            <w:r w:rsidRPr="3C041A8E">
              <w:rPr>
                <w:rFonts w:ascii="Calibri" w:eastAsia="Calibri" w:hAnsi="Calibri" w:cs="Calibri"/>
                <w:color w:val="000000" w:themeColor="text1"/>
                <w:sz w:val="16"/>
                <w:szCs w:val="16"/>
              </w:rPr>
              <w:t>16</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6AFDD9D" w14:textId="443BDFB2" w:rsidR="3C041A8E" w:rsidRDefault="3C041A8E" w:rsidP="3C041A8E">
            <w:r w:rsidRPr="3C041A8E">
              <w:rPr>
                <w:rFonts w:ascii="Calibri" w:eastAsia="Calibri" w:hAnsi="Calibri" w:cs="Calibri"/>
                <w:color w:val="000000" w:themeColor="text1"/>
                <w:sz w:val="16"/>
                <w:szCs w:val="16"/>
              </w:rPr>
              <w:t xml:space="preserve">Gearing is </w:t>
            </w:r>
            <w:r w:rsidR="0469A97D" w:rsidRPr="3C041A8E">
              <w:rPr>
                <w:rFonts w:ascii="Calibri" w:eastAsia="Calibri" w:hAnsi="Calibri" w:cs="Calibri"/>
                <w:color w:val="000000" w:themeColor="text1"/>
                <w:sz w:val="16"/>
                <w:szCs w:val="16"/>
              </w:rPr>
              <w:t>relatively high</w:t>
            </w:r>
            <w:r w:rsidRPr="3C041A8E">
              <w:rPr>
                <w:rFonts w:ascii="Calibri" w:eastAsia="Calibri" w:hAnsi="Calibri" w:cs="Calibri"/>
                <w:color w:val="000000" w:themeColor="text1"/>
                <w:sz w:val="16"/>
                <w:szCs w:val="16"/>
              </w:rPr>
              <w:t xml:space="preserve"> and the new share issue in 2022 has gone some way to improving the position despite adverse foreign currency movements and ongoing supply chain challenges</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B256E22" w14:textId="3130832C" w:rsidR="3C041A8E" w:rsidRDefault="3C041A8E" w:rsidP="3C041A8E">
            <w:pPr>
              <w:jc w:val="center"/>
            </w:pPr>
            <w:r w:rsidRPr="3C041A8E">
              <w:rPr>
                <w:rFonts w:ascii="Calibri" w:eastAsia="Calibri" w:hAnsi="Calibri" w:cs="Calibri"/>
                <w:color w:val="000000" w:themeColor="text1"/>
                <w:sz w:val="16"/>
                <w:szCs w:val="16"/>
              </w:rPr>
              <w:t>65.91%</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FD49EA8" w14:textId="19DA3D94" w:rsidR="3C041A8E" w:rsidRDefault="3C041A8E" w:rsidP="3C041A8E">
            <w:pPr>
              <w:jc w:val="center"/>
            </w:pPr>
            <w:r w:rsidRPr="3C041A8E">
              <w:rPr>
                <w:rFonts w:ascii="Calibri" w:eastAsia="Calibri" w:hAnsi="Calibri" w:cs="Calibri"/>
                <w:color w:val="000000" w:themeColor="text1"/>
                <w:sz w:val="16"/>
                <w:szCs w:val="16"/>
              </w:rPr>
              <w:t>59.52%</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22C3D3B" w14:textId="3CBAC2C0" w:rsidR="3C041A8E" w:rsidRDefault="3C041A8E" w:rsidP="3C041A8E">
            <w:pPr>
              <w:jc w:val="center"/>
            </w:pPr>
            <w:r w:rsidRPr="3C041A8E">
              <w:rPr>
                <w:rFonts w:ascii="Calibri" w:eastAsia="Calibri" w:hAnsi="Calibri" w:cs="Calibri"/>
                <w:color w:val="000000" w:themeColor="text1"/>
                <w:sz w:val="16"/>
                <w:szCs w:val="16"/>
              </w:rPr>
              <w:t>75.42%</w:t>
            </w:r>
          </w:p>
        </w:tc>
      </w:tr>
      <w:tr w:rsidR="3C041A8E" w14:paraId="0372160F" w14:textId="77777777" w:rsidTr="114D2111">
        <w:trPr>
          <w:trHeight w:val="675"/>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06B85E3" w14:textId="504655E4" w:rsidR="3C041A8E" w:rsidRDefault="3C041A8E">
            <w:r w:rsidRPr="3C041A8E">
              <w:rPr>
                <w:rFonts w:ascii="Calibri" w:eastAsia="Calibri" w:hAnsi="Calibri" w:cs="Calibri"/>
                <w:color w:val="000000" w:themeColor="text1"/>
                <w:sz w:val="16"/>
                <w:szCs w:val="16"/>
              </w:rPr>
              <w:t>Debt to Equity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D630573" w14:textId="3753BAB9" w:rsidR="3C041A8E" w:rsidRDefault="3C041A8E" w:rsidP="3C041A8E">
            <w:pPr>
              <w:jc w:val="center"/>
            </w:pPr>
            <w:r w:rsidRPr="3C041A8E">
              <w:rPr>
                <w:rFonts w:ascii="Calibri" w:eastAsia="Calibri" w:hAnsi="Calibri" w:cs="Calibri"/>
                <w:color w:val="000000" w:themeColor="text1"/>
                <w:sz w:val="16"/>
                <w:szCs w:val="16"/>
              </w:rPr>
              <w:t>17</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42A9702" w14:textId="38A345E3" w:rsidR="3C041A8E" w:rsidRDefault="4E65018E" w:rsidP="5AC7D45C">
            <w:pPr>
              <w:rPr>
                <w:rFonts w:ascii="Calibri" w:eastAsia="Calibri" w:hAnsi="Calibri" w:cs="Calibri"/>
                <w:color w:val="000000" w:themeColor="text1"/>
                <w:sz w:val="16"/>
                <w:szCs w:val="16"/>
              </w:rPr>
            </w:pPr>
            <w:r w:rsidRPr="114D2111">
              <w:rPr>
                <w:rFonts w:ascii="Calibri" w:eastAsia="Calibri" w:hAnsi="Calibri" w:cs="Calibri"/>
                <w:color w:val="000000" w:themeColor="text1"/>
                <w:sz w:val="16"/>
                <w:szCs w:val="16"/>
              </w:rPr>
              <w:t>A new share issue in 2022 is designed to reduce the proportion of expensive loan notes which have been issued in the absence of business generated positive cash flows</w:t>
            </w:r>
            <w:r w:rsidR="149EC05A" w:rsidRPr="114D2111">
              <w:rPr>
                <w:rFonts w:ascii="Calibri" w:eastAsia="Calibri" w:hAnsi="Calibri" w:cs="Calibri"/>
                <w:color w:val="000000" w:themeColor="text1"/>
                <w:sz w:val="16"/>
                <w:szCs w:val="16"/>
              </w:rPr>
              <w:t>.</w:t>
            </w:r>
            <w:r w:rsidR="5AC7D45C" w:rsidRPr="114D2111">
              <w:rPr>
                <w:rFonts w:ascii="Calibri" w:eastAsia="Calibri" w:hAnsi="Calibri" w:cs="Calibri"/>
                <w:color w:val="000000" w:themeColor="text1"/>
                <w:sz w:val="16"/>
                <w:szCs w:val="16"/>
              </w:rPr>
              <w:t xml:space="preserve"> </w:t>
            </w:r>
            <w:sdt>
              <w:sdtPr>
                <w:rPr>
                  <w:sz w:val="16"/>
                  <w:szCs w:val="16"/>
                </w:rPr>
                <w:alias w:val="Citation"/>
                <w:tag w:val="{&quot;referencesIds&quot;:[&quot;doc:63cb98c0d3e8d8054ff64993&quot;],&quot;referencesOptions&quot;:{&quot;doc:63cb98c0d3e8d8054ff64993&quot;:{&quot;author&quot;:true,&quot;year&quot;:true,&quot;pageReplace&quot;:&quot;&quot;,&quot;prefix&quot;:&quot;&quot;,&quot;suffix&quot;:&quot;&quot;}},&quot;hasBrokenReferences&quot;:false,&quot;hasManualEdits&quot;:false,&quot;citationType&quot;:&quot;inline&quot;}"/>
                <w:id w:val="283176476"/>
                <w:placeholder>
                  <w:docPart w:val="DefaultPlaceholder_1081868574"/>
                </w:placeholder>
              </w:sdtPr>
              <w:sdtEndPr>
                <w:rPr>
                  <w:sz w:val="22"/>
                  <w:szCs w:val="22"/>
                </w:rPr>
              </w:sdtEndPr>
              <w:sdtContent>
                <w:r w:rsidR="5EC524EC" w:rsidRPr="008E4E20">
                  <w:rPr>
                    <w:rFonts w:ascii="Calibri" w:eastAsia="Calibri" w:hAnsi="Calibri" w:cs="Calibri"/>
                    <w:color w:val="000000" w:themeColor="text1"/>
                    <w:sz w:val="16"/>
                    <w:szCs w:val="16"/>
                  </w:rPr>
                  <w:t>(Maverick 2021)</w:t>
                </w:r>
              </w:sdtContent>
            </w:sdt>
            <w:r w:rsidR="1A93AB5F" w:rsidRPr="114D2111">
              <w:rPr>
                <w:rFonts w:ascii="Calibri" w:eastAsia="Calibri" w:hAnsi="Calibri" w:cs="Calibri"/>
                <w:color w:val="000000" w:themeColor="text1"/>
                <w:sz w:val="16"/>
                <w:szCs w:val="16"/>
              </w:rPr>
              <w:t xml:space="preserve"> suggests that D/E ratios for aut</w:t>
            </w:r>
            <w:r w:rsidR="1E393411" w:rsidRPr="114D2111">
              <w:rPr>
                <w:rFonts w:ascii="Calibri" w:eastAsia="Calibri" w:hAnsi="Calibri" w:cs="Calibri"/>
                <w:color w:val="000000" w:themeColor="text1"/>
                <w:sz w:val="16"/>
                <w:szCs w:val="16"/>
              </w:rPr>
              <w:t xml:space="preserve">o </w:t>
            </w:r>
            <w:r w:rsidR="1A93AB5F" w:rsidRPr="114D2111">
              <w:rPr>
                <w:rFonts w:ascii="Calibri" w:eastAsia="Calibri" w:hAnsi="Calibri" w:cs="Calibri"/>
                <w:color w:val="000000" w:themeColor="text1"/>
                <w:sz w:val="16"/>
                <w:szCs w:val="16"/>
              </w:rPr>
              <w:t xml:space="preserve">manufacturers </w:t>
            </w:r>
            <w:r w:rsidR="65F2ACAC" w:rsidRPr="114D2111">
              <w:rPr>
                <w:rFonts w:ascii="Calibri" w:eastAsia="Calibri" w:hAnsi="Calibri" w:cs="Calibri"/>
                <w:color w:val="000000" w:themeColor="text1"/>
                <w:sz w:val="16"/>
                <w:szCs w:val="16"/>
              </w:rPr>
              <w:t>would be higher and cites GM at 3.01 or 301%</w:t>
            </w:r>
            <w:r w:rsidR="2B0B9E4A" w:rsidRPr="114D2111">
              <w:rPr>
                <w:rFonts w:ascii="Calibri" w:eastAsia="Calibri" w:hAnsi="Calibri" w:cs="Calibri"/>
                <w:color w:val="000000" w:themeColor="text1"/>
                <w:sz w:val="16"/>
                <w:szCs w:val="16"/>
              </w:rPr>
              <w:t xml:space="preserve"> for its first quarter in 2022</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490D72D" w14:textId="6626E755" w:rsidR="3C041A8E" w:rsidRDefault="3C041A8E" w:rsidP="3C041A8E">
            <w:pPr>
              <w:jc w:val="center"/>
            </w:pPr>
            <w:r w:rsidRPr="3C041A8E">
              <w:rPr>
                <w:rFonts w:ascii="Calibri" w:eastAsia="Calibri" w:hAnsi="Calibri" w:cs="Calibri"/>
                <w:color w:val="000000" w:themeColor="text1"/>
                <w:sz w:val="16"/>
                <w:szCs w:val="16"/>
              </w:rPr>
              <w:t>330.42%</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5166504" w14:textId="46286DC5" w:rsidR="3C041A8E" w:rsidRDefault="3C041A8E" w:rsidP="3C041A8E">
            <w:pPr>
              <w:jc w:val="center"/>
            </w:pPr>
            <w:r w:rsidRPr="3C041A8E">
              <w:rPr>
                <w:rFonts w:ascii="Calibri" w:eastAsia="Calibri" w:hAnsi="Calibri" w:cs="Calibri"/>
                <w:color w:val="000000" w:themeColor="text1"/>
                <w:sz w:val="16"/>
                <w:szCs w:val="16"/>
              </w:rPr>
              <w:t>247.57%</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01285E4" w14:textId="7D81C253" w:rsidR="3C041A8E" w:rsidRDefault="3C041A8E" w:rsidP="3C041A8E">
            <w:pPr>
              <w:jc w:val="center"/>
            </w:pPr>
            <w:r w:rsidRPr="3C041A8E">
              <w:rPr>
                <w:rFonts w:ascii="Calibri" w:eastAsia="Calibri" w:hAnsi="Calibri" w:cs="Calibri"/>
                <w:color w:val="000000" w:themeColor="text1"/>
                <w:sz w:val="16"/>
                <w:szCs w:val="16"/>
              </w:rPr>
              <w:t>576.91%</w:t>
            </w:r>
          </w:p>
        </w:tc>
      </w:tr>
      <w:tr w:rsidR="3C041A8E" w14:paraId="15FF30C7" w14:textId="77777777" w:rsidTr="114D2111">
        <w:trPr>
          <w:trHeight w:val="30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F04A79F" w14:textId="1A82EB79" w:rsidR="3C041A8E" w:rsidRDefault="3C041A8E">
            <w:r w:rsidRPr="3C041A8E">
              <w:rPr>
                <w:rFonts w:ascii="Calibri" w:eastAsia="Calibri" w:hAnsi="Calibri" w:cs="Calibri"/>
                <w:color w:val="000000" w:themeColor="text1"/>
                <w:sz w:val="16"/>
                <w:szCs w:val="16"/>
              </w:rPr>
              <w:t>Long Term Debt to Equity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B0247BB" w14:textId="32E64045" w:rsidR="3C041A8E" w:rsidRDefault="3C041A8E" w:rsidP="3C041A8E">
            <w:pPr>
              <w:jc w:val="center"/>
            </w:pPr>
            <w:r w:rsidRPr="3C041A8E">
              <w:rPr>
                <w:rFonts w:ascii="Calibri" w:eastAsia="Calibri" w:hAnsi="Calibri" w:cs="Calibri"/>
                <w:color w:val="000000" w:themeColor="text1"/>
                <w:sz w:val="16"/>
                <w:szCs w:val="16"/>
              </w:rPr>
              <w:t>18</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1D228C9" w14:textId="1761EE43" w:rsidR="3C041A8E" w:rsidRDefault="3C041A8E" w:rsidP="3C041A8E">
            <w:r w:rsidRPr="3C041A8E">
              <w:rPr>
                <w:rFonts w:ascii="Calibri" w:eastAsia="Calibri" w:hAnsi="Calibri" w:cs="Calibri"/>
                <w:color w:val="000000" w:themeColor="text1"/>
                <w:sz w:val="16"/>
                <w:szCs w:val="16"/>
              </w:rPr>
              <w:t>Note 17 applies</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C0D91E5" w14:textId="27BEFAFA" w:rsidR="3C041A8E" w:rsidRDefault="3C041A8E" w:rsidP="3C041A8E">
            <w:pPr>
              <w:jc w:val="center"/>
            </w:pPr>
            <w:r w:rsidRPr="3C041A8E">
              <w:rPr>
                <w:rFonts w:ascii="Calibri" w:eastAsia="Calibri" w:hAnsi="Calibri" w:cs="Calibri"/>
                <w:color w:val="000000" w:themeColor="text1"/>
                <w:sz w:val="16"/>
                <w:szCs w:val="16"/>
              </w:rPr>
              <w:t>162.76%</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F813A21" w14:textId="73D54B39" w:rsidR="3C041A8E" w:rsidRDefault="3C041A8E" w:rsidP="3C041A8E">
            <w:pPr>
              <w:jc w:val="center"/>
            </w:pPr>
            <w:r w:rsidRPr="3C041A8E">
              <w:rPr>
                <w:rFonts w:ascii="Calibri" w:eastAsia="Calibri" w:hAnsi="Calibri" w:cs="Calibri"/>
                <w:color w:val="000000" w:themeColor="text1"/>
                <w:sz w:val="16"/>
                <w:szCs w:val="16"/>
              </w:rPr>
              <w:t>120.79%</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33AABC7" w14:textId="14C69D13" w:rsidR="3C041A8E" w:rsidRDefault="3C041A8E" w:rsidP="3C041A8E">
            <w:pPr>
              <w:jc w:val="center"/>
            </w:pPr>
            <w:r w:rsidRPr="3C041A8E">
              <w:rPr>
                <w:rFonts w:ascii="Calibri" w:eastAsia="Calibri" w:hAnsi="Calibri" w:cs="Calibri"/>
                <w:color w:val="000000" w:themeColor="text1"/>
                <w:sz w:val="16"/>
                <w:szCs w:val="16"/>
              </w:rPr>
              <w:t>254.58%</w:t>
            </w:r>
          </w:p>
        </w:tc>
      </w:tr>
      <w:tr w:rsidR="3C041A8E" w14:paraId="22E68C69"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7EEF887" w14:textId="70C34930" w:rsidR="3C041A8E" w:rsidRDefault="3C041A8E">
            <w:r w:rsidRPr="3C041A8E">
              <w:rPr>
                <w:rFonts w:ascii="Calibri" w:eastAsia="Calibri" w:hAnsi="Calibri" w:cs="Calibri"/>
                <w:color w:val="000000" w:themeColor="text1"/>
                <w:sz w:val="16"/>
                <w:szCs w:val="16"/>
              </w:rPr>
              <w:t>Interest Coverage Percentage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EC41911" w14:textId="392CF4F2" w:rsidR="3C041A8E" w:rsidRDefault="3C041A8E" w:rsidP="3C041A8E">
            <w:pPr>
              <w:jc w:val="center"/>
            </w:pPr>
            <w:r w:rsidRPr="3C041A8E">
              <w:rPr>
                <w:rFonts w:ascii="Calibri" w:eastAsia="Calibri" w:hAnsi="Calibri" w:cs="Calibri"/>
                <w:color w:val="000000" w:themeColor="text1"/>
                <w:sz w:val="16"/>
                <w:szCs w:val="16"/>
              </w:rPr>
              <w:t>19</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19A3527" w14:textId="773CC942" w:rsidR="3C041A8E" w:rsidRDefault="3C041A8E" w:rsidP="3C041A8E">
            <w:r w:rsidRPr="3C041A8E">
              <w:rPr>
                <w:rFonts w:ascii="Calibri" w:eastAsia="Calibri" w:hAnsi="Calibri" w:cs="Calibri"/>
                <w:color w:val="000000" w:themeColor="text1"/>
                <w:sz w:val="16"/>
                <w:szCs w:val="16"/>
              </w:rPr>
              <w:t>The vulnerability of any retained profit is highlighted by the burden of servicing AM's debt</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BD2837E" w14:textId="4224D6B8" w:rsidR="3C041A8E" w:rsidRDefault="3C041A8E" w:rsidP="3C041A8E">
            <w:pPr>
              <w:jc w:val="center"/>
            </w:pPr>
            <w:r w:rsidRPr="3C041A8E">
              <w:rPr>
                <w:rFonts w:ascii="Calibri" w:eastAsia="Calibri" w:hAnsi="Calibri" w:cs="Calibri"/>
                <w:color w:val="000000" w:themeColor="text1"/>
                <w:sz w:val="16"/>
                <w:szCs w:val="16"/>
              </w:rPr>
              <w:t>-50.56%</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4A178C3" w14:textId="3F460AA8" w:rsidR="3C041A8E" w:rsidRDefault="3C041A8E" w:rsidP="3C041A8E">
            <w:pPr>
              <w:jc w:val="center"/>
            </w:pPr>
            <w:r w:rsidRPr="3C041A8E">
              <w:rPr>
                <w:rFonts w:ascii="Calibri" w:eastAsia="Calibri" w:hAnsi="Calibri" w:cs="Calibri"/>
                <w:color w:val="000000" w:themeColor="text1"/>
                <w:sz w:val="16"/>
                <w:szCs w:val="16"/>
              </w:rPr>
              <w:t>-328.15%</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426A3EB" w14:textId="727EE84A" w:rsidR="3C041A8E" w:rsidRDefault="3C041A8E" w:rsidP="3C041A8E">
            <w:pPr>
              <w:jc w:val="center"/>
            </w:pPr>
            <w:r w:rsidRPr="3C041A8E">
              <w:rPr>
                <w:rFonts w:ascii="Calibri" w:eastAsia="Calibri" w:hAnsi="Calibri" w:cs="Calibri"/>
                <w:color w:val="000000" w:themeColor="text1"/>
                <w:sz w:val="16"/>
                <w:szCs w:val="16"/>
              </w:rPr>
              <w:t>-94.03%</w:t>
            </w:r>
          </w:p>
        </w:tc>
      </w:tr>
      <w:tr w:rsidR="3C041A8E" w14:paraId="6C413BB6"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D0697FC" w14:textId="3FB16F1E" w:rsidR="3C041A8E" w:rsidRDefault="3C041A8E">
            <w:r w:rsidRPr="3C041A8E">
              <w:rPr>
                <w:rFonts w:ascii="Calibri" w:eastAsia="Calibri" w:hAnsi="Calibri" w:cs="Calibri"/>
                <w:color w:val="000000" w:themeColor="text1"/>
                <w:sz w:val="16"/>
                <w:szCs w:val="16"/>
              </w:rPr>
              <w:t>Earnings (p) Per Ordinary Share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0A65BCD" w14:textId="569F7BA4" w:rsidR="3C041A8E" w:rsidRDefault="3C041A8E" w:rsidP="3C041A8E">
            <w:pPr>
              <w:jc w:val="center"/>
            </w:pPr>
            <w:r w:rsidRPr="3C041A8E">
              <w:rPr>
                <w:rFonts w:ascii="Calibri" w:eastAsia="Calibri" w:hAnsi="Calibri" w:cs="Calibri"/>
                <w:color w:val="000000" w:themeColor="text1"/>
                <w:sz w:val="16"/>
                <w:szCs w:val="16"/>
              </w:rPr>
              <w:t>20</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E22295A" w14:textId="55D9EA46" w:rsidR="3C041A8E" w:rsidRDefault="3C041A8E" w:rsidP="3C041A8E">
            <w:r w:rsidRPr="3C041A8E">
              <w:rPr>
                <w:rFonts w:ascii="Calibri" w:eastAsia="Calibri" w:hAnsi="Calibri" w:cs="Calibri"/>
                <w:color w:val="000000" w:themeColor="text1"/>
                <w:sz w:val="16"/>
                <w:szCs w:val="16"/>
              </w:rPr>
              <w:t xml:space="preserve">Ongoing net losses are likely to continue until 2024/25 when EBITDA is projected to reach £500M. </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44FD0ED" w14:textId="1FA521F8" w:rsidR="3C041A8E" w:rsidRDefault="3C041A8E" w:rsidP="3C041A8E">
            <w:pPr>
              <w:jc w:val="center"/>
            </w:pPr>
            <w:r w:rsidRPr="3C041A8E">
              <w:rPr>
                <w:rFonts w:ascii="Calibri" w:eastAsia="Calibri" w:hAnsi="Calibri" w:cs="Calibri"/>
                <w:color w:val="000000" w:themeColor="text1"/>
                <w:sz w:val="16"/>
                <w:szCs w:val="16"/>
              </w:rPr>
              <w:t>-165.9</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A46C192" w14:textId="5393BD5A" w:rsidR="3C041A8E" w:rsidRDefault="3C041A8E" w:rsidP="3C041A8E">
            <w:pPr>
              <w:jc w:val="center"/>
            </w:pPr>
            <w:r w:rsidRPr="3C041A8E">
              <w:rPr>
                <w:rFonts w:ascii="Calibri" w:eastAsia="Calibri" w:hAnsi="Calibri" w:cs="Calibri"/>
                <w:color w:val="000000" w:themeColor="text1"/>
                <w:sz w:val="16"/>
                <w:szCs w:val="16"/>
              </w:rPr>
              <w:t>-543.1</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CD08537" w14:textId="652D257E" w:rsidR="3C041A8E" w:rsidRDefault="3C041A8E" w:rsidP="3C041A8E">
            <w:pPr>
              <w:jc w:val="center"/>
            </w:pPr>
            <w:r w:rsidRPr="3C041A8E">
              <w:rPr>
                <w:rFonts w:ascii="Calibri" w:eastAsia="Calibri" w:hAnsi="Calibri" w:cs="Calibri"/>
                <w:color w:val="000000" w:themeColor="text1"/>
                <w:sz w:val="16"/>
                <w:szCs w:val="16"/>
              </w:rPr>
              <w:t>-290.6</w:t>
            </w:r>
          </w:p>
        </w:tc>
      </w:tr>
      <w:tr w:rsidR="3C041A8E" w14:paraId="56970F30"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8762178" w14:textId="10F077BE" w:rsidR="3C041A8E" w:rsidRDefault="3C041A8E">
            <w:r w:rsidRPr="3C041A8E">
              <w:rPr>
                <w:rFonts w:ascii="Calibri" w:eastAsia="Calibri" w:hAnsi="Calibri" w:cs="Calibri"/>
                <w:color w:val="000000" w:themeColor="text1"/>
                <w:sz w:val="16"/>
                <w:szCs w:val="16"/>
              </w:rPr>
              <w:t>Dividend Cover (Percentage) - Not applicable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599A71F" w14:textId="265D8EF6" w:rsidR="3C041A8E" w:rsidRDefault="3C041A8E" w:rsidP="3C041A8E">
            <w:pPr>
              <w:jc w:val="center"/>
            </w:pPr>
            <w:r w:rsidRPr="3C041A8E">
              <w:rPr>
                <w:rFonts w:ascii="Calibri" w:eastAsia="Calibri" w:hAnsi="Calibri" w:cs="Calibri"/>
                <w:color w:val="000000" w:themeColor="text1"/>
                <w:sz w:val="16"/>
                <w:szCs w:val="16"/>
              </w:rPr>
              <w:t>21</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9398EE2" w14:textId="5A9CDBE6" w:rsidR="3C041A8E" w:rsidRDefault="3C041A8E" w:rsidP="3C041A8E">
            <w:r w:rsidRPr="3C041A8E">
              <w:rPr>
                <w:rFonts w:ascii="Calibri" w:eastAsia="Calibri" w:hAnsi="Calibri" w:cs="Calibri"/>
                <w:color w:val="000000" w:themeColor="text1"/>
                <w:sz w:val="16"/>
                <w:szCs w:val="16"/>
              </w:rPr>
              <w:t>This metric is not currently relevant for AM as no dividends have been proposed, nor are they likely to be over the next few years</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FAC2E28" w14:textId="1BEE2399" w:rsidR="3C041A8E" w:rsidRDefault="3C041A8E" w:rsidP="3C041A8E">
            <w:pPr>
              <w:jc w:val="center"/>
            </w:pPr>
            <w:r w:rsidRPr="3C041A8E">
              <w:rPr>
                <w:rFonts w:ascii="Calibri" w:eastAsia="Calibri" w:hAnsi="Calibri" w:cs="Calibri"/>
                <w:color w:val="000000" w:themeColor="text1"/>
                <w:sz w:val="16"/>
                <w:szCs w:val="16"/>
              </w:rPr>
              <w:t>n/a</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6790FD2" w14:textId="54C08369" w:rsidR="3C041A8E" w:rsidRDefault="3C041A8E" w:rsidP="3C041A8E">
            <w:pPr>
              <w:jc w:val="center"/>
            </w:pPr>
            <w:r w:rsidRPr="3C041A8E">
              <w:rPr>
                <w:rFonts w:ascii="Calibri" w:eastAsia="Calibri" w:hAnsi="Calibri" w:cs="Calibri"/>
                <w:color w:val="000000" w:themeColor="text1"/>
                <w:sz w:val="16"/>
                <w:szCs w:val="16"/>
              </w:rPr>
              <w:t>n/a</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493FB4D" w14:textId="65520DAC" w:rsidR="3C041A8E" w:rsidRDefault="3C041A8E" w:rsidP="3C041A8E">
            <w:pPr>
              <w:jc w:val="center"/>
            </w:pPr>
            <w:r w:rsidRPr="3C041A8E">
              <w:rPr>
                <w:rFonts w:ascii="Calibri" w:eastAsia="Calibri" w:hAnsi="Calibri" w:cs="Calibri"/>
                <w:color w:val="000000" w:themeColor="text1"/>
                <w:sz w:val="16"/>
                <w:szCs w:val="16"/>
              </w:rPr>
              <w:t>n/a</w:t>
            </w:r>
          </w:p>
        </w:tc>
      </w:tr>
      <w:tr w:rsidR="3C041A8E" w14:paraId="24CE153C" w14:textId="77777777" w:rsidTr="114D2111">
        <w:trPr>
          <w:trHeight w:val="30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12AB8956" w14:textId="017B4C9A" w:rsidR="3C041A8E" w:rsidRDefault="3C041A8E">
            <w:r w:rsidRPr="3C041A8E">
              <w:rPr>
                <w:rFonts w:ascii="Calibri" w:eastAsia="Calibri" w:hAnsi="Calibri" w:cs="Calibri"/>
                <w:color w:val="000000" w:themeColor="text1"/>
                <w:sz w:val="16"/>
                <w:szCs w:val="16"/>
              </w:rPr>
              <w:t xml:space="preserve">PE Ratio </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DA09589" w14:textId="5762D231" w:rsidR="3C041A8E" w:rsidRDefault="3C041A8E" w:rsidP="3C041A8E">
            <w:pPr>
              <w:jc w:val="center"/>
            </w:pPr>
            <w:r w:rsidRPr="3C041A8E">
              <w:rPr>
                <w:rFonts w:ascii="Calibri" w:eastAsia="Calibri" w:hAnsi="Calibri" w:cs="Calibri"/>
                <w:color w:val="000000" w:themeColor="text1"/>
                <w:sz w:val="16"/>
                <w:szCs w:val="16"/>
              </w:rPr>
              <w:t>22</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9ACEF72" w14:textId="03DC5E87" w:rsidR="3C041A8E" w:rsidRDefault="3C041A8E" w:rsidP="3C041A8E">
            <w:r w:rsidRPr="3C041A8E">
              <w:rPr>
                <w:rFonts w:ascii="Calibri" w:eastAsia="Calibri" w:hAnsi="Calibri" w:cs="Calibri"/>
                <w:color w:val="000000" w:themeColor="text1"/>
                <w:sz w:val="16"/>
                <w:szCs w:val="16"/>
              </w:rPr>
              <w:t xml:space="preserve"> </w:t>
            </w:r>
            <w:r w:rsidR="00BE6392">
              <w:rPr>
                <w:rFonts w:ascii="Calibri" w:eastAsia="Calibri" w:hAnsi="Calibri" w:cs="Calibri"/>
                <w:color w:val="000000" w:themeColor="text1"/>
                <w:sz w:val="16"/>
                <w:szCs w:val="16"/>
              </w:rPr>
              <w:t>Whilst negative, the Market expects future earnings to arise</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393234F" w14:textId="5EBB3E3D" w:rsidR="3C041A8E" w:rsidRDefault="3C041A8E" w:rsidP="3C041A8E">
            <w:pPr>
              <w:jc w:val="center"/>
            </w:pPr>
            <w:r w:rsidRPr="3C041A8E">
              <w:rPr>
                <w:rFonts w:ascii="Calibri" w:eastAsia="Calibri" w:hAnsi="Calibri" w:cs="Calibri"/>
                <w:color w:val="000000" w:themeColor="text1"/>
                <w:sz w:val="16"/>
                <w:szCs w:val="16"/>
              </w:rPr>
              <w:t>-8.16</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D254F2A" w14:textId="64C890F3" w:rsidR="3C041A8E" w:rsidRDefault="3C041A8E" w:rsidP="3C041A8E">
            <w:pPr>
              <w:jc w:val="center"/>
            </w:pPr>
            <w:r w:rsidRPr="3C041A8E">
              <w:rPr>
                <w:rFonts w:ascii="Calibri" w:eastAsia="Calibri" w:hAnsi="Calibri" w:cs="Calibri"/>
                <w:color w:val="000000" w:themeColor="text1"/>
                <w:sz w:val="16"/>
                <w:szCs w:val="16"/>
              </w:rPr>
              <w:t>-3.7</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D7C4AE1" w14:textId="095C9668" w:rsidR="3C041A8E" w:rsidRDefault="3C041A8E" w:rsidP="3C041A8E">
            <w:pPr>
              <w:jc w:val="center"/>
            </w:pPr>
            <w:r w:rsidRPr="3C041A8E">
              <w:rPr>
                <w:rFonts w:ascii="Calibri" w:eastAsia="Calibri" w:hAnsi="Calibri" w:cs="Calibri"/>
                <w:color w:val="000000" w:themeColor="text1"/>
                <w:sz w:val="16"/>
                <w:szCs w:val="16"/>
              </w:rPr>
              <w:t>-11.48</w:t>
            </w:r>
          </w:p>
        </w:tc>
      </w:tr>
      <w:tr w:rsidR="3C041A8E" w14:paraId="3A4E6890" w14:textId="77777777" w:rsidTr="114D2111">
        <w:trPr>
          <w:trHeight w:val="30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21E49762" w14:textId="0A783F84" w:rsidR="3C041A8E" w:rsidRDefault="3C041A8E">
            <w:r w:rsidRPr="3C041A8E">
              <w:rPr>
                <w:rFonts w:ascii="Calibri" w:eastAsia="Calibri" w:hAnsi="Calibri" w:cs="Calibri"/>
                <w:color w:val="000000" w:themeColor="text1"/>
                <w:sz w:val="16"/>
                <w:szCs w:val="16"/>
              </w:rPr>
              <w:t>Dividend Yield Ratio</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86C67AC" w14:textId="710FD0F3" w:rsidR="3C041A8E" w:rsidRDefault="3C041A8E" w:rsidP="3C041A8E">
            <w:pPr>
              <w:jc w:val="center"/>
            </w:pPr>
            <w:r w:rsidRPr="3C041A8E">
              <w:rPr>
                <w:rFonts w:ascii="Calibri" w:eastAsia="Calibri" w:hAnsi="Calibri" w:cs="Calibri"/>
                <w:color w:val="000000" w:themeColor="text1"/>
                <w:sz w:val="16"/>
                <w:szCs w:val="16"/>
              </w:rPr>
              <w:t>23</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DF0CF6D" w14:textId="1B00F977" w:rsidR="3C041A8E" w:rsidRDefault="3C041A8E" w:rsidP="3C041A8E">
            <w:r w:rsidRPr="3C041A8E">
              <w:rPr>
                <w:rFonts w:ascii="Calibri" w:eastAsia="Calibri" w:hAnsi="Calibri" w:cs="Calibri"/>
                <w:color w:val="000000" w:themeColor="text1"/>
                <w:sz w:val="16"/>
                <w:szCs w:val="16"/>
              </w:rPr>
              <w:t>Note 21 applies</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7FA709DC" w14:textId="3AF59256" w:rsidR="3C041A8E" w:rsidRDefault="3C041A8E" w:rsidP="3C041A8E">
            <w:pPr>
              <w:jc w:val="center"/>
            </w:pPr>
            <w:r w:rsidRPr="3C041A8E">
              <w:rPr>
                <w:rFonts w:ascii="Calibri" w:eastAsia="Calibri" w:hAnsi="Calibri" w:cs="Calibri"/>
                <w:color w:val="000000" w:themeColor="text1"/>
                <w:sz w:val="16"/>
                <w:szCs w:val="16"/>
              </w:rPr>
              <w:t>0</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F7CC39B" w14:textId="19AA0836" w:rsidR="3C041A8E" w:rsidRDefault="3C041A8E" w:rsidP="3C041A8E">
            <w:pPr>
              <w:jc w:val="center"/>
            </w:pPr>
            <w:r w:rsidRPr="3C041A8E">
              <w:rPr>
                <w:rFonts w:ascii="Calibri" w:eastAsia="Calibri" w:hAnsi="Calibri" w:cs="Calibri"/>
                <w:color w:val="000000" w:themeColor="text1"/>
                <w:sz w:val="16"/>
                <w:szCs w:val="16"/>
              </w:rPr>
              <w:t>0</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A15551A" w14:textId="2CBCBC76" w:rsidR="3C041A8E" w:rsidRDefault="3C041A8E" w:rsidP="3C041A8E">
            <w:pPr>
              <w:jc w:val="center"/>
            </w:pPr>
            <w:r w:rsidRPr="3C041A8E">
              <w:rPr>
                <w:rFonts w:ascii="Calibri" w:eastAsia="Calibri" w:hAnsi="Calibri" w:cs="Calibri"/>
                <w:color w:val="000000" w:themeColor="text1"/>
                <w:sz w:val="16"/>
                <w:szCs w:val="16"/>
              </w:rPr>
              <w:t>0</w:t>
            </w:r>
          </w:p>
        </w:tc>
      </w:tr>
      <w:tr w:rsidR="3C041A8E" w14:paraId="0E9E7021" w14:textId="77777777" w:rsidTr="114D2111">
        <w:trPr>
          <w:trHeight w:val="450"/>
        </w:trPr>
        <w:tc>
          <w:tcPr>
            <w:tcW w:w="2503"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6EA30C64" w14:textId="043D55E5" w:rsidR="3C041A8E" w:rsidRDefault="3C041A8E">
            <w:r w:rsidRPr="3C041A8E">
              <w:rPr>
                <w:rFonts w:ascii="Calibri" w:eastAsia="Calibri" w:hAnsi="Calibri" w:cs="Calibri"/>
                <w:color w:val="000000" w:themeColor="text1"/>
                <w:sz w:val="16"/>
                <w:szCs w:val="16"/>
              </w:rPr>
              <w:t>Revenue per Employee</w:t>
            </w:r>
          </w:p>
        </w:tc>
        <w:tc>
          <w:tcPr>
            <w:tcW w:w="237"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19DB3A6" w14:textId="59D2E8AC" w:rsidR="3C041A8E" w:rsidRDefault="3C041A8E" w:rsidP="3C041A8E">
            <w:pPr>
              <w:jc w:val="center"/>
            </w:pPr>
            <w:r w:rsidRPr="3C041A8E">
              <w:rPr>
                <w:rFonts w:ascii="Calibri" w:eastAsia="Calibri" w:hAnsi="Calibri" w:cs="Calibri"/>
                <w:color w:val="000000" w:themeColor="text1"/>
                <w:sz w:val="16"/>
                <w:szCs w:val="16"/>
              </w:rPr>
              <w:t>24</w:t>
            </w:r>
          </w:p>
        </w:tc>
        <w:tc>
          <w:tcPr>
            <w:tcW w:w="4215" w:type="dxa"/>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088437F3" w14:textId="717CE687" w:rsidR="3C041A8E" w:rsidRDefault="3C041A8E" w:rsidP="3C041A8E">
            <w:r w:rsidRPr="3C041A8E">
              <w:rPr>
                <w:rFonts w:ascii="Calibri" w:eastAsia="Calibri" w:hAnsi="Calibri" w:cs="Calibri"/>
                <w:color w:val="000000" w:themeColor="text1"/>
                <w:sz w:val="16"/>
                <w:szCs w:val="16"/>
              </w:rPr>
              <w:t xml:space="preserve">Revenue per employee is increasing and should improve further </w:t>
            </w:r>
            <w:r w:rsidR="21696E4B" w:rsidRPr="3C041A8E">
              <w:rPr>
                <w:rFonts w:ascii="Calibri" w:eastAsia="Calibri" w:hAnsi="Calibri" w:cs="Calibri"/>
                <w:color w:val="000000" w:themeColor="text1"/>
                <w:sz w:val="16"/>
                <w:szCs w:val="16"/>
              </w:rPr>
              <w:t>because of</w:t>
            </w:r>
            <w:r w:rsidRPr="3C041A8E">
              <w:rPr>
                <w:rFonts w:ascii="Calibri" w:eastAsia="Calibri" w:hAnsi="Calibri" w:cs="Calibri"/>
                <w:color w:val="000000" w:themeColor="text1"/>
                <w:sz w:val="16"/>
                <w:szCs w:val="16"/>
              </w:rPr>
              <w:t xml:space="preserve"> production efficiencies being introduced</w:t>
            </w:r>
          </w:p>
        </w:tc>
        <w:tc>
          <w:tcPr>
            <w:tcW w:w="675"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4BEAB264" w14:textId="14B64D84" w:rsidR="3C041A8E" w:rsidRDefault="3C041A8E" w:rsidP="3C041A8E">
            <w:pPr>
              <w:jc w:val="center"/>
            </w:pPr>
            <w:r w:rsidRPr="3C041A8E">
              <w:rPr>
                <w:rFonts w:ascii="Calibri" w:eastAsia="Calibri" w:hAnsi="Calibri" w:cs="Calibri"/>
                <w:color w:val="000000" w:themeColor="text1"/>
                <w:sz w:val="16"/>
                <w:szCs w:val="16"/>
              </w:rPr>
              <w:t>£465,900</w:t>
            </w:r>
          </w:p>
        </w:tc>
        <w:tc>
          <w:tcPr>
            <w:tcW w:w="690" w:type="dxa"/>
            <w:gridSpan w:val="2"/>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51F2E115" w14:textId="793738C0" w:rsidR="3C041A8E" w:rsidRDefault="3C041A8E" w:rsidP="3C041A8E">
            <w:pPr>
              <w:jc w:val="center"/>
            </w:pPr>
            <w:r w:rsidRPr="3C041A8E">
              <w:rPr>
                <w:rFonts w:ascii="Calibri" w:eastAsia="Calibri" w:hAnsi="Calibri" w:cs="Calibri"/>
                <w:color w:val="000000" w:themeColor="text1"/>
                <w:sz w:val="16"/>
                <w:szCs w:val="16"/>
              </w:rPr>
              <w:t>£246,000</w:t>
            </w:r>
          </w:p>
        </w:tc>
        <w:tc>
          <w:tcPr>
            <w:tcW w:w="696" w:type="dxa"/>
            <w:gridSpan w:val="3"/>
            <w:tcBorders>
              <w:top w:val="single" w:sz="4" w:space="0" w:color="auto"/>
              <w:left w:val="single" w:sz="4" w:space="0" w:color="auto"/>
              <w:bottom w:val="single" w:sz="4" w:space="0" w:color="auto"/>
              <w:right w:val="single" w:sz="4" w:space="0" w:color="auto"/>
            </w:tcBorders>
            <w:tcMar>
              <w:top w:w="15" w:type="dxa"/>
              <w:left w:w="15" w:type="dxa"/>
              <w:right w:w="15" w:type="dxa"/>
            </w:tcMar>
          </w:tcPr>
          <w:p w14:paraId="311F8376" w14:textId="03E1479C" w:rsidR="3C041A8E" w:rsidRDefault="3C041A8E" w:rsidP="3C041A8E">
            <w:pPr>
              <w:jc w:val="center"/>
            </w:pPr>
            <w:r w:rsidRPr="3C041A8E">
              <w:rPr>
                <w:rFonts w:ascii="Calibri" w:eastAsia="Calibri" w:hAnsi="Calibri" w:cs="Calibri"/>
                <w:color w:val="000000" w:themeColor="text1"/>
                <w:sz w:val="16"/>
                <w:szCs w:val="16"/>
              </w:rPr>
              <w:t>£382,300</w:t>
            </w:r>
          </w:p>
        </w:tc>
      </w:tr>
    </w:tbl>
    <w:p w14:paraId="3D723FCB" w14:textId="39648364" w:rsidR="3C041A8E" w:rsidRDefault="3C041A8E" w:rsidP="3C041A8E">
      <w:pPr>
        <w:jc w:val="both"/>
        <w:rPr>
          <w:b/>
          <w:bCs/>
        </w:rPr>
      </w:pPr>
    </w:p>
    <w:p w14:paraId="682BA178" w14:textId="206E33EB" w:rsidR="7E78EBDB" w:rsidRDefault="7E78EBDB" w:rsidP="114D2111">
      <w:pPr>
        <w:rPr>
          <w:b/>
          <w:bCs/>
        </w:rPr>
      </w:pPr>
      <w:r w:rsidRPr="114D2111">
        <w:rPr>
          <w:b/>
          <w:bCs/>
        </w:rPr>
        <w:t>What happened in the first 9 months of 2022?</w:t>
      </w:r>
    </w:p>
    <w:p w14:paraId="5DFE128D" w14:textId="42A0C996" w:rsidR="4300354F" w:rsidRDefault="4300354F" w:rsidP="114D2111">
      <w:pPr>
        <w:jc w:val="both"/>
      </w:pPr>
      <w:r>
        <w:t xml:space="preserve">We noted that in Q3 2022, AM achieved revenues of £315M from the sale of 1,384 units resulting in an average selling price of £227K per vehicle. This is ahead of the Q3 2022 YTD average of £211K and </w:t>
      </w:r>
      <w:bookmarkStart w:id="23" w:name="_Int_kParm1yY"/>
      <w:r>
        <w:t>indicates</w:t>
      </w:r>
      <w:bookmarkEnd w:id="23"/>
      <w:r>
        <w:t xml:space="preserve"> a strategy, based upon the online configurator, of delivering and capturing further customer value through customisation of vehicles.</w:t>
      </w:r>
    </w:p>
    <w:p w14:paraId="367F6664" w14:textId="4BEA1C69" w:rsidR="4300354F" w:rsidRDefault="4300354F" w:rsidP="114D2111">
      <w:pPr>
        <w:jc w:val="both"/>
      </w:pPr>
      <w:r>
        <w:t>The average selling price taken from Ferrari’s results in Q3 was 331,555 euros, approximately £282K (based upon the average exchange rate in 2022: 1.173 EUR). This places Ferrari’s ASP at circa 24% higher than AM during Q3.</w:t>
      </w:r>
    </w:p>
    <w:p w14:paraId="6033D3E5" w14:textId="649BA23C" w:rsidR="4300354F" w:rsidRDefault="4300354F" w:rsidP="114D2111">
      <w:pPr>
        <w:jc w:val="both"/>
      </w:pPr>
      <w:r>
        <w:t>The Q3 summary projections for 2024/25 seem understated and should provide AM with some ‘wriggle room’ in terms of generating, managing, and meeting stakeholder expectations.</w:t>
      </w:r>
    </w:p>
    <w:p w14:paraId="41ABD022" w14:textId="59A7A18A" w:rsidR="00EB4608" w:rsidRPr="00EB4608" w:rsidRDefault="00EB4608" w:rsidP="114D2111">
      <w:pPr>
        <w:jc w:val="both"/>
      </w:pPr>
      <w:r w:rsidRPr="00EB4608">
        <w:rPr>
          <w:u w:val="single"/>
        </w:rPr>
        <w:t>Additional information on Q3 results is provided in a MarketLine report in Appendix 8</w:t>
      </w:r>
      <w:r>
        <w:t>.</w:t>
      </w:r>
    </w:p>
    <w:p w14:paraId="29159EF7" w14:textId="01CF660A" w:rsidR="114D2111" w:rsidRPr="00EB4608" w:rsidRDefault="114D2111" w:rsidP="114D2111">
      <w:pPr>
        <w:jc w:val="both"/>
        <w:rPr>
          <w:b/>
          <w:bCs/>
        </w:rPr>
      </w:pPr>
    </w:p>
    <w:p w14:paraId="731D2A10" w14:textId="7D3F21C0" w:rsidR="114D2111" w:rsidRPr="00EB4608" w:rsidRDefault="114D2111" w:rsidP="114D2111">
      <w:pPr>
        <w:jc w:val="both"/>
        <w:rPr>
          <w:b/>
          <w:bCs/>
        </w:rPr>
      </w:pPr>
    </w:p>
    <w:p w14:paraId="233C3ED2" w14:textId="41149D06" w:rsidR="114D2111" w:rsidRPr="00EB4608" w:rsidRDefault="114D2111" w:rsidP="114D2111">
      <w:pPr>
        <w:jc w:val="both"/>
        <w:rPr>
          <w:b/>
          <w:bCs/>
        </w:rPr>
      </w:pPr>
    </w:p>
    <w:p w14:paraId="6D415C2A" w14:textId="21494595" w:rsidR="114D2111" w:rsidRPr="00EB4608" w:rsidRDefault="114D2111" w:rsidP="114D2111">
      <w:pPr>
        <w:jc w:val="both"/>
        <w:rPr>
          <w:b/>
          <w:bCs/>
        </w:rPr>
      </w:pPr>
    </w:p>
    <w:p w14:paraId="3E41A335" w14:textId="28F36F3B" w:rsidR="114D2111" w:rsidRPr="00EB4608" w:rsidRDefault="114D2111" w:rsidP="114D2111">
      <w:pPr>
        <w:jc w:val="both"/>
        <w:rPr>
          <w:b/>
          <w:bCs/>
        </w:rPr>
      </w:pPr>
    </w:p>
    <w:p w14:paraId="1DFEE09C" w14:textId="77777777" w:rsidR="0005709B" w:rsidRPr="00EB4608" w:rsidRDefault="0005709B" w:rsidP="114D2111">
      <w:pPr>
        <w:jc w:val="both"/>
        <w:rPr>
          <w:b/>
          <w:bCs/>
        </w:rPr>
      </w:pPr>
    </w:p>
    <w:p w14:paraId="551757E1" w14:textId="251DDE57" w:rsidR="114D2111" w:rsidRPr="00EB4608" w:rsidRDefault="114D2111" w:rsidP="114D2111">
      <w:pPr>
        <w:jc w:val="both"/>
        <w:rPr>
          <w:b/>
          <w:bCs/>
        </w:rPr>
      </w:pPr>
    </w:p>
    <w:p w14:paraId="3FB304F1" w14:textId="77777777" w:rsidR="008E4E20" w:rsidRDefault="008E4E20" w:rsidP="114D2111">
      <w:pPr>
        <w:jc w:val="both"/>
        <w:rPr>
          <w:b/>
          <w:bCs/>
        </w:rPr>
      </w:pPr>
    </w:p>
    <w:p w14:paraId="5EBE3148" w14:textId="5BC8C178" w:rsidR="375C0F6C" w:rsidRPr="007C74E3" w:rsidRDefault="00277834" w:rsidP="114D2111">
      <w:pPr>
        <w:jc w:val="both"/>
        <w:rPr>
          <w:b/>
          <w:bCs/>
        </w:rPr>
      </w:pPr>
      <w:r>
        <w:rPr>
          <w:b/>
          <w:bCs/>
        </w:rPr>
        <w:t>4</w:t>
      </w:r>
      <w:r w:rsidR="114D2111" w:rsidRPr="007C74E3">
        <w:rPr>
          <w:b/>
          <w:bCs/>
        </w:rPr>
        <w:t xml:space="preserve">. </w:t>
      </w:r>
      <w:bookmarkStart w:id="24" w:name="_Hlk125310679"/>
      <w:r w:rsidR="4F26E8B6" w:rsidRPr="007C74E3">
        <w:rPr>
          <w:b/>
          <w:bCs/>
        </w:rPr>
        <w:t>EBITDA</w:t>
      </w:r>
      <w:sdt>
        <w:sdtPr>
          <w:rPr>
            <w:b/>
            <w:bCs/>
          </w:rPr>
          <w:id w:val="1614024191"/>
          <w:citation/>
        </w:sdtPr>
        <w:sdtContent>
          <w:r w:rsidR="00D4585B">
            <w:rPr>
              <w:b/>
              <w:bCs/>
            </w:rPr>
            <w:fldChar w:fldCharType="begin"/>
          </w:r>
          <w:r w:rsidR="00D4585B">
            <w:rPr>
              <w:b/>
              <w:bCs/>
            </w:rPr>
            <w:instrText xml:space="preserve"> CITATION GEN23 \l 2057 </w:instrText>
          </w:r>
          <w:r w:rsidR="00D4585B">
            <w:rPr>
              <w:b/>
              <w:bCs/>
            </w:rPr>
            <w:fldChar w:fldCharType="separate"/>
          </w:r>
          <w:r w:rsidR="00D4585B">
            <w:rPr>
              <w:b/>
              <w:bCs/>
              <w:noProof/>
            </w:rPr>
            <w:t xml:space="preserve"> </w:t>
          </w:r>
          <w:r w:rsidR="00D4585B" w:rsidRPr="00D4585B">
            <w:rPr>
              <w:noProof/>
            </w:rPr>
            <w:t>(GENERATIONAL EQUITY, 2023)</w:t>
          </w:r>
          <w:r w:rsidR="00D4585B">
            <w:rPr>
              <w:b/>
              <w:bCs/>
            </w:rPr>
            <w:fldChar w:fldCharType="end"/>
          </w:r>
        </w:sdtContent>
      </w:sdt>
      <w:r w:rsidR="4F26E8B6" w:rsidRPr="007C74E3">
        <w:rPr>
          <w:b/>
          <w:bCs/>
        </w:rPr>
        <w:t xml:space="preserve"> – AML &amp; FERRARI COMPARED</w:t>
      </w:r>
      <w:bookmarkEnd w:id="24"/>
    </w:p>
    <w:p w14:paraId="102BB168" w14:textId="01BC9D0D" w:rsidR="1C4B7DE1" w:rsidRDefault="1C4B7DE1" w:rsidP="14A3A10E">
      <w:pPr>
        <w:jc w:val="both"/>
      </w:pPr>
      <w:r>
        <w:t>A</w:t>
      </w:r>
      <w:r w:rsidR="375C0F6C">
        <w:t xml:space="preserve"> comparison of AM</w:t>
      </w:r>
      <w:r w:rsidR="51B13F89">
        <w:t>L</w:t>
      </w:r>
      <w:r w:rsidR="375C0F6C">
        <w:t xml:space="preserve"> </w:t>
      </w:r>
      <w:r w:rsidR="341B9B3C">
        <w:t>and</w:t>
      </w:r>
      <w:r w:rsidR="375C0F6C">
        <w:t xml:space="preserve"> Ferrari </w:t>
      </w:r>
      <w:bookmarkStart w:id="25" w:name="_Int_e6nf59yC"/>
      <w:r w:rsidR="375C0F6C">
        <w:t>provides</w:t>
      </w:r>
      <w:bookmarkEnd w:id="25"/>
      <w:r w:rsidR="375C0F6C">
        <w:t xml:space="preserve"> some valuable insights.</w:t>
      </w:r>
    </w:p>
    <w:p w14:paraId="344A8F6A" w14:textId="0007F4BB" w:rsidR="375C0F6C" w:rsidRDefault="375C0F6C" w:rsidP="14A3A10E">
      <w:pPr>
        <w:jc w:val="both"/>
      </w:pPr>
      <w:r>
        <w:t>A focus on EBITDA is helpful, as this metric is referred to as a key indicator of progress in both sets of annual reports</w:t>
      </w:r>
      <w:r w:rsidR="000D343F">
        <w:t xml:space="preserve"> </w:t>
      </w:r>
      <w:sdt>
        <w:sdtPr>
          <w:id w:val="-200558849"/>
          <w:citation/>
        </w:sdtPr>
        <w:sdtContent>
          <w:r w:rsidR="000D343F">
            <w:fldChar w:fldCharType="begin"/>
          </w:r>
          <w:r w:rsidR="000D343F">
            <w:instrText xml:space="preserve"> CITATION GEN23 \l 2057 </w:instrText>
          </w:r>
          <w:r w:rsidR="000D343F">
            <w:fldChar w:fldCharType="separate"/>
          </w:r>
          <w:r w:rsidR="000D343F" w:rsidRPr="000D343F">
            <w:rPr>
              <w:noProof/>
            </w:rPr>
            <w:t>(GENERATIONAL EQUITY, 2023)</w:t>
          </w:r>
          <w:r w:rsidR="000D343F">
            <w:fldChar w:fldCharType="end"/>
          </w:r>
        </w:sdtContent>
      </w:sdt>
    </w:p>
    <w:p w14:paraId="1F2E4302" w14:textId="59B3757D" w:rsidR="375C0F6C" w:rsidRDefault="375C0F6C" w:rsidP="14A3A10E">
      <w:pPr>
        <w:jc w:val="both"/>
      </w:pPr>
      <w:r>
        <w:t>E</w:t>
      </w:r>
      <w:r w:rsidR="7DA693B0">
        <w:t>BITDA</w:t>
      </w:r>
      <w:r>
        <w:t xml:space="preserve"> accounts for Gross Profit or Gross Margin and deducts other operating and selling expenses apart from depreciation and amortisation.</w:t>
      </w:r>
    </w:p>
    <w:p w14:paraId="0C174DEA" w14:textId="3809EAF7" w:rsidR="375C0F6C" w:rsidRDefault="375C0F6C" w:rsidP="14A3A10E">
      <w:pPr>
        <w:jc w:val="both"/>
      </w:pPr>
      <w:r>
        <w:t>The degree to which AM</w:t>
      </w:r>
      <w:r w:rsidR="6B050CBE">
        <w:t>L</w:t>
      </w:r>
      <w:r>
        <w:t xml:space="preserve"> looks for external partnerships can have an influence on the amount </w:t>
      </w:r>
      <w:r w:rsidR="35C208AE">
        <w:t xml:space="preserve">and nature </w:t>
      </w:r>
      <w:r>
        <w:t xml:space="preserve">of </w:t>
      </w:r>
      <w:bookmarkStart w:id="26" w:name="_Int_dNC1xr9K"/>
      <w:r>
        <w:t>additional</w:t>
      </w:r>
      <w:bookmarkEnd w:id="26"/>
      <w:r>
        <w:t xml:space="preserve"> investment </w:t>
      </w:r>
      <w:bookmarkStart w:id="27" w:name="_Int_Wbzlch0y"/>
      <w:r>
        <w:t>required</w:t>
      </w:r>
      <w:bookmarkEnd w:id="27"/>
      <w:r>
        <w:t>. For example, a recent collaboration with Mercedes Benz was based upon an ordinary share issue by AM</w:t>
      </w:r>
      <w:r w:rsidR="287385A7">
        <w:t>L</w:t>
      </w:r>
      <w:r>
        <w:t xml:space="preserve"> in recognition of being granted access to MB’s electric powertrain technology. </w:t>
      </w:r>
    </w:p>
    <w:p w14:paraId="173A4DE2" w14:textId="1E9AB013" w:rsidR="375C0F6C" w:rsidRDefault="375C0F6C" w:rsidP="14A3A10E">
      <w:pPr>
        <w:jc w:val="center"/>
        <w:rPr>
          <w:b/>
          <w:bCs/>
          <w:sz w:val="18"/>
          <w:szCs w:val="18"/>
        </w:rPr>
      </w:pPr>
      <w:r w:rsidRPr="14A3A10E">
        <w:rPr>
          <w:b/>
          <w:bCs/>
          <w:sz w:val="18"/>
          <w:szCs w:val="18"/>
        </w:rPr>
        <w:t>EBITDA % Margin on Revenue</w:t>
      </w:r>
    </w:p>
    <w:tbl>
      <w:tblPr>
        <w:tblStyle w:val="TableGrid"/>
        <w:tblW w:w="0" w:type="auto"/>
        <w:jc w:val="center"/>
        <w:tblLook w:val="06A0" w:firstRow="1" w:lastRow="0" w:firstColumn="1" w:lastColumn="0" w:noHBand="1" w:noVBand="1"/>
      </w:tblPr>
      <w:tblGrid>
        <w:gridCol w:w="1020"/>
        <w:gridCol w:w="1545"/>
        <w:gridCol w:w="1560"/>
        <w:gridCol w:w="1560"/>
      </w:tblGrid>
      <w:tr w:rsidR="14A3A10E" w14:paraId="7C2887D9" w14:textId="77777777" w:rsidTr="14A3A10E">
        <w:trPr>
          <w:trHeight w:val="300"/>
          <w:jc w:val="center"/>
        </w:trPr>
        <w:tc>
          <w:tcPr>
            <w:tcW w:w="1020" w:type="dxa"/>
          </w:tcPr>
          <w:p w14:paraId="70306AE2" w14:textId="3FEC15A8" w:rsidR="14A3A10E" w:rsidRDefault="14A3A10E" w:rsidP="14A3A10E">
            <w:pPr>
              <w:jc w:val="both"/>
            </w:pPr>
            <w:r>
              <w:t>Year</w:t>
            </w:r>
          </w:p>
        </w:tc>
        <w:tc>
          <w:tcPr>
            <w:tcW w:w="1545" w:type="dxa"/>
          </w:tcPr>
          <w:p w14:paraId="1C351DF2" w14:textId="178F3E86" w:rsidR="14A3A10E" w:rsidRDefault="14A3A10E" w:rsidP="14A3A10E">
            <w:pPr>
              <w:jc w:val="center"/>
            </w:pPr>
            <w:r>
              <w:t>Aston Martin</w:t>
            </w:r>
          </w:p>
        </w:tc>
        <w:tc>
          <w:tcPr>
            <w:tcW w:w="1560" w:type="dxa"/>
          </w:tcPr>
          <w:p w14:paraId="34D60F76" w14:textId="4F2DA451" w:rsidR="14A3A10E" w:rsidRDefault="14A3A10E" w:rsidP="14A3A10E">
            <w:pPr>
              <w:jc w:val="center"/>
            </w:pPr>
            <w:r>
              <w:t>Ferrari</w:t>
            </w:r>
          </w:p>
        </w:tc>
        <w:tc>
          <w:tcPr>
            <w:tcW w:w="1560" w:type="dxa"/>
          </w:tcPr>
          <w:p w14:paraId="068A4408" w14:textId="71A85B40" w:rsidR="14A3A10E" w:rsidRDefault="14A3A10E" w:rsidP="14A3A10E">
            <w:pPr>
              <w:jc w:val="center"/>
            </w:pPr>
            <w:r>
              <w:t>Gap to Close</w:t>
            </w:r>
          </w:p>
        </w:tc>
      </w:tr>
      <w:tr w:rsidR="14A3A10E" w14:paraId="20062B6E" w14:textId="77777777" w:rsidTr="14A3A10E">
        <w:trPr>
          <w:trHeight w:val="300"/>
          <w:jc w:val="center"/>
        </w:trPr>
        <w:tc>
          <w:tcPr>
            <w:tcW w:w="1020" w:type="dxa"/>
          </w:tcPr>
          <w:p w14:paraId="1D2BE1A2" w14:textId="09BE866A" w:rsidR="14A3A10E" w:rsidRDefault="14A3A10E" w:rsidP="14A3A10E">
            <w:pPr>
              <w:jc w:val="both"/>
            </w:pPr>
            <w:r>
              <w:t>2021</w:t>
            </w:r>
          </w:p>
        </w:tc>
        <w:tc>
          <w:tcPr>
            <w:tcW w:w="1545" w:type="dxa"/>
          </w:tcPr>
          <w:p w14:paraId="7F82FAA8" w14:textId="7F42A033" w:rsidR="14A3A10E" w:rsidRDefault="14A3A10E" w:rsidP="14A3A10E">
            <w:pPr>
              <w:jc w:val="center"/>
            </w:pPr>
            <w:r>
              <w:t>12.59%</w:t>
            </w:r>
          </w:p>
        </w:tc>
        <w:tc>
          <w:tcPr>
            <w:tcW w:w="1560" w:type="dxa"/>
          </w:tcPr>
          <w:p w14:paraId="3F24FC3A" w14:textId="0D6DCAFC" w:rsidR="14A3A10E" w:rsidRDefault="14A3A10E" w:rsidP="14A3A10E">
            <w:pPr>
              <w:jc w:val="center"/>
            </w:pPr>
            <w:r>
              <w:t>33.70%</w:t>
            </w:r>
          </w:p>
        </w:tc>
        <w:tc>
          <w:tcPr>
            <w:tcW w:w="1560" w:type="dxa"/>
          </w:tcPr>
          <w:p w14:paraId="30230928" w14:textId="7823732F" w:rsidR="14A3A10E" w:rsidRDefault="14A3A10E" w:rsidP="14A3A10E">
            <w:pPr>
              <w:jc w:val="center"/>
            </w:pPr>
            <w:r>
              <w:t>21.11%</w:t>
            </w:r>
          </w:p>
        </w:tc>
      </w:tr>
      <w:tr w:rsidR="14A3A10E" w14:paraId="1CA264F0" w14:textId="77777777" w:rsidTr="14A3A10E">
        <w:trPr>
          <w:trHeight w:val="300"/>
          <w:jc w:val="center"/>
        </w:trPr>
        <w:tc>
          <w:tcPr>
            <w:tcW w:w="1020" w:type="dxa"/>
          </w:tcPr>
          <w:p w14:paraId="5E772F75" w14:textId="25E0A59F" w:rsidR="14A3A10E" w:rsidRDefault="14A3A10E" w:rsidP="14A3A10E">
            <w:pPr>
              <w:jc w:val="both"/>
            </w:pPr>
            <w:r>
              <w:t>2020</w:t>
            </w:r>
          </w:p>
        </w:tc>
        <w:tc>
          <w:tcPr>
            <w:tcW w:w="1545" w:type="dxa"/>
          </w:tcPr>
          <w:p w14:paraId="2EA8FC6F" w14:textId="248D23AE" w:rsidR="14A3A10E" w:rsidRDefault="14A3A10E" w:rsidP="14A3A10E">
            <w:pPr>
              <w:jc w:val="center"/>
            </w:pPr>
            <w:r>
              <w:t>-11.46%</w:t>
            </w:r>
          </w:p>
        </w:tc>
        <w:tc>
          <w:tcPr>
            <w:tcW w:w="1560" w:type="dxa"/>
          </w:tcPr>
          <w:p w14:paraId="4CDA63C8" w14:textId="3AFBBA09" w:rsidR="14A3A10E" w:rsidRDefault="14A3A10E" w:rsidP="14A3A10E">
            <w:pPr>
              <w:jc w:val="center"/>
            </w:pPr>
            <w:r>
              <w:t>33.03%</w:t>
            </w:r>
          </w:p>
        </w:tc>
        <w:tc>
          <w:tcPr>
            <w:tcW w:w="1560" w:type="dxa"/>
          </w:tcPr>
          <w:p w14:paraId="6400C2F2" w14:textId="7EBFE38D" w:rsidR="14A3A10E" w:rsidRDefault="14A3A10E" w:rsidP="14A3A10E">
            <w:pPr>
              <w:jc w:val="center"/>
            </w:pPr>
            <w:r>
              <w:t>44.49%</w:t>
            </w:r>
          </w:p>
        </w:tc>
      </w:tr>
      <w:tr w:rsidR="14A3A10E" w14:paraId="5FE3F79D" w14:textId="77777777" w:rsidTr="14A3A10E">
        <w:trPr>
          <w:trHeight w:val="300"/>
          <w:jc w:val="center"/>
        </w:trPr>
        <w:tc>
          <w:tcPr>
            <w:tcW w:w="1020" w:type="dxa"/>
          </w:tcPr>
          <w:p w14:paraId="04002FB8" w14:textId="5275BA88" w:rsidR="14A3A10E" w:rsidRDefault="14A3A10E" w:rsidP="14A3A10E">
            <w:pPr>
              <w:jc w:val="both"/>
            </w:pPr>
            <w:r>
              <w:t>2019</w:t>
            </w:r>
          </w:p>
        </w:tc>
        <w:tc>
          <w:tcPr>
            <w:tcW w:w="1545" w:type="dxa"/>
          </w:tcPr>
          <w:p w14:paraId="12080BE3" w14:textId="5870479D" w:rsidR="14A3A10E" w:rsidRDefault="14A3A10E" w:rsidP="14A3A10E">
            <w:pPr>
              <w:jc w:val="center"/>
            </w:pPr>
            <w:r>
              <w:t>12.13%</w:t>
            </w:r>
          </w:p>
        </w:tc>
        <w:tc>
          <w:tcPr>
            <w:tcW w:w="1560" w:type="dxa"/>
          </w:tcPr>
          <w:p w14:paraId="1E18928F" w14:textId="36B4495A" w:rsidR="14A3A10E" w:rsidRDefault="14A3A10E" w:rsidP="14A3A10E">
            <w:pPr>
              <w:jc w:val="center"/>
            </w:pPr>
            <w:r>
              <w:t>35.85%</w:t>
            </w:r>
          </w:p>
        </w:tc>
        <w:tc>
          <w:tcPr>
            <w:tcW w:w="1560" w:type="dxa"/>
          </w:tcPr>
          <w:p w14:paraId="33C8D56A" w14:textId="1D3323D0" w:rsidR="14A3A10E" w:rsidRDefault="14A3A10E" w:rsidP="14A3A10E">
            <w:pPr>
              <w:jc w:val="center"/>
            </w:pPr>
            <w:r>
              <w:t>23.72%</w:t>
            </w:r>
          </w:p>
        </w:tc>
      </w:tr>
    </w:tbl>
    <w:p w14:paraId="06F54FEB" w14:textId="1D3D075E" w:rsidR="14A3A10E" w:rsidRDefault="14A3A10E" w:rsidP="14A3A10E">
      <w:pPr>
        <w:jc w:val="center"/>
        <w:rPr>
          <w:b/>
          <w:bCs/>
          <w:sz w:val="18"/>
          <w:szCs w:val="18"/>
        </w:rPr>
      </w:pPr>
    </w:p>
    <w:p w14:paraId="022B56C8" w14:textId="57963C3E" w:rsidR="375C0F6C" w:rsidRDefault="375C0F6C" w:rsidP="14A3A10E">
      <w:pPr>
        <w:jc w:val="center"/>
      </w:pPr>
      <w:r w:rsidRPr="14A3A10E">
        <w:rPr>
          <w:b/>
          <w:bCs/>
          <w:sz w:val="18"/>
          <w:szCs w:val="18"/>
        </w:rPr>
        <w:t>Gross Margin %</w:t>
      </w:r>
    </w:p>
    <w:tbl>
      <w:tblPr>
        <w:tblStyle w:val="TableGrid"/>
        <w:tblW w:w="0" w:type="auto"/>
        <w:jc w:val="center"/>
        <w:tblLook w:val="06A0" w:firstRow="1" w:lastRow="0" w:firstColumn="1" w:lastColumn="0" w:noHBand="1" w:noVBand="1"/>
      </w:tblPr>
      <w:tblGrid>
        <w:gridCol w:w="1020"/>
        <w:gridCol w:w="1545"/>
        <w:gridCol w:w="1560"/>
        <w:gridCol w:w="1560"/>
      </w:tblGrid>
      <w:tr w:rsidR="14A3A10E" w14:paraId="3DAECFD0" w14:textId="77777777" w:rsidTr="14A3A10E">
        <w:trPr>
          <w:trHeight w:val="300"/>
          <w:jc w:val="center"/>
        </w:trPr>
        <w:tc>
          <w:tcPr>
            <w:tcW w:w="1020" w:type="dxa"/>
          </w:tcPr>
          <w:p w14:paraId="40DA731A" w14:textId="3FEC15A8" w:rsidR="14A3A10E" w:rsidRDefault="14A3A10E" w:rsidP="14A3A10E">
            <w:pPr>
              <w:jc w:val="both"/>
            </w:pPr>
            <w:r>
              <w:t>Year</w:t>
            </w:r>
          </w:p>
        </w:tc>
        <w:tc>
          <w:tcPr>
            <w:tcW w:w="1545" w:type="dxa"/>
          </w:tcPr>
          <w:p w14:paraId="2A928057" w14:textId="178F3E86" w:rsidR="14A3A10E" w:rsidRDefault="14A3A10E" w:rsidP="14A3A10E">
            <w:pPr>
              <w:jc w:val="center"/>
            </w:pPr>
            <w:r>
              <w:t>Aston Martin</w:t>
            </w:r>
          </w:p>
        </w:tc>
        <w:tc>
          <w:tcPr>
            <w:tcW w:w="1560" w:type="dxa"/>
          </w:tcPr>
          <w:p w14:paraId="5133D2C2" w14:textId="4F2DA451" w:rsidR="14A3A10E" w:rsidRDefault="14A3A10E" w:rsidP="14A3A10E">
            <w:pPr>
              <w:jc w:val="center"/>
            </w:pPr>
            <w:r>
              <w:t>Ferrari</w:t>
            </w:r>
          </w:p>
        </w:tc>
        <w:tc>
          <w:tcPr>
            <w:tcW w:w="1560" w:type="dxa"/>
          </w:tcPr>
          <w:p w14:paraId="39C6517F" w14:textId="4F050ED5" w:rsidR="14A3A10E" w:rsidRDefault="14A3A10E" w:rsidP="14A3A10E">
            <w:pPr>
              <w:jc w:val="center"/>
            </w:pPr>
            <w:r>
              <w:t>Gap to Close</w:t>
            </w:r>
          </w:p>
        </w:tc>
      </w:tr>
      <w:tr w:rsidR="14A3A10E" w14:paraId="63C26BE9" w14:textId="77777777" w:rsidTr="14A3A10E">
        <w:trPr>
          <w:trHeight w:val="300"/>
          <w:jc w:val="center"/>
        </w:trPr>
        <w:tc>
          <w:tcPr>
            <w:tcW w:w="1020" w:type="dxa"/>
          </w:tcPr>
          <w:p w14:paraId="170C2938" w14:textId="09BE866A" w:rsidR="14A3A10E" w:rsidRDefault="14A3A10E" w:rsidP="14A3A10E">
            <w:pPr>
              <w:jc w:val="both"/>
            </w:pPr>
            <w:r>
              <w:t>2021</w:t>
            </w:r>
          </w:p>
        </w:tc>
        <w:tc>
          <w:tcPr>
            <w:tcW w:w="1545" w:type="dxa"/>
          </w:tcPr>
          <w:p w14:paraId="04FCFF0E" w14:textId="444F4F62" w:rsidR="14A3A10E" w:rsidRDefault="14A3A10E" w:rsidP="14A3A10E">
            <w:pPr>
              <w:jc w:val="center"/>
            </w:pPr>
            <w:r>
              <w:t>31.38%</w:t>
            </w:r>
          </w:p>
        </w:tc>
        <w:tc>
          <w:tcPr>
            <w:tcW w:w="1560" w:type="dxa"/>
          </w:tcPr>
          <w:p w14:paraId="46C69240" w14:textId="636E3F20" w:rsidR="14A3A10E" w:rsidRDefault="14A3A10E" w:rsidP="14A3A10E">
            <w:pPr>
              <w:jc w:val="center"/>
            </w:pPr>
            <w:r>
              <w:t>51.28%</w:t>
            </w:r>
          </w:p>
        </w:tc>
        <w:tc>
          <w:tcPr>
            <w:tcW w:w="1560" w:type="dxa"/>
          </w:tcPr>
          <w:p w14:paraId="2481F49B" w14:textId="775D0621" w:rsidR="14A3A10E" w:rsidRDefault="14A3A10E" w:rsidP="14A3A10E">
            <w:pPr>
              <w:jc w:val="center"/>
            </w:pPr>
            <w:r>
              <w:t>19.90%</w:t>
            </w:r>
          </w:p>
        </w:tc>
      </w:tr>
      <w:tr w:rsidR="14A3A10E" w14:paraId="34384EB1" w14:textId="77777777" w:rsidTr="14A3A10E">
        <w:trPr>
          <w:trHeight w:val="300"/>
          <w:jc w:val="center"/>
        </w:trPr>
        <w:tc>
          <w:tcPr>
            <w:tcW w:w="1020" w:type="dxa"/>
          </w:tcPr>
          <w:p w14:paraId="2B917050" w14:textId="25E0A59F" w:rsidR="14A3A10E" w:rsidRDefault="14A3A10E" w:rsidP="14A3A10E">
            <w:pPr>
              <w:jc w:val="both"/>
            </w:pPr>
            <w:r>
              <w:t>2020</w:t>
            </w:r>
          </w:p>
        </w:tc>
        <w:tc>
          <w:tcPr>
            <w:tcW w:w="1545" w:type="dxa"/>
          </w:tcPr>
          <w:p w14:paraId="5CC53506" w14:textId="284C2BED" w:rsidR="14A3A10E" w:rsidRDefault="14A3A10E" w:rsidP="14A3A10E">
            <w:pPr>
              <w:jc w:val="center"/>
            </w:pPr>
            <w:r>
              <w:t>18.16%</w:t>
            </w:r>
          </w:p>
        </w:tc>
        <w:tc>
          <w:tcPr>
            <w:tcW w:w="1560" w:type="dxa"/>
          </w:tcPr>
          <w:p w14:paraId="2449E3AF" w14:textId="01EDEBCE" w:rsidR="14A3A10E" w:rsidRDefault="14A3A10E" w:rsidP="14A3A10E">
            <w:pPr>
              <w:jc w:val="center"/>
            </w:pPr>
            <w:r>
              <w:t>51.27%</w:t>
            </w:r>
          </w:p>
        </w:tc>
        <w:tc>
          <w:tcPr>
            <w:tcW w:w="1560" w:type="dxa"/>
          </w:tcPr>
          <w:p w14:paraId="6249B07C" w14:textId="010D6AF0" w:rsidR="14A3A10E" w:rsidRDefault="14A3A10E" w:rsidP="14A3A10E">
            <w:pPr>
              <w:jc w:val="center"/>
            </w:pPr>
            <w:r>
              <w:t>33.11%</w:t>
            </w:r>
          </w:p>
        </w:tc>
      </w:tr>
      <w:tr w:rsidR="14A3A10E" w14:paraId="3357CBB3" w14:textId="77777777" w:rsidTr="14A3A10E">
        <w:trPr>
          <w:trHeight w:val="300"/>
          <w:jc w:val="center"/>
        </w:trPr>
        <w:tc>
          <w:tcPr>
            <w:tcW w:w="1020" w:type="dxa"/>
          </w:tcPr>
          <w:p w14:paraId="473EC2DD" w14:textId="5275BA88" w:rsidR="14A3A10E" w:rsidRDefault="14A3A10E" w:rsidP="14A3A10E">
            <w:pPr>
              <w:jc w:val="both"/>
            </w:pPr>
            <w:r>
              <w:t>2019</w:t>
            </w:r>
          </w:p>
        </w:tc>
        <w:tc>
          <w:tcPr>
            <w:tcW w:w="1545" w:type="dxa"/>
          </w:tcPr>
          <w:p w14:paraId="79703D19" w14:textId="0FB087E9" w:rsidR="14A3A10E" w:rsidRDefault="14A3A10E" w:rsidP="14A3A10E">
            <w:pPr>
              <w:jc w:val="center"/>
            </w:pPr>
            <w:r>
              <w:t>34.45%</w:t>
            </w:r>
          </w:p>
        </w:tc>
        <w:tc>
          <w:tcPr>
            <w:tcW w:w="1560" w:type="dxa"/>
          </w:tcPr>
          <w:p w14:paraId="75857A85" w14:textId="2CE6B923" w:rsidR="14A3A10E" w:rsidRDefault="14A3A10E" w:rsidP="14A3A10E">
            <w:pPr>
              <w:jc w:val="center"/>
            </w:pPr>
            <w:r>
              <w:t>52.07%</w:t>
            </w:r>
          </w:p>
        </w:tc>
        <w:tc>
          <w:tcPr>
            <w:tcW w:w="1560" w:type="dxa"/>
          </w:tcPr>
          <w:p w14:paraId="44EB87CF" w14:textId="4A6C0A27" w:rsidR="14A3A10E" w:rsidRDefault="14A3A10E" w:rsidP="14A3A10E">
            <w:pPr>
              <w:jc w:val="center"/>
            </w:pPr>
            <w:r>
              <w:t>17.62%</w:t>
            </w:r>
          </w:p>
        </w:tc>
      </w:tr>
    </w:tbl>
    <w:p w14:paraId="704CA587" w14:textId="28F5A329" w:rsidR="14A3A10E" w:rsidRDefault="14A3A10E" w:rsidP="14A3A10E">
      <w:pPr>
        <w:jc w:val="both"/>
      </w:pPr>
    </w:p>
    <w:p w14:paraId="5A486AE3" w14:textId="1184B9EE" w:rsidR="375C0F6C" w:rsidRDefault="717D45BE" w:rsidP="14A3A10E">
      <w:pPr>
        <w:jc w:val="both"/>
      </w:pPr>
      <w:r w:rsidRPr="114D2111">
        <w:t xml:space="preserve">It becomes </w:t>
      </w:r>
      <w:bookmarkStart w:id="28" w:name="_Int_RVanVwKh"/>
      <w:r w:rsidR="2DC6C1BA" w:rsidRPr="114D2111">
        <w:t>immediately</w:t>
      </w:r>
      <w:bookmarkEnd w:id="28"/>
      <w:r w:rsidRPr="114D2111">
        <w:t xml:space="preserve"> clear that Ferrari’s resilience was significantly greater than Aston Martin’s during the 2020 COVID </w:t>
      </w:r>
      <w:r w:rsidR="59E5A0A2" w:rsidRPr="114D2111">
        <w:t>affected period</w:t>
      </w:r>
      <w:r w:rsidRPr="114D2111">
        <w:t xml:space="preserve">, but the question </w:t>
      </w:r>
      <w:bookmarkStart w:id="29" w:name="_Int_0qc3tYVo"/>
      <w:r w:rsidRPr="114D2111">
        <w:t>remains</w:t>
      </w:r>
      <w:bookmarkEnd w:id="29"/>
      <w:r w:rsidRPr="114D2111">
        <w:t>: How does AM close the gap to catch the ‘Prancing Horse’?</w:t>
      </w:r>
    </w:p>
    <w:p w14:paraId="1D062FD7" w14:textId="00766106" w:rsidR="375C0F6C" w:rsidRDefault="375C0F6C" w:rsidP="14A3A10E">
      <w:pPr>
        <w:jc w:val="both"/>
        <w:rPr>
          <w:b/>
          <w:bCs/>
        </w:rPr>
      </w:pPr>
      <w:r w:rsidRPr="14A3A10E">
        <w:rPr>
          <w:b/>
          <w:bCs/>
        </w:rPr>
        <w:t>What drives EBITDA Margin?</w:t>
      </w:r>
    </w:p>
    <w:p w14:paraId="15524D64" w14:textId="49115D93" w:rsidR="375C0F6C" w:rsidRDefault="375C0F6C" w:rsidP="14A3A10E">
      <w:pPr>
        <w:jc w:val="both"/>
      </w:pPr>
      <w:r>
        <w:t>Margin is the difference between Revenue and (Cost of Goods Sold + Other operating and selling expenses:</w:t>
      </w:r>
    </w:p>
    <w:p w14:paraId="3546C579" w14:textId="785CBA93" w:rsidR="375C0F6C" w:rsidRDefault="375C0F6C" w:rsidP="14A3A10E">
      <w:pPr>
        <w:pStyle w:val="ListParagraph"/>
        <w:numPr>
          <w:ilvl w:val="0"/>
          <w:numId w:val="17"/>
        </w:numPr>
        <w:jc w:val="both"/>
      </w:pPr>
      <w:r>
        <w:t>Revenue = Units sold x Average Selling Price (ASP)</w:t>
      </w:r>
    </w:p>
    <w:p w14:paraId="19543B28" w14:textId="1B5DBB06" w:rsidR="375C0F6C" w:rsidRDefault="375C0F6C" w:rsidP="14A3A10E">
      <w:pPr>
        <w:pStyle w:val="ListParagraph"/>
        <w:numPr>
          <w:ilvl w:val="0"/>
          <w:numId w:val="17"/>
        </w:numPr>
        <w:jc w:val="both"/>
      </w:pPr>
      <w:r>
        <w:t>Cost of Goods Sold = All the direct costs associated with manufacturing the Goods Sold</w:t>
      </w:r>
    </w:p>
    <w:p w14:paraId="087D5786" w14:textId="35AFD383" w:rsidR="375C0F6C" w:rsidRDefault="375C0F6C" w:rsidP="14A3A10E">
      <w:pPr>
        <w:pStyle w:val="ListParagraph"/>
        <w:numPr>
          <w:ilvl w:val="0"/>
          <w:numId w:val="17"/>
        </w:numPr>
        <w:jc w:val="both"/>
      </w:pPr>
      <w:r>
        <w:t xml:space="preserve">Other operating and selling expenses (excluding depreciation and amortisation) </w:t>
      </w:r>
    </w:p>
    <w:p w14:paraId="3729C057" w14:textId="40649090" w:rsidR="14A3A10E" w:rsidRDefault="14A3A10E" w:rsidP="14A3A10E">
      <w:pPr>
        <w:jc w:val="both"/>
      </w:pPr>
    </w:p>
    <w:p w14:paraId="3ED212F2" w14:textId="6E15691A" w:rsidR="14A3A10E" w:rsidRDefault="14A3A10E" w:rsidP="14A3A10E">
      <w:pPr>
        <w:jc w:val="both"/>
      </w:pPr>
    </w:p>
    <w:p w14:paraId="0A8B17C5" w14:textId="67AE7FC0" w:rsidR="14A3A10E" w:rsidRDefault="14A3A10E" w:rsidP="14A3A10E">
      <w:pPr>
        <w:jc w:val="both"/>
      </w:pPr>
    </w:p>
    <w:p w14:paraId="2C67E61B" w14:textId="77777777" w:rsidR="0005709B" w:rsidRDefault="0005709B" w:rsidP="14A3A10E">
      <w:pPr>
        <w:jc w:val="both"/>
      </w:pPr>
    </w:p>
    <w:p w14:paraId="0AB797BD" w14:textId="555A21DF" w:rsidR="114D2111" w:rsidRDefault="114D2111" w:rsidP="114D2111">
      <w:pPr>
        <w:jc w:val="both"/>
      </w:pPr>
    </w:p>
    <w:p w14:paraId="292CBB69" w14:textId="27FD6575" w:rsidR="0A87B745" w:rsidRDefault="77662647" w:rsidP="5AC7D45C">
      <w:pPr>
        <w:jc w:val="both"/>
        <w:rPr>
          <w:b/>
          <w:bCs/>
        </w:rPr>
      </w:pPr>
      <w:bookmarkStart w:id="30" w:name="_Hlk125310722"/>
      <w:r w:rsidRPr="5AC7D45C">
        <w:rPr>
          <w:b/>
          <w:bCs/>
        </w:rPr>
        <w:t xml:space="preserve">How can AML </w:t>
      </w:r>
      <w:r w:rsidR="2655774D" w:rsidRPr="5AC7D45C">
        <w:rPr>
          <w:b/>
          <w:bCs/>
        </w:rPr>
        <w:t>increase Revenue?</w:t>
      </w:r>
    </w:p>
    <w:bookmarkEnd w:id="30"/>
    <w:p w14:paraId="41A2AA22" w14:textId="163434B4" w:rsidR="375C0F6C" w:rsidRDefault="375C0F6C" w:rsidP="14A3A10E">
      <w:pPr>
        <w:pStyle w:val="ListParagraph"/>
        <w:numPr>
          <w:ilvl w:val="0"/>
          <w:numId w:val="16"/>
        </w:numPr>
        <w:jc w:val="both"/>
      </w:pPr>
      <w:r>
        <w:t>AM’s ASP is increasing as new models and customisation options are made available</w:t>
      </w:r>
    </w:p>
    <w:p w14:paraId="66D2B946" w14:textId="2462DE90" w:rsidR="5C60139E" w:rsidRDefault="5DB4CF42" w:rsidP="114D2111">
      <w:pPr>
        <w:pStyle w:val="ListParagraph"/>
        <w:numPr>
          <w:ilvl w:val="0"/>
          <w:numId w:val="16"/>
        </w:numPr>
        <w:jc w:val="both"/>
        <w:rPr>
          <w:rFonts w:ascii="Calibri" w:eastAsia="Calibri" w:hAnsi="Calibri" w:cs="Calibri"/>
          <w:color w:val="000000" w:themeColor="text1"/>
        </w:rPr>
      </w:pPr>
      <w:r>
        <w:t xml:space="preserve">Ferrari offered an online configuration tool </w:t>
      </w:r>
      <w:r w:rsidR="10349341">
        <w:t>in</w:t>
      </w:r>
      <w:r>
        <w:t xml:space="preserve"> 2014</w:t>
      </w:r>
      <w:r w:rsidR="485ED761">
        <w:t xml:space="preserve"> </w:t>
      </w:r>
      <w:sdt>
        <w:sdtPr>
          <w:alias w:val="Citation"/>
          <w:tag w:val="{&quot;referencesIds&quot;:[&quot;doc:63c0313ec07f07054f338410&quot;],&quot;referencesOptions&quot;:{&quot;doc:63c0313ec07f07054f338410&quot;:{&quot;author&quot;:true,&quot;year&quot;:true,&quot;pageReplace&quot;:&quot;&quot;,&quot;prefix&quot;:&quot;&quot;,&quot;suffix&quot;:&quot;&quot;}},&quot;hasBrokenReferences&quot;:false,&quot;hasManualEdits&quot;:false,&quot;citationType&quot;:&quot;inline&quot;,&quot;id&quot;:1945223118,&quot;citationText&quot;:&quot;&lt;span style=\&quot;font-family:Calibri;font-size:14.666666666666666px;color:#000000\&quot;&gt;(LUXUO 2014)&lt;/span&gt;&quot;}"/>
          <w:id w:val="1824232332"/>
          <w:placeholder>
            <w:docPart w:val="DefaultPlaceholder_1081868574"/>
          </w:placeholder>
        </w:sdtPr>
        <w:sdtContent>
          <w:r w:rsidR="5EC524EC" w:rsidRPr="114D2111">
            <w:rPr>
              <w:rFonts w:ascii="Calibri" w:eastAsia="Calibri" w:hAnsi="Calibri" w:cs="Calibri"/>
              <w:color w:val="000000" w:themeColor="text1"/>
            </w:rPr>
            <w:t>(LUXUO 2014)</w:t>
          </w:r>
        </w:sdtContent>
      </w:sdt>
    </w:p>
    <w:p w14:paraId="252AA059" w14:textId="191D6EDB" w:rsidR="375C0F6C" w:rsidRDefault="159F7F36" w:rsidP="14A3A10E">
      <w:pPr>
        <w:pStyle w:val="ListParagraph"/>
        <w:numPr>
          <w:ilvl w:val="0"/>
          <w:numId w:val="16"/>
        </w:numPr>
        <w:jc w:val="both"/>
      </w:pPr>
      <w:r>
        <w:t>Production v</w:t>
      </w:r>
      <w:r w:rsidR="375C0F6C">
        <w:t xml:space="preserve">olumes are </w:t>
      </w:r>
      <w:r w:rsidR="4DDDCE03">
        <w:t>growing</w:t>
      </w:r>
      <w:r w:rsidR="375C0F6C">
        <w:t>, as innovative technologies are introduced to increase productivity</w:t>
      </w:r>
    </w:p>
    <w:p w14:paraId="5B2507B4" w14:textId="6559F03D" w:rsidR="375C0F6C" w:rsidRDefault="375C0F6C" w:rsidP="14A3A10E">
      <w:pPr>
        <w:jc w:val="center"/>
      </w:pPr>
      <w:r>
        <w:rPr>
          <w:noProof/>
        </w:rPr>
        <w:drawing>
          <wp:inline distT="0" distB="0" distL="0" distR="0" wp14:anchorId="6E847FB6" wp14:editId="284C419D">
            <wp:extent cx="2876550" cy="1819275"/>
            <wp:effectExtent l="0" t="0" r="0" b="0"/>
            <wp:docPr id="374007853" name="Picture 374007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876550" cy="1819275"/>
                    </a:xfrm>
                    <a:prstGeom prst="rect">
                      <a:avLst/>
                    </a:prstGeom>
                  </pic:spPr>
                </pic:pic>
              </a:graphicData>
            </a:graphic>
          </wp:inline>
        </w:drawing>
      </w:r>
    </w:p>
    <w:p w14:paraId="16D5F35C" w14:textId="10D5BDD3" w:rsidR="375C0F6C" w:rsidRDefault="375C0F6C" w:rsidP="14A3A10E">
      <w:pPr>
        <w:jc w:val="center"/>
        <w:rPr>
          <w:sz w:val="18"/>
          <w:szCs w:val="18"/>
        </w:rPr>
      </w:pPr>
      <w:r w:rsidRPr="14A3A10E">
        <w:rPr>
          <w:sz w:val="18"/>
          <w:szCs w:val="18"/>
        </w:rPr>
        <w:t>Source: AML 2021 Annual Report Page 06</w:t>
      </w:r>
    </w:p>
    <w:p w14:paraId="53F4E66B" w14:textId="4528315B" w:rsidR="14A3A10E" w:rsidRDefault="14A3A10E" w:rsidP="14A3A10E">
      <w:pPr>
        <w:jc w:val="both"/>
      </w:pPr>
    </w:p>
    <w:p w14:paraId="263436D5" w14:textId="22B69822" w:rsidR="375C0F6C" w:rsidRDefault="375C0F6C" w:rsidP="14A3A10E">
      <w:pPr>
        <w:jc w:val="both"/>
      </w:pPr>
      <w:r>
        <w:t>What is happening with reducing the Cost of Goods Sold?</w:t>
      </w:r>
    </w:p>
    <w:p w14:paraId="0985F9F2" w14:textId="652FEDD0" w:rsidR="114D2111" w:rsidRDefault="114D2111" w:rsidP="114D2111">
      <w:pPr>
        <w:jc w:val="both"/>
      </w:pPr>
    </w:p>
    <w:p w14:paraId="30FF1812" w14:textId="40488952" w:rsidR="375C0F6C" w:rsidRDefault="375C0F6C" w:rsidP="14A3A10E">
      <w:pPr>
        <w:jc w:val="center"/>
      </w:pPr>
      <w:r>
        <w:rPr>
          <w:noProof/>
        </w:rPr>
        <w:drawing>
          <wp:inline distT="0" distB="0" distL="0" distR="0" wp14:anchorId="23D293B4" wp14:editId="3C3FC147">
            <wp:extent cx="3381375" cy="1790700"/>
            <wp:effectExtent l="0" t="0" r="0" b="0"/>
            <wp:docPr id="1159537240" name="Picture 1159537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381375" cy="1790700"/>
                    </a:xfrm>
                    <a:prstGeom prst="rect">
                      <a:avLst/>
                    </a:prstGeom>
                  </pic:spPr>
                </pic:pic>
              </a:graphicData>
            </a:graphic>
          </wp:inline>
        </w:drawing>
      </w:r>
    </w:p>
    <w:p w14:paraId="5A831C74" w14:textId="312DFA12" w:rsidR="375C0F6C" w:rsidRDefault="375C0F6C" w:rsidP="14A3A10E">
      <w:pPr>
        <w:jc w:val="center"/>
        <w:rPr>
          <w:sz w:val="18"/>
          <w:szCs w:val="18"/>
        </w:rPr>
      </w:pPr>
      <w:r w:rsidRPr="114D2111">
        <w:rPr>
          <w:sz w:val="18"/>
          <w:szCs w:val="18"/>
        </w:rPr>
        <w:t xml:space="preserve">Source: AML 2021 Annual Report (CFO’s Statement page 77) </w:t>
      </w:r>
    </w:p>
    <w:p w14:paraId="3AE388FF" w14:textId="341FAFB1" w:rsidR="114D2111" w:rsidRDefault="114D2111" w:rsidP="114D2111">
      <w:pPr>
        <w:jc w:val="both"/>
      </w:pPr>
    </w:p>
    <w:p w14:paraId="5164026B" w14:textId="1D7FF7F6" w:rsidR="375C0F6C" w:rsidRDefault="375C0F6C" w:rsidP="14A3A10E">
      <w:pPr>
        <w:jc w:val="both"/>
        <w:rPr>
          <w:rFonts w:ascii="Calibri" w:eastAsia="Calibri" w:hAnsi="Calibri" w:cs="Calibri"/>
        </w:rPr>
      </w:pPr>
      <w:r w:rsidRPr="14A3A10E">
        <w:t xml:space="preserve">The point being made by the CFO is </w:t>
      </w:r>
      <w:r w:rsidR="0DC21F04" w:rsidRPr="14A3A10E">
        <w:t>true</w:t>
      </w:r>
      <w:r w:rsidRPr="14A3A10E">
        <w:t xml:space="preserve"> but does not refer to the fact that the Gross Margin % achieved in 2019 was 34.45%, which paints a slightly different picture. Notwithstanding this omission, Aston Martin, under the leadership of Amedeo Felisa is now chasing the ‘Prancing Horse’!</w:t>
      </w:r>
    </w:p>
    <w:p w14:paraId="18037FC9" w14:textId="0CB8B5B0" w:rsidR="14A3A10E" w:rsidRDefault="14A3A10E" w:rsidP="14A3A10E">
      <w:pPr>
        <w:jc w:val="both"/>
        <w:rPr>
          <w:b/>
          <w:bCs/>
        </w:rPr>
      </w:pPr>
    </w:p>
    <w:p w14:paraId="79ADA5D6" w14:textId="0A054F5C" w:rsidR="114D2111" w:rsidRDefault="114D2111" w:rsidP="114D2111">
      <w:pPr>
        <w:jc w:val="both"/>
        <w:rPr>
          <w:b/>
          <w:bCs/>
        </w:rPr>
      </w:pPr>
    </w:p>
    <w:p w14:paraId="468431D3" w14:textId="1344DF63" w:rsidR="14A3A10E" w:rsidRDefault="14A3A10E" w:rsidP="14A3A10E">
      <w:pPr>
        <w:jc w:val="both"/>
        <w:rPr>
          <w:b/>
          <w:bCs/>
        </w:rPr>
      </w:pPr>
    </w:p>
    <w:p w14:paraId="543A9D39" w14:textId="77777777" w:rsidR="0005709B" w:rsidRDefault="0005709B" w:rsidP="14A3A10E">
      <w:pPr>
        <w:jc w:val="both"/>
        <w:rPr>
          <w:b/>
          <w:bCs/>
        </w:rPr>
      </w:pPr>
    </w:p>
    <w:p w14:paraId="6D72AE99" w14:textId="37A4D5AA" w:rsidR="6FA4031D" w:rsidRDefault="6FA4031D" w:rsidP="114D2111">
      <w:pPr>
        <w:jc w:val="both"/>
        <w:rPr>
          <w:b/>
          <w:bCs/>
        </w:rPr>
      </w:pPr>
      <w:bookmarkStart w:id="31" w:name="_Hlk125310858"/>
      <w:r w:rsidRPr="114D2111">
        <w:rPr>
          <w:b/>
          <w:bCs/>
        </w:rPr>
        <w:t>BEYOND THE NUMBERS - OUR FINDINGS</w:t>
      </w:r>
    </w:p>
    <w:bookmarkEnd w:id="31"/>
    <w:p w14:paraId="0BDAB4EC" w14:textId="2A260063" w:rsidR="6FA4031D" w:rsidRDefault="6FA4031D" w:rsidP="40EF858B">
      <w:pPr>
        <w:jc w:val="both"/>
      </w:pPr>
      <w:r>
        <w:t>We have gathered a wide range of evidence that supports the actions being taken by the AM</w:t>
      </w:r>
      <w:r w:rsidR="1CC1E5C5">
        <w:t>L</w:t>
      </w:r>
      <w:r>
        <w:t xml:space="preserve"> Board of Directors and concluded that there is a clear, well thought strategy which is being executed in a determined manner, undeterred by adverse macroeconomic factors</w:t>
      </w:r>
      <w:r w:rsidR="6E9CF2B4">
        <w:t xml:space="preserve"> </w:t>
      </w:r>
      <w:r w:rsidR="6E9CF2B4" w:rsidRPr="004A0F77">
        <w:rPr>
          <w:b/>
          <w:bCs/>
        </w:rPr>
        <w:t>(see Appendix 6).</w:t>
      </w:r>
    </w:p>
    <w:p w14:paraId="7AF9C9B4" w14:textId="38231651" w:rsidR="6FA4031D" w:rsidRDefault="6FA4031D" w:rsidP="40EF858B">
      <w:pPr>
        <w:jc w:val="both"/>
      </w:pPr>
      <w:r>
        <w:t>The focus on strengthening the AM</w:t>
      </w:r>
      <w:r w:rsidR="00BE6392">
        <w:t>L</w:t>
      </w:r>
      <w:r>
        <w:t xml:space="preserve"> brand is clear and we have noted that the latest (Q3 2022) predicts that EBITDA </w:t>
      </w:r>
      <w:r w:rsidR="73DAE3DD">
        <w:t xml:space="preserve">is forecast to </w:t>
      </w:r>
      <w:r>
        <w:t>reach 25% of Revenue sometime during the 2024/25 reporting periods.</w:t>
      </w:r>
    </w:p>
    <w:p w14:paraId="0C7D1211" w14:textId="27A08039" w:rsidR="3C041A8E" w:rsidRDefault="3C041A8E" w:rsidP="3C041A8E">
      <w:pPr>
        <w:jc w:val="both"/>
      </w:pPr>
    </w:p>
    <w:p w14:paraId="5ADC7B46" w14:textId="2D543851" w:rsidR="6FA4031D" w:rsidRDefault="6FA4031D" w:rsidP="3C041A8E">
      <w:pPr>
        <w:jc w:val="both"/>
      </w:pPr>
      <w:r>
        <w:rPr>
          <w:noProof/>
        </w:rPr>
        <w:drawing>
          <wp:inline distT="0" distB="0" distL="0" distR="0" wp14:anchorId="0F2DAA9D" wp14:editId="5BFBD9DC">
            <wp:extent cx="5724525" cy="4698880"/>
            <wp:effectExtent l="0" t="0" r="0" b="0"/>
            <wp:docPr id="775120245" name="Picture 775120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5" cy="4698880"/>
                    </a:xfrm>
                    <a:prstGeom prst="rect">
                      <a:avLst/>
                    </a:prstGeom>
                  </pic:spPr>
                </pic:pic>
              </a:graphicData>
            </a:graphic>
          </wp:inline>
        </w:drawing>
      </w:r>
    </w:p>
    <w:p w14:paraId="487CA82E" w14:textId="0EFBCA33" w:rsidR="6FA4031D" w:rsidRDefault="6FA4031D" w:rsidP="3C041A8E">
      <w:pPr>
        <w:jc w:val="center"/>
        <w:rPr>
          <w:sz w:val="18"/>
          <w:szCs w:val="18"/>
        </w:rPr>
      </w:pPr>
      <w:r w:rsidRPr="3C041A8E">
        <w:rPr>
          <w:sz w:val="18"/>
          <w:szCs w:val="18"/>
        </w:rPr>
        <w:t>Source: Aston Martin Lagonda Q3 2022 Results</w:t>
      </w:r>
    </w:p>
    <w:p w14:paraId="1487AE2B" w14:textId="57C07F65" w:rsidR="6478761B" w:rsidRDefault="6478761B" w:rsidP="6478761B">
      <w:pPr>
        <w:jc w:val="both"/>
      </w:pPr>
    </w:p>
    <w:p w14:paraId="0BBA2BC3" w14:textId="2E352CFF" w:rsidR="40EF858B" w:rsidRDefault="40EF858B" w:rsidP="40EF858B">
      <w:pPr>
        <w:jc w:val="both"/>
      </w:pPr>
    </w:p>
    <w:p w14:paraId="26F50D7E" w14:textId="20BD457E" w:rsidR="40EF858B" w:rsidRDefault="40EF858B" w:rsidP="40EF858B">
      <w:pPr>
        <w:jc w:val="both"/>
      </w:pPr>
    </w:p>
    <w:p w14:paraId="181FB3E4" w14:textId="77777777" w:rsidR="0005709B" w:rsidRDefault="0005709B" w:rsidP="40EF858B">
      <w:pPr>
        <w:jc w:val="both"/>
      </w:pPr>
    </w:p>
    <w:p w14:paraId="28FC007E" w14:textId="51390C02" w:rsidR="114D2111" w:rsidRDefault="114D2111" w:rsidP="114D2111">
      <w:pPr>
        <w:jc w:val="both"/>
      </w:pPr>
    </w:p>
    <w:p w14:paraId="146B10F1" w14:textId="13BA8A3D" w:rsidR="26E4B921" w:rsidRDefault="26E4B921" w:rsidP="26E4B921">
      <w:pPr>
        <w:jc w:val="both"/>
      </w:pPr>
    </w:p>
    <w:p w14:paraId="0EF754F4" w14:textId="6046FE0C" w:rsidR="26128984" w:rsidRDefault="00277834" w:rsidP="114D2111">
      <w:pPr>
        <w:rPr>
          <w:b/>
          <w:bCs/>
        </w:rPr>
      </w:pPr>
      <w:r>
        <w:rPr>
          <w:b/>
          <w:bCs/>
        </w:rPr>
        <w:t>5</w:t>
      </w:r>
      <w:r w:rsidR="114D2111" w:rsidRPr="114D2111">
        <w:rPr>
          <w:b/>
          <w:bCs/>
        </w:rPr>
        <w:t xml:space="preserve">. </w:t>
      </w:r>
      <w:r w:rsidR="2BD02928" w:rsidRPr="114D2111">
        <w:rPr>
          <w:b/>
          <w:bCs/>
        </w:rPr>
        <w:t>Conclusion and Recommendations</w:t>
      </w:r>
    </w:p>
    <w:p w14:paraId="0B0D5992" w14:textId="3635F94A" w:rsidR="26128984" w:rsidRDefault="54994EAA" w:rsidP="26128984">
      <w:pPr>
        <w:jc w:val="both"/>
      </w:pPr>
      <w:r w:rsidRPr="114D2111">
        <w:rPr>
          <w:b/>
          <w:bCs/>
        </w:rPr>
        <w:t>Conclusion</w:t>
      </w:r>
    </w:p>
    <w:p w14:paraId="66240AAE" w14:textId="4464BA86" w:rsidR="26128984" w:rsidRDefault="54994EAA" w:rsidP="26128984">
      <w:pPr>
        <w:jc w:val="both"/>
      </w:pPr>
      <w:r>
        <w:t>We have considered the opportunity to enter a JV with AM and conclude that</w:t>
      </w:r>
      <w:r w:rsidR="002958C0">
        <w:t xml:space="preserve"> </w:t>
      </w:r>
      <w:r>
        <w:t>the potential long-term rewards would more than outweigh any possible short-term losses.</w:t>
      </w:r>
    </w:p>
    <w:p w14:paraId="5376665E" w14:textId="00A38740" w:rsidR="26128984" w:rsidRDefault="54994EAA" w:rsidP="26128984">
      <w:pPr>
        <w:jc w:val="both"/>
      </w:pPr>
      <w:r>
        <w:t>The appointment of Amedeo Felisa as CEO on 4 May 2022 provides AM</w:t>
      </w:r>
      <w:r w:rsidR="2979A915">
        <w:t>L</w:t>
      </w:r>
      <w:r>
        <w:t xml:space="preserve"> with someone who guided Ferrari through its recent successful growth, and who fully understands AM</w:t>
      </w:r>
      <w:r w:rsidR="18AFA484">
        <w:t>L</w:t>
      </w:r>
      <w:r>
        <w:t>’s focus on developing its global brand and appeal.</w:t>
      </w:r>
    </w:p>
    <w:p w14:paraId="50BE1FC6" w14:textId="30B735C2" w:rsidR="26128984" w:rsidRDefault="26128984" w:rsidP="26128984">
      <w:pPr>
        <w:jc w:val="both"/>
      </w:pPr>
      <w:r>
        <w:br/>
      </w:r>
      <w:r w:rsidR="188450D8">
        <w:rPr>
          <w:noProof/>
        </w:rPr>
        <w:drawing>
          <wp:inline distT="0" distB="0" distL="0" distR="0" wp14:anchorId="0347D319" wp14:editId="4A86B89D">
            <wp:extent cx="5628987" cy="3482935"/>
            <wp:effectExtent l="0" t="0" r="0" b="0"/>
            <wp:docPr id="571316857" name="Picture 571316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628987" cy="3482935"/>
                    </a:xfrm>
                    <a:prstGeom prst="rect">
                      <a:avLst/>
                    </a:prstGeom>
                  </pic:spPr>
                </pic:pic>
              </a:graphicData>
            </a:graphic>
          </wp:inline>
        </w:drawing>
      </w:r>
    </w:p>
    <w:p w14:paraId="413776D3" w14:textId="062B5FF9" w:rsidR="4FC4DBAA" w:rsidRPr="0070693B" w:rsidRDefault="4D196F3C" w:rsidP="2341331F">
      <w:pPr>
        <w:jc w:val="center"/>
        <w:rPr>
          <w:rFonts w:ascii="Calibri" w:eastAsia="Calibri" w:hAnsi="Calibri" w:cs="Calibri"/>
          <w:sz w:val="18"/>
          <w:szCs w:val="18"/>
          <w:lang w:val="fr-FR"/>
        </w:rPr>
      </w:pPr>
      <w:r w:rsidRPr="0070693B">
        <w:rPr>
          <w:sz w:val="18"/>
          <w:szCs w:val="18"/>
          <w:lang w:val="fr-FR"/>
        </w:rPr>
        <w:t xml:space="preserve">Source: </w:t>
      </w:r>
      <w:hyperlink r:id="rId19">
        <w:r w:rsidRPr="0070693B">
          <w:rPr>
            <w:rStyle w:val="Hyperlink"/>
            <w:rFonts w:ascii="Calibri" w:eastAsia="Calibri" w:hAnsi="Calibri" w:cs="Calibri"/>
            <w:sz w:val="18"/>
            <w:szCs w:val="18"/>
            <w:lang w:val="fr-FR"/>
          </w:rPr>
          <w:t>https://3dprint.com/293410/aston-martins-dbr22-features-fully-3d-printed-rear-assembly/</w:t>
        </w:r>
      </w:hyperlink>
    </w:p>
    <w:p w14:paraId="59E2EB8C" w14:textId="0CB9D540" w:rsidR="26E4B921" w:rsidRPr="0070693B" w:rsidRDefault="26E4B921" w:rsidP="26E4B921">
      <w:pPr>
        <w:jc w:val="both"/>
        <w:rPr>
          <w:b/>
          <w:bCs/>
          <w:lang w:val="fr-FR"/>
        </w:rPr>
      </w:pPr>
    </w:p>
    <w:p w14:paraId="197BDBDE" w14:textId="0AB07864" w:rsidR="114D2111" w:rsidRDefault="000F120D" w:rsidP="114D2111">
      <w:pPr>
        <w:jc w:val="both"/>
      </w:pPr>
      <w:r w:rsidRPr="004C57B0">
        <w:rPr>
          <w:b/>
          <w:bCs/>
        </w:rPr>
        <w:t>Appendix 8</w:t>
      </w:r>
      <w:r w:rsidRPr="000F120D">
        <w:t>, the ‘Market-Line’ report</w:t>
      </w:r>
      <w:r>
        <w:t xml:space="preserve"> on AML’s Q3 2022 results includes the following short paragraph:</w:t>
      </w:r>
    </w:p>
    <w:p w14:paraId="2F07428F" w14:textId="6D1D4544" w:rsidR="000F120D" w:rsidRPr="000F120D" w:rsidRDefault="000F120D" w:rsidP="114D2111">
      <w:pPr>
        <w:jc w:val="both"/>
        <w:rPr>
          <w:i/>
          <w:iCs/>
        </w:rPr>
      </w:pPr>
      <w:r w:rsidRPr="000F120D">
        <w:rPr>
          <w:i/>
          <w:iCs/>
        </w:rPr>
        <w:t>Gross profit increased by 29% year-on-year to £286m (YTD 2021: £222m) and gross margin increased to 33% (YTD 2021: 30%) reflecting improved pricing and core mix, partially offset by higher logistics and manufacturing costs, particularly in Q3 2022</w:t>
      </w:r>
    </w:p>
    <w:p w14:paraId="723D948C" w14:textId="43CDB5D6" w:rsidR="114D2111" w:rsidRPr="000F120D" w:rsidRDefault="000F120D" w:rsidP="114D2111">
      <w:pPr>
        <w:jc w:val="both"/>
      </w:pPr>
      <w:r w:rsidRPr="000F120D">
        <w:t>The increased gross margin is moving in the right direction and adjusted EBITDA</w:t>
      </w:r>
      <w:sdt>
        <w:sdtPr>
          <w:id w:val="1868479700"/>
          <w:citation/>
        </w:sdtPr>
        <w:sdtContent>
          <w:r w:rsidRPr="000F120D">
            <w:fldChar w:fldCharType="begin"/>
          </w:r>
          <w:r w:rsidRPr="000F120D">
            <w:instrText xml:space="preserve"> CITATION GEN23 \l 2057 </w:instrText>
          </w:r>
          <w:r w:rsidRPr="000F120D">
            <w:fldChar w:fldCharType="separate"/>
          </w:r>
          <w:r w:rsidRPr="000F120D">
            <w:rPr>
              <w:noProof/>
            </w:rPr>
            <w:t xml:space="preserve"> (GENERATIONAL EQUITY, 2023)</w:t>
          </w:r>
          <w:r w:rsidRPr="000F120D">
            <w:fldChar w:fldCharType="end"/>
          </w:r>
        </w:sdtContent>
      </w:sdt>
      <w:r w:rsidRPr="000F120D">
        <w:t xml:space="preserve"> increased by 10% year-on-year to £80m, primarily driven by revenue growth and higher gross profit.</w:t>
      </w:r>
    </w:p>
    <w:p w14:paraId="0A771F0A" w14:textId="675471C1" w:rsidR="004C57B0" w:rsidRDefault="004C57B0" w:rsidP="004C57B0"/>
    <w:p w14:paraId="2D9CF978" w14:textId="77777777" w:rsidR="002958C0" w:rsidRDefault="002958C0" w:rsidP="004C57B0"/>
    <w:p w14:paraId="75DB057E" w14:textId="6E6EAB08" w:rsidR="009D245D" w:rsidRDefault="009D245D" w:rsidP="004C57B0"/>
    <w:p w14:paraId="46E81EC0" w14:textId="34CFD902" w:rsidR="009D245D" w:rsidRPr="009D245D" w:rsidRDefault="009D245D" w:rsidP="004C57B0">
      <w:pPr>
        <w:rPr>
          <w:b/>
          <w:bCs/>
        </w:rPr>
      </w:pPr>
      <w:r w:rsidRPr="009D245D">
        <w:rPr>
          <w:b/>
          <w:bCs/>
        </w:rPr>
        <w:t>Evidence gathered which supports our conclusion and demonstrates that AML’s Board of Directors are ‘walking the talk’ includes:</w:t>
      </w:r>
    </w:p>
    <w:p w14:paraId="16EE77E9" w14:textId="77777777" w:rsidR="004C57B0" w:rsidRDefault="004C57B0" w:rsidP="004C57B0">
      <w:pPr>
        <w:pStyle w:val="ListParagraph"/>
        <w:numPr>
          <w:ilvl w:val="0"/>
          <w:numId w:val="4"/>
        </w:numPr>
        <w:jc w:val="both"/>
      </w:pPr>
      <w:r>
        <w:t>Raising cash through new share issues thereby reducing the risks associated with high levels of gearing, including both adverse foreign exchange rate movements and the increasing cost of debt finance:</w:t>
      </w:r>
    </w:p>
    <w:p w14:paraId="557ADEBD" w14:textId="77777777" w:rsidR="004C57B0" w:rsidRDefault="004C57B0" w:rsidP="004C57B0">
      <w:pPr>
        <w:pStyle w:val="ListParagraph"/>
        <w:numPr>
          <w:ilvl w:val="1"/>
          <w:numId w:val="4"/>
        </w:numPr>
        <w:jc w:val="both"/>
        <w:rPr>
          <w:rFonts w:ascii="Calibri" w:eastAsia="Calibri" w:hAnsi="Calibri" w:cs="Calibri"/>
          <w:color w:val="000000" w:themeColor="text1"/>
        </w:rPr>
      </w:pPr>
      <w:r>
        <w:t xml:space="preserve">Lawrence Stroll has invested more of his money </w:t>
      </w:r>
      <w:sdt>
        <w:sdtPr>
          <w:alias w:val="Citation"/>
          <w:tag w:val="{&quot;referencesIds&quot;:[&quot;doc:63ad599c75fbb60552fb6777&quot;],&quot;referencesOptions&quot;:{&quot;doc:63ad599c75fbb60552fb6777&quot;:{&quot;author&quot;:true,&quot;year&quot;:true,&quot;pageReplace&quot;:&quot;&quot;,&quot;prefix&quot;:&quot;&quot;,&quot;suffix&quot;:&quot;&quot;}},&quot;hasBrokenReferences&quot;:false,&quot;hasManualEdits&quot;:false,&quot;citationType&quot;:&quot;inline&quot;}"/>
          <w:id w:val="821820121"/>
          <w:placeholder>
            <w:docPart w:val="763444E9D6D740DA84E085B80B820F0D"/>
          </w:placeholder>
        </w:sdtPr>
        <w:sdtContent>
          <w:r w:rsidRPr="114D2111">
            <w:rPr>
              <w:rFonts w:ascii="Calibri" w:eastAsia="Calibri" w:hAnsi="Calibri" w:cs="Calibri"/>
              <w:color w:val="000000" w:themeColor="text1"/>
            </w:rPr>
            <w:t>(Holder 2022)</w:t>
          </w:r>
        </w:sdtContent>
      </w:sdt>
      <w:r>
        <w:t xml:space="preserve"> following a move by Zhejiang Geely Holding Group to increase its own stake in AML </w:t>
      </w:r>
      <w:sdt>
        <w:sdtPr>
          <w:alias w:val="Citation"/>
          <w:tag w:val="{&quot;referencesIds&quot;:[&quot;doc:63ad4f47175cdf0549417d30&quot;],&quot;referencesOptions&quot;:{&quot;doc:63ad4f47175cdf0549417d30&quot;:{&quot;author&quot;:true,&quot;year&quot;:true,&quot;pageReplace&quot;:&quot;&quot;,&quot;prefix&quot;:&quot;&quot;,&quot;suffix&quot;:&quot;&quot;}},&quot;hasBrokenReferences&quot;:false,&quot;hasManualEdits&quot;:false,&quot;citationType&quot;:&quot;inline&quot;}"/>
          <w:id w:val="1529888206"/>
          <w:placeholder>
            <w:docPart w:val="763444E9D6D740DA84E085B80B820F0D"/>
          </w:placeholder>
        </w:sdtPr>
        <w:sdtContent>
          <w:r w:rsidRPr="114D2111">
            <w:rPr>
              <w:rFonts w:ascii="Calibri" w:eastAsia="Calibri" w:hAnsi="Calibri" w:cs="Calibri"/>
              <w:color w:val="000000" w:themeColor="text1"/>
            </w:rPr>
            <w:t>(Geely 2022)</w:t>
          </w:r>
        </w:sdtContent>
      </w:sdt>
    </w:p>
    <w:p w14:paraId="0D56EF04" w14:textId="4CE69060" w:rsidR="004C57B0" w:rsidRPr="009D245D" w:rsidRDefault="004C57B0" w:rsidP="001078C8">
      <w:pPr>
        <w:pStyle w:val="ListParagraph"/>
        <w:numPr>
          <w:ilvl w:val="1"/>
          <w:numId w:val="4"/>
        </w:numPr>
        <w:jc w:val="both"/>
        <w:rPr>
          <w:rFonts w:ascii="Calibri" w:eastAsia="Calibri" w:hAnsi="Calibri" w:cs="Calibri"/>
          <w:color w:val="000000" w:themeColor="text1"/>
        </w:rPr>
      </w:pPr>
      <w:r w:rsidRPr="009D245D">
        <w:rPr>
          <w:rFonts w:ascii="Calibri" w:eastAsia="Calibri" w:hAnsi="Calibri" w:cs="Calibri"/>
          <w:color w:val="000000" w:themeColor="text1"/>
        </w:rPr>
        <w:t>Stroll’s conviction and determination to implement ‘Project Horizon’ suggests that he is willing to inject more funds to achieve long-term success</w:t>
      </w:r>
    </w:p>
    <w:p w14:paraId="5B1C3069" w14:textId="77777777" w:rsidR="004C57B0" w:rsidRDefault="004C57B0" w:rsidP="004C57B0">
      <w:pPr>
        <w:pStyle w:val="ListParagraph"/>
        <w:numPr>
          <w:ilvl w:val="0"/>
          <w:numId w:val="4"/>
        </w:numPr>
        <w:jc w:val="both"/>
      </w:pPr>
      <w:r>
        <w:t>What is the market saying right now?</w:t>
      </w:r>
    </w:p>
    <w:p w14:paraId="5F9154AF" w14:textId="7EF0B90A" w:rsidR="004C57B0" w:rsidRDefault="004C57B0" w:rsidP="00307FCC">
      <w:pPr>
        <w:pStyle w:val="ListParagraph"/>
        <w:numPr>
          <w:ilvl w:val="1"/>
          <w:numId w:val="4"/>
        </w:numPr>
        <w:jc w:val="both"/>
      </w:pPr>
      <w:r>
        <w:t xml:space="preserve">The market price for AML shares has rebounded from its low price in November 2022 and some analysts are predicting significant improvement over the next 2 years </w:t>
      </w:r>
    </w:p>
    <w:p w14:paraId="656AB7DB" w14:textId="77777777" w:rsidR="004C57B0" w:rsidRDefault="004C57B0" w:rsidP="004C57B0">
      <w:pPr>
        <w:pStyle w:val="ListParagraph"/>
        <w:numPr>
          <w:ilvl w:val="0"/>
          <w:numId w:val="4"/>
        </w:numPr>
        <w:jc w:val="both"/>
        <w:rPr>
          <w:rFonts w:ascii="Calibri" w:eastAsia="Calibri" w:hAnsi="Calibri" w:cs="Calibri"/>
          <w:color w:val="000000" w:themeColor="text1"/>
        </w:rPr>
      </w:pPr>
      <w:r>
        <w:t xml:space="preserve">How will the demise of British Volt affect AML’s future supply chain plans? </w:t>
      </w:r>
      <w:sdt>
        <w:sdtPr>
          <w:alias w:val="Citation"/>
          <w:tag w:val="{&quot;referencesIds&quot;:[&quot;doc:63cb8ef4cbb653054f26548c&quot;],&quot;referencesOptions&quot;:{&quot;doc:63cb8ef4cbb653054f26548c&quot;:{&quot;author&quot;:true,&quot;year&quot;:true,&quot;pageReplace&quot;:&quot;&quot;,&quot;prefix&quot;:&quot;&quot;,&quot;suffix&quot;:&quot;&quot;}},&quot;hasBrokenReferences&quot;:false,&quot;hasManualEdits&quot;:false,&quot;citationType&quot;:&quot;inline&quot;}"/>
          <w:id w:val="1493582997"/>
          <w:placeholder>
            <w:docPart w:val="763444E9D6D740DA84E085B80B820F0D"/>
          </w:placeholder>
        </w:sdtPr>
        <w:sdtContent>
          <w:r w:rsidRPr="114D2111">
            <w:rPr>
              <w:rFonts w:ascii="Calibri" w:eastAsia="Calibri" w:hAnsi="Calibri" w:cs="Calibri"/>
              <w:color w:val="000000" w:themeColor="text1"/>
            </w:rPr>
            <w:t xml:space="preserve">(Trudell, </w:t>
          </w:r>
          <w:bookmarkStart w:id="32" w:name="_Int_JFATdp9o"/>
          <w:r w:rsidRPr="114D2111">
            <w:rPr>
              <w:rFonts w:ascii="Calibri" w:eastAsia="Calibri" w:hAnsi="Calibri" w:cs="Calibri"/>
              <w:color w:val="000000" w:themeColor="text1"/>
            </w:rPr>
            <w:t>Mo</w:t>
          </w:r>
          <w:bookmarkEnd w:id="32"/>
          <w:r w:rsidRPr="114D2111">
            <w:rPr>
              <w:rFonts w:ascii="Calibri" w:eastAsia="Calibri" w:hAnsi="Calibri" w:cs="Calibri"/>
              <w:color w:val="000000" w:themeColor="text1"/>
            </w:rPr>
            <w:t>rison 2023)</w:t>
          </w:r>
        </w:sdtContent>
      </w:sdt>
    </w:p>
    <w:p w14:paraId="377DCBC2" w14:textId="482AF7CD" w:rsidR="004C57B0" w:rsidRDefault="004C57B0" w:rsidP="00B1347F">
      <w:pPr>
        <w:pStyle w:val="ListParagraph"/>
        <w:numPr>
          <w:ilvl w:val="1"/>
          <w:numId w:val="4"/>
        </w:numPr>
        <w:jc w:val="both"/>
      </w:pPr>
      <w:r>
        <w:t>AML’s strong link with MB will become more important for supply chain collaboration when it switches to electric power train technology for its planned fully electric models. This will now extend to batteries which Mercedes Benz could help to procure</w:t>
      </w:r>
    </w:p>
    <w:p w14:paraId="6FFEA877" w14:textId="77777777" w:rsidR="004C57B0" w:rsidRDefault="004C57B0" w:rsidP="004C57B0">
      <w:pPr>
        <w:pStyle w:val="ListParagraph"/>
        <w:numPr>
          <w:ilvl w:val="0"/>
          <w:numId w:val="4"/>
        </w:numPr>
        <w:jc w:val="both"/>
      </w:pPr>
      <w:r>
        <w:t>What is the market outlook for high luxury sportscars? (See McKinsey Report in Appendix 3)</w:t>
      </w:r>
    </w:p>
    <w:p w14:paraId="1791D904" w14:textId="77777777" w:rsidR="004C57B0" w:rsidRDefault="004C57B0" w:rsidP="004C57B0">
      <w:pPr>
        <w:pStyle w:val="ListParagraph"/>
        <w:numPr>
          <w:ilvl w:val="1"/>
          <w:numId w:val="4"/>
        </w:numPr>
        <w:jc w:val="both"/>
      </w:pPr>
      <w:r>
        <w:t xml:space="preserve">According to a McKinsey report, the predicted growth in the luxury car market is set to outstrip general demand for vehicles achieving a compound annual growth rate (CAGR) of 10% for vehicles in the price range of between $150K to $299K. </w:t>
      </w:r>
    </w:p>
    <w:p w14:paraId="513F24A0" w14:textId="77777777" w:rsidR="004C57B0" w:rsidRDefault="004C57B0" w:rsidP="004C57B0">
      <w:pPr>
        <w:pStyle w:val="ListParagraph"/>
        <w:numPr>
          <w:ilvl w:val="1"/>
          <w:numId w:val="4"/>
        </w:numPr>
        <w:jc w:val="both"/>
      </w:pPr>
      <w:r>
        <w:t xml:space="preserve">Vehicles above $300K are projected to achieve a CAGR of 9%. </w:t>
      </w:r>
    </w:p>
    <w:p w14:paraId="34EBCACE" w14:textId="4C7B650D" w:rsidR="004C57B0" w:rsidRDefault="004C57B0" w:rsidP="005B4230">
      <w:pPr>
        <w:pStyle w:val="ListParagraph"/>
        <w:numPr>
          <w:ilvl w:val="1"/>
          <w:numId w:val="4"/>
        </w:numPr>
        <w:jc w:val="both"/>
      </w:pPr>
      <w:r>
        <w:t>Both these segments are significantly above the general market demand for vehicles which is forecast to achieve a CAGR of only 1%.</w:t>
      </w:r>
    </w:p>
    <w:p w14:paraId="54D01C9F" w14:textId="77777777" w:rsidR="004C57B0" w:rsidRDefault="004C57B0" w:rsidP="004C57B0">
      <w:pPr>
        <w:pStyle w:val="ListParagraph"/>
        <w:numPr>
          <w:ilvl w:val="0"/>
          <w:numId w:val="4"/>
        </w:numPr>
        <w:jc w:val="both"/>
      </w:pPr>
      <w:r>
        <w:t>What progress is being made in improving supply chain resilience?</w:t>
      </w:r>
    </w:p>
    <w:p w14:paraId="4EE6ED28" w14:textId="77777777" w:rsidR="004C57B0" w:rsidRDefault="004C57B0" w:rsidP="004C57B0">
      <w:pPr>
        <w:pStyle w:val="ListParagraph"/>
        <w:numPr>
          <w:ilvl w:val="0"/>
          <w:numId w:val="2"/>
        </w:numPr>
        <w:jc w:val="both"/>
        <w:rPr>
          <w:rFonts w:ascii="Calibri" w:eastAsia="Calibri" w:hAnsi="Calibri" w:cs="Calibri"/>
          <w:color w:val="000000" w:themeColor="text1"/>
        </w:rPr>
      </w:pPr>
      <w:r>
        <w:t xml:space="preserve">AML has taken proactive measures by locating its procurement support staff at the premises of some of its key suppliers to help address any supply chain delays </w:t>
      </w:r>
      <w:sdt>
        <w:sdtPr>
          <w:alias w:val="Citation"/>
          <w:tag w:val="{&quot;referencesIds&quot;:[&quot;doc:63cc226a537ade054e10517e&quot;],&quot;referencesOptions&quot;:{&quot;doc:63cc226a537ade054e10517e&quot;:{&quot;author&quot;:true,&quot;year&quot;:true,&quot;pageReplace&quot;:&quot;&quot;,&quot;prefix&quot;:&quot;&quot;,&quot;suffix&quot;:&quot;&quot;}},&quot;hasBrokenReferences&quot;:false,&quot;hasManualEdits&quot;:false,&quot;citationType&quot;:&quot;inline&quot;}"/>
          <w:id w:val="1657557259"/>
          <w:placeholder>
            <w:docPart w:val="763444E9D6D740DA84E085B80B820F0D"/>
          </w:placeholder>
        </w:sdtPr>
        <w:sdtContent>
          <w:r w:rsidRPr="114D2111">
            <w:rPr>
              <w:rFonts w:ascii="Calibri" w:eastAsia="Calibri" w:hAnsi="Calibri" w:cs="Calibri"/>
              <w:color w:val="000000" w:themeColor="text1"/>
            </w:rPr>
            <w:t>(Phillips 2022)</w:t>
          </w:r>
        </w:sdtContent>
      </w:sdt>
    </w:p>
    <w:p w14:paraId="016C0E41" w14:textId="62672A2C" w:rsidR="004C57B0" w:rsidRDefault="004C57B0" w:rsidP="004C57B0">
      <w:pPr>
        <w:pStyle w:val="ListParagraph"/>
        <w:numPr>
          <w:ilvl w:val="0"/>
          <w:numId w:val="26"/>
        </w:numPr>
      </w:pPr>
      <w:r>
        <w:t xml:space="preserve">Additional </w:t>
      </w:r>
      <w:r w:rsidR="009D245D">
        <w:t xml:space="preserve">evidence of targeted Board action </w:t>
      </w:r>
      <w:r>
        <w:t>is provided in Appendix 6</w:t>
      </w:r>
      <w:r w:rsidR="009D245D">
        <w:t xml:space="preserve"> covering:</w:t>
      </w:r>
    </w:p>
    <w:p w14:paraId="2AC9CEF3" w14:textId="3343D883" w:rsidR="009D245D" w:rsidRDefault="009D245D" w:rsidP="009D245D">
      <w:pPr>
        <w:pStyle w:val="ListParagraph"/>
        <w:numPr>
          <w:ilvl w:val="1"/>
          <w:numId w:val="26"/>
        </w:numPr>
      </w:pPr>
      <w:r>
        <w:t>Improved efficiency</w:t>
      </w:r>
    </w:p>
    <w:p w14:paraId="4CD5E724" w14:textId="22640AB0" w:rsidR="009D245D" w:rsidRDefault="009D245D" w:rsidP="009D245D">
      <w:pPr>
        <w:pStyle w:val="ListParagraph"/>
        <w:numPr>
          <w:ilvl w:val="1"/>
          <w:numId w:val="26"/>
        </w:numPr>
      </w:pPr>
      <w:r>
        <w:t>New strategic collaborative partnerships for R&amp;D</w:t>
      </w:r>
    </w:p>
    <w:p w14:paraId="5530AFEC" w14:textId="47D9DF07" w:rsidR="009D245D" w:rsidRDefault="009D245D" w:rsidP="114D2111">
      <w:pPr>
        <w:jc w:val="both"/>
        <w:rPr>
          <w:b/>
          <w:bCs/>
        </w:rPr>
      </w:pPr>
    </w:p>
    <w:p w14:paraId="0C4DF7C6" w14:textId="34E080DC" w:rsidR="009D245D" w:rsidRDefault="009D245D" w:rsidP="114D2111">
      <w:pPr>
        <w:jc w:val="both"/>
        <w:rPr>
          <w:b/>
          <w:bCs/>
        </w:rPr>
      </w:pPr>
    </w:p>
    <w:p w14:paraId="23BC494C" w14:textId="0954A621" w:rsidR="009D245D" w:rsidRDefault="009D245D" w:rsidP="114D2111">
      <w:pPr>
        <w:jc w:val="both"/>
        <w:rPr>
          <w:b/>
          <w:bCs/>
        </w:rPr>
      </w:pPr>
    </w:p>
    <w:p w14:paraId="0F75F856" w14:textId="3BC4C57F" w:rsidR="009D245D" w:rsidRDefault="009D245D" w:rsidP="114D2111">
      <w:pPr>
        <w:jc w:val="both"/>
        <w:rPr>
          <w:b/>
          <w:bCs/>
        </w:rPr>
      </w:pPr>
    </w:p>
    <w:p w14:paraId="06D97334" w14:textId="5F25521A" w:rsidR="009D245D" w:rsidRDefault="009D245D" w:rsidP="114D2111">
      <w:pPr>
        <w:jc w:val="both"/>
        <w:rPr>
          <w:b/>
          <w:bCs/>
        </w:rPr>
      </w:pPr>
    </w:p>
    <w:p w14:paraId="35CBA2D6" w14:textId="6032BB17" w:rsidR="009D245D" w:rsidRDefault="009D245D" w:rsidP="114D2111">
      <w:pPr>
        <w:jc w:val="both"/>
        <w:rPr>
          <w:b/>
          <w:bCs/>
        </w:rPr>
      </w:pPr>
    </w:p>
    <w:p w14:paraId="154048E9" w14:textId="77777777" w:rsidR="009D245D" w:rsidRDefault="009D245D" w:rsidP="114D2111">
      <w:pPr>
        <w:jc w:val="both"/>
        <w:rPr>
          <w:b/>
          <w:bCs/>
        </w:rPr>
      </w:pPr>
    </w:p>
    <w:p w14:paraId="433B8FD4" w14:textId="77777777" w:rsidR="009D245D" w:rsidRPr="000F120D" w:rsidRDefault="009D245D" w:rsidP="114D2111">
      <w:pPr>
        <w:jc w:val="both"/>
        <w:rPr>
          <w:b/>
          <w:bCs/>
        </w:rPr>
      </w:pPr>
    </w:p>
    <w:p w14:paraId="42E8CD52" w14:textId="35F7B594" w:rsidR="3C041A8E" w:rsidRDefault="1EED5908" w:rsidP="114D2111">
      <w:pPr>
        <w:jc w:val="both"/>
        <w:rPr>
          <w:u w:val="single"/>
        </w:rPr>
      </w:pPr>
      <w:r w:rsidRPr="114D2111">
        <w:rPr>
          <w:u w:val="single"/>
        </w:rPr>
        <w:lastRenderedPageBreak/>
        <w:t>We believe the targets set out on page 35 of AML 2021 Annual Report are achievable based upon increased average selling prices and reduced cost of sales percentages (attributable to efficiency improvements):</w:t>
      </w:r>
    </w:p>
    <w:p w14:paraId="73EC156A" w14:textId="72963DD7" w:rsidR="1EED5908" w:rsidRDefault="1EED5908" w:rsidP="3C041A8E">
      <w:pPr>
        <w:jc w:val="center"/>
      </w:pPr>
      <w:r>
        <w:rPr>
          <w:noProof/>
        </w:rPr>
        <w:drawing>
          <wp:inline distT="0" distB="0" distL="0" distR="0" wp14:anchorId="50D1A32F" wp14:editId="1B84D264">
            <wp:extent cx="4305300" cy="3856831"/>
            <wp:effectExtent l="0" t="0" r="0" b="0"/>
            <wp:docPr id="677135001" name="Picture 677135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305300" cy="3856831"/>
                    </a:xfrm>
                    <a:prstGeom prst="rect">
                      <a:avLst/>
                    </a:prstGeom>
                  </pic:spPr>
                </pic:pic>
              </a:graphicData>
            </a:graphic>
          </wp:inline>
        </w:drawing>
      </w:r>
    </w:p>
    <w:p w14:paraId="7D7E2B0C" w14:textId="7CE897B5" w:rsidR="1EED5908" w:rsidRDefault="1EED5908" w:rsidP="3C041A8E">
      <w:pPr>
        <w:jc w:val="center"/>
        <w:rPr>
          <w:sz w:val="18"/>
          <w:szCs w:val="18"/>
        </w:rPr>
      </w:pPr>
      <w:r w:rsidRPr="26E4B921">
        <w:rPr>
          <w:sz w:val="18"/>
          <w:szCs w:val="18"/>
        </w:rPr>
        <w:t>Source: page 35 of AML 2021 Annual Report</w:t>
      </w:r>
    </w:p>
    <w:p w14:paraId="1069DAE8" w14:textId="1390366E" w:rsidR="1EED5908" w:rsidRDefault="1EED5908" w:rsidP="114D2111">
      <w:pPr>
        <w:jc w:val="both"/>
      </w:pPr>
      <w:r>
        <w:t xml:space="preserve">The right people </w:t>
      </w:r>
      <w:r w:rsidR="541997CC">
        <w:t>can</w:t>
      </w:r>
      <w:r>
        <w:t xml:space="preserve"> deliver the right numbers!</w:t>
      </w:r>
      <w:r w:rsidR="464BEA66">
        <w:t xml:space="preserve"> </w:t>
      </w:r>
      <w:r>
        <w:t>Amedeo Felisa (former CEO at Ferrari) has done it before and can do it again.............</w:t>
      </w:r>
    </w:p>
    <w:p w14:paraId="3A3DC5D6" w14:textId="413E4435" w:rsidR="7BC2B63E" w:rsidRDefault="7BC2B63E" w:rsidP="114D2111">
      <w:pPr>
        <w:jc w:val="both"/>
        <w:rPr>
          <w:b/>
          <w:bCs/>
        </w:rPr>
      </w:pPr>
      <w:r w:rsidRPr="114D2111">
        <w:rPr>
          <w:b/>
          <w:bCs/>
        </w:rPr>
        <w:t>Recommendations</w:t>
      </w:r>
    </w:p>
    <w:p w14:paraId="63C088D4" w14:textId="19EF9828" w:rsidR="0E5F69BA" w:rsidRDefault="1042694F" w:rsidP="0E5F69BA">
      <w:pPr>
        <w:jc w:val="both"/>
      </w:pPr>
      <w:r>
        <w:t>On the basis that AML has a clear strategy to implement</w:t>
      </w:r>
      <w:r w:rsidR="5B304926">
        <w:t xml:space="preserve"> its transformational</w:t>
      </w:r>
      <w:r>
        <w:t xml:space="preserve"> </w:t>
      </w:r>
      <w:r w:rsidR="1CAF093D">
        <w:t>‘</w:t>
      </w:r>
      <w:r>
        <w:t>Project Horizon</w:t>
      </w:r>
      <w:r w:rsidR="41EAFC45">
        <w:t>’</w:t>
      </w:r>
      <w:r>
        <w:t>, which is address</w:t>
      </w:r>
      <w:r w:rsidR="2F7397EB">
        <w:t>ing</w:t>
      </w:r>
      <w:r>
        <w:t xml:space="preserve"> </w:t>
      </w:r>
      <w:r w:rsidR="08254D61">
        <w:t xml:space="preserve">all aspects of the business, we believe </w:t>
      </w:r>
      <w:r w:rsidR="29E08622">
        <w:t>it</w:t>
      </w:r>
      <w:r w:rsidR="08254D61">
        <w:t xml:space="preserve"> has the commitment to see this through to a successful conclusion.</w:t>
      </w:r>
      <w:r w:rsidR="687E2A8D">
        <w:t xml:space="preserve"> </w:t>
      </w:r>
      <w:r w:rsidR="08254D61">
        <w:t>This belief is well founded on evidence included in AML’s annual reports together with exter</w:t>
      </w:r>
      <w:r w:rsidR="37485400">
        <w:t>nal sources</w:t>
      </w:r>
      <w:r w:rsidR="10FF3E5D">
        <w:t>.</w:t>
      </w:r>
    </w:p>
    <w:p w14:paraId="795700B5" w14:textId="7947A85E" w:rsidR="7CD155F1" w:rsidRDefault="7CD155F1" w:rsidP="0E5F69BA">
      <w:pPr>
        <w:jc w:val="both"/>
      </w:pPr>
      <w:r>
        <w:t xml:space="preserve">This JV </w:t>
      </w:r>
      <w:r w:rsidR="66B3DED7">
        <w:t xml:space="preserve">opportunity </w:t>
      </w:r>
      <w:r>
        <w:t xml:space="preserve">would certainly open the door to AML’s wider ecosystem and there could be scope for the resulting technology to be </w:t>
      </w:r>
      <w:r w:rsidR="50C01A6B">
        <w:t xml:space="preserve">adopted by Mercedes Benz, given its strong links </w:t>
      </w:r>
      <w:r w:rsidR="36792368">
        <w:t>with AML.</w:t>
      </w:r>
    </w:p>
    <w:p w14:paraId="723DCB07" w14:textId="5EF99C2C" w:rsidR="36792368" w:rsidRDefault="5532C495" w:rsidP="0E5F69BA">
      <w:pPr>
        <w:jc w:val="both"/>
      </w:pPr>
      <w:r>
        <w:t>F</w:t>
      </w:r>
      <w:r w:rsidR="36792368">
        <w:t xml:space="preserve">inancial ratios and measures will always be fundamentally important </w:t>
      </w:r>
      <w:r w:rsidR="310587D0">
        <w:t xml:space="preserve">as </w:t>
      </w:r>
      <w:r w:rsidR="36792368">
        <w:t xml:space="preserve">key performance </w:t>
      </w:r>
      <w:r w:rsidR="12912E42">
        <w:t xml:space="preserve">indicators, targets and benchmarks. Given that AML are fully aware of its performance challenges, recognising the </w:t>
      </w:r>
      <w:r w:rsidR="659AA634">
        <w:t>need for comprehensive improvement across all parts of its business, we believe that it is moving in the right direction.</w:t>
      </w:r>
    </w:p>
    <w:p w14:paraId="6E000A7A" w14:textId="24669356" w:rsidR="659AA634" w:rsidRDefault="659AA634" w:rsidP="0E5F69BA">
      <w:pPr>
        <w:jc w:val="both"/>
      </w:pPr>
      <w:r>
        <w:t>Furthermore</w:t>
      </w:r>
      <w:r w:rsidR="1CB13BB8">
        <w:t>,</w:t>
      </w:r>
      <w:r>
        <w:t xml:space="preserve"> AML’s strong financial and strategic links with Mercedes Benz will provide stability </w:t>
      </w:r>
      <w:r w:rsidR="3E0C34E2">
        <w:t>as it pivots towards fully electric vehicles across its model range.</w:t>
      </w:r>
    </w:p>
    <w:p w14:paraId="1557E71E" w14:textId="014FA84D" w:rsidR="26E4B921" w:rsidRDefault="4534A124" w:rsidP="114D2111">
      <w:pPr>
        <w:jc w:val="both"/>
        <w:rPr>
          <w:b/>
          <w:bCs/>
        </w:rPr>
      </w:pPr>
      <w:r w:rsidRPr="114D2111">
        <w:rPr>
          <w:b/>
          <w:bCs/>
        </w:rPr>
        <w:t xml:space="preserve">We </w:t>
      </w:r>
      <w:r w:rsidR="1CF475C8" w:rsidRPr="114D2111">
        <w:rPr>
          <w:b/>
          <w:bCs/>
        </w:rPr>
        <w:t>should</w:t>
      </w:r>
      <w:r w:rsidRPr="114D2111">
        <w:rPr>
          <w:b/>
          <w:bCs/>
        </w:rPr>
        <w:t xml:space="preserve"> </w:t>
      </w:r>
      <w:r w:rsidR="3FF59BEE" w:rsidRPr="114D2111">
        <w:rPr>
          <w:b/>
          <w:bCs/>
        </w:rPr>
        <w:t xml:space="preserve">certainly </w:t>
      </w:r>
      <w:r w:rsidR="13F55948" w:rsidRPr="114D2111">
        <w:rPr>
          <w:b/>
          <w:bCs/>
        </w:rPr>
        <w:t>help AML to catch that Prancing Horse!</w:t>
      </w:r>
    </w:p>
    <w:p w14:paraId="5F6FB940" w14:textId="696E9532" w:rsidR="5AC7D45C" w:rsidRDefault="5AC7D45C" w:rsidP="5AC7D45C">
      <w:pPr>
        <w:jc w:val="both"/>
        <w:rPr>
          <w:rFonts w:ascii="Calibri" w:eastAsia="Calibri" w:hAnsi="Calibri" w:cs="Calibri"/>
          <w:b/>
          <w:bCs/>
          <w:color w:val="000000" w:themeColor="text1"/>
        </w:rPr>
      </w:pPr>
    </w:p>
    <w:p w14:paraId="1D364A75" w14:textId="2EF3BAEA" w:rsidR="4C7DB68F" w:rsidRDefault="1068227A" w:rsidP="74871879">
      <w:pPr>
        <w:jc w:val="both"/>
        <w:rPr>
          <w:rFonts w:ascii="Calibri" w:eastAsia="Calibri" w:hAnsi="Calibri" w:cs="Calibri"/>
          <w:color w:val="000000" w:themeColor="text1"/>
        </w:rPr>
      </w:pPr>
      <w:r w:rsidRPr="74871879">
        <w:rPr>
          <w:rFonts w:ascii="Calibri" w:eastAsia="Calibri" w:hAnsi="Calibri" w:cs="Calibri"/>
          <w:b/>
          <w:bCs/>
          <w:color w:val="000000" w:themeColor="text1"/>
        </w:rPr>
        <w:t>Appendices</w:t>
      </w:r>
    </w:p>
    <w:p w14:paraId="32AB40C0" w14:textId="3623C06E" w:rsidR="4C7DB68F" w:rsidRDefault="0F9AD371" w:rsidP="5AC7D45C">
      <w:pPr>
        <w:jc w:val="both"/>
        <w:rPr>
          <w:rFonts w:ascii="Calibri" w:eastAsia="Calibri" w:hAnsi="Calibri" w:cs="Calibri"/>
          <w:color w:val="000000" w:themeColor="text1"/>
        </w:rPr>
      </w:pPr>
      <w:bookmarkStart w:id="33" w:name="_Hlk125312596"/>
      <w:r w:rsidRPr="5AC7D45C">
        <w:rPr>
          <w:rFonts w:ascii="Calibri" w:eastAsia="Calibri" w:hAnsi="Calibri" w:cs="Calibri"/>
          <w:color w:val="000000" w:themeColor="text1"/>
        </w:rPr>
        <w:t>Appendix 1 – Formulae showing the calculation of Financial Ratios</w:t>
      </w:r>
    </w:p>
    <w:p w14:paraId="149A12F5" w14:textId="3E0D5CCB" w:rsidR="00A06D0E" w:rsidRDefault="00A06D0E" w:rsidP="5AC7D45C">
      <w:pPr>
        <w:jc w:val="both"/>
        <w:rPr>
          <w:rFonts w:ascii="Calibri" w:eastAsia="Calibri" w:hAnsi="Calibri" w:cs="Calibri"/>
          <w:color w:val="000000" w:themeColor="text1"/>
        </w:rPr>
      </w:pPr>
      <w:r>
        <w:rPr>
          <w:rFonts w:ascii="Calibri" w:eastAsia="Calibri" w:hAnsi="Calibri" w:cs="Calibri"/>
          <w:color w:val="000000" w:themeColor="text1"/>
        </w:rPr>
        <w:t>Appendix 1 – Summary Table of Ratios and Notes</w:t>
      </w:r>
    </w:p>
    <w:bookmarkEnd w:id="33"/>
    <w:p w14:paraId="5F5F7DE2" w14:textId="3DEAA02B" w:rsidR="4C7DB68F" w:rsidRDefault="0F9AD371" w:rsidP="114D2111">
      <w:pPr>
        <w:jc w:val="both"/>
        <w:rPr>
          <w:rFonts w:ascii="Calibri" w:eastAsia="Calibri" w:hAnsi="Calibri" w:cs="Calibri"/>
          <w:color w:val="000000" w:themeColor="text1"/>
        </w:rPr>
      </w:pPr>
      <w:r w:rsidRPr="114D2111">
        <w:rPr>
          <w:rFonts w:ascii="Calibri" w:eastAsia="Calibri" w:hAnsi="Calibri" w:cs="Calibri"/>
          <w:color w:val="000000" w:themeColor="text1"/>
        </w:rPr>
        <w:t xml:space="preserve">Appendix </w:t>
      </w:r>
      <w:r w:rsidR="163F66D6" w:rsidRPr="114D2111">
        <w:rPr>
          <w:rFonts w:ascii="Calibri" w:eastAsia="Calibri" w:hAnsi="Calibri" w:cs="Calibri"/>
          <w:color w:val="000000" w:themeColor="text1"/>
        </w:rPr>
        <w:t>2</w:t>
      </w:r>
      <w:r w:rsidRPr="114D2111">
        <w:rPr>
          <w:rFonts w:ascii="Calibri" w:eastAsia="Calibri" w:hAnsi="Calibri" w:cs="Calibri"/>
          <w:color w:val="000000" w:themeColor="text1"/>
        </w:rPr>
        <w:t xml:space="preserve"> – </w:t>
      </w:r>
      <w:r w:rsidR="132B9AE8" w:rsidRPr="114D2111">
        <w:rPr>
          <w:rFonts w:ascii="Calibri" w:eastAsia="Calibri" w:hAnsi="Calibri" w:cs="Calibri"/>
          <w:color w:val="000000" w:themeColor="text1"/>
        </w:rPr>
        <w:t>L</w:t>
      </w:r>
      <w:r w:rsidRPr="114D2111">
        <w:rPr>
          <w:rFonts w:ascii="Calibri" w:eastAsia="Calibri" w:hAnsi="Calibri" w:cs="Calibri"/>
          <w:color w:val="000000" w:themeColor="text1"/>
        </w:rPr>
        <w:t>egal and practical considerations for structuring a Joint Venture</w:t>
      </w:r>
      <w:r w:rsidR="5F01C918" w:rsidRPr="114D2111">
        <w:rPr>
          <w:rFonts w:ascii="Calibri" w:eastAsia="Calibri" w:hAnsi="Calibri" w:cs="Calibri"/>
          <w:color w:val="000000" w:themeColor="text1"/>
        </w:rPr>
        <w:t xml:space="preserve"> (Embedded PDF)</w:t>
      </w:r>
    </w:p>
    <w:p w14:paraId="7022870E" w14:textId="6C37C9E0" w:rsidR="4C7DB68F" w:rsidRDefault="0F9AD371" w:rsidP="114D2111">
      <w:pPr>
        <w:jc w:val="both"/>
        <w:rPr>
          <w:rFonts w:ascii="Calibri" w:eastAsia="Calibri" w:hAnsi="Calibri" w:cs="Calibri"/>
          <w:color w:val="000000" w:themeColor="text1"/>
        </w:rPr>
      </w:pPr>
      <w:bookmarkStart w:id="34" w:name="_Hlk125305256"/>
      <w:r w:rsidRPr="114D2111">
        <w:rPr>
          <w:rFonts w:ascii="Calibri" w:eastAsia="Calibri" w:hAnsi="Calibri" w:cs="Calibri"/>
          <w:color w:val="000000" w:themeColor="text1"/>
        </w:rPr>
        <w:t xml:space="preserve">Appendix </w:t>
      </w:r>
      <w:r w:rsidR="0130242C" w:rsidRPr="114D2111">
        <w:rPr>
          <w:rFonts w:ascii="Calibri" w:eastAsia="Calibri" w:hAnsi="Calibri" w:cs="Calibri"/>
          <w:color w:val="000000" w:themeColor="text1"/>
        </w:rPr>
        <w:t>3</w:t>
      </w:r>
      <w:r w:rsidRPr="114D2111">
        <w:rPr>
          <w:rFonts w:ascii="Calibri" w:eastAsia="Calibri" w:hAnsi="Calibri" w:cs="Calibri"/>
          <w:color w:val="000000" w:themeColor="text1"/>
        </w:rPr>
        <w:t xml:space="preserve"> – McKinsey report on the future of High Luxury Sportscars</w:t>
      </w:r>
      <w:r w:rsidR="3F556F97" w:rsidRPr="114D2111">
        <w:rPr>
          <w:rFonts w:ascii="Calibri" w:eastAsia="Calibri" w:hAnsi="Calibri" w:cs="Calibri"/>
          <w:color w:val="000000" w:themeColor="text1"/>
        </w:rPr>
        <w:t xml:space="preserve"> (Embedded PDF Document)</w:t>
      </w:r>
    </w:p>
    <w:bookmarkEnd w:id="34"/>
    <w:p w14:paraId="696B9E9F" w14:textId="538164FC" w:rsidR="0F9AD371" w:rsidRDefault="0F9AD371" w:rsidP="26E4B921">
      <w:pPr>
        <w:jc w:val="both"/>
        <w:rPr>
          <w:rFonts w:ascii="Calibri" w:eastAsia="Calibri" w:hAnsi="Calibri" w:cs="Calibri"/>
          <w:color w:val="000000" w:themeColor="text1"/>
        </w:rPr>
      </w:pPr>
      <w:r w:rsidRPr="26E4B921">
        <w:rPr>
          <w:rFonts w:ascii="Calibri" w:eastAsia="Calibri" w:hAnsi="Calibri" w:cs="Calibri"/>
          <w:color w:val="000000" w:themeColor="text1"/>
        </w:rPr>
        <w:t xml:space="preserve">Appendix </w:t>
      </w:r>
      <w:r w:rsidR="2EAADE5B" w:rsidRPr="26E4B921">
        <w:rPr>
          <w:rFonts w:ascii="Calibri" w:eastAsia="Calibri" w:hAnsi="Calibri" w:cs="Calibri"/>
          <w:color w:val="000000" w:themeColor="text1"/>
        </w:rPr>
        <w:t>4</w:t>
      </w:r>
      <w:r w:rsidRPr="26E4B921">
        <w:rPr>
          <w:rFonts w:ascii="Calibri" w:eastAsia="Calibri" w:hAnsi="Calibri" w:cs="Calibri"/>
          <w:color w:val="000000" w:themeColor="text1"/>
        </w:rPr>
        <w:t xml:space="preserve"> – MarketLine SWOT Analysis for AML </w:t>
      </w:r>
      <w:r w:rsidR="39D803CE" w:rsidRPr="26E4B921">
        <w:rPr>
          <w:rFonts w:ascii="Calibri" w:eastAsia="Calibri" w:hAnsi="Calibri" w:cs="Calibri"/>
          <w:color w:val="000000" w:themeColor="text1"/>
        </w:rPr>
        <w:t>(Embedded PDF Document)</w:t>
      </w:r>
    </w:p>
    <w:p w14:paraId="5679B40E" w14:textId="2D614BE1" w:rsidR="4C7DB68F" w:rsidRDefault="01D8D1BF" w:rsidP="114D2111">
      <w:pPr>
        <w:jc w:val="both"/>
      </w:pPr>
      <w:r>
        <w:t xml:space="preserve">Appendix 5 – Key </w:t>
      </w:r>
      <w:bookmarkStart w:id="35" w:name="_Int_aWd8KSSn"/>
      <w:r>
        <w:t>additional</w:t>
      </w:r>
      <w:bookmarkEnd w:id="35"/>
      <w:r>
        <w:t xml:space="preserve"> questions referred to in Executive Summary</w:t>
      </w:r>
    </w:p>
    <w:p w14:paraId="11579C2D" w14:textId="54049912" w:rsidR="7DD5B81A" w:rsidRDefault="7DD5B81A" w:rsidP="114D2111">
      <w:pPr>
        <w:jc w:val="both"/>
        <w:rPr>
          <w:rFonts w:ascii="Calibri" w:eastAsia="Calibri" w:hAnsi="Calibri" w:cs="Calibri"/>
          <w:color w:val="000000" w:themeColor="text1"/>
        </w:rPr>
      </w:pPr>
      <w:r>
        <w:t xml:space="preserve">Appendix 6 - </w:t>
      </w:r>
      <w:r w:rsidR="71B45906" w:rsidRPr="114D2111">
        <w:rPr>
          <w:rFonts w:ascii="Calibri" w:eastAsia="Calibri" w:hAnsi="Calibri" w:cs="Calibri"/>
          <w:color w:val="000000" w:themeColor="text1"/>
        </w:rPr>
        <w:t>External evidence of AML’s pursuit of ‘Project Horizon’</w:t>
      </w:r>
    </w:p>
    <w:p w14:paraId="67AB9FB8" w14:textId="4ECEFEAE" w:rsidR="2E83E067" w:rsidRDefault="2E83E067" w:rsidP="114D2111">
      <w:pPr>
        <w:jc w:val="both"/>
        <w:rPr>
          <w:rFonts w:ascii="Calibri" w:eastAsia="Calibri" w:hAnsi="Calibri" w:cs="Calibri"/>
          <w:color w:val="000000" w:themeColor="text1"/>
        </w:rPr>
      </w:pPr>
      <w:r w:rsidRPr="114D2111">
        <w:rPr>
          <w:rFonts w:ascii="Calibri" w:eastAsia="Calibri" w:hAnsi="Calibri" w:cs="Calibri"/>
          <w:color w:val="000000" w:themeColor="text1"/>
        </w:rPr>
        <w:t>Appendix 7</w:t>
      </w:r>
      <w:r w:rsidR="15B5F98F" w:rsidRPr="114D2111">
        <w:rPr>
          <w:rFonts w:ascii="Calibri" w:eastAsia="Calibri" w:hAnsi="Calibri" w:cs="Calibri"/>
          <w:color w:val="000000" w:themeColor="text1"/>
        </w:rPr>
        <w:t xml:space="preserve"> - DBS 770 Ultimate</w:t>
      </w:r>
    </w:p>
    <w:p w14:paraId="7F512408" w14:textId="64046939" w:rsidR="15B5F98F" w:rsidRDefault="15B5F98F" w:rsidP="114D2111">
      <w:pPr>
        <w:jc w:val="both"/>
        <w:rPr>
          <w:rFonts w:ascii="Calibri" w:eastAsia="Calibri" w:hAnsi="Calibri" w:cs="Calibri"/>
          <w:color w:val="000000" w:themeColor="text1"/>
        </w:rPr>
      </w:pPr>
      <w:bookmarkStart w:id="36" w:name="_Hlk125306015"/>
      <w:r w:rsidRPr="114D2111">
        <w:rPr>
          <w:rFonts w:ascii="Calibri" w:eastAsia="Calibri" w:hAnsi="Calibri" w:cs="Calibri"/>
          <w:color w:val="000000" w:themeColor="text1"/>
        </w:rPr>
        <w:t>Appendix 8 – MarketLine Summary Q3 2022 Financial Results and Operational Hi</w:t>
      </w:r>
      <w:r w:rsidR="4E6CC964" w:rsidRPr="114D2111">
        <w:rPr>
          <w:rFonts w:ascii="Calibri" w:eastAsia="Calibri" w:hAnsi="Calibri" w:cs="Calibri"/>
          <w:color w:val="000000" w:themeColor="text1"/>
        </w:rPr>
        <w:t>ghlights</w:t>
      </w:r>
    </w:p>
    <w:bookmarkEnd w:id="36"/>
    <w:p w14:paraId="385F8715" w14:textId="2F19392B" w:rsidR="2341331F" w:rsidRDefault="2341331F" w:rsidP="2341331F">
      <w:pPr>
        <w:rPr>
          <w:sz w:val="18"/>
          <w:szCs w:val="18"/>
        </w:rPr>
      </w:pPr>
    </w:p>
    <w:p w14:paraId="5D02D6B6" w14:textId="72CF6656" w:rsidR="74871879" w:rsidRDefault="74871879" w:rsidP="74871879">
      <w:pPr>
        <w:rPr>
          <w:sz w:val="18"/>
          <w:szCs w:val="18"/>
        </w:rPr>
      </w:pPr>
    </w:p>
    <w:p w14:paraId="18F0347D" w14:textId="69ECFBEA" w:rsidR="74871879" w:rsidRDefault="74871879" w:rsidP="74871879">
      <w:pPr>
        <w:rPr>
          <w:sz w:val="18"/>
          <w:szCs w:val="18"/>
        </w:rPr>
      </w:pPr>
    </w:p>
    <w:p w14:paraId="4F76C43A" w14:textId="7D7F5EFA" w:rsidR="74871879" w:rsidRDefault="74871879" w:rsidP="74871879">
      <w:pPr>
        <w:rPr>
          <w:sz w:val="18"/>
          <w:szCs w:val="18"/>
        </w:rPr>
      </w:pPr>
    </w:p>
    <w:p w14:paraId="77ACE651" w14:textId="26B421E1" w:rsidR="74871879" w:rsidRDefault="74871879" w:rsidP="74871879">
      <w:pPr>
        <w:rPr>
          <w:sz w:val="18"/>
          <w:szCs w:val="18"/>
        </w:rPr>
      </w:pPr>
    </w:p>
    <w:p w14:paraId="43A99ECF" w14:textId="0A642BF4" w:rsidR="74871879" w:rsidRDefault="74871879" w:rsidP="74871879">
      <w:pPr>
        <w:rPr>
          <w:sz w:val="18"/>
          <w:szCs w:val="18"/>
        </w:rPr>
      </w:pPr>
    </w:p>
    <w:p w14:paraId="38F93204" w14:textId="51E9389A" w:rsidR="74871879" w:rsidRDefault="74871879" w:rsidP="74871879">
      <w:pPr>
        <w:rPr>
          <w:sz w:val="18"/>
          <w:szCs w:val="18"/>
        </w:rPr>
      </w:pPr>
    </w:p>
    <w:p w14:paraId="0B834CD4" w14:textId="30FDB3F0" w:rsidR="74871879" w:rsidRDefault="74871879" w:rsidP="74871879">
      <w:pPr>
        <w:rPr>
          <w:sz w:val="18"/>
          <w:szCs w:val="18"/>
        </w:rPr>
      </w:pPr>
    </w:p>
    <w:p w14:paraId="2219DA3E" w14:textId="2457C353" w:rsidR="74871879" w:rsidRDefault="74871879" w:rsidP="74871879">
      <w:pPr>
        <w:rPr>
          <w:sz w:val="18"/>
          <w:szCs w:val="18"/>
        </w:rPr>
      </w:pPr>
    </w:p>
    <w:p w14:paraId="1CBA70F6" w14:textId="1256D366" w:rsidR="74871879" w:rsidRDefault="74871879" w:rsidP="74871879">
      <w:pPr>
        <w:rPr>
          <w:sz w:val="18"/>
          <w:szCs w:val="18"/>
        </w:rPr>
      </w:pPr>
    </w:p>
    <w:p w14:paraId="5908ACD3" w14:textId="1F60BACA" w:rsidR="74871879" w:rsidRDefault="74871879" w:rsidP="74871879">
      <w:pPr>
        <w:rPr>
          <w:sz w:val="18"/>
          <w:szCs w:val="18"/>
        </w:rPr>
      </w:pPr>
    </w:p>
    <w:p w14:paraId="0229C755" w14:textId="5A0E4C2D" w:rsidR="74871879" w:rsidRDefault="74871879" w:rsidP="74871879">
      <w:pPr>
        <w:rPr>
          <w:sz w:val="18"/>
          <w:szCs w:val="18"/>
        </w:rPr>
      </w:pPr>
    </w:p>
    <w:p w14:paraId="14F34E82" w14:textId="2CDCFEC3" w:rsidR="74871879" w:rsidRDefault="74871879" w:rsidP="74871879">
      <w:pPr>
        <w:rPr>
          <w:sz w:val="18"/>
          <w:szCs w:val="18"/>
        </w:rPr>
      </w:pPr>
    </w:p>
    <w:p w14:paraId="6CD62481" w14:textId="4D945F61" w:rsidR="79C2323A" w:rsidRDefault="79C2323A" w:rsidP="79C2323A">
      <w:pPr>
        <w:rPr>
          <w:sz w:val="18"/>
          <w:szCs w:val="18"/>
        </w:rPr>
      </w:pPr>
    </w:p>
    <w:p w14:paraId="3CB0643A" w14:textId="2D4C2B65" w:rsidR="0E5F69BA" w:rsidRDefault="0E5F69BA" w:rsidP="0E5F69BA">
      <w:pPr>
        <w:rPr>
          <w:sz w:val="18"/>
          <w:szCs w:val="18"/>
        </w:rPr>
      </w:pPr>
    </w:p>
    <w:p w14:paraId="2D90D2E6" w14:textId="498B56EB" w:rsidR="79C2323A" w:rsidRDefault="79C2323A" w:rsidP="79C2323A">
      <w:pPr>
        <w:rPr>
          <w:sz w:val="18"/>
          <w:szCs w:val="18"/>
        </w:rPr>
      </w:pPr>
    </w:p>
    <w:p w14:paraId="226B3227" w14:textId="3EE389B5" w:rsidR="0E5F69BA" w:rsidRDefault="0E5F69BA" w:rsidP="0E5F69BA">
      <w:pPr>
        <w:rPr>
          <w:sz w:val="18"/>
          <w:szCs w:val="18"/>
        </w:rPr>
      </w:pPr>
    </w:p>
    <w:p w14:paraId="66CB07A6" w14:textId="44301C64" w:rsidR="0E5F69BA" w:rsidRDefault="0E5F69BA" w:rsidP="0E5F69BA">
      <w:pPr>
        <w:rPr>
          <w:sz w:val="18"/>
          <w:szCs w:val="18"/>
        </w:rPr>
      </w:pPr>
    </w:p>
    <w:p w14:paraId="6B9B9278" w14:textId="1C6564D8" w:rsidR="0E5F69BA" w:rsidRDefault="0E5F69BA" w:rsidP="0E5F69BA">
      <w:pPr>
        <w:rPr>
          <w:sz w:val="18"/>
          <w:szCs w:val="18"/>
        </w:rPr>
      </w:pPr>
    </w:p>
    <w:p w14:paraId="2011CCF9" w14:textId="1B734F8C" w:rsidR="5AC7D45C" w:rsidRDefault="5AC7D45C" w:rsidP="5AC7D45C">
      <w:pPr>
        <w:rPr>
          <w:sz w:val="18"/>
          <w:szCs w:val="18"/>
        </w:rPr>
      </w:pPr>
    </w:p>
    <w:p w14:paraId="45D9B97D" w14:textId="5A82F017" w:rsidR="5AC7D45C" w:rsidRDefault="5AC7D45C" w:rsidP="5AC7D45C">
      <w:pPr>
        <w:rPr>
          <w:sz w:val="18"/>
          <w:szCs w:val="18"/>
        </w:rPr>
      </w:pPr>
    </w:p>
    <w:p w14:paraId="4F216124" w14:textId="4973FB7A" w:rsidR="5AC7D45C" w:rsidRDefault="5AC7D45C" w:rsidP="5AC7D45C">
      <w:pPr>
        <w:rPr>
          <w:sz w:val="18"/>
          <w:szCs w:val="18"/>
        </w:rPr>
      </w:pPr>
    </w:p>
    <w:tbl>
      <w:tblPr>
        <w:tblW w:w="9253" w:type="dxa"/>
        <w:tblLook w:val="04A0" w:firstRow="1" w:lastRow="0" w:firstColumn="1" w:lastColumn="0" w:noHBand="0" w:noVBand="1"/>
      </w:tblPr>
      <w:tblGrid>
        <w:gridCol w:w="318"/>
        <w:gridCol w:w="5563"/>
        <w:gridCol w:w="1292"/>
        <w:gridCol w:w="1120"/>
        <w:gridCol w:w="960"/>
      </w:tblGrid>
      <w:tr w:rsidR="00AB2C8D" w:rsidRPr="00AB2C8D" w14:paraId="471E4DB5" w14:textId="77777777" w:rsidTr="00D12EFE">
        <w:trPr>
          <w:trHeight w:val="300"/>
        </w:trPr>
        <w:tc>
          <w:tcPr>
            <w:tcW w:w="7173" w:type="dxa"/>
            <w:gridSpan w:val="3"/>
            <w:tcBorders>
              <w:top w:val="nil"/>
              <w:left w:val="nil"/>
              <w:bottom w:val="nil"/>
              <w:right w:val="nil"/>
            </w:tcBorders>
            <w:shd w:val="clear" w:color="auto" w:fill="auto"/>
            <w:noWrap/>
            <w:vAlign w:val="bottom"/>
            <w:hideMark/>
          </w:tcPr>
          <w:p w14:paraId="29D96934" w14:textId="77777777" w:rsidR="00AB2C8D" w:rsidRPr="00AB2C8D" w:rsidRDefault="00AB2C8D" w:rsidP="00AB2C8D">
            <w:pPr>
              <w:spacing w:after="0" w:line="240" w:lineRule="auto"/>
              <w:rPr>
                <w:rFonts w:ascii="Calibri" w:eastAsia="Times New Roman" w:hAnsi="Calibri" w:cs="Calibri"/>
                <w:b/>
                <w:bCs/>
                <w:color w:val="000000"/>
                <w:sz w:val="20"/>
                <w:szCs w:val="20"/>
                <w:u w:val="single"/>
                <w:lang w:eastAsia="en-GB"/>
              </w:rPr>
            </w:pPr>
            <w:r w:rsidRPr="00AB2C8D">
              <w:rPr>
                <w:rFonts w:ascii="Calibri" w:eastAsia="Times New Roman" w:hAnsi="Calibri" w:cs="Calibri"/>
                <w:b/>
                <w:bCs/>
                <w:color w:val="000000"/>
                <w:sz w:val="20"/>
                <w:szCs w:val="20"/>
                <w:u w:val="single"/>
                <w:lang w:eastAsia="en-GB"/>
              </w:rPr>
              <w:t>ASTON MARTIN HOLDINGS LTD - RATIO CALCULATIONS  2019 to 2021 (3 years)</w:t>
            </w:r>
          </w:p>
        </w:tc>
        <w:tc>
          <w:tcPr>
            <w:tcW w:w="1120" w:type="dxa"/>
            <w:tcBorders>
              <w:top w:val="nil"/>
              <w:left w:val="nil"/>
              <w:bottom w:val="nil"/>
              <w:right w:val="nil"/>
            </w:tcBorders>
            <w:shd w:val="clear" w:color="auto" w:fill="auto"/>
            <w:noWrap/>
            <w:vAlign w:val="bottom"/>
            <w:hideMark/>
          </w:tcPr>
          <w:p w14:paraId="14A5BC05" w14:textId="77777777" w:rsidR="00AB2C8D" w:rsidRPr="00AB2C8D" w:rsidRDefault="00AB2C8D" w:rsidP="00AB2C8D">
            <w:pPr>
              <w:spacing w:after="0" w:line="240" w:lineRule="auto"/>
              <w:rPr>
                <w:rFonts w:ascii="Calibri" w:eastAsia="Times New Roman" w:hAnsi="Calibri" w:cs="Calibri"/>
                <w:b/>
                <w:bCs/>
                <w:color w:val="000000"/>
                <w:sz w:val="20"/>
                <w:szCs w:val="20"/>
                <w:u w:val="single"/>
                <w:lang w:eastAsia="en-GB"/>
              </w:rPr>
            </w:pPr>
          </w:p>
        </w:tc>
        <w:tc>
          <w:tcPr>
            <w:tcW w:w="960" w:type="dxa"/>
            <w:tcBorders>
              <w:top w:val="nil"/>
              <w:left w:val="nil"/>
              <w:bottom w:val="nil"/>
              <w:right w:val="nil"/>
            </w:tcBorders>
            <w:shd w:val="clear" w:color="auto" w:fill="auto"/>
            <w:noWrap/>
            <w:vAlign w:val="bottom"/>
            <w:hideMark/>
          </w:tcPr>
          <w:p w14:paraId="352AD446"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291F2607" w14:textId="77777777" w:rsidTr="00D12EFE">
        <w:trPr>
          <w:trHeight w:val="300"/>
        </w:trPr>
        <w:tc>
          <w:tcPr>
            <w:tcW w:w="318" w:type="dxa"/>
            <w:tcBorders>
              <w:top w:val="nil"/>
              <w:left w:val="nil"/>
              <w:bottom w:val="nil"/>
              <w:right w:val="nil"/>
            </w:tcBorders>
            <w:shd w:val="clear" w:color="auto" w:fill="auto"/>
            <w:noWrap/>
            <w:vAlign w:val="bottom"/>
            <w:hideMark/>
          </w:tcPr>
          <w:p w14:paraId="7097EF25"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0FBE48D8"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11FD3740"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A3D4F3E"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15D1D1"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Restated</w:t>
            </w:r>
          </w:p>
        </w:tc>
      </w:tr>
      <w:tr w:rsidR="00AB2C8D" w:rsidRPr="00AB2C8D" w14:paraId="1B288EBA" w14:textId="77777777" w:rsidTr="00D12EFE">
        <w:trPr>
          <w:trHeight w:val="300"/>
        </w:trPr>
        <w:tc>
          <w:tcPr>
            <w:tcW w:w="318" w:type="dxa"/>
            <w:tcBorders>
              <w:top w:val="nil"/>
              <w:left w:val="nil"/>
              <w:bottom w:val="nil"/>
              <w:right w:val="nil"/>
            </w:tcBorders>
            <w:shd w:val="clear" w:color="auto" w:fill="auto"/>
            <w:noWrap/>
            <w:vAlign w:val="bottom"/>
            <w:hideMark/>
          </w:tcPr>
          <w:p w14:paraId="2B02B1FC"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2172E96A"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Gross Profit Margin</w:t>
            </w:r>
          </w:p>
        </w:tc>
        <w:tc>
          <w:tcPr>
            <w:tcW w:w="1292" w:type="dxa"/>
            <w:tcBorders>
              <w:top w:val="nil"/>
              <w:left w:val="nil"/>
              <w:bottom w:val="nil"/>
              <w:right w:val="nil"/>
            </w:tcBorders>
            <w:shd w:val="clear" w:color="auto" w:fill="auto"/>
            <w:noWrap/>
            <w:vAlign w:val="bottom"/>
            <w:hideMark/>
          </w:tcPr>
          <w:p w14:paraId="50714B51"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25634B07"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6D4214E5"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2019</w:t>
            </w:r>
          </w:p>
        </w:tc>
      </w:tr>
      <w:tr w:rsidR="00AB2C8D" w:rsidRPr="00AB2C8D" w14:paraId="32D30795" w14:textId="77777777" w:rsidTr="00D12EFE">
        <w:trPr>
          <w:trHeight w:val="300"/>
        </w:trPr>
        <w:tc>
          <w:tcPr>
            <w:tcW w:w="318" w:type="dxa"/>
            <w:tcBorders>
              <w:top w:val="nil"/>
              <w:left w:val="nil"/>
              <w:bottom w:val="nil"/>
              <w:right w:val="nil"/>
            </w:tcBorders>
            <w:shd w:val="clear" w:color="auto" w:fill="auto"/>
            <w:noWrap/>
            <w:vAlign w:val="bottom"/>
            <w:hideMark/>
          </w:tcPr>
          <w:p w14:paraId="7DF84105"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37E359A6"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27F30076"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0656976"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8BAF5B"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4BD92490" w14:textId="77777777" w:rsidTr="00D12EFE">
        <w:trPr>
          <w:trHeight w:val="300"/>
        </w:trPr>
        <w:tc>
          <w:tcPr>
            <w:tcW w:w="318" w:type="dxa"/>
            <w:tcBorders>
              <w:top w:val="nil"/>
              <w:left w:val="nil"/>
              <w:bottom w:val="nil"/>
              <w:right w:val="nil"/>
            </w:tcBorders>
            <w:shd w:val="clear" w:color="auto" w:fill="auto"/>
            <w:noWrap/>
            <w:vAlign w:val="bottom"/>
            <w:hideMark/>
          </w:tcPr>
          <w:p w14:paraId="64D6AA9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1A5AEC99"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Gross Profit x 100%</w:t>
            </w:r>
          </w:p>
        </w:tc>
        <w:tc>
          <w:tcPr>
            <w:tcW w:w="1292" w:type="dxa"/>
            <w:tcBorders>
              <w:top w:val="nil"/>
              <w:left w:val="nil"/>
              <w:bottom w:val="nil"/>
              <w:right w:val="nil"/>
            </w:tcBorders>
            <w:shd w:val="clear" w:color="auto" w:fill="auto"/>
            <w:noWrap/>
            <w:vAlign w:val="bottom"/>
            <w:hideMark/>
          </w:tcPr>
          <w:p w14:paraId="2D337496"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343.7</w:t>
            </w:r>
          </w:p>
        </w:tc>
        <w:tc>
          <w:tcPr>
            <w:tcW w:w="1120" w:type="dxa"/>
            <w:tcBorders>
              <w:top w:val="nil"/>
              <w:left w:val="nil"/>
              <w:bottom w:val="nil"/>
              <w:right w:val="nil"/>
            </w:tcBorders>
            <w:shd w:val="clear" w:color="auto" w:fill="auto"/>
            <w:noWrap/>
            <w:vAlign w:val="bottom"/>
            <w:hideMark/>
          </w:tcPr>
          <w:p w14:paraId="2A0C7184"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111.1</w:t>
            </w:r>
          </w:p>
        </w:tc>
        <w:tc>
          <w:tcPr>
            <w:tcW w:w="960" w:type="dxa"/>
            <w:tcBorders>
              <w:top w:val="nil"/>
              <w:left w:val="nil"/>
              <w:bottom w:val="nil"/>
              <w:right w:val="nil"/>
            </w:tcBorders>
            <w:shd w:val="clear" w:color="auto" w:fill="auto"/>
            <w:noWrap/>
            <w:vAlign w:val="bottom"/>
            <w:hideMark/>
          </w:tcPr>
          <w:p w14:paraId="3A6B9252"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337.8</w:t>
            </w:r>
          </w:p>
        </w:tc>
      </w:tr>
      <w:tr w:rsidR="00AB2C8D" w:rsidRPr="00AB2C8D" w14:paraId="5CF17A47" w14:textId="77777777" w:rsidTr="00D12EFE">
        <w:trPr>
          <w:trHeight w:val="300"/>
        </w:trPr>
        <w:tc>
          <w:tcPr>
            <w:tcW w:w="318" w:type="dxa"/>
            <w:tcBorders>
              <w:top w:val="nil"/>
              <w:left w:val="nil"/>
              <w:bottom w:val="nil"/>
              <w:right w:val="nil"/>
            </w:tcBorders>
            <w:shd w:val="clear" w:color="auto" w:fill="auto"/>
            <w:noWrap/>
            <w:vAlign w:val="bottom"/>
            <w:hideMark/>
          </w:tcPr>
          <w:p w14:paraId="645C7ACF"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4AE03083"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Sales</w:t>
            </w:r>
          </w:p>
        </w:tc>
        <w:tc>
          <w:tcPr>
            <w:tcW w:w="1292" w:type="dxa"/>
            <w:tcBorders>
              <w:top w:val="nil"/>
              <w:left w:val="nil"/>
              <w:bottom w:val="nil"/>
              <w:right w:val="nil"/>
            </w:tcBorders>
            <w:shd w:val="clear" w:color="auto" w:fill="auto"/>
            <w:noWrap/>
            <w:vAlign w:val="bottom"/>
            <w:hideMark/>
          </w:tcPr>
          <w:p w14:paraId="15B1FF36"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1095.3</w:t>
            </w:r>
          </w:p>
        </w:tc>
        <w:tc>
          <w:tcPr>
            <w:tcW w:w="1120" w:type="dxa"/>
            <w:tcBorders>
              <w:top w:val="nil"/>
              <w:left w:val="nil"/>
              <w:bottom w:val="nil"/>
              <w:right w:val="nil"/>
            </w:tcBorders>
            <w:shd w:val="clear" w:color="auto" w:fill="auto"/>
            <w:noWrap/>
            <w:vAlign w:val="bottom"/>
            <w:hideMark/>
          </w:tcPr>
          <w:p w14:paraId="68988A7D"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611.8</w:t>
            </w:r>
          </w:p>
        </w:tc>
        <w:tc>
          <w:tcPr>
            <w:tcW w:w="960" w:type="dxa"/>
            <w:tcBorders>
              <w:top w:val="nil"/>
              <w:left w:val="nil"/>
              <w:bottom w:val="nil"/>
              <w:right w:val="nil"/>
            </w:tcBorders>
            <w:shd w:val="clear" w:color="auto" w:fill="auto"/>
            <w:noWrap/>
            <w:vAlign w:val="bottom"/>
            <w:hideMark/>
          </w:tcPr>
          <w:p w14:paraId="3F05CF60"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980.5</w:t>
            </w:r>
          </w:p>
        </w:tc>
      </w:tr>
      <w:tr w:rsidR="00AB2C8D" w:rsidRPr="00AB2C8D" w14:paraId="12AC76E6" w14:textId="77777777" w:rsidTr="00D12EFE">
        <w:trPr>
          <w:trHeight w:val="300"/>
        </w:trPr>
        <w:tc>
          <w:tcPr>
            <w:tcW w:w="318" w:type="dxa"/>
            <w:tcBorders>
              <w:top w:val="nil"/>
              <w:left w:val="nil"/>
              <w:bottom w:val="nil"/>
              <w:right w:val="nil"/>
            </w:tcBorders>
            <w:shd w:val="clear" w:color="auto" w:fill="auto"/>
            <w:noWrap/>
            <w:vAlign w:val="bottom"/>
            <w:hideMark/>
          </w:tcPr>
          <w:p w14:paraId="36ECDEEB"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3830B12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3F088EC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659C321"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9F9F3A"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3C2F2701" w14:textId="77777777" w:rsidTr="00D12EFE">
        <w:trPr>
          <w:trHeight w:val="300"/>
        </w:trPr>
        <w:tc>
          <w:tcPr>
            <w:tcW w:w="3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5A0EB9" w14:textId="77777777" w:rsidR="00AB2C8D" w:rsidRPr="00AB2C8D" w:rsidRDefault="00AB2C8D" w:rsidP="00AB2C8D">
            <w:pPr>
              <w:spacing w:after="0" w:line="240" w:lineRule="auto"/>
              <w:jc w:val="right"/>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1</w:t>
            </w:r>
          </w:p>
        </w:tc>
        <w:tc>
          <w:tcPr>
            <w:tcW w:w="5563" w:type="dxa"/>
            <w:tcBorders>
              <w:top w:val="single" w:sz="4" w:space="0" w:color="auto"/>
              <w:left w:val="nil"/>
              <w:bottom w:val="single" w:sz="4" w:space="0" w:color="auto"/>
              <w:right w:val="single" w:sz="4" w:space="0" w:color="auto"/>
            </w:tcBorders>
            <w:shd w:val="clear" w:color="auto" w:fill="auto"/>
            <w:noWrap/>
            <w:vAlign w:val="bottom"/>
            <w:hideMark/>
          </w:tcPr>
          <w:p w14:paraId="02F3BFC1"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Gross Profit Margin Percentage</w:t>
            </w:r>
          </w:p>
        </w:tc>
        <w:tc>
          <w:tcPr>
            <w:tcW w:w="1292" w:type="dxa"/>
            <w:tcBorders>
              <w:top w:val="single" w:sz="4" w:space="0" w:color="auto"/>
              <w:left w:val="nil"/>
              <w:bottom w:val="single" w:sz="4" w:space="0" w:color="auto"/>
              <w:right w:val="single" w:sz="4" w:space="0" w:color="auto"/>
            </w:tcBorders>
            <w:shd w:val="clear" w:color="000000" w:fill="E2EFDA"/>
            <w:noWrap/>
            <w:vAlign w:val="bottom"/>
            <w:hideMark/>
          </w:tcPr>
          <w:p w14:paraId="5C0FFBFE"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31.38%</w:t>
            </w:r>
          </w:p>
        </w:tc>
        <w:tc>
          <w:tcPr>
            <w:tcW w:w="1120" w:type="dxa"/>
            <w:tcBorders>
              <w:top w:val="single" w:sz="4" w:space="0" w:color="auto"/>
              <w:left w:val="nil"/>
              <w:bottom w:val="single" w:sz="4" w:space="0" w:color="auto"/>
              <w:right w:val="single" w:sz="4" w:space="0" w:color="auto"/>
            </w:tcBorders>
            <w:shd w:val="clear" w:color="000000" w:fill="E2EFDA"/>
            <w:noWrap/>
            <w:vAlign w:val="bottom"/>
            <w:hideMark/>
          </w:tcPr>
          <w:p w14:paraId="6C4337E8"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18.16%</w:t>
            </w:r>
          </w:p>
        </w:tc>
        <w:tc>
          <w:tcPr>
            <w:tcW w:w="960" w:type="dxa"/>
            <w:tcBorders>
              <w:top w:val="single" w:sz="4" w:space="0" w:color="auto"/>
              <w:left w:val="nil"/>
              <w:bottom w:val="single" w:sz="4" w:space="0" w:color="auto"/>
              <w:right w:val="single" w:sz="4" w:space="0" w:color="auto"/>
            </w:tcBorders>
            <w:shd w:val="clear" w:color="000000" w:fill="E2EFDA"/>
            <w:noWrap/>
            <w:vAlign w:val="bottom"/>
            <w:hideMark/>
          </w:tcPr>
          <w:p w14:paraId="69C4C10E"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34.45%</w:t>
            </w:r>
          </w:p>
        </w:tc>
      </w:tr>
      <w:tr w:rsidR="00AB2C8D" w:rsidRPr="00AB2C8D" w14:paraId="03C0A62B" w14:textId="77777777" w:rsidTr="00D12EFE">
        <w:trPr>
          <w:trHeight w:val="300"/>
        </w:trPr>
        <w:tc>
          <w:tcPr>
            <w:tcW w:w="318" w:type="dxa"/>
            <w:tcBorders>
              <w:top w:val="nil"/>
              <w:left w:val="nil"/>
              <w:bottom w:val="nil"/>
              <w:right w:val="nil"/>
            </w:tcBorders>
            <w:shd w:val="clear" w:color="auto" w:fill="auto"/>
            <w:noWrap/>
            <w:vAlign w:val="bottom"/>
            <w:hideMark/>
          </w:tcPr>
          <w:p w14:paraId="77F820EF"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05146D49"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7BB131C1"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57CEA7B5"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04A87E"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724BB5E0" w14:textId="77777777" w:rsidTr="00D12EFE">
        <w:trPr>
          <w:trHeight w:val="300"/>
        </w:trPr>
        <w:tc>
          <w:tcPr>
            <w:tcW w:w="318" w:type="dxa"/>
            <w:tcBorders>
              <w:top w:val="nil"/>
              <w:left w:val="nil"/>
              <w:bottom w:val="nil"/>
              <w:right w:val="nil"/>
            </w:tcBorders>
            <w:shd w:val="clear" w:color="auto" w:fill="auto"/>
            <w:noWrap/>
            <w:vAlign w:val="bottom"/>
            <w:hideMark/>
          </w:tcPr>
          <w:p w14:paraId="10B38289"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51A37D1D"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080395FC"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C9D8CDD"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31A320"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Restated</w:t>
            </w:r>
          </w:p>
        </w:tc>
      </w:tr>
      <w:tr w:rsidR="00AB2C8D" w:rsidRPr="00AB2C8D" w14:paraId="42146790" w14:textId="77777777" w:rsidTr="00D12EFE">
        <w:trPr>
          <w:trHeight w:val="300"/>
        </w:trPr>
        <w:tc>
          <w:tcPr>
            <w:tcW w:w="318" w:type="dxa"/>
            <w:tcBorders>
              <w:top w:val="nil"/>
              <w:left w:val="nil"/>
              <w:bottom w:val="nil"/>
              <w:right w:val="nil"/>
            </w:tcBorders>
            <w:shd w:val="clear" w:color="auto" w:fill="auto"/>
            <w:noWrap/>
            <w:vAlign w:val="bottom"/>
            <w:hideMark/>
          </w:tcPr>
          <w:p w14:paraId="5D8D3581"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0D4A7BB2"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Operating Profit Margin</w:t>
            </w:r>
          </w:p>
        </w:tc>
        <w:tc>
          <w:tcPr>
            <w:tcW w:w="1292" w:type="dxa"/>
            <w:tcBorders>
              <w:top w:val="nil"/>
              <w:left w:val="nil"/>
              <w:bottom w:val="nil"/>
              <w:right w:val="nil"/>
            </w:tcBorders>
            <w:shd w:val="clear" w:color="auto" w:fill="auto"/>
            <w:noWrap/>
            <w:vAlign w:val="bottom"/>
            <w:hideMark/>
          </w:tcPr>
          <w:p w14:paraId="7D78095E"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010C53B6"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50F42AA2"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2019</w:t>
            </w:r>
          </w:p>
        </w:tc>
      </w:tr>
      <w:tr w:rsidR="00AB2C8D" w:rsidRPr="00AB2C8D" w14:paraId="075B2221" w14:textId="77777777" w:rsidTr="00D12EFE">
        <w:trPr>
          <w:trHeight w:val="300"/>
        </w:trPr>
        <w:tc>
          <w:tcPr>
            <w:tcW w:w="318" w:type="dxa"/>
            <w:tcBorders>
              <w:top w:val="nil"/>
              <w:left w:val="nil"/>
              <w:bottom w:val="nil"/>
              <w:right w:val="nil"/>
            </w:tcBorders>
            <w:shd w:val="clear" w:color="auto" w:fill="auto"/>
            <w:noWrap/>
            <w:vAlign w:val="bottom"/>
            <w:hideMark/>
          </w:tcPr>
          <w:p w14:paraId="23D5D508"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5D5A65F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70061781"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4C0B636"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1B0351"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7BC88959" w14:textId="77777777" w:rsidTr="00D12EFE">
        <w:trPr>
          <w:trHeight w:val="300"/>
        </w:trPr>
        <w:tc>
          <w:tcPr>
            <w:tcW w:w="318" w:type="dxa"/>
            <w:tcBorders>
              <w:top w:val="nil"/>
              <w:left w:val="nil"/>
              <w:bottom w:val="nil"/>
              <w:right w:val="nil"/>
            </w:tcBorders>
            <w:shd w:val="clear" w:color="auto" w:fill="auto"/>
            <w:noWrap/>
            <w:vAlign w:val="bottom"/>
            <w:hideMark/>
          </w:tcPr>
          <w:p w14:paraId="4E390E73"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7DEC3009"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Operating Profit x 100%</w:t>
            </w:r>
          </w:p>
        </w:tc>
        <w:tc>
          <w:tcPr>
            <w:tcW w:w="1292" w:type="dxa"/>
            <w:tcBorders>
              <w:top w:val="nil"/>
              <w:left w:val="nil"/>
              <w:bottom w:val="nil"/>
              <w:right w:val="nil"/>
            </w:tcBorders>
            <w:shd w:val="clear" w:color="auto" w:fill="auto"/>
            <w:noWrap/>
            <w:vAlign w:val="bottom"/>
            <w:hideMark/>
          </w:tcPr>
          <w:p w14:paraId="68FBB670"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-76.5</w:t>
            </w:r>
          </w:p>
        </w:tc>
        <w:tc>
          <w:tcPr>
            <w:tcW w:w="1120" w:type="dxa"/>
            <w:tcBorders>
              <w:top w:val="nil"/>
              <w:left w:val="nil"/>
              <w:bottom w:val="nil"/>
              <w:right w:val="nil"/>
            </w:tcBorders>
            <w:shd w:val="clear" w:color="auto" w:fill="auto"/>
            <w:noWrap/>
            <w:vAlign w:val="bottom"/>
            <w:hideMark/>
          </w:tcPr>
          <w:p w14:paraId="1B92D98E"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-322.9</w:t>
            </w:r>
          </w:p>
        </w:tc>
        <w:tc>
          <w:tcPr>
            <w:tcW w:w="960" w:type="dxa"/>
            <w:tcBorders>
              <w:top w:val="nil"/>
              <w:left w:val="nil"/>
              <w:bottom w:val="nil"/>
              <w:right w:val="nil"/>
            </w:tcBorders>
            <w:shd w:val="clear" w:color="auto" w:fill="auto"/>
            <w:noWrap/>
            <w:vAlign w:val="bottom"/>
            <w:hideMark/>
          </w:tcPr>
          <w:p w14:paraId="6BB0E185"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-52</w:t>
            </w:r>
          </w:p>
        </w:tc>
      </w:tr>
      <w:tr w:rsidR="00AB2C8D" w:rsidRPr="00AB2C8D" w14:paraId="77F1AC13" w14:textId="77777777" w:rsidTr="00D12EFE">
        <w:trPr>
          <w:trHeight w:val="300"/>
        </w:trPr>
        <w:tc>
          <w:tcPr>
            <w:tcW w:w="318" w:type="dxa"/>
            <w:tcBorders>
              <w:top w:val="nil"/>
              <w:left w:val="nil"/>
              <w:bottom w:val="nil"/>
              <w:right w:val="nil"/>
            </w:tcBorders>
            <w:shd w:val="clear" w:color="auto" w:fill="auto"/>
            <w:noWrap/>
            <w:vAlign w:val="bottom"/>
            <w:hideMark/>
          </w:tcPr>
          <w:p w14:paraId="574A1A09"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50D5AB1A"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Sales</w:t>
            </w:r>
          </w:p>
        </w:tc>
        <w:tc>
          <w:tcPr>
            <w:tcW w:w="1292" w:type="dxa"/>
            <w:tcBorders>
              <w:top w:val="nil"/>
              <w:left w:val="nil"/>
              <w:bottom w:val="nil"/>
              <w:right w:val="nil"/>
            </w:tcBorders>
            <w:shd w:val="clear" w:color="auto" w:fill="auto"/>
            <w:noWrap/>
            <w:vAlign w:val="bottom"/>
            <w:hideMark/>
          </w:tcPr>
          <w:p w14:paraId="3011EA80"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1095.3</w:t>
            </w:r>
          </w:p>
        </w:tc>
        <w:tc>
          <w:tcPr>
            <w:tcW w:w="1120" w:type="dxa"/>
            <w:tcBorders>
              <w:top w:val="nil"/>
              <w:left w:val="nil"/>
              <w:bottom w:val="nil"/>
              <w:right w:val="nil"/>
            </w:tcBorders>
            <w:shd w:val="clear" w:color="auto" w:fill="auto"/>
            <w:noWrap/>
            <w:vAlign w:val="bottom"/>
            <w:hideMark/>
          </w:tcPr>
          <w:p w14:paraId="3A5DF31D"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611.8</w:t>
            </w:r>
          </w:p>
        </w:tc>
        <w:tc>
          <w:tcPr>
            <w:tcW w:w="960" w:type="dxa"/>
            <w:tcBorders>
              <w:top w:val="nil"/>
              <w:left w:val="nil"/>
              <w:bottom w:val="nil"/>
              <w:right w:val="nil"/>
            </w:tcBorders>
            <w:shd w:val="clear" w:color="auto" w:fill="auto"/>
            <w:noWrap/>
            <w:vAlign w:val="bottom"/>
            <w:hideMark/>
          </w:tcPr>
          <w:p w14:paraId="4144655E"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980.5</w:t>
            </w:r>
          </w:p>
        </w:tc>
      </w:tr>
      <w:tr w:rsidR="00AB2C8D" w:rsidRPr="00AB2C8D" w14:paraId="29EB168D" w14:textId="77777777" w:rsidTr="00D12EFE">
        <w:trPr>
          <w:trHeight w:val="300"/>
        </w:trPr>
        <w:tc>
          <w:tcPr>
            <w:tcW w:w="318" w:type="dxa"/>
            <w:tcBorders>
              <w:top w:val="nil"/>
              <w:left w:val="nil"/>
              <w:bottom w:val="nil"/>
              <w:right w:val="nil"/>
            </w:tcBorders>
            <w:shd w:val="clear" w:color="auto" w:fill="auto"/>
            <w:noWrap/>
            <w:vAlign w:val="bottom"/>
            <w:hideMark/>
          </w:tcPr>
          <w:p w14:paraId="0D634872"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34DEF47D"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6856264A"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C07DEA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F519C9"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07BD34A7" w14:textId="77777777" w:rsidTr="00D12EFE">
        <w:trPr>
          <w:trHeight w:val="300"/>
        </w:trPr>
        <w:tc>
          <w:tcPr>
            <w:tcW w:w="3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CCF398" w14:textId="77777777" w:rsidR="00AB2C8D" w:rsidRPr="00AB2C8D" w:rsidRDefault="00AB2C8D" w:rsidP="00AB2C8D">
            <w:pPr>
              <w:spacing w:after="0" w:line="240" w:lineRule="auto"/>
              <w:jc w:val="right"/>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2</w:t>
            </w:r>
          </w:p>
        </w:tc>
        <w:tc>
          <w:tcPr>
            <w:tcW w:w="5563" w:type="dxa"/>
            <w:tcBorders>
              <w:top w:val="single" w:sz="4" w:space="0" w:color="auto"/>
              <w:left w:val="nil"/>
              <w:bottom w:val="single" w:sz="4" w:space="0" w:color="auto"/>
              <w:right w:val="single" w:sz="4" w:space="0" w:color="auto"/>
            </w:tcBorders>
            <w:shd w:val="clear" w:color="auto" w:fill="auto"/>
            <w:noWrap/>
            <w:vAlign w:val="bottom"/>
            <w:hideMark/>
          </w:tcPr>
          <w:p w14:paraId="63A9D5EC"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Operating Profit Margin Percentage</w:t>
            </w:r>
          </w:p>
        </w:tc>
        <w:tc>
          <w:tcPr>
            <w:tcW w:w="1292" w:type="dxa"/>
            <w:tcBorders>
              <w:top w:val="single" w:sz="4" w:space="0" w:color="auto"/>
              <w:left w:val="nil"/>
              <w:bottom w:val="single" w:sz="4" w:space="0" w:color="auto"/>
              <w:right w:val="single" w:sz="4" w:space="0" w:color="auto"/>
            </w:tcBorders>
            <w:shd w:val="clear" w:color="000000" w:fill="FCE4D6"/>
            <w:noWrap/>
            <w:vAlign w:val="bottom"/>
            <w:hideMark/>
          </w:tcPr>
          <w:p w14:paraId="0580B86C"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-6.98%</w:t>
            </w:r>
          </w:p>
        </w:tc>
        <w:tc>
          <w:tcPr>
            <w:tcW w:w="1120" w:type="dxa"/>
            <w:tcBorders>
              <w:top w:val="single" w:sz="4" w:space="0" w:color="auto"/>
              <w:left w:val="nil"/>
              <w:bottom w:val="single" w:sz="4" w:space="0" w:color="auto"/>
              <w:right w:val="single" w:sz="4" w:space="0" w:color="auto"/>
            </w:tcBorders>
            <w:shd w:val="clear" w:color="000000" w:fill="FCE4D6"/>
            <w:noWrap/>
            <w:vAlign w:val="bottom"/>
            <w:hideMark/>
          </w:tcPr>
          <w:p w14:paraId="362FBA1D"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-52.78%</w:t>
            </w:r>
          </w:p>
        </w:tc>
        <w:tc>
          <w:tcPr>
            <w:tcW w:w="960" w:type="dxa"/>
            <w:tcBorders>
              <w:top w:val="single" w:sz="4" w:space="0" w:color="auto"/>
              <w:left w:val="nil"/>
              <w:bottom w:val="single" w:sz="4" w:space="0" w:color="auto"/>
              <w:right w:val="single" w:sz="4" w:space="0" w:color="auto"/>
            </w:tcBorders>
            <w:shd w:val="clear" w:color="000000" w:fill="FCE4D6"/>
            <w:noWrap/>
            <w:vAlign w:val="bottom"/>
            <w:hideMark/>
          </w:tcPr>
          <w:p w14:paraId="6003AAD2"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-5.30%</w:t>
            </w:r>
          </w:p>
        </w:tc>
      </w:tr>
      <w:tr w:rsidR="00AB2C8D" w:rsidRPr="00AB2C8D" w14:paraId="1734609A" w14:textId="77777777" w:rsidTr="00D12EFE">
        <w:trPr>
          <w:trHeight w:val="300"/>
        </w:trPr>
        <w:tc>
          <w:tcPr>
            <w:tcW w:w="318" w:type="dxa"/>
            <w:tcBorders>
              <w:top w:val="nil"/>
              <w:left w:val="nil"/>
              <w:bottom w:val="nil"/>
              <w:right w:val="nil"/>
            </w:tcBorders>
            <w:shd w:val="clear" w:color="auto" w:fill="auto"/>
            <w:noWrap/>
            <w:vAlign w:val="bottom"/>
            <w:hideMark/>
          </w:tcPr>
          <w:p w14:paraId="00998F89"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1E243C56"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6F2B603E"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E182E48"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B47D36"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20DD7A57" w14:textId="77777777" w:rsidTr="00D12EFE">
        <w:trPr>
          <w:trHeight w:val="300"/>
        </w:trPr>
        <w:tc>
          <w:tcPr>
            <w:tcW w:w="318" w:type="dxa"/>
            <w:tcBorders>
              <w:top w:val="nil"/>
              <w:left w:val="nil"/>
              <w:bottom w:val="nil"/>
              <w:right w:val="nil"/>
            </w:tcBorders>
            <w:shd w:val="clear" w:color="auto" w:fill="auto"/>
            <w:noWrap/>
            <w:vAlign w:val="bottom"/>
            <w:hideMark/>
          </w:tcPr>
          <w:p w14:paraId="4F6AC192"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4D90DEC5"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49BF1883"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31C377A"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890DA7"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Restated</w:t>
            </w:r>
          </w:p>
        </w:tc>
      </w:tr>
      <w:tr w:rsidR="00AB2C8D" w:rsidRPr="00AB2C8D" w14:paraId="484EB5F7" w14:textId="77777777" w:rsidTr="00D12EFE">
        <w:trPr>
          <w:trHeight w:val="300"/>
        </w:trPr>
        <w:tc>
          <w:tcPr>
            <w:tcW w:w="318" w:type="dxa"/>
            <w:tcBorders>
              <w:top w:val="nil"/>
              <w:left w:val="nil"/>
              <w:bottom w:val="nil"/>
              <w:right w:val="nil"/>
            </w:tcBorders>
            <w:shd w:val="clear" w:color="auto" w:fill="auto"/>
            <w:noWrap/>
            <w:vAlign w:val="bottom"/>
            <w:hideMark/>
          </w:tcPr>
          <w:p w14:paraId="6BAB17B2"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1DB8FB6E"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Net Profit Margin</w:t>
            </w:r>
          </w:p>
        </w:tc>
        <w:tc>
          <w:tcPr>
            <w:tcW w:w="1292" w:type="dxa"/>
            <w:tcBorders>
              <w:top w:val="nil"/>
              <w:left w:val="nil"/>
              <w:bottom w:val="nil"/>
              <w:right w:val="nil"/>
            </w:tcBorders>
            <w:shd w:val="clear" w:color="auto" w:fill="auto"/>
            <w:noWrap/>
            <w:vAlign w:val="bottom"/>
            <w:hideMark/>
          </w:tcPr>
          <w:p w14:paraId="5C9276DD"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79E6D632"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27B43B2B"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2019</w:t>
            </w:r>
          </w:p>
        </w:tc>
      </w:tr>
      <w:tr w:rsidR="00AB2C8D" w:rsidRPr="00AB2C8D" w14:paraId="41741480" w14:textId="77777777" w:rsidTr="00D12EFE">
        <w:trPr>
          <w:trHeight w:val="300"/>
        </w:trPr>
        <w:tc>
          <w:tcPr>
            <w:tcW w:w="318" w:type="dxa"/>
            <w:tcBorders>
              <w:top w:val="nil"/>
              <w:left w:val="nil"/>
              <w:bottom w:val="nil"/>
              <w:right w:val="nil"/>
            </w:tcBorders>
            <w:shd w:val="clear" w:color="auto" w:fill="auto"/>
            <w:noWrap/>
            <w:vAlign w:val="bottom"/>
            <w:hideMark/>
          </w:tcPr>
          <w:p w14:paraId="0EA79A4D"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4ED74015"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32C243BD"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1AD88E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698DDC"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54C1F93D" w14:textId="77777777" w:rsidTr="00D12EFE">
        <w:trPr>
          <w:trHeight w:val="300"/>
        </w:trPr>
        <w:tc>
          <w:tcPr>
            <w:tcW w:w="318" w:type="dxa"/>
            <w:tcBorders>
              <w:top w:val="nil"/>
              <w:left w:val="nil"/>
              <w:bottom w:val="nil"/>
              <w:right w:val="nil"/>
            </w:tcBorders>
            <w:shd w:val="clear" w:color="auto" w:fill="auto"/>
            <w:noWrap/>
            <w:vAlign w:val="bottom"/>
            <w:hideMark/>
          </w:tcPr>
          <w:p w14:paraId="1D435BB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3C21BCC4"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Net Profit x 100%</w:t>
            </w:r>
          </w:p>
        </w:tc>
        <w:tc>
          <w:tcPr>
            <w:tcW w:w="1292" w:type="dxa"/>
            <w:tcBorders>
              <w:top w:val="nil"/>
              <w:left w:val="nil"/>
              <w:bottom w:val="nil"/>
              <w:right w:val="nil"/>
            </w:tcBorders>
            <w:shd w:val="clear" w:color="auto" w:fill="auto"/>
            <w:noWrap/>
            <w:vAlign w:val="bottom"/>
            <w:hideMark/>
          </w:tcPr>
          <w:p w14:paraId="755383C4"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-189.3</w:t>
            </w:r>
          </w:p>
        </w:tc>
        <w:tc>
          <w:tcPr>
            <w:tcW w:w="1120" w:type="dxa"/>
            <w:tcBorders>
              <w:top w:val="nil"/>
              <w:left w:val="nil"/>
              <w:bottom w:val="nil"/>
              <w:right w:val="nil"/>
            </w:tcBorders>
            <w:shd w:val="clear" w:color="auto" w:fill="auto"/>
            <w:noWrap/>
            <w:vAlign w:val="bottom"/>
            <w:hideMark/>
          </w:tcPr>
          <w:p w14:paraId="1FF2EADE"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-410.5</w:t>
            </w:r>
          </w:p>
        </w:tc>
        <w:tc>
          <w:tcPr>
            <w:tcW w:w="960" w:type="dxa"/>
            <w:tcBorders>
              <w:top w:val="nil"/>
              <w:left w:val="nil"/>
              <w:bottom w:val="nil"/>
              <w:right w:val="nil"/>
            </w:tcBorders>
            <w:shd w:val="clear" w:color="auto" w:fill="auto"/>
            <w:noWrap/>
            <w:vAlign w:val="bottom"/>
            <w:hideMark/>
          </w:tcPr>
          <w:p w14:paraId="45291972"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-117.6</w:t>
            </w:r>
          </w:p>
        </w:tc>
      </w:tr>
      <w:tr w:rsidR="00AB2C8D" w:rsidRPr="00AB2C8D" w14:paraId="6B14EBE3" w14:textId="77777777" w:rsidTr="00D12EFE">
        <w:trPr>
          <w:trHeight w:val="300"/>
        </w:trPr>
        <w:tc>
          <w:tcPr>
            <w:tcW w:w="318" w:type="dxa"/>
            <w:tcBorders>
              <w:top w:val="nil"/>
              <w:left w:val="nil"/>
              <w:bottom w:val="nil"/>
              <w:right w:val="nil"/>
            </w:tcBorders>
            <w:shd w:val="clear" w:color="auto" w:fill="auto"/>
            <w:noWrap/>
            <w:vAlign w:val="bottom"/>
            <w:hideMark/>
          </w:tcPr>
          <w:p w14:paraId="3083764C"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3E5E12FB"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Sales</w:t>
            </w:r>
          </w:p>
        </w:tc>
        <w:tc>
          <w:tcPr>
            <w:tcW w:w="1292" w:type="dxa"/>
            <w:tcBorders>
              <w:top w:val="nil"/>
              <w:left w:val="nil"/>
              <w:bottom w:val="nil"/>
              <w:right w:val="nil"/>
            </w:tcBorders>
            <w:shd w:val="clear" w:color="auto" w:fill="auto"/>
            <w:noWrap/>
            <w:vAlign w:val="bottom"/>
            <w:hideMark/>
          </w:tcPr>
          <w:p w14:paraId="3A0B0B10"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1095.3</w:t>
            </w:r>
          </w:p>
        </w:tc>
        <w:tc>
          <w:tcPr>
            <w:tcW w:w="1120" w:type="dxa"/>
            <w:tcBorders>
              <w:top w:val="nil"/>
              <w:left w:val="nil"/>
              <w:bottom w:val="nil"/>
              <w:right w:val="nil"/>
            </w:tcBorders>
            <w:shd w:val="clear" w:color="auto" w:fill="auto"/>
            <w:noWrap/>
            <w:vAlign w:val="bottom"/>
            <w:hideMark/>
          </w:tcPr>
          <w:p w14:paraId="54B44385"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611.8</w:t>
            </w:r>
          </w:p>
        </w:tc>
        <w:tc>
          <w:tcPr>
            <w:tcW w:w="960" w:type="dxa"/>
            <w:tcBorders>
              <w:top w:val="nil"/>
              <w:left w:val="nil"/>
              <w:bottom w:val="nil"/>
              <w:right w:val="nil"/>
            </w:tcBorders>
            <w:shd w:val="clear" w:color="auto" w:fill="auto"/>
            <w:noWrap/>
            <w:vAlign w:val="bottom"/>
            <w:hideMark/>
          </w:tcPr>
          <w:p w14:paraId="228F35F0"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980.5</w:t>
            </w:r>
          </w:p>
        </w:tc>
      </w:tr>
      <w:tr w:rsidR="00AB2C8D" w:rsidRPr="00AB2C8D" w14:paraId="7F8943AD" w14:textId="77777777" w:rsidTr="00D12EFE">
        <w:trPr>
          <w:trHeight w:val="300"/>
        </w:trPr>
        <w:tc>
          <w:tcPr>
            <w:tcW w:w="318" w:type="dxa"/>
            <w:tcBorders>
              <w:top w:val="nil"/>
              <w:left w:val="nil"/>
              <w:bottom w:val="nil"/>
              <w:right w:val="nil"/>
            </w:tcBorders>
            <w:shd w:val="clear" w:color="auto" w:fill="auto"/>
            <w:noWrap/>
            <w:vAlign w:val="bottom"/>
            <w:hideMark/>
          </w:tcPr>
          <w:p w14:paraId="1CAA4A0B"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4BE75519"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04B87667"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3A30A7C"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D61250"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295F7291" w14:textId="77777777" w:rsidTr="00D12EFE">
        <w:trPr>
          <w:trHeight w:val="300"/>
        </w:trPr>
        <w:tc>
          <w:tcPr>
            <w:tcW w:w="3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F64207" w14:textId="77777777" w:rsidR="00AB2C8D" w:rsidRPr="00AB2C8D" w:rsidRDefault="00AB2C8D" w:rsidP="00AB2C8D">
            <w:pPr>
              <w:spacing w:after="0" w:line="240" w:lineRule="auto"/>
              <w:jc w:val="right"/>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3</w:t>
            </w:r>
          </w:p>
        </w:tc>
        <w:tc>
          <w:tcPr>
            <w:tcW w:w="5563" w:type="dxa"/>
            <w:tcBorders>
              <w:top w:val="single" w:sz="4" w:space="0" w:color="auto"/>
              <w:left w:val="nil"/>
              <w:bottom w:val="single" w:sz="4" w:space="0" w:color="auto"/>
              <w:right w:val="single" w:sz="4" w:space="0" w:color="auto"/>
            </w:tcBorders>
            <w:shd w:val="clear" w:color="auto" w:fill="auto"/>
            <w:noWrap/>
            <w:vAlign w:val="bottom"/>
            <w:hideMark/>
          </w:tcPr>
          <w:p w14:paraId="354FDBE3"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Net Profit Margin Percentage</w:t>
            </w:r>
          </w:p>
        </w:tc>
        <w:tc>
          <w:tcPr>
            <w:tcW w:w="1292" w:type="dxa"/>
            <w:tcBorders>
              <w:top w:val="single" w:sz="4" w:space="0" w:color="auto"/>
              <w:left w:val="nil"/>
              <w:bottom w:val="single" w:sz="4" w:space="0" w:color="auto"/>
              <w:right w:val="single" w:sz="4" w:space="0" w:color="auto"/>
            </w:tcBorders>
            <w:shd w:val="clear" w:color="000000" w:fill="FCE4D6"/>
            <w:noWrap/>
            <w:vAlign w:val="bottom"/>
            <w:hideMark/>
          </w:tcPr>
          <w:p w14:paraId="53B36908"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-17.28%</w:t>
            </w:r>
          </w:p>
        </w:tc>
        <w:tc>
          <w:tcPr>
            <w:tcW w:w="1120" w:type="dxa"/>
            <w:tcBorders>
              <w:top w:val="single" w:sz="4" w:space="0" w:color="auto"/>
              <w:left w:val="nil"/>
              <w:bottom w:val="single" w:sz="4" w:space="0" w:color="auto"/>
              <w:right w:val="single" w:sz="4" w:space="0" w:color="auto"/>
            </w:tcBorders>
            <w:shd w:val="clear" w:color="000000" w:fill="FCE4D6"/>
            <w:noWrap/>
            <w:vAlign w:val="bottom"/>
            <w:hideMark/>
          </w:tcPr>
          <w:p w14:paraId="24D14262"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-67.10%</w:t>
            </w:r>
          </w:p>
        </w:tc>
        <w:tc>
          <w:tcPr>
            <w:tcW w:w="960" w:type="dxa"/>
            <w:tcBorders>
              <w:top w:val="single" w:sz="4" w:space="0" w:color="auto"/>
              <w:left w:val="nil"/>
              <w:bottom w:val="single" w:sz="4" w:space="0" w:color="auto"/>
              <w:right w:val="single" w:sz="4" w:space="0" w:color="auto"/>
            </w:tcBorders>
            <w:shd w:val="clear" w:color="000000" w:fill="FCE4D6"/>
            <w:noWrap/>
            <w:vAlign w:val="bottom"/>
            <w:hideMark/>
          </w:tcPr>
          <w:p w14:paraId="0AEC615A"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-11.99%</w:t>
            </w:r>
          </w:p>
        </w:tc>
      </w:tr>
      <w:tr w:rsidR="00AB2C8D" w:rsidRPr="00AB2C8D" w14:paraId="248A7CAA" w14:textId="77777777" w:rsidTr="00D12EFE">
        <w:trPr>
          <w:trHeight w:val="300"/>
        </w:trPr>
        <w:tc>
          <w:tcPr>
            <w:tcW w:w="318" w:type="dxa"/>
            <w:tcBorders>
              <w:top w:val="nil"/>
              <w:left w:val="nil"/>
              <w:bottom w:val="nil"/>
              <w:right w:val="nil"/>
            </w:tcBorders>
            <w:shd w:val="clear" w:color="auto" w:fill="auto"/>
            <w:noWrap/>
            <w:vAlign w:val="bottom"/>
            <w:hideMark/>
          </w:tcPr>
          <w:p w14:paraId="4DBAF958"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18FC888D"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2B0F4C0F"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4E5B631"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8B2800"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3CF90030" w14:textId="77777777" w:rsidTr="00D12EFE">
        <w:trPr>
          <w:trHeight w:val="300"/>
        </w:trPr>
        <w:tc>
          <w:tcPr>
            <w:tcW w:w="318" w:type="dxa"/>
            <w:tcBorders>
              <w:top w:val="nil"/>
              <w:left w:val="nil"/>
              <w:bottom w:val="nil"/>
              <w:right w:val="nil"/>
            </w:tcBorders>
            <w:shd w:val="clear" w:color="auto" w:fill="auto"/>
            <w:noWrap/>
            <w:vAlign w:val="bottom"/>
            <w:hideMark/>
          </w:tcPr>
          <w:p w14:paraId="6FDD588D"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199B0E6A"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6C84AF47"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9452E87"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16D513"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Restated</w:t>
            </w:r>
          </w:p>
        </w:tc>
      </w:tr>
      <w:tr w:rsidR="00AB2C8D" w:rsidRPr="00AB2C8D" w14:paraId="2DC42D3B" w14:textId="77777777" w:rsidTr="00D12EFE">
        <w:trPr>
          <w:trHeight w:val="300"/>
        </w:trPr>
        <w:tc>
          <w:tcPr>
            <w:tcW w:w="318" w:type="dxa"/>
            <w:tcBorders>
              <w:top w:val="nil"/>
              <w:left w:val="nil"/>
              <w:bottom w:val="nil"/>
              <w:right w:val="nil"/>
            </w:tcBorders>
            <w:shd w:val="clear" w:color="auto" w:fill="auto"/>
            <w:noWrap/>
            <w:vAlign w:val="bottom"/>
            <w:hideMark/>
          </w:tcPr>
          <w:p w14:paraId="3788F373"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1BF05D98"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EBITDA % Margin on Sales</w:t>
            </w:r>
          </w:p>
        </w:tc>
        <w:tc>
          <w:tcPr>
            <w:tcW w:w="1292" w:type="dxa"/>
            <w:tcBorders>
              <w:top w:val="nil"/>
              <w:left w:val="nil"/>
              <w:bottom w:val="nil"/>
              <w:right w:val="nil"/>
            </w:tcBorders>
            <w:shd w:val="clear" w:color="auto" w:fill="auto"/>
            <w:noWrap/>
            <w:vAlign w:val="bottom"/>
            <w:hideMark/>
          </w:tcPr>
          <w:p w14:paraId="6F434963"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03634B83"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13548D7A"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2019</w:t>
            </w:r>
          </w:p>
        </w:tc>
      </w:tr>
      <w:tr w:rsidR="00AB2C8D" w:rsidRPr="00AB2C8D" w14:paraId="6BF48A9B" w14:textId="77777777" w:rsidTr="00D12EFE">
        <w:trPr>
          <w:trHeight w:val="300"/>
        </w:trPr>
        <w:tc>
          <w:tcPr>
            <w:tcW w:w="318" w:type="dxa"/>
            <w:tcBorders>
              <w:top w:val="nil"/>
              <w:left w:val="nil"/>
              <w:bottom w:val="nil"/>
              <w:right w:val="nil"/>
            </w:tcBorders>
            <w:shd w:val="clear" w:color="auto" w:fill="auto"/>
            <w:noWrap/>
            <w:vAlign w:val="bottom"/>
            <w:hideMark/>
          </w:tcPr>
          <w:p w14:paraId="5A07F4D8"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7E48D616"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4B49FF1B"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70CC850C"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19202E"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4174491D" w14:textId="77777777" w:rsidTr="00D12EFE">
        <w:trPr>
          <w:trHeight w:val="300"/>
        </w:trPr>
        <w:tc>
          <w:tcPr>
            <w:tcW w:w="318" w:type="dxa"/>
            <w:tcBorders>
              <w:top w:val="nil"/>
              <w:left w:val="nil"/>
              <w:bottom w:val="nil"/>
              <w:right w:val="nil"/>
            </w:tcBorders>
            <w:shd w:val="clear" w:color="auto" w:fill="auto"/>
            <w:noWrap/>
            <w:vAlign w:val="bottom"/>
            <w:hideMark/>
          </w:tcPr>
          <w:p w14:paraId="1F764CEE"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1871FA3D"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EBITDA x 100%</w:t>
            </w:r>
          </w:p>
        </w:tc>
        <w:tc>
          <w:tcPr>
            <w:tcW w:w="1292" w:type="dxa"/>
            <w:tcBorders>
              <w:top w:val="nil"/>
              <w:left w:val="nil"/>
              <w:bottom w:val="nil"/>
              <w:right w:val="nil"/>
            </w:tcBorders>
            <w:shd w:val="clear" w:color="auto" w:fill="auto"/>
            <w:noWrap/>
            <w:vAlign w:val="bottom"/>
            <w:hideMark/>
          </w:tcPr>
          <w:p w14:paraId="6799BD57"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137.9</w:t>
            </w:r>
          </w:p>
        </w:tc>
        <w:tc>
          <w:tcPr>
            <w:tcW w:w="1120" w:type="dxa"/>
            <w:tcBorders>
              <w:top w:val="nil"/>
              <w:left w:val="nil"/>
              <w:bottom w:val="nil"/>
              <w:right w:val="nil"/>
            </w:tcBorders>
            <w:shd w:val="clear" w:color="auto" w:fill="auto"/>
            <w:noWrap/>
            <w:vAlign w:val="bottom"/>
            <w:hideMark/>
          </w:tcPr>
          <w:p w14:paraId="1001A1E1"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-70.1</w:t>
            </w:r>
          </w:p>
        </w:tc>
        <w:tc>
          <w:tcPr>
            <w:tcW w:w="960" w:type="dxa"/>
            <w:tcBorders>
              <w:top w:val="nil"/>
              <w:left w:val="nil"/>
              <w:bottom w:val="nil"/>
              <w:right w:val="nil"/>
            </w:tcBorders>
            <w:shd w:val="clear" w:color="auto" w:fill="auto"/>
            <w:noWrap/>
            <w:vAlign w:val="bottom"/>
            <w:hideMark/>
          </w:tcPr>
          <w:p w14:paraId="29ABDE1A"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118.9</w:t>
            </w:r>
          </w:p>
        </w:tc>
      </w:tr>
      <w:tr w:rsidR="00AB2C8D" w:rsidRPr="00AB2C8D" w14:paraId="26EF024D" w14:textId="77777777" w:rsidTr="00D12EFE">
        <w:trPr>
          <w:trHeight w:val="300"/>
        </w:trPr>
        <w:tc>
          <w:tcPr>
            <w:tcW w:w="318" w:type="dxa"/>
            <w:tcBorders>
              <w:top w:val="nil"/>
              <w:left w:val="nil"/>
              <w:bottom w:val="nil"/>
              <w:right w:val="nil"/>
            </w:tcBorders>
            <w:shd w:val="clear" w:color="auto" w:fill="auto"/>
            <w:noWrap/>
            <w:vAlign w:val="bottom"/>
            <w:hideMark/>
          </w:tcPr>
          <w:p w14:paraId="2525A3D2"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300A714D"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Sales</w:t>
            </w:r>
          </w:p>
        </w:tc>
        <w:tc>
          <w:tcPr>
            <w:tcW w:w="1292" w:type="dxa"/>
            <w:tcBorders>
              <w:top w:val="nil"/>
              <w:left w:val="nil"/>
              <w:bottom w:val="nil"/>
              <w:right w:val="nil"/>
            </w:tcBorders>
            <w:shd w:val="clear" w:color="auto" w:fill="auto"/>
            <w:noWrap/>
            <w:vAlign w:val="bottom"/>
            <w:hideMark/>
          </w:tcPr>
          <w:p w14:paraId="1BA971CA"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1095.3</w:t>
            </w:r>
          </w:p>
        </w:tc>
        <w:tc>
          <w:tcPr>
            <w:tcW w:w="1120" w:type="dxa"/>
            <w:tcBorders>
              <w:top w:val="nil"/>
              <w:left w:val="nil"/>
              <w:bottom w:val="nil"/>
              <w:right w:val="nil"/>
            </w:tcBorders>
            <w:shd w:val="clear" w:color="auto" w:fill="auto"/>
            <w:noWrap/>
            <w:vAlign w:val="bottom"/>
            <w:hideMark/>
          </w:tcPr>
          <w:p w14:paraId="4E7F0B8D"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611.8</w:t>
            </w:r>
          </w:p>
        </w:tc>
        <w:tc>
          <w:tcPr>
            <w:tcW w:w="960" w:type="dxa"/>
            <w:tcBorders>
              <w:top w:val="nil"/>
              <w:left w:val="nil"/>
              <w:bottom w:val="nil"/>
              <w:right w:val="nil"/>
            </w:tcBorders>
            <w:shd w:val="clear" w:color="auto" w:fill="auto"/>
            <w:noWrap/>
            <w:vAlign w:val="bottom"/>
            <w:hideMark/>
          </w:tcPr>
          <w:p w14:paraId="7AEB10C3"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980.5</w:t>
            </w:r>
          </w:p>
        </w:tc>
      </w:tr>
      <w:tr w:rsidR="00AB2C8D" w:rsidRPr="00AB2C8D" w14:paraId="2A558F67" w14:textId="77777777" w:rsidTr="00D12EFE">
        <w:trPr>
          <w:trHeight w:val="300"/>
        </w:trPr>
        <w:tc>
          <w:tcPr>
            <w:tcW w:w="318" w:type="dxa"/>
            <w:tcBorders>
              <w:top w:val="nil"/>
              <w:left w:val="nil"/>
              <w:bottom w:val="nil"/>
              <w:right w:val="nil"/>
            </w:tcBorders>
            <w:shd w:val="clear" w:color="auto" w:fill="auto"/>
            <w:noWrap/>
            <w:vAlign w:val="bottom"/>
            <w:hideMark/>
          </w:tcPr>
          <w:p w14:paraId="3A380862"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12A66B3A"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156C3876"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73BEB6AB"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72B9F9"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30833CBD" w14:textId="77777777" w:rsidTr="00D12EFE">
        <w:trPr>
          <w:trHeight w:val="300"/>
        </w:trPr>
        <w:tc>
          <w:tcPr>
            <w:tcW w:w="3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6B2555" w14:textId="77777777" w:rsidR="00AB2C8D" w:rsidRPr="00AB2C8D" w:rsidRDefault="00AB2C8D" w:rsidP="00AB2C8D">
            <w:pPr>
              <w:spacing w:after="0" w:line="240" w:lineRule="auto"/>
              <w:jc w:val="right"/>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4</w:t>
            </w:r>
          </w:p>
        </w:tc>
        <w:tc>
          <w:tcPr>
            <w:tcW w:w="5563" w:type="dxa"/>
            <w:tcBorders>
              <w:top w:val="single" w:sz="4" w:space="0" w:color="auto"/>
              <w:left w:val="nil"/>
              <w:bottom w:val="single" w:sz="4" w:space="0" w:color="auto"/>
              <w:right w:val="single" w:sz="4" w:space="0" w:color="auto"/>
            </w:tcBorders>
            <w:shd w:val="clear" w:color="auto" w:fill="auto"/>
            <w:noWrap/>
            <w:vAlign w:val="bottom"/>
            <w:hideMark/>
          </w:tcPr>
          <w:p w14:paraId="3C83E939"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 xml:space="preserve">EBITDA % Margin </w:t>
            </w:r>
          </w:p>
        </w:tc>
        <w:tc>
          <w:tcPr>
            <w:tcW w:w="1292" w:type="dxa"/>
            <w:tcBorders>
              <w:top w:val="single" w:sz="4" w:space="0" w:color="auto"/>
              <w:left w:val="nil"/>
              <w:bottom w:val="single" w:sz="4" w:space="0" w:color="auto"/>
              <w:right w:val="single" w:sz="4" w:space="0" w:color="auto"/>
            </w:tcBorders>
            <w:shd w:val="clear" w:color="000000" w:fill="E2EFDA"/>
            <w:noWrap/>
            <w:vAlign w:val="bottom"/>
            <w:hideMark/>
          </w:tcPr>
          <w:p w14:paraId="2B970427"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12.59%</w:t>
            </w:r>
          </w:p>
        </w:tc>
        <w:tc>
          <w:tcPr>
            <w:tcW w:w="1120" w:type="dxa"/>
            <w:tcBorders>
              <w:top w:val="single" w:sz="4" w:space="0" w:color="auto"/>
              <w:left w:val="nil"/>
              <w:bottom w:val="single" w:sz="4" w:space="0" w:color="auto"/>
              <w:right w:val="single" w:sz="4" w:space="0" w:color="auto"/>
            </w:tcBorders>
            <w:shd w:val="clear" w:color="000000" w:fill="E2EFDA"/>
            <w:noWrap/>
            <w:vAlign w:val="bottom"/>
            <w:hideMark/>
          </w:tcPr>
          <w:p w14:paraId="5B871AD7"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-11.46%</w:t>
            </w:r>
          </w:p>
        </w:tc>
        <w:tc>
          <w:tcPr>
            <w:tcW w:w="960" w:type="dxa"/>
            <w:tcBorders>
              <w:top w:val="single" w:sz="4" w:space="0" w:color="auto"/>
              <w:left w:val="nil"/>
              <w:bottom w:val="single" w:sz="4" w:space="0" w:color="auto"/>
              <w:right w:val="single" w:sz="4" w:space="0" w:color="auto"/>
            </w:tcBorders>
            <w:shd w:val="clear" w:color="000000" w:fill="E2EFDA"/>
            <w:noWrap/>
            <w:vAlign w:val="bottom"/>
            <w:hideMark/>
          </w:tcPr>
          <w:p w14:paraId="691D9FAA"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12.13%</w:t>
            </w:r>
          </w:p>
        </w:tc>
      </w:tr>
      <w:tr w:rsidR="00AB2C8D" w:rsidRPr="00AB2C8D" w14:paraId="4CBB9BCE" w14:textId="77777777" w:rsidTr="00D12EFE">
        <w:trPr>
          <w:trHeight w:val="300"/>
        </w:trPr>
        <w:tc>
          <w:tcPr>
            <w:tcW w:w="318" w:type="dxa"/>
            <w:tcBorders>
              <w:top w:val="nil"/>
              <w:left w:val="nil"/>
              <w:bottom w:val="nil"/>
              <w:right w:val="nil"/>
            </w:tcBorders>
            <w:shd w:val="clear" w:color="auto" w:fill="auto"/>
            <w:noWrap/>
            <w:vAlign w:val="bottom"/>
            <w:hideMark/>
          </w:tcPr>
          <w:p w14:paraId="35BDDB6E"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4F97CA5A"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0D3AABCD"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EDD876E"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A14407"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070EBE92" w14:textId="77777777" w:rsidTr="00D12EFE">
        <w:trPr>
          <w:trHeight w:val="300"/>
        </w:trPr>
        <w:tc>
          <w:tcPr>
            <w:tcW w:w="318" w:type="dxa"/>
            <w:tcBorders>
              <w:top w:val="nil"/>
              <w:left w:val="nil"/>
              <w:bottom w:val="nil"/>
              <w:right w:val="nil"/>
            </w:tcBorders>
            <w:shd w:val="clear" w:color="auto" w:fill="auto"/>
            <w:noWrap/>
            <w:vAlign w:val="bottom"/>
            <w:hideMark/>
          </w:tcPr>
          <w:p w14:paraId="545510D1"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5E72F9BD"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7BE3C35D"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BCAC2B7"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9CD11A"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Restated</w:t>
            </w:r>
          </w:p>
        </w:tc>
      </w:tr>
      <w:tr w:rsidR="00AB2C8D" w:rsidRPr="00AB2C8D" w14:paraId="45F15C90" w14:textId="77777777" w:rsidTr="00D12EFE">
        <w:trPr>
          <w:trHeight w:val="300"/>
        </w:trPr>
        <w:tc>
          <w:tcPr>
            <w:tcW w:w="318" w:type="dxa"/>
            <w:tcBorders>
              <w:top w:val="nil"/>
              <w:left w:val="nil"/>
              <w:bottom w:val="nil"/>
              <w:right w:val="nil"/>
            </w:tcBorders>
            <w:shd w:val="clear" w:color="auto" w:fill="auto"/>
            <w:noWrap/>
            <w:vAlign w:val="bottom"/>
            <w:hideMark/>
          </w:tcPr>
          <w:p w14:paraId="5BB19EA2"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481FA483"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Return on Assets</w:t>
            </w:r>
          </w:p>
        </w:tc>
        <w:tc>
          <w:tcPr>
            <w:tcW w:w="1292" w:type="dxa"/>
            <w:tcBorders>
              <w:top w:val="nil"/>
              <w:left w:val="nil"/>
              <w:bottom w:val="nil"/>
              <w:right w:val="nil"/>
            </w:tcBorders>
            <w:shd w:val="clear" w:color="auto" w:fill="auto"/>
            <w:noWrap/>
            <w:vAlign w:val="bottom"/>
            <w:hideMark/>
          </w:tcPr>
          <w:p w14:paraId="00F71281"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218D9B55"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508CD5C2"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2019</w:t>
            </w:r>
          </w:p>
        </w:tc>
      </w:tr>
      <w:tr w:rsidR="00AB2C8D" w:rsidRPr="00AB2C8D" w14:paraId="417C460B" w14:textId="77777777" w:rsidTr="00D12EFE">
        <w:trPr>
          <w:trHeight w:val="300"/>
        </w:trPr>
        <w:tc>
          <w:tcPr>
            <w:tcW w:w="318" w:type="dxa"/>
            <w:tcBorders>
              <w:top w:val="nil"/>
              <w:left w:val="nil"/>
              <w:bottom w:val="nil"/>
              <w:right w:val="nil"/>
            </w:tcBorders>
            <w:shd w:val="clear" w:color="auto" w:fill="auto"/>
            <w:noWrap/>
            <w:vAlign w:val="bottom"/>
            <w:hideMark/>
          </w:tcPr>
          <w:p w14:paraId="5778E3D1"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53C8AB28"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545AFC64"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1916085"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30A024"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77AC2B42" w14:textId="77777777" w:rsidTr="00D12EFE">
        <w:trPr>
          <w:trHeight w:val="300"/>
        </w:trPr>
        <w:tc>
          <w:tcPr>
            <w:tcW w:w="318" w:type="dxa"/>
            <w:tcBorders>
              <w:top w:val="nil"/>
              <w:left w:val="nil"/>
              <w:bottom w:val="nil"/>
              <w:right w:val="nil"/>
            </w:tcBorders>
            <w:shd w:val="clear" w:color="auto" w:fill="auto"/>
            <w:noWrap/>
            <w:vAlign w:val="bottom"/>
            <w:hideMark/>
          </w:tcPr>
          <w:p w14:paraId="5797D9FB"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5563" w:type="dxa"/>
            <w:tcBorders>
              <w:top w:val="nil"/>
              <w:left w:val="nil"/>
              <w:bottom w:val="nil"/>
              <w:right w:val="nil"/>
            </w:tcBorders>
            <w:shd w:val="clear" w:color="auto" w:fill="auto"/>
            <w:noWrap/>
            <w:vAlign w:val="bottom"/>
            <w:hideMark/>
          </w:tcPr>
          <w:p w14:paraId="77924A25"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Net Income x 100%</w:t>
            </w:r>
          </w:p>
        </w:tc>
        <w:tc>
          <w:tcPr>
            <w:tcW w:w="1292" w:type="dxa"/>
            <w:tcBorders>
              <w:top w:val="nil"/>
              <w:left w:val="nil"/>
              <w:bottom w:val="nil"/>
              <w:right w:val="nil"/>
            </w:tcBorders>
            <w:shd w:val="clear" w:color="auto" w:fill="auto"/>
            <w:noWrap/>
            <w:vAlign w:val="bottom"/>
            <w:hideMark/>
          </w:tcPr>
          <w:p w14:paraId="42337716"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-189.3</w:t>
            </w:r>
          </w:p>
        </w:tc>
        <w:tc>
          <w:tcPr>
            <w:tcW w:w="1120" w:type="dxa"/>
            <w:tcBorders>
              <w:top w:val="nil"/>
              <w:left w:val="nil"/>
              <w:bottom w:val="nil"/>
              <w:right w:val="nil"/>
            </w:tcBorders>
            <w:shd w:val="clear" w:color="auto" w:fill="auto"/>
            <w:noWrap/>
            <w:vAlign w:val="bottom"/>
            <w:hideMark/>
          </w:tcPr>
          <w:p w14:paraId="4B6C5465"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-410.5</w:t>
            </w:r>
          </w:p>
        </w:tc>
        <w:tc>
          <w:tcPr>
            <w:tcW w:w="960" w:type="dxa"/>
            <w:tcBorders>
              <w:top w:val="nil"/>
              <w:left w:val="nil"/>
              <w:bottom w:val="nil"/>
              <w:right w:val="nil"/>
            </w:tcBorders>
            <w:shd w:val="clear" w:color="auto" w:fill="auto"/>
            <w:noWrap/>
            <w:vAlign w:val="bottom"/>
            <w:hideMark/>
          </w:tcPr>
          <w:p w14:paraId="15EE7286"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r w:rsidRPr="00AB2C8D">
              <w:rPr>
                <w:rFonts w:ascii="Calibri" w:eastAsia="Times New Roman" w:hAnsi="Calibri" w:cs="Calibri"/>
                <w:color w:val="000000"/>
                <w:sz w:val="20"/>
                <w:szCs w:val="20"/>
                <w:u w:val="single"/>
                <w:lang w:eastAsia="en-GB"/>
              </w:rPr>
              <w:t>-117.6</w:t>
            </w:r>
          </w:p>
        </w:tc>
      </w:tr>
      <w:tr w:rsidR="00AB2C8D" w:rsidRPr="00AB2C8D" w14:paraId="6185E276" w14:textId="77777777" w:rsidTr="00D12EFE">
        <w:trPr>
          <w:trHeight w:val="300"/>
        </w:trPr>
        <w:tc>
          <w:tcPr>
            <w:tcW w:w="318" w:type="dxa"/>
            <w:tcBorders>
              <w:top w:val="nil"/>
              <w:left w:val="nil"/>
              <w:bottom w:val="nil"/>
              <w:right w:val="nil"/>
            </w:tcBorders>
            <w:shd w:val="clear" w:color="auto" w:fill="auto"/>
            <w:noWrap/>
            <w:vAlign w:val="bottom"/>
            <w:hideMark/>
          </w:tcPr>
          <w:p w14:paraId="2304861A" w14:textId="77777777" w:rsidR="00AB2C8D" w:rsidRPr="00AB2C8D" w:rsidRDefault="00AB2C8D" w:rsidP="00AB2C8D">
            <w:pPr>
              <w:spacing w:after="0" w:line="240" w:lineRule="auto"/>
              <w:jc w:val="center"/>
              <w:rPr>
                <w:rFonts w:ascii="Calibri" w:eastAsia="Times New Roman" w:hAnsi="Calibri" w:cs="Calibri"/>
                <w:color w:val="000000"/>
                <w:sz w:val="20"/>
                <w:szCs w:val="20"/>
                <w:u w:val="single"/>
                <w:lang w:eastAsia="en-GB"/>
              </w:rPr>
            </w:pPr>
          </w:p>
        </w:tc>
        <w:tc>
          <w:tcPr>
            <w:tcW w:w="5563" w:type="dxa"/>
            <w:tcBorders>
              <w:top w:val="nil"/>
              <w:left w:val="nil"/>
              <w:bottom w:val="nil"/>
              <w:right w:val="nil"/>
            </w:tcBorders>
            <w:shd w:val="clear" w:color="auto" w:fill="auto"/>
            <w:noWrap/>
            <w:vAlign w:val="bottom"/>
            <w:hideMark/>
          </w:tcPr>
          <w:p w14:paraId="7F99687C"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Assets</w:t>
            </w:r>
          </w:p>
        </w:tc>
        <w:tc>
          <w:tcPr>
            <w:tcW w:w="1292" w:type="dxa"/>
            <w:tcBorders>
              <w:top w:val="nil"/>
              <w:left w:val="nil"/>
              <w:bottom w:val="nil"/>
              <w:right w:val="nil"/>
            </w:tcBorders>
            <w:shd w:val="clear" w:color="auto" w:fill="auto"/>
            <w:noWrap/>
            <w:vAlign w:val="bottom"/>
            <w:hideMark/>
          </w:tcPr>
          <w:p w14:paraId="3B4A6378"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2842.5</w:t>
            </w:r>
          </w:p>
        </w:tc>
        <w:tc>
          <w:tcPr>
            <w:tcW w:w="1120" w:type="dxa"/>
            <w:tcBorders>
              <w:top w:val="nil"/>
              <w:left w:val="nil"/>
              <w:bottom w:val="nil"/>
              <w:right w:val="nil"/>
            </w:tcBorders>
            <w:shd w:val="clear" w:color="auto" w:fill="auto"/>
            <w:noWrap/>
            <w:vAlign w:val="bottom"/>
            <w:hideMark/>
          </w:tcPr>
          <w:p w14:paraId="2FD6C757"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2794.8</w:t>
            </w:r>
          </w:p>
        </w:tc>
        <w:tc>
          <w:tcPr>
            <w:tcW w:w="960" w:type="dxa"/>
            <w:tcBorders>
              <w:top w:val="nil"/>
              <w:left w:val="nil"/>
              <w:bottom w:val="nil"/>
              <w:right w:val="nil"/>
            </w:tcBorders>
            <w:shd w:val="clear" w:color="auto" w:fill="auto"/>
            <w:noWrap/>
            <w:vAlign w:val="bottom"/>
            <w:hideMark/>
          </w:tcPr>
          <w:p w14:paraId="5DAA18CA"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2231.1</w:t>
            </w:r>
          </w:p>
        </w:tc>
      </w:tr>
      <w:tr w:rsidR="00AB2C8D" w:rsidRPr="00AB2C8D" w14:paraId="4B88F3FB" w14:textId="77777777" w:rsidTr="00D12EFE">
        <w:trPr>
          <w:trHeight w:val="300"/>
        </w:trPr>
        <w:tc>
          <w:tcPr>
            <w:tcW w:w="318" w:type="dxa"/>
            <w:tcBorders>
              <w:top w:val="nil"/>
              <w:left w:val="nil"/>
              <w:bottom w:val="nil"/>
              <w:right w:val="nil"/>
            </w:tcBorders>
            <w:shd w:val="clear" w:color="auto" w:fill="auto"/>
            <w:noWrap/>
            <w:vAlign w:val="bottom"/>
            <w:hideMark/>
          </w:tcPr>
          <w:p w14:paraId="684DA3FA" w14:textId="77777777" w:rsidR="00AB2C8D" w:rsidRPr="00AB2C8D" w:rsidRDefault="00AB2C8D" w:rsidP="00AB2C8D">
            <w:pPr>
              <w:spacing w:after="0" w:line="240" w:lineRule="auto"/>
              <w:jc w:val="center"/>
              <w:rPr>
                <w:rFonts w:ascii="Calibri" w:eastAsia="Times New Roman" w:hAnsi="Calibri" w:cs="Calibri"/>
                <w:color w:val="000000"/>
                <w:sz w:val="20"/>
                <w:szCs w:val="20"/>
                <w:lang w:eastAsia="en-GB"/>
              </w:rPr>
            </w:pPr>
          </w:p>
        </w:tc>
        <w:tc>
          <w:tcPr>
            <w:tcW w:w="5563" w:type="dxa"/>
            <w:tcBorders>
              <w:top w:val="nil"/>
              <w:left w:val="nil"/>
              <w:bottom w:val="nil"/>
              <w:right w:val="nil"/>
            </w:tcBorders>
            <w:shd w:val="clear" w:color="auto" w:fill="auto"/>
            <w:noWrap/>
            <w:vAlign w:val="bottom"/>
            <w:hideMark/>
          </w:tcPr>
          <w:p w14:paraId="0598A93B"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292" w:type="dxa"/>
            <w:tcBorders>
              <w:top w:val="nil"/>
              <w:left w:val="nil"/>
              <w:bottom w:val="nil"/>
              <w:right w:val="nil"/>
            </w:tcBorders>
            <w:shd w:val="clear" w:color="auto" w:fill="auto"/>
            <w:noWrap/>
            <w:vAlign w:val="bottom"/>
            <w:hideMark/>
          </w:tcPr>
          <w:p w14:paraId="4CA0F621"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560F2495" w14:textId="77777777" w:rsidR="00AB2C8D" w:rsidRPr="00AB2C8D" w:rsidRDefault="00AB2C8D" w:rsidP="00AB2C8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DFB44BE" w14:textId="77777777" w:rsidR="00AB2C8D" w:rsidRPr="00AB2C8D" w:rsidRDefault="00AB2C8D" w:rsidP="00AB2C8D">
            <w:pPr>
              <w:spacing w:after="0" w:line="240" w:lineRule="auto"/>
              <w:jc w:val="center"/>
              <w:rPr>
                <w:rFonts w:ascii="Times New Roman" w:eastAsia="Times New Roman" w:hAnsi="Times New Roman" w:cs="Times New Roman"/>
                <w:sz w:val="20"/>
                <w:szCs w:val="20"/>
                <w:lang w:eastAsia="en-GB"/>
              </w:rPr>
            </w:pPr>
          </w:p>
        </w:tc>
      </w:tr>
      <w:tr w:rsidR="00AB2C8D" w:rsidRPr="00AB2C8D" w14:paraId="662C1CE7" w14:textId="77777777" w:rsidTr="00D12EFE">
        <w:trPr>
          <w:trHeight w:val="300"/>
        </w:trPr>
        <w:tc>
          <w:tcPr>
            <w:tcW w:w="3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04BE8C" w14:textId="77777777" w:rsidR="00AB2C8D" w:rsidRPr="00AB2C8D" w:rsidRDefault="00AB2C8D" w:rsidP="00AB2C8D">
            <w:pPr>
              <w:spacing w:after="0" w:line="240" w:lineRule="auto"/>
              <w:jc w:val="right"/>
              <w:rPr>
                <w:rFonts w:ascii="Calibri" w:eastAsia="Times New Roman" w:hAnsi="Calibri" w:cs="Calibri"/>
                <w:color w:val="000000"/>
                <w:sz w:val="20"/>
                <w:szCs w:val="20"/>
                <w:lang w:eastAsia="en-GB"/>
              </w:rPr>
            </w:pPr>
            <w:r w:rsidRPr="00AB2C8D">
              <w:rPr>
                <w:rFonts w:ascii="Calibri" w:eastAsia="Times New Roman" w:hAnsi="Calibri" w:cs="Calibri"/>
                <w:color w:val="000000"/>
                <w:sz w:val="20"/>
                <w:szCs w:val="20"/>
                <w:lang w:eastAsia="en-GB"/>
              </w:rPr>
              <w:t>5</w:t>
            </w:r>
          </w:p>
        </w:tc>
        <w:tc>
          <w:tcPr>
            <w:tcW w:w="5563" w:type="dxa"/>
            <w:tcBorders>
              <w:top w:val="single" w:sz="4" w:space="0" w:color="auto"/>
              <w:left w:val="nil"/>
              <w:bottom w:val="single" w:sz="4" w:space="0" w:color="auto"/>
              <w:right w:val="single" w:sz="4" w:space="0" w:color="auto"/>
            </w:tcBorders>
            <w:shd w:val="clear" w:color="auto" w:fill="auto"/>
            <w:noWrap/>
            <w:vAlign w:val="bottom"/>
            <w:hideMark/>
          </w:tcPr>
          <w:p w14:paraId="310EDCF3"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 xml:space="preserve">Return on Assets Percentage </w:t>
            </w:r>
          </w:p>
        </w:tc>
        <w:tc>
          <w:tcPr>
            <w:tcW w:w="1292" w:type="dxa"/>
            <w:tcBorders>
              <w:top w:val="single" w:sz="4" w:space="0" w:color="auto"/>
              <w:left w:val="nil"/>
              <w:bottom w:val="single" w:sz="4" w:space="0" w:color="auto"/>
              <w:right w:val="single" w:sz="4" w:space="0" w:color="auto"/>
            </w:tcBorders>
            <w:shd w:val="clear" w:color="000000" w:fill="FCE4D6"/>
            <w:noWrap/>
            <w:vAlign w:val="bottom"/>
            <w:hideMark/>
          </w:tcPr>
          <w:p w14:paraId="223F12D2"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-6.66%</w:t>
            </w:r>
          </w:p>
        </w:tc>
        <w:tc>
          <w:tcPr>
            <w:tcW w:w="1120" w:type="dxa"/>
            <w:tcBorders>
              <w:top w:val="single" w:sz="4" w:space="0" w:color="auto"/>
              <w:left w:val="nil"/>
              <w:bottom w:val="single" w:sz="4" w:space="0" w:color="auto"/>
              <w:right w:val="single" w:sz="4" w:space="0" w:color="auto"/>
            </w:tcBorders>
            <w:shd w:val="clear" w:color="000000" w:fill="FCE4D6"/>
            <w:noWrap/>
            <w:vAlign w:val="bottom"/>
            <w:hideMark/>
          </w:tcPr>
          <w:p w14:paraId="68C1D322"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-14.69%</w:t>
            </w:r>
          </w:p>
        </w:tc>
        <w:tc>
          <w:tcPr>
            <w:tcW w:w="960" w:type="dxa"/>
            <w:tcBorders>
              <w:top w:val="single" w:sz="4" w:space="0" w:color="auto"/>
              <w:left w:val="nil"/>
              <w:bottom w:val="single" w:sz="4" w:space="0" w:color="auto"/>
              <w:right w:val="single" w:sz="4" w:space="0" w:color="auto"/>
            </w:tcBorders>
            <w:shd w:val="clear" w:color="000000" w:fill="FCE4D6"/>
            <w:noWrap/>
            <w:vAlign w:val="bottom"/>
            <w:hideMark/>
          </w:tcPr>
          <w:p w14:paraId="6ECDBF2D" w14:textId="77777777" w:rsidR="00AB2C8D" w:rsidRPr="00AB2C8D" w:rsidRDefault="00AB2C8D" w:rsidP="00AB2C8D">
            <w:pPr>
              <w:spacing w:after="0" w:line="240" w:lineRule="auto"/>
              <w:jc w:val="center"/>
              <w:rPr>
                <w:rFonts w:ascii="Calibri" w:eastAsia="Times New Roman" w:hAnsi="Calibri" w:cs="Calibri"/>
                <w:b/>
                <w:bCs/>
                <w:color w:val="000000"/>
                <w:sz w:val="20"/>
                <w:szCs w:val="20"/>
                <w:lang w:eastAsia="en-GB"/>
              </w:rPr>
            </w:pPr>
            <w:r w:rsidRPr="00AB2C8D">
              <w:rPr>
                <w:rFonts w:ascii="Calibri" w:eastAsia="Times New Roman" w:hAnsi="Calibri" w:cs="Calibri"/>
                <w:b/>
                <w:bCs/>
                <w:color w:val="000000"/>
                <w:sz w:val="20"/>
                <w:szCs w:val="20"/>
                <w:lang w:eastAsia="en-GB"/>
              </w:rPr>
              <w:t>-5.27%</w:t>
            </w:r>
          </w:p>
        </w:tc>
      </w:tr>
    </w:tbl>
    <w:p w14:paraId="5F9BE1BD" w14:textId="1C139E52" w:rsidR="6D3EB64B" w:rsidRDefault="6D3EB64B" w:rsidP="6D3EB64B">
      <w:pPr>
        <w:rPr>
          <w:rFonts w:ascii="Calibri" w:eastAsia="Calibri" w:hAnsi="Calibri" w:cs="Calibri"/>
          <w:color w:val="000000" w:themeColor="text1"/>
        </w:rPr>
      </w:pPr>
    </w:p>
    <w:p w14:paraId="4A6ACEEE" w14:textId="0008576A" w:rsidR="6D3EB64B" w:rsidRDefault="6D3EB64B" w:rsidP="6D3EB64B">
      <w:pPr>
        <w:rPr>
          <w:rFonts w:ascii="Calibri" w:eastAsia="Calibri" w:hAnsi="Calibri" w:cs="Calibri"/>
          <w:color w:val="000000" w:themeColor="text1"/>
        </w:rPr>
      </w:pPr>
    </w:p>
    <w:p w14:paraId="5B0E2CB6" w14:textId="77777777" w:rsidR="0073507F" w:rsidRDefault="0073507F" w:rsidP="6D3EB64B">
      <w:pPr>
        <w:rPr>
          <w:rFonts w:ascii="Calibri" w:eastAsia="Calibri" w:hAnsi="Calibri" w:cs="Calibri"/>
          <w:color w:val="000000" w:themeColor="text1"/>
        </w:rPr>
      </w:pPr>
    </w:p>
    <w:p w14:paraId="391FEEAC" w14:textId="49D62C97" w:rsidR="0073507F" w:rsidRDefault="0073507F" w:rsidP="0073507F">
      <w:pPr>
        <w:spacing w:after="0" w:line="240" w:lineRule="auto"/>
        <w:rPr>
          <w:rFonts w:ascii="Calibri" w:eastAsia="Calibri" w:hAnsi="Calibri" w:cs="Calibri"/>
          <w:color w:val="000000" w:themeColor="text1"/>
        </w:rPr>
      </w:pPr>
      <w:r w:rsidRPr="00AB2C8D">
        <w:rPr>
          <w:rFonts w:ascii="Calibri" w:eastAsia="Times New Roman" w:hAnsi="Calibri" w:cs="Calibri"/>
          <w:b/>
          <w:bCs/>
          <w:color w:val="000000"/>
          <w:sz w:val="20"/>
          <w:szCs w:val="20"/>
          <w:u w:val="single"/>
          <w:lang w:eastAsia="en-GB"/>
        </w:rPr>
        <w:t>ASTON MARTIN HOLDINGS LTD - RATIO CALCULATIONS  2019 to 2021 (3 years)</w:t>
      </w:r>
    </w:p>
    <w:tbl>
      <w:tblPr>
        <w:tblW w:w="9324" w:type="dxa"/>
        <w:tblLook w:val="04A0" w:firstRow="1" w:lastRow="0" w:firstColumn="1" w:lastColumn="0" w:noHBand="0" w:noVBand="1"/>
      </w:tblPr>
      <w:tblGrid>
        <w:gridCol w:w="419"/>
        <w:gridCol w:w="5600"/>
        <w:gridCol w:w="350"/>
        <w:gridCol w:w="830"/>
        <w:gridCol w:w="45"/>
        <w:gridCol w:w="1075"/>
        <w:gridCol w:w="45"/>
        <w:gridCol w:w="915"/>
        <w:gridCol w:w="45"/>
      </w:tblGrid>
      <w:tr w:rsidR="00A361CF" w:rsidRPr="00A361CF" w14:paraId="30B55633"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142BEAF7" w14:textId="77777777" w:rsidR="00A361CF" w:rsidRDefault="00A361CF" w:rsidP="00A361CF">
            <w:pPr>
              <w:spacing w:after="0" w:line="240" w:lineRule="auto"/>
              <w:rPr>
                <w:rFonts w:ascii="Times New Roman" w:eastAsia="Times New Roman" w:hAnsi="Times New Roman" w:cs="Times New Roman"/>
                <w:sz w:val="24"/>
                <w:szCs w:val="24"/>
                <w:lang w:eastAsia="en-GB"/>
              </w:rPr>
            </w:pPr>
          </w:p>
          <w:p w14:paraId="7F4C8E6B" w14:textId="1FE0F536" w:rsidR="0073507F" w:rsidRPr="00A361CF" w:rsidRDefault="0073507F" w:rsidP="00A361CF">
            <w:pPr>
              <w:spacing w:after="0" w:line="240" w:lineRule="auto"/>
              <w:rPr>
                <w:rFonts w:ascii="Times New Roman" w:eastAsia="Times New Roman" w:hAnsi="Times New Roman" w:cs="Times New Roman"/>
                <w:sz w:val="24"/>
                <w:szCs w:val="24"/>
                <w:lang w:eastAsia="en-GB"/>
              </w:rPr>
            </w:pPr>
          </w:p>
        </w:tc>
        <w:tc>
          <w:tcPr>
            <w:tcW w:w="5600" w:type="dxa"/>
            <w:tcBorders>
              <w:top w:val="nil"/>
              <w:left w:val="nil"/>
              <w:bottom w:val="nil"/>
              <w:right w:val="nil"/>
            </w:tcBorders>
            <w:shd w:val="clear" w:color="auto" w:fill="auto"/>
            <w:noWrap/>
            <w:vAlign w:val="bottom"/>
            <w:hideMark/>
          </w:tcPr>
          <w:p w14:paraId="37009F9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2DF78CD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CE21EC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59C3342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654A9A9F"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37B8B0A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2597B30C" w14:textId="77777777" w:rsidR="0073507F" w:rsidRDefault="0073507F" w:rsidP="00A361CF">
            <w:pPr>
              <w:spacing w:after="0" w:line="240" w:lineRule="auto"/>
              <w:jc w:val="center"/>
              <w:rPr>
                <w:rFonts w:ascii="Calibri" w:eastAsia="Times New Roman" w:hAnsi="Calibri" w:cs="Calibri"/>
                <w:b/>
                <w:bCs/>
                <w:color w:val="000000"/>
                <w:sz w:val="20"/>
                <w:szCs w:val="20"/>
                <w:lang w:eastAsia="en-GB"/>
              </w:rPr>
            </w:pPr>
          </w:p>
          <w:p w14:paraId="435EC7FF"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EBITDA % Return on Assets</w:t>
            </w:r>
          </w:p>
        </w:tc>
        <w:tc>
          <w:tcPr>
            <w:tcW w:w="1180" w:type="dxa"/>
            <w:gridSpan w:val="2"/>
            <w:tcBorders>
              <w:top w:val="nil"/>
              <w:left w:val="nil"/>
              <w:bottom w:val="nil"/>
              <w:right w:val="nil"/>
            </w:tcBorders>
            <w:shd w:val="clear" w:color="auto" w:fill="auto"/>
            <w:noWrap/>
            <w:vAlign w:val="bottom"/>
            <w:hideMark/>
          </w:tcPr>
          <w:p w14:paraId="262B51B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66EB79C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72ACABE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1366298E"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7A1AB57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6DB102D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3AC7570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C61E4A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228CECD3"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714F201"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154EA5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41AE65C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EBITDA x 100%</w:t>
            </w:r>
          </w:p>
        </w:tc>
        <w:tc>
          <w:tcPr>
            <w:tcW w:w="1180" w:type="dxa"/>
            <w:gridSpan w:val="2"/>
            <w:tcBorders>
              <w:top w:val="nil"/>
              <w:left w:val="nil"/>
              <w:bottom w:val="nil"/>
              <w:right w:val="nil"/>
            </w:tcBorders>
            <w:shd w:val="clear" w:color="auto" w:fill="auto"/>
            <w:noWrap/>
            <w:vAlign w:val="bottom"/>
            <w:hideMark/>
          </w:tcPr>
          <w:p w14:paraId="5A82F47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137.9</w:t>
            </w:r>
          </w:p>
        </w:tc>
        <w:tc>
          <w:tcPr>
            <w:tcW w:w="1120" w:type="dxa"/>
            <w:gridSpan w:val="2"/>
            <w:tcBorders>
              <w:top w:val="nil"/>
              <w:left w:val="nil"/>
              <w:bottom w:val="nil"/>
              <w:right w:val="nil"/>
            </w:tcBorders>
            <w:shd w:val="clear" w:color="auto" w:fill="auto"/>
            <w:noWrap/>
            <w:vAlign w:val="bottom"/>
            <w:hideMark/>
          </w:tcPr>
          <w:p w14:paraId="6CE907B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-70.1</w:t>
            </w:r>
          </w:p>
        </w:tc>
        <w:tc>
          <w:tcPr>
            <w:tcW w:w="960" w:type="dxa"/>
            <w:gridSpan w:val="2"/>
            <w:tcBorders>
              <w:top w:val="nil"/>
              <w:left w:val="nil"/>
              <w:bottom w:val="nil"/>
              <w:right w:val="nil"/>
            </w:tcBorders>
            <w:shd w:val="clear" w:color="auto" w:fill="auto"/>
            <w:noWrap/>
            <w:vAlign w:val="bottom"/>
            <w:hideMark/>
          </w:tcPr>
          <w:p w14:paraId="42D8ED5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118.9</w:t>
            </w:r>
          </w:p>
        </w:tc>
      </w:tr>
      <w:tr w:rsidR="00A361CF" w:rsidRPr="00A361CF" w14:paraId="1D122A22"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1994BEF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7A6F092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Assets</w:t>
            </w:r>
          </w:p>
        </w:tc>
        <w:tc>
          <w:tcPr>
            <w:tcW w:w="1180" w:type="dxa"/>
            <w:gridSpan w:val="2"/>
            <w:tcBorders>
              <w:top w:val="nil"/>
              <w:left w:val="nil"/>
              <w:bottom w:val="nil"/>
              <w:right w:val="nil"/>
            </w:tcBorders>
            <w:shd w:val="clear" w:color="auto" w:fill="auto"/>
            <w:noWrap/>
            <w:vAlign w:val="bottom"/>
            <w:hideMark/>
          </w:tcPr>
          <w:p w14:paraId="10C028C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2842.5</w:t>
            </w:r>
          </w:p>
        </w:tc>
        <w:tc>
          <w:tcPr>
            <w:tcW w:w="1120" w:type="dxa"/>
            <w:gridSpan w:val="2"/>
            <w:tcBorders>
              <w:top w:val="nil"/>
              <w:left w:val="nil"/>
              <w:bottom w:val="nil"/>
              <w:right w:val="nil"/>
            </w:tcBorders>
            <w:shd w:val="clear" w:color="auto" w:fill="auto"/>
            <w:noWrap/>
            <w:vAlign w:val="bottom"/>
            <w:hideMark/>
          </w:tcPr>
          <w:p w14:paraId="36E9A99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2794.8</w:t>
            </w:r>
          </w:p>
        </w:tc>
        <w:tc>
          <w:tcPr>
            <w:tcW w:w="960" w:type="dxa"/>
            <w:gridSpan w:val="2"/>
            <w:tcBorders>
              <w:top w:val="nil"/>
              <w:left w:val="nil"/>
              <w:bottom w:val="nil"/>
              <w:right w:val="nil"/>
            </w:tcBorders>
            <w:shd w:val="clear" w:color="auto" w:fill="auto"/>
            <w:noWrap/>
            <w:vAlign w:val="bottom"/>
            <w:hideMark/>
          </w:tcPr>
          <w:p w14:paraId="3D1D033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2231.1</w:t>
            </w:r>
          </w:p>
        </w:tc>
      </w:tr>
      <w:tr w:rsidR="00A361CF" w:rsidRPr="00A361CF" w14:paraId="3185A0AD"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CE70E33"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2718AF0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78FFFDC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FB7B1C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52B19B3"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96D72E8" w14:textId="77777777" w:rsidTr="0073507F">
        <w:trPr>
          <w:gridAfter w:val="1"/>
          <w:wAfter w:w="45" w:type="dxa"/>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71CC9C"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6</w:t>
            </w:r>
          </w:p>
        </w:tc>
        <w:tc>
          <w:tcPr>
            <w:tcW w:w="5600" w:type="dxa"/>
            <w:tcBorders>
              <w:top w:val="single" w:sz="4" w:space="0" w:color="auto"/>
              <w:left w:val="nil"/>
              <w:bottom w:val="single" w:sz="4" w:space="0" w:color="auto"/>
              <w:right w:val="single" w:sz="4" w:space="0" w:color="auto"/>
            </w:tcBorders>
            <w:shd w:val="clear" w:color="auto" w:fill="auto"/>
            <w:noWrap/>
            <w:vAlign w:val="bottom"/>
            <w:hideMark/>
          </w:tcPr>
          <w:p w14:paraId="1EC36C9E"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EBITDA Return on Assets Percentage</w:t>
            </w:r>
          </w:p>
        </w:tc>
        <w:tc>
          <w:tcPr>
            <w:tcW w:w="118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4A2AAB43"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4.85%</w:t>
            </w:r>
          </w:p>
        </w:tc>
        <w:tc>
          <w:tcPr>
            <w:tcW w:w="1120" w:type="dxa"/>
            <w:gridSpan w:val="2"/>
            <w:tcBorders>
              <w:top w:val="single" w:sz="4" w:space="0" w:color="auto"/>
              <w:left w:val="nil"/>
              <w:bottom w:val="single" w:sz="4" w:space="0" w:color="auto"/>
              <w:right w:val="single" w:sz="4" w:space="0" w:color="auto"/>
            </w:tcBorders>
            <w:shd w:val="clear" w:color="000000" w:fill="FCE4D6"/>
            <w:noWrap/>
            <w:vAlign w:val="bottom"/>
            <w:hideMark/>
          </w:tcPr>
          <w:p w14:paraId="61F8F63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-2.51%</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270A83C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5.33%</w:t>
            </w:r>
          </w:p>
        </w:tc>
      </w:tr>
      <w:tr w:rsidR="00A361CF" w:rsidRPr="00A361CF" w14:paraId="5C8B4954"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6DE086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1EF5DE6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596277C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3199DD0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76C0C67B"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B7B27EA"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6689040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316CDC6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384F72E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5AF7861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64E11F5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61155C6D"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2EB70C68"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3F63C7CD"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Return on Equity</w:t>
            </w:r>
          </w:p>
        </w:tc>
        <w:tc>
          <w:tcPr>
            <w:tcW w:w="1180" w:type="dxa"/>
            <w:gridSpan w:val="2"/>
            <w:tcBorders>
              <w:top w:val="nil"/>
              <w:left w:val="nil"/>
              <w:bottom w:val="nil"/>
              <w:right w:val="nil"/>
            </w:tcBorders>
            <w:shd w:val="clear" w:color="auto" w:fill="auto"/>
            <w:noWrap/>
            <w:vAlign w:val="bottom"/>
            <w:hideMark/>
          </w:tcPr>
          <w:p w14:paraId="71F4CB0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571DB74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2A0D738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5B6CC479"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0B87BAC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7114734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38982E1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412DB99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236CD40"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32371728"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76BA46F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6340AED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Net Income x 100%</w:t>
            </w:r>
          </w:p>
        </w:tc>
        <w:tc>
          <w:tcPr>
            <w:tcW w:w="1180" w:type="dxa"/>
            <w:gridSpan w:val="2"/>
            <w:tcBorders>
              <w:top w:val="nil"/>
              <w:left w:val="nil"/>
              <w:bottom w:val="nil"/>
              <w:right w:val="nil"/>
            </w:tcBorders>
            <w:shd w:val="clear" w:color="auto" w:fill="auto"/>
            <w:noWrap/>
            <w:vAlign w:val="bottom"/>
            <w:hideMark/>
          </w:tcPr>
          <w:p w14:paraId="437F805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-189.3</w:t>
            </w:r>
          </w:p>
        </w:tc>
        <w:tc>
          <w:tcPr>
            <w:tcW w:w="1120" w:type="dxa"/>
            <w:gridSpan w:val="2"/>
            <w:tcBorders>
              <w:top w:val="nil"/>
              <w:left w:val="nil"/>
              <w:bottom w:val="nil"/>
              <w:right w:val="nil"/>
            </w:tcBorders>
            <w:shd w:val="clear" w:color="auto" w:fill="auto"/>
            <w:noWrap/>
            <w:vAlign w:val="bottom"/>
            <w:hideMark/>
          </w:tcPr>
          <w:p w14:paraId="0D6B391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-410.5</w:t>
            </w:r>
          </w:p>
        </w:tc>
        <w:tc>
          <w:tcPr>
            <w:tcW w:w="960" w:type="dxa"/>
            <w:gridSpan w:val="2"/>
            <w:tcBorders>
              <w:top w:val="nil"/>
              <w:left w:val="nil"/>
              <w:bottom w:val="nil"/>
              <w:right w:val="nil"/>
            </w:tcBorders>
            <w:shd w:val="clear" w:color="auto" w:fill="auto"/>
            <w:noWrap/>
            <w:vAlign w:val="bottom"/>
            <w:hideMark/>
          </w:tcPr>
          <w:p w14:paraId="657AC72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-117.6</w:t>
            </w:r>
          </w:p>
        </w:tc>
      </w:tr>
      <w:tr w:rsidR="00A361CF" w:rsidRPr="00A361CF" w14:paraId="183F3A85"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06803A4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0048094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Shareholders' Equity</w:t>
            </w:r>
          </w:p>
        </w:tc>
        <w:tc>
          <w:tcPr>
            <w:tcW w:w="1180" w:type="dxa"/>
            <w:gridSpan w:val="2"/>
            <w:tcBorders>
              <w:top w:val="nil"/>
              <w:left w:val="nil"/>
              <w:bottom w:val="nil"/>
              <w:right w:val="nil"/>
            </w:tcBorders>
            <w:shd w:val="clear" w:color="auto" w:fill="auto"/>
            <w:noWrap/>
            <w:vAlign w:val="bottom"/>
            <w:hideMark/>
          </w:tcPr>
          <w:p w14:paraId="6699136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660.4</w:t>
            </w:r>
          </w:p>
        </w:tc>
        <w:tc>
          <w:tcPr>
            <w:tcW w:w="1120" w:type="dxa"/>
            <w:gridSpan w:val="2"/>
            <w:tcBorders>
              <w:top w:val="nil"/>
              <w:left w:val="nil"/>
              <w:bottom w:val="nil"/>
              <w:right w:val="nil"/>
            </w:tcBorders>
            <w:shd w:val="clear" w:color="auto" w:fill="auto"/>
            <w:noWrap/>
            <w:vAlign w:val="bottom"/>
            <w:hideMark/>
          </w:tcPr>
          <w:p w14:paraId="198A471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804.1</w:t>
            </w:r>
          </w:p>
        </w:tc>
        <w:tc>
          <w:tcPr>
            <w:tcW w:w="960" w:type="dxa"/>
            <w:gridSpan w:val="2"/>
            <w:tcBorders>
              <w:top w:val="nil"/>
              <w:left w:val="nil"/>
              <w:bottom w:val="nil"/>
              <w:right w:val="nil"/>
            </w:tcBorders>
            <w:shd w:val="clear" w:color="auto" w:fill="auto"/>
            <w:noWrap/>
            <w:vAlign w:val="bottom"/>
            <w:hideMark/>
          </w:tcPr>
          <w:p w14:paraId="68D6EC9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329.6</w:t>
            </w:r>
          </w:p>
        </w:tc>
      </w:tr>
      <w:tr w:rsidR="00A361CF" w:rsidRPr="00A361CF" w14:paraId="2E0C4782"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4CB4B5B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4BAD010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470E576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C3C7BD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0767A40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5A15CD4" w14:textId="77777777" w:rsidTr="0073507F">
        <w:trPr>
          <w:gridAfter w:val="1"/>
          <w:wAfter w:w="45" w:type="dxa"/>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200B16"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7</w:t>
            </w:r>
          </w:p>
        </w:tc>
        <w:tc>
          <w:tcPr>
            <w:tcW w:w="5600" w:type="dxa"/>
            <w:tcBorders>
              <w:top w:val="single" w:sz="4" w:space="0" w:color="auto"/>
              <w:left w:val="nil"/>
              <w:bottom w:val="single" w:sz="4" w:space="0" w:color="auto"/>
              <w:right w:val="single" w:sz="4" w:space="0" w:color="auto"/>
            </w:tcBorders>
            <w:shd w:val="clear" w:color="auto" w:fill="auto"/>
            <w:noWrap/>
            <w:vAlign w:val="bottom"/>
            <w:hideMark/>
          </w:tcPr>
          <w:p w14:paraId="7056220E"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 xml:space="preserve">Return on Equity Percentage </w:t>
            </w:r>
          </w:p>
        </w:tc>
        <w:tc>
          <w:tcPr>
            <w:tcW w:w="1180" w:type="dxa"/>
            <w:gridSpan w:val="2"/>
            <w:tcBorders>
              <w:top w:val="single" w:sz="4" w:space="0" w:color="auto"/>
              <w:left w:val="nil"/>
              <w:bottom w:val="single" w:sz="4" w:space="0" w:color="auto"/>
              <w:right w:val="single" w:sz="4" w:space="0" w:color="auto"/>
            </w:tcBorders>
            <w:shd w:val="clear" w:color="000000" w:fill="FCE4D6"/>
            <w:noWrap/>
            <w:vAlign w:val="bottom"/>
            <w:hideMark/>
          </w:tcPr>
          <w:p w14:paraId="336575D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-28.66%</w:t>
            </w:r>
          </w:p>
        </w:tc>
        <w:tc>
          <w:tcPr>
            <w:tcW w:w="1120" w:type="dxa"/>
            <w:gridSpan w:val="2"/>
            <w:tcBorders>
              <w:top w:val="single" w:sz="4" w:space="0" w:color="auto"/>
              <w:left w:val="nil"/>
              <w:bottom w:val="single" w:sz="4" w:space="0" w:color="auto"/>
              <w:right w:val="single" w:sz="4" w:space="0" w:color="auto"/>
            </w:tcBorders>
            <w:shd w:val="clear" w:color="000000" w:fill="FCE4D6"/>
            <w:noWrap/>
            <w:vAlign w:val="bottom"/>
            <w:hideMark/>
          </w:tcPr>
          <w:p w14:paraId="56666B3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-51.05%</w:t>
            </w:r>
          </w:p>
        </w:tc>
        <w:tc>
          <w:tcPr>
            <w:tcW w:w="960" w:type="dxa"/>
            <w:gridSpan w:val="2"/>
            <w:tcBorders>
              <w:top w:val="single" w:sz="4" w:space="0" w:color="auto"/>
              <w:left w:val="nil"/>
              <w:bottom w:val="single" w:sz="4" w:space="0" w:color="auto"/>
              <w:right w:val="single" w:sz="4" w:space="0" w:color="auto"/>
            </w:tcBorders>
            <w:shd w:val="clear" w:color="000000" w:fill="FCE4D6"/>
            <w:noWrap/>
            <w:vAlign w:val="bottom"/>
            <w:hideMark/>
          </w:tcPr>
          <w:p w14:paraId="322CA42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-35.68%</w:t>
            </w:r>
          </w:p>
        </w:tc>
      </w:tr>
      <w:tr w:rsidR="00A361CF" w:rsidRPr="00A361CF" w14:paraId="51994C82"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4A731EDC"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3D73C2D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1D06F26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2E8D03C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72D7886A"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437AC3E7"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0118F6C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35BF610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09F9CFE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4FAA13C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4AC6B0D5"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780758FC"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7BA5DA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23A8406A"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Current Ratio</w:t>
            </w:r>
          </w:p>
        </w:tc>
        <w:tc>
          <w:tcPr>
            <w:tcW w:w="1180" w:type="dxa"/>
            <w:gridSpan w:val="2"/>
            <w:tcBorders>
              <w:top w:val="nil"/>
              <w:left w:val="nil"/>
              <w:bottom w:val="nil"/>
              <w:right w:val="nil"/>
            </w:tcBorders>
            <w:shd w:val="clear" w:color="auto" w:fill="auto"/>
            <w:noWrap/>
            <w:vAlign w:val="bottom"/>
            <w:hideMark/>
          </w:tcPr>
          <w:p w14:paraId="08BBED7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2C90ADB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4566138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1B747187"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4CEDB7E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56B5ED0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1C529E3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288BEC0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AE9EEA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26642EB"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D34161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3241611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Current Assets</w:t>
            </w:r>
          </w:p>
        </w:tc>
        <w:tc>
          <w:tcPr>
            <w:tcW w:w="1180" w:type="dxa"/>
            <w:gridSpan w:val="2"/>
            <w:tcBorders>
              <w:top w:val="nil"/>
              <w:left w:val="nil"/>
              <w:bottom w:val="nil"/>
              <w:right w:val="nil"/>
            </w:tcBorders>
            <w:shd w:val="clear" w:color="auto" w:fill="auto"/>
            <w:noWrap/>
            <w:vAlign w:val="bottom"/>
            <w:hideMark/>
          </w:tcPr>
          <w:p w14:paraId="1136107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867.9</w:t>
            </w:r>
          </w:p>
        </w:tc>
        <w:tc>
          <w:tcPr>
            <w:tcW w:w="1120" w:type="dxa"/>
            <w:gridSpan w:val="2"/>
            <w:tcBorders>
              <w:top w:val="nil"/>
              <w:left w:val="nil"/>
              <w:bottom w:val="nil"/>
              <w:right w:val="nil"/>
            </w:tcBorders>
            <w:shd w:val="clear" w:color="auto" w:fill="auto"/>
            <w:noWrap/>
            <w:vAlign w:val="bottom"/>
            <w:hideMark/>
          </w:tcPr>
          <w:p w14:paraId="6223452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889.5</w:t>
            </w:r>
          </w:p>
        </w:tc>
        <w:tc>
          <w:tcPr>
            <w:tcW w:w="960" w:type="dxa"/>
            <w:gridSpan w:val="2"/>
            <w:tcBorders>
              <w:top w:val="nil"/>
              <w:left w:val="nil"/>
              <w:bottom w:val="nil"/>
              <w:right w:val="nil"/>
            </w:tcBorders>
            <w:shd w:val="clear" w:color="auto" w:fill="auto"/>
            <w:noWrap/>
            <w:vAlign w:val="bottom"/>
            <w:hideMark/>
          </w:tcPr>
          <w:p w14:paraId="7E21D14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567.5</w:t>
            </w:r>
          </w:p>
        </w:tc>
      </w:tr>
      <w:tr w:rsidR="00A361CF" w:rsidRPr="00A361CF" w14:paraId="0AB25A7C"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8221F2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301185F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Current Liabilities</w:t>
            </w:r>
          </w:p>
        </w:tc>
        <w:tc>
          <w:tcPr>
            <w:tcW w:w="1180" w:type="dxa"/>
            <w:gridSpan w:val="2"/>
            <w:tcBorders>
              <w:top w:val="nil"/>
              <w:left w:val="nil"/>
              <w:bottom w:val="nil"/>
              <w:right w:val="nil"/>
            </w:tcBorders>
            <w:shd w:val="clear" w:color="auto" w:fill="auto"/>
            <w:noWrap/>
            <w:vAlign w:val="bottom"/>
            <w:hideMark/>
          </w:tcPr>
          <w:p w14:paraId="2B4D1F1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905.2</w:t>
            </w:r>
          </w:p>
        </w:tc>
        <w:tc>
          <w:tcPr>
            <w:tcW w:w="1120" w:type="dxa"/>
            <w:gridSpan w:val="2"/>
            <w:tcBorders>
              <w:top w:val="nil"/>
              <w:left w:val="nil"/>
              <w:bottom w:val="nil"/>
              <w:right w:val="nil"/>
            </w:tcBorders>
            <w:shd w:val="clear" w:color="auto" w:fill="auto"/>
            <w:noWrap/>
            <w:vAlign w:val="bottom"/>
            <w:hideMark/>
          </w:tcPr>
          <w:p w14:paraId="48AD637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808.3</w:t>
            </w:r>
          </w:p>
        </w:tc>
        <w:tc>
          <w:tcPr>
            <w:tcW w:w="960" w:type="dxa"/>
            <w:gridSpan w:val="2"/>
            <w:tcBorders>
              <w:top w:val="nil"/>
              <w:left w:val="nil"/>
              <w:bottom w:val="nil"/>
              <w:right w:val="nil"/>
            </w:tcBorders>
            <w:shd w:val="clear" w:color="auto" w:fill="auto"/>
            <w:noWrap/>
            <w:vAlign w:val="bottom"/>
            <w:hideMark/>
          </w:tcPr>
          <w:p w14:paraId="3ECE482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890.2</w:t>
            </w:r>
          </w:p>
        </w:tc>
      </w:tr>
      <w:tr w:rsidR="00A361CF" w:rsidRPr="00A361CF" w14:paraId="1ACCBBC3"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7745EC8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508F308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2045D49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31FA1A2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62CAD7F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1B640DD" w14:textId="77777777" w:rsidTr="0073507F">
        <w:trPr>
          <w:gridAfter w:val="1"/>
          <w:wAfter w:w="45" w:type="dxa"/>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4BD9D1"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w:t>
            </w:r>
          </w:p>
        </w:tc>
        <w:tc>
          <w:tcPr>
            <w:tcW w:w="5600" w:type="dxa"/>
            <w:tcBorders>
              <w:top w:val="single" w:sz="4" w:space="0" w:color="auto"/>
              <w:left w:val="nil"/>
              <w:bottom w:val="single" w:sz="4" w:space="0" w:color="auto"/>
              <w:right w:val="single" w:sz="4" w:space="0" w:color="auto"/>
            </w:tcBorders>
            <w:shd w:val="clear" w:color="auto" w:fill="auto"/>
            <w:noWrap/>
            <w:vAlign w:val="bottom"/>
            <w:hideMark/>
          </w:tcPr>
          <w:p w14:paraId="67F006AF"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 xml:space="preserve">Current Ratio </w:t>
            </w:r>
          </w:p>
        </w:tc>
        <w:tc>
          <w:tcPr>
            <w:tcW w:w="118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7E3D46A8"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0.96</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0FCC882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1.1</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348F1F73"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0.64</w:t>
            </w:r>
          </w:p>
        </w:tc>
      </w:tr>
      <w:tr w:rsidR="00A361CF" w:rsidRPr="00A361CF" w14:paraId="01F3464A"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77E34010"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641DA7A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60B5F65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3FB8D37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3095E808"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9D81F8A"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6CDC2E0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55DE44F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4B07BB4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2A8519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0E4EA33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2021F483"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733EE89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4F6CF13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Quick Ratio</w:t>
            </w:r>
          </w:p>
        </w:tc>
        <w:tc>
          <w:tcPr>
            <w:tcW w:w="1180" w:type="dxa"/>
            <w:gridSpan w:val="2"/>
            <w:tcBorders>
              <w:top w:val="nil"/>
              <w:left w:val="nil"/>
              <w:bottom w:val="nil"/>
              <w:right w:val="nil"/>
            </w:tcBorders>
            <w:shd w:val="clear" w:color="auto" w:fill="auto"/>
            <w:noWrap/>
            <w:vAlign w:val="bottom"/>
            <w:hideMark/>
          </w:tcPr>
          <w:p w14:paraId="216DE20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0F842E3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5CED8C0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7732CB38"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1AE04C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1BF93EA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43E62F2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70AC409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B35BA25"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6E045265"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72AB22D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2A65A4D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Current Assets Less Stock (Inventories)</w:t>
            </w:r>
          </w:p>
        </w:tc>
        <w:tc>
          <w:tcPr>
            <w:tcW w:w="1180" w:type="dxa"/>
            <w:gridSpan w:val="2"/>
            <w:tcBorders>
              <w:top w:val="nil"/>
              <w:left w:val="nil"/>
              <w:bottom w:val="nil"/>
              <w:right w:val="nil"/>
            </w:tcBorders>
            <w:shd w:val="clear" w:color="auto" w:fill="auto"/>
            <w:noWrap/>
            <w:vAlign w:val="bottom"/>
            <w:hideMark/>
          </w:tcPr>
          <w:p w14:paraId="1871D89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671.1</w:t>
            </w:r>
          </w:p>
        </w:tc>
        <w:tc>
          <w:tcPr>
            <w:tcW w:w="1120" w:type="dxa"/>
            <w:gridSpan w:val="2"/>
            <w:tcBorders>
              <w:top w:val="nil"/>
              <w:left w:val="nil"/>
              <w:bottom w:val="nil"/>
              <w:right w:val="nil"/>
            </w:tcBorders>
            <w:shd w:val="clear" w:color="auto" w:fill="auto"/>
            <w:noWrap/>
            <w:vAlign w:val="bottom"/>
            <w:hideMark/>
          </w:tcPr>
          <w:p w14:paraId="628F2F2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682.1</w:t>
            </w:r>
          </w:p>
        </w:tc>
        <w:tc>
          <w:tcPr>
            <w:tcW w:w="960" w:type="dxa"/>
            <w:gridSpan w:val="2"/>
            <w:tcBorders>
              <w:top w:val="nil"/>
              <w:left w:val="nil"/>
              <w:bottom w:val="nil"/>
              <w:right w:val="nil"/>
            </w:tcBorders>
            <w:shd w:val="clear" w:color="auto" w:fill="auto"/>
            <w:noWrap/>
            <w:vAlign w:val="bottom"/>
            <w:hideMark/>
          </w:tcPr>
          <w:p w14:paraId="2A111FF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366.8</w:t>
            </w:r>
          </w:p>
        </w:tc>
      </w:tr>
      <w:tr w:rsidR="00A361CF" w:rsidRPr="00A361CF" w14:paraId="4815B475"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36D9DCB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5EF4FAD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Current Liabilities</w:t>
            </w:r>
          </w:p>
        </w:tc>
        <w:tc>
          <w:tcPr>
            <w:tcW w:w="1180" w:type="dxa"/>
            <w:gridSpan w:val="2"/>
            <w:tcBorders>
              <w:top w:val="nil"/>
              <w:left w:val="nil"/>
              <w:bottom w:val="nil"/>
              <w:right w:val="nil"/>
            </w:tcBorders>
            <w:shd w:val="clear" w:color="auto" w:fill="auto"/>
            <w:noWrap/>
            <w:vAlign w:val="bottom"/>
            <w:hideMark/>
          </w:tcPr>
          <w:p w14:paraId="77492529"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905.2</w:t>
            </w:r>
          </w:p>
        </w:tc>
        <w:tc>
          <w:tcPr>
            <w:tcW w:w="1120" w:type="dxa"/>
            <w:gridSpan w:val="2"/>
            <w:tcBorders>
              <w:top w:val="nil"/>
              <w:left w:val="nil"/>
              <w:bottom w:val="nil"/>
              <w:right w:val="nil"/>
            </w:tcBorders>
            <w:shd w:val="clear" w:color="auto" w:fill="auto"/>
            <w:noWrap/>
            <w:vAlign w:val="bottom"/>
            <w:hideMark/>
          </w:tcPr>
          <w:p w14:paraId="4C23822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808.3</w:t>
            </w:r>
          </w:p>
        </w:tc>
        <w:tc>
          <w:tcPr>
            <w:tcW w:w="960" w:type="dxa"/>
            <w:gridSpan w:val="2"/>
            <w:tcBorders>
              <w:top w:val="nil"/>
              <w:left w:val="nil"/>
              <w:bottom w:val="nil"/>
              <w:right w:val="nil"/>
            </w:tcBorders>
            <w:shd w:val="clear" w:color="auto" w:fill="auto"/>
            <w:noWrap/>
            <w:vAlign w:val="bottom"/>
            <w:hideMark/>
          </w:tcPr>
          <w:p w14:paraId="0945713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890.2</w:t>
            </w:r>
          </w:p>
        </w:tc>
      </w:tr>
      <w:tr w:rsidR="00A361CF" w:rsidRPr="00A361CF" w14:paraId="074B28DA"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03B8C60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6292702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26E5986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51149A8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E78471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393C40CD" w14:textId="77777777" w:rsidTr="0073507F">
        <w:trPr>
          <w:gridAfter w:val="1"/>
          <w:wAfter w:w="45" w:type="dxa"/>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6AE638"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9</w:t>
            </w:r>
          </w:p>
        </w:tc>
        <w:tc>
          <w:tcPr>
            <w:tcW w:w="5600" w:type="dxa"/>
            <w:tcBorders>
              <w:top w:val="single" w:sz="4" w:space="0" w:color="auto"/>
              <w:left w:val="nil"/>
              <w:bottom w:val="single" w:sz="4" w:space="0" w:color="auto"/>
              <w:right w:val="single" w:sz="4" w:space="0" w:color="auto"/>
            </w:tcBorders>
            <w:shd w:val="clear" w:color="auto" w:fill="auto"/>
            <w:noWrap/>
            <w:vAlign w:val="bottom"/>
            <w:hideMark/>
          </w:tcPr>
          <w:p w14:paraId="450EE6EF"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 xml:space="preserve">Quick Ratio </w:t>
            </w:r>
          </w:p>
        </w:tc>
        <w:tc>
          <w:tcPr>
            <w:tcW w:w="118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67BE2A93"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0.74</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05743BBF"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0.84</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5724C8E8"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0.41</w:t>
            </w:r>
          </w:p>
        </w:tc>
      </w:tr>
      <w:tr w:rsidR="00A361CF" w:rsidRPr="00A361CF" w14:paraId="3B08C662"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78ECE1D"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1C861FF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608593C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7F844BC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15D155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19D5FF40"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AAF694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1666B42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Cash Ratio</w:t>
            </w:r>
          </w:p>
        </w:tc>
        <w:tc>
          <w:tcPr>
            <w:tcW w:w="1180" w:type="dxa"/>
            <w:gridSpan w:val="2"/>
            <w:tcBorders>
              <w:top w:val="nil"/>
              <w:left w:val="nil"/>
              <w:bottom w:val="nil"/>
              <w:right w:val="nil"/>
            </w:tcBorders>
            <w:shd w:val="clear" w:color="auto" w:fill="auto"/>
            <w:noWrap/>
            <w:vAlign w:val="bottom"/>
            <w:hideMark/>
          </w:tcPr>
          <w:p w14:paraId="7D1A944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7FB6A27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1C84484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725F8DCB"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41ADEED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48B0E84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45CCBA4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5A12E34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21A5D81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3C43B4C6"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56CFA1B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600" w:type="dxa"/>
            <w:tcBorders>
              <w:top w:val="nil"/>
              <w:left w:val="nil"/>
              <w:bottom w:val="nil"/>
              <w:right w:val="nil"/>
            </w:tcBorders>
            <w:shd w:val="clear" w:color="auto" w:fill="auto"/>
            <w:noWrap/>
            <w:vAlign w:val="bottom"/>
            <w:hideMark/>
          </w:tcPr>
          <w:p w14:paraId="767C358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Free Cash and Cash Equivalents*</w:t>
            </w:r>
          </w:p>
        </w:tc>
        <w:tc>
          <w:tcPr>
            <w:tcW w:w="1180" w:type="dxa"/>
            <w:gridSpan w:val="2"/>
            <w:tcBorders>
              <w:top w:val="nil"/>
              <w:left w:val="nil"/>
              <w:bottom w:val="nil"/>
              <w:right w:val="nil"/>
            </w:tcBorders>
            <w:shd w:val="clear" w:color="auto" w:fill="auto"/>
            <w:noWrap/>
            <w:vAlign w:val="bottom"/>
            <w:hideMark/>
          </w:tcPr>
          <w:p w14:paraId="161DAD5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385.9</w:t>
            </w:r>
          </w:p>
        </w:tc>
        <w:tc>
          <w:tcPr>
            <w:tcW w:w="1120" w:type="dxa"/>
            <w:gridSpan w:val="2"/>
            <w:tcBorders>
              <w:top w:val="nil"/>
              <w:left w:val="nil"/>
              <w:bottom w:val="nil"/>
              <w:right w:val="nil"/>
            </w:tcBorders>
            <w:shd w:val="clear" w:color="auto" w:fill="auto"/>
            <w:noWrap/>
            <w:vAlign w:val="bottom"/>
            <w:hideMark/>
          </w:tcPr>
          <w:p w14:paraId="0B90D3C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453.6</w:t>
            </w:r>
          </w:p>
        </w:tc>
        <w:tc>
          <w:tcPr>
            <w:tcW w:w="960" w:type="dxa"/>
            <w:gridSpan w:val="2"/>
            <w:tcBorders>
              <w:top w:val="nil"/>
              <w:left w:val="nil"/>
              <w:bottom w:val="nil"/>
              <w:right w:val="nil"/>
            </w:tcBorders>
            <w:shd w:val="clear" w:color="auto" w:fill="auto"/>
            <w:noWrap/>
            <w:vAlign w:val="bottom"/>
            <w:hideMark/>
          </w:tcPr>
          <w:p w14:paraId="4E1950F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71.6</w:t>
            </w:r>
          </w:p>
        </w:tc>
      </w:tr>
      <w:tr w:rsidR="00A361CF" w:rsidRPr="00A361CF" w14:paraId="14E7C64C"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0C7AEDB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62FF556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Current Liabilities</w:t>
            </w:r>
          </w:p>
        </w:tc>
        <w:tc>
          <w:tcPr>
            <w:tcW w:w="1180" w:type="dxa"/>
            <w:gridSpan w:val="2"/>
            <w:tcBorders>
              <w:top w:val="nil"/>
              <w:left w:val="nil"/>
              <w:bottom w:val="nil"/>
              <w:right w:val="nil"/>
            </w:tcBorders>
            <w:shd w:val="clear" w:color="auto" w:fill="auto"/>
            <w:noWrap/>
            <w:vAlign w:val="bottom"/>
            <w:hideMark/>
          </w:tcPr>
          <w:p w14:paraId="787B75C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905.2</w:t>
            </w:r>
          </w:p>
        </w:tc>
        <w:tc>
          <w:tcPr>
            <w:tcW w:w="1120" w:type="dxa"/>
            <w:gridSpan w:val="2"/>
            <w:tcBorders>
              <w:top w:val="nil"/>
              <w:left w:val="nil"/>
              <w:bottom w:val="nil"/>
              <w:right w:val="nil"/>
            </w:tcBorders>
            <w:shd w:val="clear" w:color="auto" w:fill="auto"/>
            <w:noWrap/>
            <w:vAlign w:val="bottom"/>
            <w:hideMark/>
          </w:tcPr>
          <w:p w14:paraId="33614F3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808.3</w:t>
            </w:r>
          </w:p>
        </w:tc>
        <w:tc>
          <w:tcPr>
            <w:tcW w:w="960" w:type="dxa"/>
            <w:gridSpan w:val="2"/>
            <w:tcBorders>
              <w:top w:val="nil"/>
              <w:left w:val="nil"/>
              <w:bottom w:val="nil"/>
              <w:right w:val="nil"/>
            </w:tcBorders>
            <w:shd w:val="clear" w:color="auto" w:fill="auto"/>
            <w:noWrap/>
            <w:vAlign w:val="bottom"/>
            <w:hideMark/>
          </w:tcPr>
          <w:p w14:paraId="3728022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890.2</w:t>
            </w:r>
          </w:p>
        </w:tc>
      </w:tr>
      <w:tr w:rsidR="00A361CF" w:rsidRPr="00A361CF" w14:paraId="4BE4AE90"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1AAF1E9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4B3442B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80" w:type="dxa"/>
            <w:gridSpan w:val="2"/>
            <w:tcBorders>
              <w:top w:val="nil"/>
              <w:left w:val="nil"/>
              <w:bottom w:val="nil"/>
              <w:right w:val="nil"/>
            </w:tcBorders>
            <w:shd w:val="clear" w:color="auto" w:fill="auto"/>
            <w:noWrap/>
            <w:vAlign w:val="bottom"/>
            <w:hideMark/>
          </w:tcPr>
          <w:p w14:paraId="2EEF6BF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320E09F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5FA1591E"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0B66D168" w14:textId="77777777" w:rsidTr="0073507F">
        <w:trPr>
          <w:gridAfter w:val="1"/>
          <w:wAfter w:w="45" w:type="dxa"/>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099BE9"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10</w:t>
            </w:r>
          </w:p>
        </w:tc>
        <w:tc>
          <w:tcPr>
            <w:tcW w:w="5600" w:type="dxa"/>
            <w:tcBorders>
              <w:top w:val="single" w:sz="4" w:space="0" w:color="auto"/>
              <w:left w:val="nil"/>
              <w:bottom w:val="single" w:sz="4" w:space="0" w:color="auto"/>
              <w:right w:val="single" w:sz="4" w:space="0" w:color="auto"/>
            </w:tcBorders>
            <w:shd w:val="clear" w:color="auto" w:fill="auto"/>
            <w:noWrap/>
            <w:vAlign w:val="bottom"/>
            <w:hideMark/>
          </w:tcPr>
          <w:p w14:paraId="4EAF0C1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Cash Ratio</w:t>
            </w:r>
          </w:p>
        </w:tc>
        <w:tc>
          <w:tcPr>
            <w:tcW w:w="118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2C6EBA8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0.43</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2EF6720F"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0.56</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3F8278F3"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0.08</w:t>
            </w:r>
          </w:p>
        </w:tc>
      </w:tr>
      <w:tr w:rsidR="00A361CF" w:rsidRPr="00A361CF" w14:paraId="1D268D86"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027C2F1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7126601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 Cash Equivalents adjusted by locked funds see Notes to Accounts:</w:t>
            </w:r>
          </w:p>
        </w:tc>
        <w:tc>
          <w:tcPr>
            <w:tcW w:w="1180" w:type="dxa"/>
            <w:gridSpan w:val="2"/>
            <w:tcBorders>
              <w:top w:val="nil"/>
              <w:left w:val="nil"/>
              <w:bottom w:val="nil"/>
              <w:right w:val="nil"/>
            </w:tcBorders>
            <w:shd w:val="clear" w:color="auto" w:fill="auto"/>
            <w:noWrap/>
            <w:vAlign w:val="bottom"/>
            <w:hideMark/>
          </w:tcPr>
          <w:p w14:paraId="68402B3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0C5DE6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41F2DD7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7F64831F"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6B101F93"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649838B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Cash and Cash Equivalents</w:t>
            </w:r>
          </w:p>
        </w:tc>
        <w:tc>
          <w:tcPr>
            <w:tcW w:w="1180" w:type="dxa"/>
            <w:gridSpan w:val="2"/>
            <w:tcBorders>
              <w:top w:val="nil"/>
              <w:left w:val="nil"/>
              <w:bottom w:val="nil"/>
              <w:right w:val="nil"/>
            </w:tcBorders>
            <w:shd w:val="clear" w:color="auto" w:fill="auto"/>
            <w:noWrap/>
            <w:vAlign w:val="bottom"/>
            <w:hideMark/>
          </w:tcPr>
          <w:p w14:paraId="3EC3ECE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418.9</w:t>
            </w:r>
          </w:p>
        </w:tc>
        <w:tc>
          <w:tcPr>
            <w:tcW w:w="1120" w:type="dxa"/>
            <w:gridSpan w:val="2"/>
            <w:tcBorders>
              <w:top w:val="nil"/>
              <w:left w:val="nil"/>
              <w:bottom w:val="nil"/>
              <w:right w:val="nil"/>
            </w:tcBorders>
            <w:shd w:val="clear" w:color="auto" w:fill="auto"/>
            <w:noWrap/>
            <w:vAlign w:val="bottom"/>
            <w:hideMark/>
          </w:tcPr>
          <w:p w14:paraId="7D63B3B3"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489.4</w:t>
            </w:r>
          </w:p>
        </w:tc>
        <w:tc>
          <w:tcPr>
            <w:tcW w:w="960" w:type="dxa"/>
            <w:gridSpan w:val="2"/>
            <w:tcBorders>
              <w:top w:val="nil"/>
              <w:left w:val="nil"/>
              <w:bottom w:val="nil"/>
              <w:right w:val="nil"/>
            </w:tcBorders>
            <w:shd w:val="clear" w:color="auto" w:fill="auto"/>
            <w:noWrap/>
            <w:vAlign w:val="bottom"/>
            <w:hideMark/>
          </w:tcPr>
          <w:p w14:paraId="74F1E82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107.9</w:t>
            </w:r>
          </w:p>
        </w:tc>
      </w:tr>
      <w:tr w:rsidR="00A361CF" w:rsidRPr="00A361CF" w14:paraId="781EC75F"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4E0743C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600" w:type="dxa"/>
            <w:tcBorders>
              <w:top w:val="nil"/>
              <w:left w:val="nil"/>
              <w:bottom w:val="nil"/>
              <w:right w:val="nil"/>
            </w:tcBorders>
            <w:shd w:val="clear" w:color="auto" w:fill="auto"/>
            <w:noWrap/>
            <w:vAlign w:val="bottom"/>
            <w:hideMark/>
          </w:tcPr>
          <w:p w14:paraId="07C1264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Less: Restricted Cash</w:t>
            </w:r>
          </w:p>
        </w:tc>
        <w:tc>
          <w:tcPr>
            <w:tcW w:w="1180" w:type="dxa"/>
            <w:gridSpan w:val="2"/>
            <w:tcBorders>
              <w:top w:val="nil"/>
              <w:left w:val="nil"/>
              <w:bottom w:val="nil"/>
              <w:right w:val="nil"/>
            </w:tcBorders>
            <w:shd w:val="clear" w:color="auto" w:fill="auto"/>
            <w:noWrap/>
            <w:vAlign w:val="bottom"/>
            <w:hideMark/>
          </w:tcPr>
          <w:p w14:paraId="17E74A7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FF0000"/>
                <w:sz w:val="20"/>
                <w:szCs w:val="20"/>
                <w:u w:val="single"/>
                <w:lang w:eastAsia="en-GB"/>
              </w:rPr>
              <w:t xml:space="preserve">-33.0 </w:t>
            </w:r>
          </w:p>
        </w:tc>
        <w:tc>
          <w:tcPr>
            <w:tcW w:w="1120" w:type="dxa"/>
            <w:gridSpan w:val="2"/>
            <w:tcBorders>
              <w:top w:val="nil"/>
              <w:left w:val="nil"/>
              <w:bottom w:val="nil"/>
              <w:right w:val="nil"/>
            </w:tcBorders>
            <w:shd w:val="clear" w:color="auto" w:fill="auto"/>
            <w:noWrap/>
            <w:vAlign w:val="bottom"/>
            <w:hideMark/>
          </w:tcPr>
          <w:p w14:paraId="1F207FB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FF0000"/>
                <w:sz w:val="20"/>
                <w:szCs w:val="20"/>
                <w:u w:val="single"/>
                <w:lang w:eastAsia="en-GB"/>
              </w:rPr>
              <w:t xml:space="preserve">-35.8 </w:t>
            </w:r>
          </w:p>
        </w:tc>
        <w:tc>
          <w:tcPr>
            <w:tcW w:w="960" w:type="dxa"/>
            <w:gridSpan w:val="2"/>
            <w:tcBorders>
              <w:top w:val="nil"/>
              <w:left w:val="nil"/>
              <w:bottom w:val="nil"/>
              <w:right w:val="nil"/>
            </w:tcBorders>
            <w:shd w:val="clear" w:color="auto" w:fill="auto"/>
            <w:noWrap/>
            <w:vAlign w:val="bottom"/>
            <w:hideMark/>
          </w:tcPr>
          <w:p w14:paraId="3CCF4F3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FF0000"/>
                <w:sz w:val="20"/>
                <w:szCs w:val="20"/>
                <w:u w:val="single"/>
                <w:lang w:eastAsia="en-GB"/>
              </w:rPr>
              <w:t xml:space="preserve">-36.3 </w:t>
            </w:r>
          </w:p>
        </w:tc>
      </w:tr>
      <w:tr w:rsidR="00A361CF" w:rsidRPr="00A361CF" w14:paraId="618BC36E" w14:textId="77777777" w:rsidTr="0073507F">
        <w:trPr>
          <w:gridAfter w:val="1"/>
          <w:wAfter w:w="45" w:type="dxa"/>
          <w:trHeight w:val="300"/>
        </w:trPr>
        <w:tc>
          <w:tcPr>
            <w:tcW w:w="419" w:type="dxa"/>
            <w:tcBorders>
              <w:top w:val="nil"/>
              <w:left w:val="nil"/>
              <w:bottom w:val="nil"/>
              <w:right w:val="nil"/>
            </w:tcBorders>
            <w:shd w:val="clear" w:color="auto" w:fill="auto"/>
            <w:noWrap/>
            <w:vAlign w:val="bottom"/>
            <w:hideMark/>
          </w:tcPr>
          <w:p w14:paraId="4FD371E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600" w:type="dxa"/>
            <w:tcBorders>
              <w:top w:val="nil"/>
              <w:left w:val="nil"/>
              <w:bottom w:val="nil"/>
              <w:right w:val="nil"/>
            </w:tcBorders>
            <w:shd w:val="clear" w:color="auto" w:fill="auto"/>
            <w:noWrap/>
            <w:vAlign w:val="bottom"/>
            <w:hideMark/>
          </w:tcPr>
          <w:p w14:paraId="7DC5CEC8"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Free Cash and Equivalents*</w:t>
            </w:r>
          </w:p>
        </w:tc>
        <w:tc>
          <w:tcPr>
            <w:tcW w:w="1180" w:type="dxa"/>
            <w:gridSpan w:val="2"/>
            <w:tcBorders>
              <w:top w:val="nil"/>
              <w:left w:val="nil"/>
              <w:bottom w:val="nil"/>
              <w:right w:val="nil"/>
            </w:tcBorders>
            <w:shd w:val="clear" w:color="auto" w:fill="auto"/>
            <w:noWrap/>
            <w:vAlign w:val="bottom"/>
            <w:hideMark/>
          </w:tcPr>
          <w:p w14:paraId="289AD86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 xml:space="preserve">385.9 </w:t>
            </w:r>
          </w:p>
        </w:tc>
        <w:tc>
          <w:tcPr>
            <w:tcW w:w="1120" w:type="dxa"/>
            <w:gridSpan w:val="2"/>
            <w:tcBorders>
              <w:top w:val="nil"/>
              <w:left w:val="nil"/>
              <w:bottom w:val="nil"/>
              <w:right w:val="nil"/>
            </w:tcBorders>
            <w:shd w:val="clear" w:color="auto" w:fill="auto"/>
            <w:noWrap/>
            <w:vAlign w:val="bottom"/>
            <w:hideMark/>
          </w:tcPr>
          <w:p w14:paraId="576BAF5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453.6</w:t>
            </w:r>
          </w:p>
        </w:tc>
        <w:tc>
          <w:tcPr>
            <w:tcW w:w="960" w:type="dxa"/>
            <w:gridSpan w:val="2"/>
            <w:tcBorders>
              <w:top w:val="nil"/>
              <w:left w:val="nil"/>
              <w:bottom w:val="nil"/>
              <w:right w:val="nil"/>
            </w:tcBorders>
            <w:shd w:val="clear" w:color="auto" w:fill="auto"/>
            <w:noWrap/>
            <w:vAlign w:val="bottom"/>
            <w:hideMark/>
          </w:tcPr>
          <w:p w14:paraId="5931AB7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 xml:space="preserve">71.6 </w:t>
            </w:r>
          </w:p>
        </w:tc>
      </w:tr>
      <w:tr w:rsidR="00A361CF" w:rsidRPr="00A361CF" w14:paraId="3CC73E65" w14:textId="77777777" w:rsidTr="0073507F">
        <w:trPr>
          <w:trHeight w:val="300"/>
        </w:trPr>
        <w:tc>
          <w:tcPr>
            <w:tcW w:w="7244" w:type="dxa"/>
            <w:gridSpan w:val="5"/>
            <w:tcBorders>
              <w:top w:val="nil"/>
              <w:left w:val="nil"/>
              <w:bottom w:val="nil"/>
              <w:right w:val="nil"/>
            </w:tcBorders>
            <w:shd w:val="clear" w:color="auto" w:fill="auto"/>
            <w:noWrap/>
            <w:vAlign w:val="bottom"/>
            <w:hideMark/>
          </w:tcPr>
          <w:p w14:paraId="20CA2F62" w14:textId="77777777" w:rsidR="00A361CF" w:rsidRPr="00A361CF" w:rsidRDefault="00A361CF" w:rsidP="00A361CF">
            <w:pPr>
              <w:spacing w:after="0" w:line="240" w:lineRule="auto"/>
              <w:rPr>
                <w:rFonts w:ascii="Calibri" w:eastAsia="Times New Roman" w:hAnsi="Calibri" w:cs="Calibri"/>
                <w:b/>
                <w:bCs/>
                <w:color w:val="000000"/>
                <w:sz w:val="20"/>
                <w:szCs w:val="20"/>
                <w:u w:val="single"/>
                <w:lang w:eastAsia="en-GB"/>
              </w:rPr>
            </w:pPr>
            <w:r w:rsidRPr="00A361CF">
              <w:rPr>
                <w:rFonts w:ascii="Calibri" w:eastAsia="Times New Roman" w:hAnsi="Calibri" w:cs="Calibri"/>
                <w:b/>
                <w:bCs/>
                <w:color w:val="000000"/>
                <w:sz w:val="20"/>
                <w:szCs w:val="20"/>
                <w:u w:val="single"/>
                <w:lang w:eastAsia="en-GB"/>
              </w:rPr>
              <w:t>ASTON MARTIN HOLDINGS LTD - RATIO CALCULATIONS  2019 to 2021 (3 years)</w:t>
            </w:r>
          </w:p>
        </w:tc>
        <w:tc>
          <w:tcPr>
            <w:tcW w:w="1120" w:type="dxa"/>
            <w:gridSpan w:val="2"/>
            <w:tcBorders>
              <w:top w:val="nil"/>
              <w:left w:val="nil"/>
              <w:bottom w:val="nil"/>
              <w:right w:val="nil"/>
            </w:tcBorders>
            <w:shd w:val="clear" w:color="auto" w:fill="auto"/>
            <w:noWrap/>
            <w:vAlign w:val="bottom"/>
            <w:hideMark/>
          </w:tcPr>
          <w:p w14:paraId="0788812C" w14:textId="77777777" w:rsidR="00A361CF" w:rsidRPr="00A361CF" w:rsidRDefault="00A361CF" w:rsidP="00A361CF">
            <w:pPr>
              <w:spacing w:after="0" w:line="240" w:lineRule="auto"/>
              <w:rPr>
                <w:rFonts w:ascii="Calibri" w:eastAsia="Times New Roman" w:hAnsi="Calibri" w:cs="Calibri"/>
                <w:b/>
                <w:bCs/>
                <w:color w:val="000000"/>
                <w:sz w:val="20"/>
                <w:szCs w:val="20"/>
                <w:u w:val="single"/>
                <w:lang w:eastAsia="en-GB"/>
              </w:rPr>
            </w:pPr>
          </w:p>
        </w:tc>
        <w:tc>
          <w:tcPr>
            <w:tcW w:w="960" w:type="dxa"/>
            <w:gridSpan w:val="2"/>
            <w:tcBorders>
              <w:top w:val="nil"/>
              <w:left w:val="nil"/>
              <w:bottom w:val="nil"/>
              <w:right w:val="nil"/>
            </w:tcBorders>
            <w:shd w:val="clear" w:color="auto" w:fill="auto"/>
            <w:noWrap/>
            <w:vAlign w:val="bottom"/>
            <w:hideMark/>
          </w:tcPr>
          <w:p w14:paraId="1AD01BCD"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D26C114" w14:textId="77777777" w:rsidTr="0073507F">
        <w:trPr>
          <w:trHeight w:val="300"/>
        </w:trPr>
        <w:tc>
          <w:tcPr>
            <w:tcW w:w="419" w:type="dxa"/>
            <w:tcBorders>
              <w:top w:val="nil"/>
              <w:left w:val="nil"/>
              <w:bottom w:val="nil"/>
              <w:right w:val="nil"/>
            </w:tcBorders>
            <w:shd w:val="clear" w:color="auto" w:fill="auto"/>
            <w:noWrap/>
            <w:vAlign w:val="bottom"/>
            <w:hideMark/>
          </w:tcPr>
          <w:p w14:paraId="42B18800"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2FBB43A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3E1EA3A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3879E70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37A201A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256B990A" w14:textId="77777777" w:rsidTr="0073507F">
        <w:trPr>
          <w:trHeight w:val="300"/>
        </w:trPr>
        <w:tc>
          <w:tcPr>
            <w:tcW w:w="419" w:type="dxa"/>
            <w:tcBorders>
              <w:top w:val="nil"/>
              <w:left w:val="nil"/>
              <w:bottom w:val="nil"/>
              <w:right w:val="nil"/>
            </w:tcBorders>
            <w:shd w:val="clear" w:color="auto" w:fill="auto"/>
            <w:noWrap/>
            <w:vAlign w:val="bottom"/>
            <w:hideMark/>
          </w:tcPr>
          <w:p w14:paraId="32CA12C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0D4029F4"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Day Sales Outstanding (DSO)</w:t>
            </w:r>
          </w:p>
        </w:tc>
        <w:tc>
          <w:tcPr>
            <w:tcW w:w="875" w:type="dxa"/>
            <w:gridSpan w:val="2"/>
            <w:tcBorders>
              <w:top w:val="nil"/>
              <w:left w:val="nil"/>
              <w:bottom w:val="nil"/>
              <w:right w:val="nil"/>
            </w:tcBorders>
            <w:shd w:val="clear" w:color="auto" w:fill="auto"/>
            <w:noWrap/>
            <w:vAlign w:val="bottom"/>
            <w:hideMark/>
          </w:tcPr>
          <w:p w14:paraId="7196233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27D11FC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1CBD4E2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4FDFCBC4" w14:textId="77777777" w:rsidTr="0073507F">
        <w:trPr>
          <w:trHeight w:val="300"/>
        </w:trPr>
        <w:tc>
          <w:tcPr>
            <w:tcW w:w="419" w:type="dxa"/>
            <w:tcBorders>
              <w:top w:val="nil"/>
              <w:left w:val="nil"/>
              <w:bottom w:val="nil"/>
              <w:right w:val="nil"/>
            </w:tcBorders>
            <w:shd w:val="clear" w:color="auto" w:fill="auto"/>
            <w:noWrap/>
            <w:vAlign w:val="bottom"/>
            <w:hideMark/>
          </w:tcPr>
          <w:p w14:paraId="2BDAE5E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07B3B86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14B4F75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7D81B4D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7403C66A"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5DD02BB" w14:textId="77777777" w:rsidTr="0073507F">
        <w:trPr>
          <w:trHeight w:val="300"/>
        </w:trPr>
        <w:tc>
          <w:tcPr>
            <w:tcW w:w="419" w:type="dxa"/>
            <w:tcBorders>
              <w:top w:val="nil"/>
              <w:left w:val="nil"/>
              <w:bottom w:val="nil"/>
              <w:right w:val="nil"/>
            </w:tcBorders>
            <w:shd w:val="clear" w:color="auto" w:fill="auto"/>
            <w:noWrap/>
            <w:vAlign w:val="bottom"/>
            <w:hideMark/>
          </w:tcPr>
          <w:p w14:paraId="5798F06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214B5CD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Trade and other receivables x 365</w:t>
            </w:r>
          </w:p>
        </w:tc>
        <w:tc>
          <w:tcPr>
            <w:tcW w:w="875" w:type="dxa"/>
            <w:gridSpan w:val="2"/>
            <w:tcBorders>
              <w:top w:val="nil"/>
              <w:left w:val="nil"/>
              <w:bottom w:val="nil"/>
              <w:right w:val="nil"/>
            </w:tcBorders>
            <w:shd w:val="clear" w:color="auto" w:fill="auto"/>
            <w:noWrap/>
            <w:vAlign w:val="bottom"/>
            <w:hideMark/>
          </w:tcPr>
          <w:p w14:paraId="63363BA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89607.5</w:t>
            </w:r>
          </w:p>
        </w:tc>
        <w:tc>
          <w:tcPr>
            <w:tcW w:w="1120" w:type="dxa"/>
            <w:gridSpan w:val="2"/>
            <w:tcBorders>
              <w:top w:val="nil"/>
              <w:left w:val="nil"/>
              <w:bottom w:val="nil"/>
              <w:right w:val="nil"/>
            </w:tcBorders>
            <w:shd w:val="clear" w:color="auto" w:fill="auto"/>
            <w:noWrap/>
            <w:vAlign w:val="bottom"/>
            <w:hideMark/>
          </w:tcPr>
          <w:p w14:paraId="329BB72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65262</w:t>
            </w:r>
          </w:p>
        </w:tc>
        <w:tc>
          <w:tcPr>
            <w:tcW w:w="960" w:type="dxa"/>
            <w:gridSpan w:val="2"/>
            <w:tcBorders>
              <w:top w:val="nil"/>
              <w:left w:val="nil"/>
              <w:bottom w:val="nil"/>
              <w:right w:val="nil"/>
            </w:tcBorders>
            <w:shd w:val="clear" w:color="auto" w:fill="auto"/>
            <w:noWrap/>
            <w:vAlign w:val="bottom"/>
            <w:hideMark/>
          </w:tcPr>
          <w:p w14:paraId="1ACD6D0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91797.5</w:t>
            </w:r>
          </w:p>
        </w:tc>
      </w:tr>
      <w:tr w:rsidR="00A361CF" w:rsidRPr="00A361CF" w14:paraId="4CDCE794" w14:textId="77777777" w:rsidTr="0073507F">
        <w:trPr>
          <w:trHeight w:val="300"/>
        </w:trPr>
        <w:tc>
          <w:tcPr>
            <w:tcW w:w="419" w:type="dxa"/>
            <w:tcBorders>
              <w:top w:val="nil"/>
              <w:left w:val="nil"/>
              <w:bottom w:val="nil"/>
              <w:right w:val="nil"/>
            </w:tcBorders>
            <w:shd w:val="clear" w:color="auto" w:fill="auto"/>
            <w:noWrap/>
            <w:vAlign w:val="bottom"/>
            <w:hideMark/>
          </w:tcPr>
          <w:p w14:paraId="1ABEA19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1E49052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 xml:space="preserve"> Revenue</w:t>
            </w:r>
          </w:p>
        </w:tc>
        <w:tc>
          <w:tcPr>
            <w:tcW w:w="875" w:type="dxa"/>
            <w:gridSpan w:val="2"/>
            <w:tcBorders>
              <w:top w:val="nil"/>
              <w:left w:val="nil"/>
              <w:bottom w:val="nil"/>
              <w:right w:val="nil"/>
            </w:tcBorders>
            <w:shd w:val="clear" w:color="auto" w:fill="auto"/>
            <w:noWrap/>
            <w:vAlign w:val="bottom"/>
            <w:hideMark/>
          </w:tcPr>
          <w:p w14:paraId="72577BF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1095.3</w:t>
            </w:r>
          </w:p>
        </w:tc>
        <w:tc>
          <w:tcPr>
            <w:tcW w:w="1120" w:type="dxa"/>
            <w:gridSpan w:val="2"/>
            <w:tcBorders>
              <w:top w:val="nil"/>
              <w:left w:val="nil"/>
              <w:bottom w:val="nil"/>
              <w:right w:val="nil"/>
            </w:tcBorders>
            <w:shd w:val="clear" w:color="auto" w:fill="auto"/>
            <w:noWrap/>
            <w:vAlign w:val="bottom"/>
            <w:hideMark/>
          </w:tcPr>
          <w:p w14:paraId="213B818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611.8</w:t>
            </w:r>
          </w:p>
        </w:tc>
        <w:tc>
          <w:tcPr>
            <w:tcW w:w="960" w:type="dxa"/>
            <w:gridSpan w:val="2"/>
            <w:tcBorders>
              <w:top w:val="nil"/>
              <w:left w:val="nil"/>
              <w:bottom w:val="nil"/>
              <w:right w:val="nil"/>
            </w:tcBorders>
            <w:shd w:val="clear" w:color="auto" w:fill="auto"/>
            <w:noWrap/>
            <w:vAlign w:val="bottom"/>
            <w:hideMark/>
          </w:tcPr>
          <w:p w14:paraId="02E601B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980.5</w:t>
            </w:r>
          </w:p>
        </w:tc>
      </w:tr>
      <w:tr w:rsidR="00A361CF" w:rsidRPr="00A361CF" w14:paraId="71F28206" w14:textId="77777777" w:rsidTr="0073507F">
        <w:trPr>
          <w:trHeight w:val="300"/>
        </w:trPr>
        <w:tc>
          <w:tcPr>
            <w:tcW w:w="419" w:type="dxa"/>
            <w:tcBorders>
              <w:top w:val="nil"/>
              <w:left w:val="nil"/>
              <w:bottom w:val="nil"/>
              <w:right w:val="nil"/>
            </w:tcBorders>
            <w:shd w:val="clear" w:color="auto" w:fill="auto"/>
            <w:noWrap/>
            <w:vAlign w:val="bottom"/>
            <w:hideMark/>
          </w:tcPr>
          <w:p w14:paraId="51ACFCA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74653BA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6AAE5D3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3E3B086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79BD65A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5F9221E"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731AD5"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11</w:t>
            </w:r>
          </w:p>
        </w:tc>
        <w:tc>
          <w:tcPr>
            <w:tcW w:w="5950" w:type="dxa"/>
            <w:gridSpan w:val="2"/>
            <w:tcBorders>
              <w:top w:val="single" w:sz="4" w:space="0" w:color="auto"/>
              <w:left w:val="nil"/>
              <w:bottom w:val="single" w:sz="4" w:space="0" w:color="auto"/>
              <w:right w:val="single" w:sz="4" w:space="0" w:color="auto"/>
            </w:tcBorders>
            <w:shd w:val="clear" w:color="auto" w:fill="auto"/>
            <w:noWrap/>
            <w:vAlign w:val="bottom"/>
            <w:hideMark/>
          </w:tcPr>
          <w:p w14:paraId="7DD96AEA"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DSO to nearest number of days</w:t>
            </w:r>
          </w:p>
        </w:tc>
        <w:tc>
          <w:tcPr>
            <w:tcW w:w="875"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18E797DC"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82</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07B98859"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107</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73B0855C"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94</w:t>
            </w:r>
          </w:p>
        </w:tc>
      </w:tr>
      <w:tr w:rsidR="00A361CF" w:rsidRPr="00A361CF" w14:paraId="2869F439" w14:textId="77777777" w:rsidTr="0073507F">
        <w:trPr>
          <w:trHeight w:val="300"/>
        </w:trPr>
        <w:tc>
          <w:tcPr>
            <w:tcW w:w="419" w:type="dxa"/>
            <w:tcBorders>
              <w:top w:val="nil"/>
              <w:left w:val="nil"/>
              <w:bottom w:val="nil"/>
              <w:right w:val="nil"/>
            </w:tcBorders>
            <w:shd w:val="clear" w:color="auto" w:fill="auto"/>
            <w:noWrap/>
            <w:vAlign w:val="bottom"/>
            <w:hideMark/>
          </w:tcPr>
          <w:p w14:paraId="519EB0F0"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4FF6D16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4ACD7EE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4889DC6D"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6BDA152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8F3C5DE" w14:textId="77777777" w:rsidTr="0073507F">
        <w:trPr>
          <w:trHeight w:val="300"/>
        </w:trPr>
        <w:tc>
          <w:tcPr>
            <w:tcW w:w="419" w:type="dxa"/>
            <w:tcBorders>
              <w:top w:val="nil"/>
              <w:left w:val="nil"/>
              <w:bottom w:val="nil"/>
              <w:right w:val="nil"/>
            </w:tcBorders>
            <w:shd w:val="clear" w:color="auto" w:fill="auto"/>
            <w:noWrap/>
            <w:vAlign w:val="bottom"/>
            <w:hideMark/>
          </w:tcPr>
          <w:p w14:paraId="03CB092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1F2AB38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4434EDE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3D9847F5"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60D57F3"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0D313E20" w14:textId="77777777" w:rsidTr="0073507F">
        <w:trPr>
          <w:trHeight w:val="300"/>
        </w:trPr>
        <w:tc>
          <w:tcPr>
            <w:tcW w:w="419" w:type="dxa"/>
            <w:tcBorders>
              <w:top w:val="nil"/>
              <w:left w:val="nil"/>
              <w:bottom w:val="nil"/>
              <w:right w:val="nil"/>
            </w:tcBorders>
            <w:shd w:val="clear" w:color="auto" w:fill="auto"/>
            <w:noWrap/>
            <w:vAlign w:val="bottom"/>
            <w:hideMark/>
          </w:tcPr>
          <w:p w14:paraId="5AFA9F2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5BB87C4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Day Sales Outstanding (DSO) Trade Receivables Only</w:t>
            </w:r>
          </w:p>
        </w:tc>
        <w:tc>
          <w:tcPr>
            <w:tcW w:w="875" w:type="dxa"/>
            <w:gridSpan w:val="2"/>
            <w:tcBorders>
              <w:top w:val="nil"/>
              <w:left w:val="nil"/>
              <w:bottom w:val="nil"/>
              <w:right w:val="nil"/>
            </w:tcBorders>
            <w:shd w:val="clear" w:color="auto" w:fill="auto"/>
            <w:noWrap/>
            <w:vAlign w:val="bottom"/>
            <w:hideMark/>
          </w:tcPr>
          <w:p w14:paraId="4F8472D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273704D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04C1785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5400E840" w14:textId="77777777" w:rsidTr="0073507F">
        <w:trPr>
          <w:trHeight w:val="300"/>
        </w:trPr>
        <w:tc>
          <w:tcPr>
            <w:tcW w:w="419" w:type="dxa"/>
            <w:tcBorders>
              <w:top w:val="nil"/>
              <w:left w:val="nil"/>
              <w:bottom w:val="nil"/>
              <w:right w:val="nil"/>
            </w:tcBorders>
            <w:shd w:val="clear" w:color="auto" w:fill="auto"/>
            <w:noWrap/>
            <w:vAlign w:val="bottom"/>
            <w:hideMark/>
          </w:tcPr>
          <w:p w14:paraId="352919C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04CEE46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101DEA1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66AB1D1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4D8720C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33DF01F9" w14:textId="77777777" w:rsidTr="0073507F">
        <w:trPr>
          <w:trHeight w:val="300"/>
        </w:trPr>
        <w:tc>
          <w:tcPr>
            <w:tcW w:w="419" w:type="dxa"/>
            <w:tcBorders>
              <w:top w:val="nil"/>
              <w:left w:val="nil"/>
              <w:bottom w:val="nil"/>
              <w:right w:val="nil"/>
            </w:tcBorders>
            <w:shd w:val="clear" w:color="auto" w:fill="auto"/>
            <w:noWrap/>
            <w:vAlign w:val="bottom"/>
            <w:hideMark/>
          </w:tcPr>
          <w:p w14:paraId="41DAD26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02C70D5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Trade receivables x 365</w:t>
            </w:r>
          </w:p>
        </w:tc>
        <w:tc>
          <w:tcPr>
            <w:tcW w:w="875" w:type="dxa"/>
            <w:gridSpan w:val="2"/>
            <w:tcBorders>
              <w:top w:val="nil"/>
              <w:left w:val="nil"/>
              <w:bottom w:val="nil"/>
              <w:right w:val="nil"/>
            </w:tcBorders>
            <w:shd w:val="clear" w:color="auto" w:fill="auto"/>
            <w:noWrap/>
            <w:vAlign w:val="bottom"/>
            <w:hideMark/>
          </w:tcPr>
          <w:p w14:paraId="2956A9F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50917.5</w:t>
            </w:r>
          </w:p>
        </w:tc>
        <w:tc>
          <w:tcPr>
            <w:tcW w:w="1120" w:type="dxa"/>
            <w:gridSpan w:val="2"/>
            <w:tcBorders>
              <w:top w:val="nil"/>
              <w:left w:val="nil"/>
              <w:bottom w:val="nil"/>
              <w:right w:val="nil"/>
            </w:tcBorders>
            <w:shd w:val="clear" w:color="auto" w:fill="auto"/>
            <w:noWrap/>
            <w:vAlign w:val="bottom"/>
            <w:hideMark/>
          </w:tcPr>
          <w:p w14:paraId="7CC3B59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37120.5</w:t>
            </w:r>
          </w:p>
        </w:tc>
        <w:tc>
          <w:tcPr>
            <w:tcW w:w="960" w:type="dxa"/>
            <w:gridSpan w:val="2"/>
            <w:tcBorders>
              <w:top w:val="nil"/>
              <w:left w:val="nil"/>
              <w:bottom w:val="nil"/>
              <w:right w:val="nil"/>
            </w:tcBorders>
            <w:shd w:val="clear" w:color="auto" w:fill="auto"/>
            <w:noWrap/>
            <w:vAlign w:val="bottom"/>
            <w:hideMark/>
          </w:tcPr>
          <w:p w14:paraId="7B1A1D3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63254.5</w:t>
            </w:r>
          </w:p>
        </w:tc>
      </w:tr>
      <w:tr w:rsidR="00A361CF" w:rsidRPr="00A361CF" w14:paraId="58FD5836" w14:textId="77777777" w:rsidTr="0073507F">
        <w:trPr>
          <w:trHeight w:val="300"/>
        </w:trPr>
        <w:tc>
          <w:tcPr>
            <w:tcW w:w="419" w:type="dxa"/>
            <w:tcBorders>
              <w:top w:val="nil"/>
              <w:left w:val="nil"/>
              <w:bottom w:val="nil"/>
              <w:right w:val="nil"/>
            </w:tcBorders>
            <w:shd w:val="clear" w:color="auto" w:fill="auto"/>
            <w:noWrap/>
            <w:vAlign w:val="bottom"/>
            <w:hideMark/>
          </w:tcPr>
          <w:p w14:paraId="0D5B7C3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09B8D36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 xml:space="preserve"> Revenue</w:t>
            </w:r>
          </w:p>
        </w:tc>
        <w:tc>
          <w:tcPr>
            <w:tcW w:w="875" w:type="dxa"/>
            <w:gridSpan w:val="2"/>
            <w:tcBorders>
              <w:top w:val="nil"/>
              <w:left w:val="nil"/>
              <w:bottom w:val="nil"/>
              <w:right w:val="nil"/>
            </w:tcBorders>
            <w:shd w:val="clear" w:color="auto" w:fill="auto"/>
            <w:noWrap/>
            <w:vAlign w:val="bottom"/>
            <w:hideMark/>
          </w:tcPr>
          <w:p w14:paraId="1293ABB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1095.3</w:t>
            </w:r>
          </w:p>
        </w:tc>
        <w:tc>
          <w:tcPr>
            <w:tcW w:w="1120" w:type="dxa"/>
            <w:gridSpan w:val="2"/>
            <w:tcBorders>
              <w:top w:val="nil"/>
              <w:left w:val="nil"/>
              <w:bottom w:val="nil"/>
              <w:right w:val="nil"/>
            </w:tcBorders>
            <w:shd w:val="clear" w:color="auto" w:fill="auto"/>
            <w:noWrap/>
            <w:vAlign w:val="bottom"/>
            <w:hideMark/>
          </w:tcPr>
          <w:p w14:paraId="462FE213"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611.8</w:t>
            </w:r>
          </w:p>
        </w:tc>
        <w:tc>
          <w:tcPr>
            <w:tcW w:w="960" w:type="dxa"/>
            <w:gridSpan w:val="2"/>
            <w:tcBorders>
              <w:top w:val="nil"/>
              <w:left w:val="nil"/>
              <w:bottom w:val="nil"/>
              <w:right w:val="nil"/>
            </w:tcBorders>
            <w:shd w:val="clear" w:color="auto" w:fill="auto"/>
            <w:noWrap/>
            <w:vAlign w:val="bottom"/>
            <w:hideMark/>
          </w:tcPr>
          <w:p w14:paraId="3600D52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980.5</w:t>
            </w:r>
          </w:p>
        </w:tc>
      </w:tr>
      <w:tr w:rsidR="00A361CF" w:rsidRPr="00A361CF" w14:paraId="2B0B4262" w14:textId="77777777" w:rsidTr="0073507F">
        <w:trPr>
          <w:trHeight w:val="300"/>
        </w:trPr>
        <w:tc>
          <w:tcPr>
            <w:tcW w:w="419" w:type="dxa"/>
            <w:tcBorders>
              <w:top w:val="nil"/>
              <w:left w:val="nil"/>
              <w:bottom w:val="nil"/>
              <w:right w:val="nil"/>
            </w:tcBorders>
            <w:shd w:val="clear" w:color="auto" w:fill="auto"/>
            <w:noWrap/>
            <w:vAlign w:val="bottom"/>
            <w:hideMark/>
          </w:tcPr>
          <w:p w14:paraId="0A2DE7D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1E22C20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367A2125"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6564E6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380B781A"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8297347"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FE6145"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12</w:t>
            </w:r>
          </w:p>
        </w:tc>
        <w:tc>
          <w:tcPr>
            <w:tcW w:w="5950" w:type="dxa"/>
            <w:gridSpan w:val="2"/>
            <w:tcBorders>
              <w:top w:val="single" w:sz="4" w:space="0" w:color="auto"/>
              <w:left w:val="nil"/>
              <w:bottom w:val="single" w:sz="4" w:space="0" w:color="auto"/>
              <w:right w:val="single" w:sz="4" w:space="0" w:color="auto"/>
            </w:tcBorders>
            <w:shd w:val="clear" w:color="auto" w:fill="auto"/>
            <w:noWrap/>
            <w:vAlign w:val="bottom"/>
            <w:hideMark/>
          </w:tcPr>
          <w:p w14:paraId="5EE692B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DSO to nearest number of days</w:t>
            </w:r>
          </w:p>
        </w:tc>
        <w:tc>
          <w:tcPr>
            <w:tcW w:w="875"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4E968F74"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46</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010A385A"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61</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002074B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65</w:t>
            </w:r>
          </w:p>
        </w:tc>
      </w:tr>
      <w:tr w:rsidR="00A361CF" w:rsidRPr="00A361CF" w14:paraId="42576871" w14:textId="77777777" w:rsidTr="0073507F">
        <w:trPr>
          <w:trHeight w:val="300"/>
        </w:trPr>
        <w:tc>
          <w:tcPr>
            <w:tcW w:w="419" w:type="dxa"/>
            <w:tcBorders>
              <w:top w:val="nil"/>
              <w:left w:val="nil"/>
              <w:bottom w:val="nil"/>
              <w:right w:val="nil"/>
            </w:tcBorders>
            <w:shd w:val="clear" w:color="auto" w:fill="auto"/>
            <w:noWrap/>
            <w:vAlign w:val="bottom"/>
            <w:hideMark/>
          </w:tcPr>
          <w:p w14:paraId="69387358"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35ADF7C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6E07239E"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22EE698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2F53F128"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3D66E4DB" w14:textId="77777777" w:rsidTr="0073507F">
        <w:trPr>
          <w:trHeight w:val="300"/>
        </w:trPr>
        <w:tc>
          <w:tcPr>
            <w:tcW w:w="419" w:type="dxa"/>
            <w:tcBorders>
              <w:top w:val="nil"/>
              <w:left w:val="nil"/>
              <w:bottom w:val="nil"/>
              <w:right w:val="nil"/>
            </w:tcBorders>
            <w:shd w:val="clear" w:color="auto" w:fill="auto"/>
            <w:noWrap/>
            <w:vAlign w:val="bottom"/>
            <w:hideMark/>
          </w:tcPr>
          <w:p w14:paraId="2E4E99E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18723CF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719A46C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4699C86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14A9491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3AEC8E60" w14:textId="77777777" w:rsidTr="0073507F">
        <w:trPr>
          <w:trHeight w:val="300"/>
        </w:trPr>
        <w:tc>
          <w:tcPr>
            <w:tcW w:w="419" w:type="dxa"/>
            <w:tcBorders>
              <w:top w:val="nil"/>
              <w:left w:val="nil"/>
              <w:bottom w:val="nil"/>
              <w:right w:val="nil"/>
            </w:tcBorders>
            <w:shd w:val="clear" w:color="auto" w:fill="auto"/>
            <w:noWrap/>
            <w:vAlign w:val="bottom"/>
            <w:hideMark/>
          </w:tcPr>
          <w:p w14:paraId="2F66810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0A717AE3"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Inventory Turnover</w:t>
            </w:r>
          </w:p>
        </w:tc>
        <w:tc>
          <w:tcPr>
            <w:tcW w:w="875" w:type="dxa"/>
            <w:gridSpan w:val="2"/>
            <w:tcBorders>
              <w:top w:val="nil"/>
              <w:left w:val="nil"/>
              <w:bottom w:val="nil"/>
              <w:right w:val="nil"/>
            </w:tcBorders>
            <w:shd w:val="clear" w:color="auto" w:fill="auto"/>
            <w:noWrap/>
            <w:vAlign w:val="bottom"/>
            <w:hideMark/>
          </w:tcPr>
          <w:p w14:paraId="3E83FB8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68564D0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51D6DD1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40BFEC26" w14:textId="77777777" w:rsidTr="0073507F">
        <w:trPr>
          <w:trHeight w:val="300"/>
        </w:trPr>
        <w:tc>
          <w:tcPr>
            <w:tcW w:w="419" w:type="dxa"/>
            <w:tcBorders>
              <w:top w:val="nil"/>
              <w:left w:val="nil"/>
              <w:bottom w:val="nil"/>
              <w:right w:val="nil"/>
            </w:tcBorders>
            <w:shd w:val="clear" w:color="auto" w:fill="auto"/>
            <w:noWrap/>
            <w:vAlign w:val="bottom"/>
            <w:hideMark/>
          </w:tcPr>
          <w:p w14:paraId="201EDC9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5B01F71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7570B31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7F94ABF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059503D0"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4AF91AD5" w14:textId="77777777" w:rsidTr="0073507F">
        <w:trPr>
          <w:trHeight w:val="300"/>
        </w:trPr>
        <w:tc>
          <w:tcPr>
            <w:tcW w:w="419" w:type="dxa"/>
            <w:tcBorders>
              <w:top w:val="nil"/>
              <w:left w:val="nil"/>
              <w:bottom w:val="nil"/>
              <w:right w:val="nil"/>
            </w:tcBorders>
            <w:shd w:val="clear" w:color="auto" w:fill="auto"/>
            <w:noWrap/>
            <w:vAlign w:val="bottom"/>
            <w:hideMark/>
          </w:tcPr>
          <w:p w14:paraId="1DD3406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4C59832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Cost of Good Sold</w:t>
            </w:r>
          </w:p>
        </w:tc>
        <w:tc>
          <w:tcPr>
            <w:tcW w:w="875" w:type="dxa"/>
            <w:gridSpan w:val="2"/>
            <w:tcBorders>
              <w:top w:val="nil"/>
              <w:left w:val="nil"/>
              <w:bottom w:val="nil"/>
              <w:right w:val="nil"/>
            </w:tcBorders>
            <w:shd w:val="clear" w:color="auto" w:fill="auto"/>
            <w:noWrap/>
            <w:vAlign w:val="bottom"/>
            <w:hideMark/>
          </w:tcPr>
          <w:p w14:paraId="21097F0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751.6</w:t>
            </w:r>
          </w:p>
        </w:tc>
        <w:tc>
          <w:tcPr>
            <w:tcW w:w="1120" w:type="dxa"/>
            <w:gridSpan w:val="2"/>
            <w:tcBorders>
              <w:top w:val="nil"/>
              <w:left w:val="nil"/>
              <w:bottom w:val="nil"/>
              <w:right w:val="nil"/>
            </w:tcBorders>
            <w:shd w:val="clear" w:color="auto" w:fill="auto"/>
            <w:noWrap/>
            <w:vAlign w:val="bottom"/>
            <w:hideMark/>
          </w:tcPr>
          <w:p w14:paraId="045B262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500.7</w:t>
            </w:r>
          </w:p>
        </w:tc>
        <w:tc>
          <w:tcPr>
            <w:tcW w:w="960" w:type="dxa"/>
            <w:gridSpan w:val="2"/>
            <w:tcBorders>
              <w:top w:val="nil"/>
              <w:left w:val="nil"/>
              <w:bottom w:val="nil"/>
              <w:right w:val="nil"/>
            </w:tcBorders>
            <w:shd w:val="clear" w:color="auto" w:fill="auto"/>
            <w:noWrap/>
            <w:vAlign w:val="bottom"/>
            <w:hideMark/>
          </w:tcPr>
          <w:p w14:paraId="37D3949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642.7</w:t>
            </w:r>
          </w:p>
        </w:tc>
      </w:tr>
      <w:tr w:rsidR="00A361CF" w:rsidRPr="00A361CF" w14:paraId="27A10D6D" w14:textId="77777777" w:rsidTr="0073507F">
        <w:trPr>
          <w:trHeight w:val="300"/>
        </w:trPr>
        <w:tc>
          <w:tcPr>
            <w:tcW w:w="419" w:type="dxa"/>
            <w:tcBorders>
              <w:top w:val="nil"/>
              <w:left w:val="nil"/>
              <w:bottom w:val="nil"/>
              <w:right w:val="nil"/>
            </w:tcBorders>
            <w:shd w:val="clear" w:color="auto" w:fill="auto"/>
            <w:noWrap/>
            <w:vAlign w:val="bottom"/>
            <w:hideMark/>
          </w:tcPr>
          <w:p w14:paraId="5187486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4DF0736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Average Inventory (average of opening and closing values)</w:t>
            </w:r>
          </w:p>
        </w:tc>
        <w:tc>
          <w:tcPr>
            <w:tcW w:w="875" w:type="dxa"/>
            <w:gridSpan w:val="2"/>
            <w:tcBorders>
              <w:top w:val="nil"/>
              <w:left w:val="nil"/>
              <w:bottom w:val="nil"/>
              <w:right w:val="nil"/>
            </w:tcBorders>
            <w:shd w:val="clear" w:color="auto" w:fill="auto"/>
            <w:noWrap/>
            <w:vAlign w:val="bottom"/>
            <w:hideMark/>
          </w:tcPr>
          <w:p w14:paraId="1C87F8C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202.1</w:t>
            </w:r>
          </w:p>
        </w:tc>
        <w:tc>
          <w:tcPr>
            <w:tcW w:w="1120" w:type="dxa"/>
            <w:gridSpan w:val="2"/>
            <w:tcBorders>
              <w:top w:val="nil"/>
              <w:left w:val="nil"/>
              <w:bottom w:val="nil"/>
              <w:right w:val="nil"/>
            </w:tcBorders>
            <w:shd w:val="clear" w:color="auto" w:fill="auto"/>
            <w:noWrap/>
            <w:vAlign w:val="bottom"/>
            <w:hideMark/>
          </w:tcPr>
          <w:p w14:paraId="2760CE2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204.05</w:t>
            </w:r>
          </w:p>
        </w:tc>
        <w:tc>
          <w:tcPr>
            <w:tcW w:w="960" w:type="dxa"/>
            <w:gridSpan w:val="2"/>
            <w:tcBorders>
              <w:top w:val="nil"/>
              <w:left w:val="nil"/>
              <w:bottom w:val="nil"/>
              <w:right w:val="nil"/>
            </w:tcBorders>
            <w:shd w:val="clear" w:color="auto" w:fill="auto"/>
            <w:noWrap/>
            <w:vAlign w:val="bottom"/>
            <w:hideMark/>
          </w:tcPr>
          <w:p w14:paraId="47D092E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183</w:t>
            </w:r>
          </w:p>
        </w:tc>
      </w:tr>
      <w:tr w:rsidR="00A361CF" w:rsidRPr="00A361CF" w14:paraId="24CE741A" w14:textId="77777777" w:rsidTr="0073507F">
        <w:trPr>
          <w:trHeight w:val="300"/>
        </w:trPr>
        <w:tc>
          <w:tcPr>
            <w:tcW w:w="419" w:type="dxa"/>
            <w:tcBorders>
              <w:top w:val="nil"/>
              <w:left w:val="nil"/>
              <w:bottom w:val="nil"/>
              <w:right w:val="nil"/>
            </w:tcBorders>
            <w:shd w:val="clear" w:color="auto" w:fill="auto"/>
            <w:noWrap/>
            <w:vAlign w:val="bottom"/>
            <w:hideMark/>
          </w:tcPr>
          <w:p w14:paraId="688CD015"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7D17AC6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103D4E59"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1AF373E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08B1B73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B283F6E"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48C8FD"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13</w:t>
            </w:r>
          </w:p>
        </w:tc>
        <w:tc>
          <w:tcPr>
            <w:tcW w:w="595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653469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 xml:space="preserve">Inventory Turnover </w:t>
            </w:r>
          </w:p>
        </w:tc>
        <w:tc>
          <w:tcPr>
            <w:tcW w:w="875"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03C7B69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3.72</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1FB3BCD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2.45</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4D60F1C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3.51</w:t>
            </w:r>
          </w:p>
        </w:tc>
      </w:tr>
      <w:tr w:rsidR="00A361CF" w:rsidRPr="00A361CF" w14:paraId="2DF199BF" w14:textId="77777777" w:rsidTr="0073507F">
        <w:trPr>
          <w:trHeight w:val="300"/>
        </w:trPr>
        <w:tc>
          <w:tcPr>
            <w:tcW w:w="419" w:type="dxa"/>
            <w:tcBorders>
              <w:top w:val="nil"/>
              <w:left w:val="nil"/>
              <w:bottom w:val="nil"/>
              <w:right w:val="nil"/>
            </w:tcBorders>
            <w:shd w:val="clear" w:color="auto" w:fill="auto"/>
            <w:noWrap/>
            <w:vAlign w:val="bottom"/>
            <w:hideMark/>
          </w:tcPr>
          <w:p w14:paraId="72161428"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5410416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0EA93A6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D312C5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327E2F8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C8C680E" w14:textId="77777777" w:rsidTr="0073507F">
        <w:trPr>
          <w:trHeight w:val="300"/>
        </w:trPr>
        <w:tc>
          <w:tcPr>
            <w:tcW w:w="419" w:type="dxa"/>
            <w:tcBorders>
              <w:top w:val="nil"/>
              <w:left w:val="nil"/>
              <w:bottom w:val="nil"/>
              <w:right w:val="nil"/>
            </w:tcBorders>
            <w:shd w:val="clear" w:color="auto" w:fill="auto"/>
            <w:noWrap/>
            <w:vAlign w:val="bottom"/>
            <w:hideMark/>
          </w:tcPr>
          <w:p w14:paraId="28A3F01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343F0CB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71D8425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1076E13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3BAB0FD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0DE0B80B" w14:textId="77777777" w:rsidTr="0073507F">
        <w:trPr>
          <w:trHeight w:val="300"/>
        </w:trPr>
        <w:tc>
          <w:tcPr>
            <w:tcW w:w="419" w:type="dxa"/>
            <w:tcBorders>
              <w:top w:val="nil"/>
              <w:left w:val="nil"/>
              <w:bottom w:val="nil"/>
              <w:right w:val="nil"/>
            </w:tcBorders>
            <w:shd w:val="clear" w:color="auto" w:fill="auto"/>
            <w:noWrap/>
            <w:vAlign w:val="bottom"/>
            <w:hideMark/>
          </w:tcPr>
          <w:p w14:paraId="2180A19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5EC4537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Days Payable Outstanding (DPO)</w:t>
            </w:r>
          </w:p>
        </w:tc>
        <w:tc>
          <w:tcPr>
            <w:tcW w:w="875" w:type="dxa"/>
            <w:gridSpan w:val="2"/>
            <w:tcBorders>
              <w:top w:val="nil"/>
              <w:left w:val="nil"/>
              <w:bottom w:val="nil"/>
              <w:right w:val="nil"/>
            </w:tcBorders>
            <w:shd w:val="clear" w:color="auto" w:fill="auto"/>
            <w:noWrap/>
            <w:vAlign w:val="bottom"/>
            <w:hideMark/>
          </w:tcPr>
          <w:p w14:paraId="2CC37AE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624F25B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1165EA7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42BF3F96" w14:textId="77777777" w:rsidTr="0073507F">
        <w:trPr>
          <w:trHeight w:val="300"/>
        </w:trPr>
        <w:tc>
          <w:tcPr>
            <w:tcW w:w="419" w:type="dxa"/>
            <w:tcBorders>
              <w:top w:val="nil"/>
              <w:left w:val="nil"/>
              <w:bottom w:val="nil"/>
              <w:right w:val="nil"/>
            </w:tcBorders>
            <w:shd w:val="clear" w:color="auto" w:fill="auto"/>
            <w:noWrap/>
            <w:vAlign w:val="bottom"/>
            <w:hideMark/>
          </w:tcPr>
          <w:p w14:paraId="0101253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23FC55D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2275E3D0"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1FB1653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7384A51D"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0658F7F9" w14:textId="77777777" w:rsidTr="0073507F">
        <w:trPr>
          <w:trHeight w:val="300"/>
        </w:trPr>
        <w:tc>
          <w:tcPr>
            <w:tcW w:w="419" w:type="dxa"/>
            <w:tcBorders>
              <w:top w:val="nil"/>
              <w:left w:val="nil"/>
              <w:bottom w:val="nil"/>
              <w:right w:val="nil"/>
            </w:tcBorders>
            <w:shd w:val="clear" w:color="auto" w:fill="auto"/>
            <w:noWrap/>
            <w:vAlign w:val="bottom"/>
            <w:hideMark/>
          </w:tcPr>
          <w:p w14:paraId="3DF72AE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4E355F0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Trade and other payables</w:t>
            </w:r>
          </w:p>
        </w:tc>
        <w:tc>
          <w:tcPr>
            <w:tcW w:w="875" w:type="dxa"/>
            <w:gridSpan w:val="2"/>
            <w:tcBorders>
              <w:top w:val="nil"/>
              <w:left w:val="nil"/>
              <w:bottom w:val="nil"/>
              <w:right w:val="nil"/>
            </w:tcBorders>
            <w:shd w:val="clear" w:color="auto" w:fill="auto"/>
            <w:noWrap/>
            <w:vAlign w:val="bottom"/>
            <w:hideMark/>
          </w:tcPr>
          <w:p w14:paraId="708B15C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730.8</w:t>
            </w:r>
          </w:p>
        </w:tc>
        <w:tc>
          <w:tcPr>
            <w:tcW w:w="1120" w:type="dxa"/>
            <w:gridSpan w:val="2"/>
            <w:tcBorders>
              <w:top w:val="nil"/>
              <w:left w:val="nil"/>
              <w:bottom w:val="nil"/>
              <w:right w:val="nil"/>
            </w:tcBorders>
            <w:shd w:val="clear" w:color="auto" w:fill="auto"/>
            <w:noWrap/>
            <w:vAlign w:val="bottom"/>
            <w:hideMark/>
          </w:tcPr>
          <w:p w14:paraId="22CEB69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586.4</w:t>
            </w:r>
          </w:p>
        </w:tc>
        <w:tc>
          <w:tcPr>
            <w:tcW w:w="960" w:type="dxa"/>
            <w:gridSpan w:val="2"/>
            <w:tcBorders>
              <w:top w:val="nil"/>
              <w:left w:val="nil"/>
              <w:bottom w:val="nil"/>
              <w:right w:val="nil"/>
            </w:tcBorders>
            <w:shd w:val="clear" w:color="auto" w:fill="auto"/>
            <w:noWrap/>
            <w:vAlign w:val="bottom"/>
            <w:hideMark/>
          </w:tcPr>
          <w:p w14:paraId="6F4006F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743.5</w:t>
            </w:r>
          </w:p>
        </w:tc>
      </w:tr>
      <w:tr w:rsidR="00A361CF" w:rsidRPr="00A361CF" w14:paraId="203576A1" w14:textId="77777777" w:rsidTr="0073507F">
        <w:trPr>
          <w:trHeight w:val="300"/>
        </w:trPr>
        <w:tc>
          <w:tcPr>
            <w:tcW w:w="419" w:type="dxa"/>
            <w:tcBorders>
              <w:top w:val="nil"/>
              <w:left w:val="nil"/>
              <w:bottom w:val="nil"/>
              <w:right w:val="nil"/>
            </w:tcBorders>
            <w:shd w:val="clear" w:color="auto" w:fill="auto"/>
            <w:noWrap/>
            <w:vAlign w:val="bottom"/>
            <w:hideMark/>
          </w:tcPr>
          <w:p w14:paraId="1E2DB9D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5B3F314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COGS/day</w:t>
            </w:r>
          </w:p>
        </w:tc>
        <w:tc>
          <w:tcPr>
            <w:tcW w:w="875" w:type="dxa"/>
            <w:gridSpan w:val="2"/>
            <w:tcBorders>
              <w:top w:val="nil"/>
              <w:left w:val="nil"/>
              <w:bottom w:val="nil"/>
              <w:right w:val="nil"/>
            </w:tcBorders>
            <w:shd w:val="clear" w:color="auto" w:fill="auto"/>
            <w:noWrap/>
            <w:vAlign w:val="bottom"/>
            <w:hideMark/>
          </w:tcPr>
          <w:p w14:paraId="2252C8F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2.0592</w:t>
            </w:r>
          </w:p>
        </w:tc>
        <w:tc>
          <w:tcPr>
            <w:tcW w:w="1120" w:type="dxa"/>
            <w:gridSpan w:val="2"/>
            <w:tcBorders>
              <w:top w:val="nil"/>
              <w:left w:val="nil"/>
              <w:bottom w:val="nil"/>
              <w:right w:val="nil"/>
            </w:tcBorders>
            <w:shd w:val="clear" w:color="auto" w:fill="auto"/>
            <w:noWrap/>
            <w:vAlign w:val="bottom"/>
            <w:hideMark/>
          </w:tcPr>
          <w:p w14:paraId="5CF4607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1.3718</w:t>
            </w:r>
          </w:p>
        </w:tc>
        <w:tc>
          <w:tcPr>
            <w:tcW w:w="960" w:type="dxa"/>
            <w:gridSpan w:val="2"/>
            <w:tcBorders>
              <w:top w:val="nil"/>
              <w:left w:val="nil"/>
              <w:bottom w:val="nil"/>
              <w:right w:val="nil"/>
            </w:tcBorders>
            <w:shd w:val="clear" w:color="auto" w:fill="auto"/>
            <w:noWrap/>
            <w:vAlign w:val="bottom"/>
            <w:hideMark/>
          </w:tcPr>
          <w:p w14:paraId="262623B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1.7608</w:t>
            </w:r>
          </w:p>
        </w:tc>
      </w:tr>
      <w:tr w:rsidR="00A361CF" w:rsidRPr="00A361CF" w14:paraId="36A79F52" w14:textId="77777777" w:rsidTr="0073507F">
        <w:trPr>
          <w:trHeight w:val="300"/>
        </w:trPr>
        <w:tc>
          <w:tcPr>
            <w:tcW w:w="419" w:type="dxa"/>
            <w:tcBorders>
              <w:top w:val="nil"/>
              <w:left w:val="nil"/>
              <w:bottom w:val="nil"/>
              <w:right w:val="nil"/>
            </w:tcBorders>
            <w:shd w:val="clear" w:color="auto" w:fill="auto"/>
            <w:noWrap/>
            <w:vAlign w:val="bottom"/>
            <w:hideMark/>
          </w:tcPr>
          <w:p w14:paraId="3E14D315"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3FF2A93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5B53767B"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2BF5270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76E7D37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31FC12D"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97DDA3"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14</w:t>
            </w:r>
          </w:p>
        </w:tc>
        <w:tc>
          <w:tcPr>
            <w:tcW w:w="5950" w:type="dxa"/>
            <w:gridSpan w:val="2"/>
            <w:tcBorders>
              <w:top w:val="single" w:sz="4" w:space="0" w:color="auto"/>
              <w:left w:val="nil"/>
              <w:bottom w:val="single" w:sz="4" w:space="0" w:color="auto"/>
              <w:right w:val="single" w:sz="4" w:space="0" w:color="auto"/>
            </w:tcBorders>
            <w:shd w:val="clear" w:color="auto" w:fill="auto"/>
            <w:noWrap/>
            <w:vAlign w:val="bottom"/>
            <w:hideMark/>
          </w:tcPr>
          <w:p w14:paraId="781E8FAD"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DPO to nearest number of days</w:t>
            </w:r>
          </w:p>
        </w:tc>
        <w:tc>
          <w:tcPr>
            <w:tcW w:w="875"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477ADB6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355</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4F3FEC7D"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427</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62604AB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422</w:t>
            </w:r>
          </w:p>
        </w:tc>
      </w:tr>
      <w:tr w:rsidR="00A361CF" w:rsidRPr="00A361CF" w14:paraId="0295D35A" w14:textId="77777777" w:rsidTr="0073507F">
        <w:trPr>
          <w:trHeight w:val="300"/>
        </w:trPr>
        <w:tc>
          <w:tcPr>
            <w:tcW w:w="419" w:type="dxa"/>
            <w:tcBorders>
              <w:top w:val="nil"/>
              <w:left w:val="nil"/>
              <w:bottom w:val="nil"/>
              <w:right w:val="nil"/>
            </w:tcBorders>
            <w:shd w:val="clear" w:color="auto" w:fill="auto"/>
            <w:noWrap/>
            <w:vAlign w:val="bottom"/>
            <w:hideMark/>
          </w:tcPr>
          <w:p w14:paraId="14429BA4"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5A59903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38FE32D9"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0AF1706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6B71AA0E"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A667341" w14:textId="77777777" w:rsidTr="0073507F">
        <w:trPr>
          <w:trHeight w:val="300"/>
        </w:trPr>
        <w:tc>
          <w:tcPr>
            <w:tcW w:w="419" w:type="dxa"/>
            <w:tcBorders>
              <w:top w:val="nil"/>
              <w:left w:val="nil"/>
              <w:bottom w:val="nil"/>
              <w:right w:val="nil"/>
            </w:tcBorders>
            <w:shd w:val="clear" w:color="auto" w:fill="auto"/>
            <w:noWrap/>
            <w:vAlign w:val="bottom"/>
            <w:hideMark/>
          </w:tcPr>
          <w:p w14:paraId="48D9C55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6574637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3D179F7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4E4CB77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7028703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2C13D00F" w14:textId="77777777" w:rsidTr="0073507F">
        <w:trPr>
          <w:trHeight w:val="300"/>
        </w:trPr>
        <w:tc>
          <w:tcPr>
            <w:tcW w:w="419" w:type="dxa"/>
            <w:tcBorders>
              <w:top w:val="nil"/>
              <w:left w:val="nil"/>
              <w:bottom w:val="nil"/>
              <w:right w:val="nil"/>
            </w:tcBorders>
            <w:shd w:val="clear" w:color="auto" w:fill="auto"/>
            <w:noWrap/>
            <w:vAlign w:val="bottom"/>
            <w:hideMark/>
          </w:tcPr>
          <w:p w14:paraId="27606D2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000000" w:fill="FFFF00"/>
            <w:noWrap/>
            <w:vAlign w:val="bottom"/>
            <w:hideMark/>
          </w:tcPr>
          <w:p w14:paraId="3947C07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Days Payable Outstanding Trade Creditors ONLY</w:t>
            </w:r>
          </w:p>
        </w:tc>
        <w:tc>
          <w:tcPr>
            <w:tcW w:w="875" w:type="dxa"/>
            <w:gridSpan w:val="2"/>
            <w:tcBorders>
              <w:top w:val="nil"/>
              <w:left w:val="nil"/>
              <w:bottom w:val="nil"/>
              <w:right w:val="nil"/>
            </w:tcBorders>
            <w:shd w:val="clear" w:color="auto" w:fill="auto"/>
            <w:noWrap/>
            <w:vAlign w:val="bottom"/>
            <w:hideMark/>
          </w:tcPr>
          <w:p w14:paraId="10AF6C8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gridSpan w:val="2"/>
            <w:tcBorders>
              <w:top w:val="nil"/>
              <w:left w:val="nil"/>
              <w:bottom w:val="nil"/>
              <w:right w:val="nil"/>
            </w:tcBorders>
            <w:shd w:val="clear" w:color="auto" w:fill="auto"/>
            <w:noWrap/>
            <w:vAlign w:val="bottom"/>
            <w:hideMark/>
          </w:tcPr>
          <w:p w14:paraId="34E31B9C"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gridSpan w:val="2"/>
            <w:tcBorders>
              <w:top w:val="nil"/>
              <w:left w:val="nil"/>
              <w:bottom w:val="nil"/>
              <w:right w:val="nil"/>
            </w:tcBorders>
            <w:shd w:val="clear" w:color="auto" w:fill="auto"/>
            <w:noWrap/>
            <w:vAlign w:val="bottom"/>
            <w:hideMark/>
          </w:tcPr>
          <w:p w14:paraId="07A6FBB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4FCF184D" w14:textId="77777777" w:rsidTr="0073507F">
        <w:trPr>
          <w:trHeight w:val="300"/>
        </w:trPr>
        <w:tc>
          <w:tcPr>
            <w:tcW w:w="419" w:type="dxa"/>
            <w:tcBorders>
              <w:top w:val="nil"/>
              <w:left w:val="nil"/>
              <w:bottom w:val="nil"/>
              <w:right w:val="nil"/>
            </w:tcBorders>
            <w:shd w:val="clear" w:color="auto" w:fill="auto"/>
            <w:noWrap/>
            <w:vAlign w:val="bottom"/>
            <w:hideMark/>
          </w:tcPr>
          <w:p w14:paraId="0F219FD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17FE1DD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0ACBFBC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4E85E07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0102499F"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06DB5A88" w14:textId="77777777" w:rsidTr="0073507F">
        <w:trPr>
          <w:trHeight w:val="300"/>
        </w:trPr>
        <w:tc>
          <w:tcPr>
            <w:tcW w:w="419" w:type="dxa"/>
            <w:tcBorders>
              <w:top w:val="nil"/>
              <w:left w:val="nil"/>
              <w:bottom w:val="nil"/>
              <w:right w:val="nil"/>
            </w:tcBorders>
            <w:shd w:val="clear" w:color="auto" w:fill="auto"/>
            <w:noWrap/>
            <w:vAlign w:val="bottom"/>
            <w:hideMark/>
          </w:tcPr>
          <w:p w14:paraId="56E41D0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0839D5A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Trade Payables</w:t>
            </w:r>
          </w:p>
        </w:tc>
        <w:tc>
          <w:tcPr>
            <w:tcW w:w="875" w:type="dxa"/>
            <w:gridSpan w:val="2"/>
            <w:tcBorders>
              <w:top w:val="nil"/>
              <w:left w:val="nil"/>
              <w:bottom w:val="nil"/>
              <w:right w:val="nil"/>
            </w:tcBorders>
            <w:shd w:val="clear" w:color="auto" w:fill="auto"/>
            <w:noWrap/>
            <w:vAlign w:val="bottom"/>
            <w:hideMark/>
          </w:tcPr>
          <w:p w14:paraId="2DC55DA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134.1</w:t>
            </w:r>
          </w:p>
        </w:tc>
        <w:tc>
          <w:tcPr>
            <w:tcW w:w="1120" w:type="dxa"/>
            <w:gridSpan w:val="2"/>
            <w:tcBorders>
              <w:top w:val="nil"/>
              <w:left w:val="nil"/>
              <w:bottom w:val="nil"/>
              <w:right w:val="nil"/>
            </w:tcBorders>
            <w:shd w:val="clear" w:color="auto" w:fill="auto"/>
            <w:noWrap/>
            <w:vAlign w:val="bottom"/>
            <w:hideMark/>
          </w:tcPr>
          <w:p w14:paraId="07A6932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104.3</w:t>
            </w:r>
          </w:p>
        </w:tc>
        <w:tc>
          <w:tcPr>
            <w:tcW w:w="960" w:type="dxa"/>
            <w:gridSpan w:val="2"/>
            <w:tcBorders>
              <w:top w:val="nil"/>
              <w:left w:val="nil"/>
              <w:bottom w:val="nil"/>
              <w:right w:val="nil"/>
            </w:tcBorders>
            <w:shd w:val="clear" w:color="auto" w:fill="auto"/>
            <w:noWrap/>
            <w:vAlign w:val="bottom"/>
            <w:hideMark/>
          </w:tcPr>
          <w:p w14:paraId="1C69187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138.5</w:t>
            </w:r>
          </w:p>
        </w:tc>
      </w:tr>
      <w:tr w:rsidR="00A361CF" w:rsidRPr="00A361CF" w14:paraId="2CEF8F6E" w14:textId="77777777" w:rsidTr="0073507F">
        <w:trPr>
          <w:trHeight w:val="300"/>
        </w:trPr>
        <w:tc>
          <w:tcPr>
            <w:tcW w:w="419" w:type="dxa"/>
            <w:tcBorders>
              <w:top w:val="nil"/>
              <w:left w:val="nil"/>
              <w:bottom w:val="nil"/>
              <w:right w:val="nil"/>
            </w:tcBorders>
            <w:shd w:val="clear" w:color="auto" w:fill="auto"/>
            <w:noWrap/>
            <w:vAlign w:val="bottom"/>
            <w:hideMark/>
          </w:tcPr>
          <w:p w14:paraId="282CBEB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50" w:type="dxa"/>
            <w:gridSpan w:val="2"/>
            <w:tcBorders>
              <w:top w:val="nil"/>
              <w:left w:val="nil"/>
              <w:bottom w:val="nil"/>
              <w:right w:val="nil"/>
            </w:tcBorders>
            <w:shd w:val="clear" w:color="auto" w:fill="auto"/>
            <w:noWrap/>
            <w:vAlign w:val="bottom"/>
            <w:hideMark/>
          </w:tcPr>
          <w:p w14:paraId="579D4BD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COGS/day</w:t>
            </w:r>
          </w:p>
        </w:tc>
        <w:tc>
          <w:tcPr>
            <w:tcW w:w="875" w:type="dxa"/>
            <w:gridSpan w:val="2"/>
            <w:tcBorders>
              <w:top w:val="nil"/>
              <w:left w:val="nil"/>
              <w:bottom w:val="nil"/>
              <w:right w:val="nil"/>
            </w:tcBorders>
            <w:shd w:val="clear" w:color="auto" w:fill="auto"/>
            <w:noWrap/>
            <w:vAlign w:val="bottom"/>
            <w:hideMark/>
          </w:tcPr>
          <w:p w14:paraId="4874783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2.0592</w:t>
            </w:r>
          </w:p>
        </w:tc>
        <w:tc>
          <w:tcPr>
            <w:tcW w:w="1120" w:type="dxa"/>
            <w:gridSpan w:val="2"/>
            <w:tcBorders>
              <w:top w:val="nil"/>
              <w:left w:val="nil"/>
              <w:bottom w:val="nil"/>
              <w:right w:val="nil"/>
            </w:tcBorders>
            <w:shd w:val="clear" w:color="auto" w:fill="auto"/>
            <w:noWrap/>
            <w:vAlign w:val="bottom"/>
            <w:hideMark/>
          </w:tcPr>
          <w:p w14:paraId="373587E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1.3718</w:t>
            </w:r>
          </w:p>
        </w:tc>
        <w:tc>
          <w:tcPr>
            <w:tcW w:w="960" w:type="dxa"/>
            <w:gridSpan w:val="2"/>
            <w:tcBorders>
              <w:top w:val="nil"/>
              <w:left w:val="nil"/>
              <w:bottom w:val="nil"/>
              <w:right w:val="nil"/>
            </w:tcBorders>
            <w:shd w:val="clear" w:color="auto" w:fill="auto"/>
            <w:noWrap/>
            <w:vAlign w:val="bottom"/>
            <w:hideMark/>
          </w:tcPr>
          <w:p w14:paraId="1BABE7F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1.7608</w:t>
            </w:r>
          </w:p>
        </w:tc>
      </w:tr>
      <w:tr w:rsidR="00A361CF" w:rsidRPr="00A361CF" w14:paraId="2261A8A3" w14:textId="77777777" w:rsidTr="0073507F">
        <w:trPr>
          <w:trHeight w:val="300"/>
        </w:trPr>
        <w:tc>
          <w:tcPr>
            <w:tcW w:w="419" w:type="dxa"/>
            <w:tcBorders>
              <w:top w:val="nil"/>
              <w:left w:val="nil"/>
              <w:bottom w:val="nil"/>
              <w:right w:val="nil"/>
            </w:tcBorders>
            <w:shd w:val="clear" w:color="auto" w:fill="auto"/>
            <w:noWrap/>
            <w:vAlign w:val="bottom"/>
            <w:hideMark/>
          </w:tcPr>
          <w:p w14:paraId="7D5E437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50" w:type="dxa"/>
            <w:gridSpan w:val="2"/>
            <w:tcBorders>
              <w:top w:val="nil"/>
              <w:left w:val="nil"/>
              <w:bottom w:val="nil"/>
              <w:right w:val="nil"/>
            </w:tcBorders>
            <w:shd w:val="clear" w:color="auto" w:fill="auto"/>
            <w:noWrap/>
            <w:vAlign w:val="bottom"/>
            <w:hideMark/>
          </w:tcPr>
          <w:p w14:paraId="244F9B5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875" w:type="dxa"/>
            <w:gridSpan w:val="2"/>
            <w:tcBorders>
              <w:top w:val="nil"/>
              <w:left w:val="nil"/>
              <w:bottom w:val="nil"/>
              <w:right w:val="nil"/>
            </w:tcBorders>
            <w:shd w:val="clear" w:color="auto" w:fill="auto"/>
            <w:noWrap/>
            <w:vAlign w:val="bottom"/>
            <w:hideMark/>
          </w:tcPr>
          <w:p w14:paraId="1D06B0A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gridSpan w:val="2"/>
            <w:tcBorders>
              <w:top w:val="nil"/>
              <w:left w:val="nil"/>
              <w:bottom w:val="nil"/>
              <w:right w:val="nil"/>
            </w:tcBorders>
            <w:shd w:val="clear" w:color="auto" w:fill="auto"/>
            <w:noWrap/>
            <w:vAlign w:val="bottom"/>
            <w:hideMark/>
          </w:tcPr>
          <w:p w14:paraId="24B4711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gridSpan w:val="2"/>
            <w:tcBorders>
              <w:top w:val="nil"/>
              <w:left w:val="nil"/>
              <w:bottom w:val="nil"/>
              <w:right w:val="nil"/>
            </w:tcBorders>
            <w:shd w:val="clear" w:color="auto" w:fill="auto"/>
            <w:noWrap/>
            <w:vAlign w:val="bottom"/>
            <w:hideMark/>
          </w:tcPr>
          <w:p w14:paraId="3962E7C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62EA8D2"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8F40AC"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15</w:t>
            </w:r>
          </w:p>
        </w:tc>
        <w:tc>
          <w:tcPr>
            <w:tcW w:w="5950" w:type="dxa"/>
            <w:gridSpan w:val="2"/>
            <w:tcBorders>
              <w:top w:val="single" w:sz="4" w:space="0" w:color="auto"/>
              <w:left w:val="nil"/>
              <w:bottom w:val="single" w:sz="4" w:space="0" w:color="auto"/>
              <w:right w:val="single" w:sz="4" w:space="0" w:color="auto"/>
            </w:tcBorders>
            <w:shd w:val="clear" w:color="auto" w:fill="auto"/>
            <w:noWrap/>
            <w:vAlign w:val="bottom"/>
            <w:hideMark/>
          </w:tcPr>
          <w:p w14:paraId="6DB0B69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Restated DPO to nearest number of days</w:t>
            </w:r>
          </w:p>
        </w:tc>
        <w:tc>
          <w:tcPr>
            <w:tcW w:w="875"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2F5989DC"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65</w:t>
            </w:r>
          </w:p>
        </w:tc>
        <w:tc>
          <w:tcPr>
            <w:tcW w:w="112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190A9005"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76</w:t>
            </w:r>
          </w:p>
        </w:tc>
        <w:tc>
          <w:tcPr>
            <w:tcW w:w="960" w:type="dxa"/>
            <w:gridSpan w:val="2"/>
            <w:tcBorders>
              <w:top w:val="single" w:sz="4" w:space="0" w:color="auto"/>
              <w:left w:val="nil"/>
              <w:bottom w:val="single" w:sz="4" w:space="0" w:color="auto"/>
              <w:right w:val="single" w:sz="4" w:space="0" w:color="auto"/>
            </w:tcBorders>
            <w:shd w:val="clear" w:color="000000" w:fill="E2EFDA"/>
            <w:noWrap/>
            <w:vAlign w:val="bottom"/>
            <w:hideMark/>
          </w:tcPr>
          <w:p w14:paraId="4543D42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79</w:t>
            </w:r>
          </w:p>
        </w:tc>
      </w:tr>
    </w:tbl>
    <w:p w14:paraId="1B3250D9" w14:textId="079CC655" w:rsidR="6D3EB64B" w:rsidRDefault="6D3EB64B" w:rsidP="6D3EB64B">
      <w:pPr>
        <w:rPr>
          <w:rFonts w:ascii="Calibri" w:eastAsia="Calibri" w:hAnsi="Calibri" w:cs="Calibri"/>
          <w:color w:val="000000" w:themeColor="text1"/>
        </w:rPr>
      </w:pPr>
    </w:p>
    <w:p w14:paraId="2152B400" w14:textId="2E0A01D4" w:rsidR="6D3EB64B" w:rsidRDefault="6D3EB64B" w:rsidP="6D3EB64B">
      <w:pPr>
        <w:rPr>
          <w:rFonts w:ascii="Calibri" w:eastAsia="Calibri" w:hAnsi="Calibri" w:cs="Calibri"/>
          <w:color w:val="000000" w:themeColor="text1"/>
        </w:rPr>
      </w:pPr>
    </w:p>
    <w:p w14:paraId="6DB63D99" w14:textId="528403D5" w:rsidR="6D3EB64B" w:rsidRDefault="6D3EB64B" w:rsidP="6D3EB64B">
      <w:pPr>
        <w:rPr>
          <w:rFonts w:ascii="Calibri" w:eastAsia="Calibri" w:hAnsi="Calibri" w:cs="Calibri"/>
          <w:color w:val="000000" w:themeColor="text1"/>
        </w:rPr>
      </w:pPr>
    </w:p>
    <w:tbl>
      <w:tblPr>
        <w:tblW w:w="9400" w:type="dxa"/>
        <w:tblLook w:val="04A0" w:firstRow="1" w:lastRow="0" w:firstColumn="1" w:lastColumn="0" w:noHBand="0" w:noVBand="1"/>
      </w:tblPr>
      <w:tblGrid>
        <w:gridCol w:w="419"/>
        <w:gridCol w:w="5978"/>
        <w:gridCol w:w="923"/>
        <w:gridCol w:w="1120"/>
        <w:gridCol w:w="960"/>
      </w:tblGrid>
      <w:tr w:rsidR="00A361CF" w:rsidRPr="00A361CF" w14:paraId="750EF2DC" w14:textId="77777777" w:rsidTr="0073507F">
        <w:trPr>
          <w:trHeight w:val="300"/>
        </w:trPr>
        <w:tc>
          <w:tcPr>
            <w:tcW w:w="7320" w:type="dxa"/>
            <w:gridSpan w:val="3"/>
            <w:tcBorders>
              <w:top w:val="nil"/>
              <w:left w:val="nil"/>
              <w:bottom w:val="nil"/>
              <w:right w:val="nil"/>
            </w:tcBorders>
            <w:shd w:val="clear" w:color="auto" w:fill="auto"/>
            <w:noWrap/>
            <w:vAlign w:val="bottom"/>
            <w:hideMark/>
          </w:tcPr>
          <w:p w14:paraId="6FA8F5DD" w14:textId="77777777" w:rsidR="00A361CF" w:rsidRPr="00A361CF" w:rsidRDefault="00A361CF" w:rsidP="00A361CF">
            <w:pPr>
              <w:spacing w:after="0" w:line="240" w:lineRule="auto"/>
              <w:rPr>
                <w:rFonts w:ascii="Calibri" w:eastAsia="Times New Roman" w:hAnsi="Calibri" w:cs="Calibri"/>
                <w:b/>
                <w:bCs/>
                <w:color w:val="000000"/>
                <w:sz w:val="20"/>
                <w:szCs w:val="20"/>
                <w:u w:val="single"/>
                <w:lang w:eastAsia="en-GB"/>
              </w:rPr>
            </w:pPr>
            <w:r w:rsidRPr="00A361CF">
              <w:rPr>
                <w:rFonts w:ascii="Calibri" w:eastAsia="Times New Roman" w:hAnsi="Calibri" w:cs="Calibri"/>
                <w:b/>
                <w:bCs/>
                <w:color w:val="000000"/>
                <w:sz w:val="20"/>
                <w:szCs w:val="20"/>
                <w:u w:val="single"/>
                <w:lang w:eastAsia="en-GB"/>
              </w:rPr>
              <w:t>ASTON MARTIN HOLDINGS LTD - RATIO CALCULATIONS  2019 to 2021 (3 years)</w:t>
            </w:r>
          </w:p>
        </w:tc>
        <w:tc>
          <w:tcPr>
            <w:tcW w:w="1120" w:type="dxa"/>
            <w:tcBorders>
              <w:top w:val="nil"/>
              <w:left w:val="nil"/>
              <w:bottom w:val="nil"/>
              <w:right w:val="nil"/>
            </w:tcBorders>
            <w:shd w:val="clear" w:color="auto" w:fill="auto"/>
            <w:noWrap/>
            <w:vAlign w:val="bottom"/>
            <w:hideMark/>
          </w:tcPr>
          <w:p w14:paraId="3FED15D2" w14:textId="77777777" w:rsidR="00A361CF" w:rsidRPr="00A361CF" w:rsidRDefault="00A361CF" w:rsidP="00A361CF">
            <w:pPr>
              <w:spacing w:after="0" w:line="240" w:lineRule="auto"/>
              <w:rPr>
                <w:rFonts w:ascii="Calibri" w:eastAsia="Times New Roman" w:hAnsi="Calibri" w:cs="Calibri"/>
                <w:b/>
                <w:bCs/>
                <w:color w:val="000000"/>
                <w:sz w:val="20"/>
                <w:szCs w:val="20"/>
                <w:u w:val="single"/>
                <w:lang w:eastAsia="en-GB"/>
              </w:rPr>
            </w:pPr>
          </w:p>
        </w:tc>
        <w:tc>
          <w:tcPr>
            <w:tcW w:w="960" w:type="dxa"/>
            <w:tcBorders>
              <w:top w:val="nil"/>
              <w:left w:val="nil"/>
              <w:bottom w:val="nil"/>
              <w:right w:val="nil"/>
            </w:tcBorders>
            <w:shd w:val="clear" w:color="auto" w:fill="auto"/>
            <w:noWrap/>
            <w:vAlign w:val="bottom"/>
            <w:hideMark/>
          </w:tcPr>
          <w:p w14:paraId="056B00EB"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0226F56" w14:textId="77777777" w:rsidTr="0073507F">
        <w:trPr>
          <w:trHeight w:val="300"/>
        </w:trPr>
        <w:tc>
          <w:tcPr>
            <w:tcW w:w="419" w:type="dxa"/>
            <w:tcBorders>
              <w:top w:val="nil"/>
              <w:left w:val="nil"/>
              <w:bottom w:val="nil"/>
              <w:right w:val="nil"/>
            </w:tcBorders>
            <w:shd w:val="clear" w:color="auto" w:fill="auto"/>
            <w:noWrap/>
            <w:vAlign w:val="bottom"/>
            <w:hideMark/>
          </w:tcPr>
          <w:p w14:paraId="5987EAAA"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4E4268A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64B4BF6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51FC73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2B0318"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03E2F128" w14:textId="77777777" w:rsidTr="0073507F">
        <w:trPr>
          <w:trHeight w:val="300"/>
        </w:trPr>
        <w:tc>
          <w:tcPr>
            <w:tcW w:w="419" w:type="dxa"/>
            <w:tcBorders>
              <w:top w:val="nil"/>
              <w:left w:val="nil"/>
              <w:bottom w:val="nil"/>
              <w:right w:val="nil"/>
            </w:tcBorders>
            <w:shd w:val="clear" w:color="auto" w:fill="auto"/>
            <w:noWrap/>
            <w:vAlign w:val="bottom"/>
            <w:hideMark/>
          </w:tcPr>
          <w:p w14:paraId="6415F1E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38ED5B6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Gearing Ratio</w:t>
            </w:r>
          </w:p>
        </w:tc>
        <w:tc>
          <w:tcPr>
            <w:tcW w:w="923" w:type="dxa"/>
            <w:tcBorders>
              <w:top w:val="nil"/>
              <w:left w:val="nil"/>
              <w:bottom w:val="nil"/>
              <w:right w:val="nil"/>
            </w:tcBorders>
            <w:shd w:val="clear" w:color="auto" w:fill="auto"/>
            <w:noWrap/>
            <w:vAlign w:val="bottom"/>
            <w:hideMark/>
          </w:tcPr>
          <w:p w14:paraId="04D8FC6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1358B24C"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4CBCD92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14A9A288" w14:textId="77777777" w:rsidTr="0073507F">
        <w:trPr>
          <w:trHeight w:val="300"/>
        </w:trPr>
        <w:tc>
          <w:tcPr>
            <w:tcW w:w="419" w:type="dxa"/>
            <w:tcBorders>
              <w:top w:val="nil"/>
              <w:left w:val="nil"/>
              <w:bottom w:val="nil"/>
              <w:right w:val="nil"/>
            </w:tcBorders>
            <w:shd w:val="clear" w:color="auto" w:fill="auto"/>
            <w:noWrap/>
            <w:vAlign w:val="bottom"/>
            <w:hideMark/>
          </w:tcPr>
          <w:p w14:paraId="344A2C0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1C88C21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58BD91B"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114C35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96B4FA"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415E575F" w14:textId="77777777" w:rsidTr="0073507F">
        <w:trPr>
          <w:trHeight w:val="300"/>
        </w:trPr>
        <w:tc>
          <w:tcPr>
            <w:tcW w:w="419" w:type="dxa"/>
            <w:tcBorders>
              <w:top w:val="nil"/>
              <w:left w:val="nil"/>
              <w:bottom w:val="nil"/>
              <w:right w:val="nil"/>
            </w:tcBorders>
            <w:shd w:val="clear" w:color="auto" w:fill="auto"/>
            <w:noWrap/>
            <w:vAlign w:val="bottom"/>
            <w:hideMark/>
          </w:tcPr>
          <w:p w14:paraId="4ACCE85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31FB1107" w14:textId="51110369"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Non</w:t>
            </w:r>
            <w:r>
              <w:rPr>
                <w:rFonts w:ascii="Calibri" w:eastAsia="Times New Roman" w:hAnsi="Calibri" w:cs="Calibri"/>
                <w:color w:val="000000"/>
                <w:sz w:val="20"/>
                <w:szCs w:val="20"/>
                <w:u w:val="single"/>
                <w:lang w:eastAsia="en-GB"/>
              </w:rPr>
              <w:t>-</w:t>
            </w:r>
            <w:r w:rsidRPr="00A361CF">
              <w:rPr>
                <w:rFonts w:ascii="Calibri" w:eastAsia="Times New Roman" w:hAnsi="Calibri" w:cs="Calibri"/>
                <w:color w:val="000000"/>
                <w:sz w:val="20"/>
                <w:szCs w:val="20"/>
                <w:u w:val="single"/>
                <w:lang w:eastAsia="en-GB"/>
              </w:rPr>
              <w:t>Current Liabilities x 100%</w:t>
            </w:r>
          </w:p>
        </w:tc>
        <w:tc>
          <w:tcPr>
            <w:tcW w:w="923" w:type="dxa"/>
            <w:tcBorders>
              <w:top w:val="nil"/>
              <w:left w:val="nil"/>
              <w:bottom w:val="nil"/>
              <w:right w:val="nil"/>
            </w:tcBorders>
            <w:shd w:val="clear" w:color="auto" w:fill="auto"/>
            <w:noWrap/>
            <w:vAlign w:val="bottom"/>
            <w:hideMark/>
          </w:tcPr>
          <w:p w14:paraId="07C8F9D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1276.9</w:t>
            </w:r>
          </w:p>
        </w:tc>
        <w:tc>
          <w:tcPr>
            <w:tcW w:w="1120" w:type="dxa"/>
            <w:tcBorders>
              <w:top w:val="nil"/>
              <w:left w:val="nil"/>
              <w:bottom w:val="nil"/>
              <w:right w:val="nil"/>
            </w:tcBorders>
            <w:shd w:val="clear" w:color="auto" w:fill="auto"/>
            <w:noWrap/>
            <w:vAlign w:val="bottom"/>
            <w:hideMark/>
          </w:tcPr>
          <w:p w14:paraId="4425346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1182.4</w:t>
            </w:r>
          </w:p>
        </w:tc>
        <w:tc>
          <w:tcPr>
            <w:tcW w:w="960" w:type="dxa"/>
            <w:tcBorders>
              <w:top w:val="nil"/>
              <w:left w:val="nil"/>
              <w:bottom w:val="nil"/>
              <w:right w:val="nil"/>
            </w:tcBorders>
            <w:shd w:val="clear" w:color="auto" w:fill="auto"/>
            <w:noWrap/>
            <w:vAlign w:val="bottom"/>
            <w:hideMark/>
          </w:tcPr>
          <w:p w14:paraId="6257121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1011.3</w:t>
            </w:r>
          </w:p>
        </w:tc>
      </w:tr>
      <w:tr w:rsidR="00A361CF" w:rsidRPr="00A361CF" w14:paraId="4BBD9D90" w14:textId="77777777" w:rsidTr="0073507F">
        <w:trPr>
          <w:trHeight w:val="300"/>
        </w:trPr>
        <w:tc>
          <w:tcPr>
            <w:tcW w:w="419" w:type="dxa"/>
            <w:tcBorders>
              <w:top w:val="nil"/>
              <w:left w:val="nil"/>
              <w:bottom w:val="nil"/>
              <w:right w:val="nil"/>
            </w:tcBorders>
            <w:shd w:val="clear" w:color="auto" w:fill="auto"/>
            <w:noWrap/>
            <w:vAlign w:val="bottom"/>
            <w:hideMark/>
          </w:tcPr>
          <w:p w14:paraId="5B4AAEE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5B23BFA2" w14:textId="3D994A90"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Equity Plus Non</w:t>
            </w:r>
            <w:r>
              <w:rPr>
                <w:rFonts w:ascii="Calibri" w:eastAsia="Times New Roman" w:hAnsi="Calibri" w:cs="Calibri"/>
                <w:color w:val="000000"/>
                <w:sz w:val="20"/>
                <w:szCs w:val="20"/>
                <w:lang w:eastAsia="en-GB"/>
              </w:rPr>
              <w:t>-</w:t>
            </w:r>
            <w:r w:rsidRPr="00A361CF">
              <w:rPr>
                <w:rFonts w:ascii="Calibri" w:eastAsia="Times New Roman" w:hAnsi="Calibri" w:cs="Calibri"/>
                <w:color w:val="000000"/>
                <w:sz w:val="20"/>
                <w:szCs w:val="20"/>
                <w:lang w:eastAsia="en-GB"/>
              </w:rPr>
              <w:t xml:space="preserve">Current Liabilities </w:t>
            </w:r>
          </w:p>
        </w:tc>
        <w:tc>
          <w:tcPr>
            <w:tcW w:w="923" w:type="dxa"/>
            <w:tcBorders>
              <w:top w:val="nil"/>
              <w:left w:val="nil"/>
              <w:bottom w:val="nil"/>
              <w:right w:val="nil"/>
            </w:tcBorders>
            <w:shd w:val="clear" w:color="auto" w:fill="auto"/>
            <w:noWrap/>
            <w:vAlign w:val="bottom"/>
            <w:hideMark/>
          </w:tcPr>
          <w:p w14:paraId="057B982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1937.3</w:t>
            </w:r>
          </w:p>
        </w:tc>
        <w:tc>
          <w:tcPr>
            <w:tcW w:w="1120" w:type="dxa"/>
            <w:tcBorders>
              <w:top w:val="nil"/>
              <w:left w:val="nil"/>
              <w:bottom w:val="nil"/>
              <w:right w:val="nil"/>
            </w:tcBorders>
            <w:shd w:val="clear" w:color="auto" w:fill="auto"/>
            <w:noWrap/>
            <w:vAlign w:val="bottom"/>
            <w:hideMark/>
          </w:tcPr>
          <w:p w14:paraId="7188ABA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1986.5</w:t>
            </w:r>
          </w:p>
        </w:tc>
        <w:tc>
          <w:tcPr>
            <w:tcW w:w="960" w:type="dxa"/>
            <w:tcBorders>
              <w:top w:val="nil"/>
              <w:left w:val="nil"/>
              <w:bottom w:val="nil"/>
              <w:right w:val="nil"/>
            </w:tcBorders>
            <w:shd w:val="clear" w:color="auto" w:fill="auto"/>
            <w:noWrap/>
            <w:vAlign w:val="bottom"/>
            <w:hideMark/>
          </w:tcPr>
          <w:p w14:paraId="232E8C0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1340.9</w:t>
            </w:r>
          </w:p>
        </w:tc>
      </w:tr>
      <w:tr w:rsidR="00A361CF" w:rsidRPr="00A361CF" w14:paraId="3B884833" w14:textId="77777777" w:rsidTr="0073507F">
        <w:trPr>
          <w:trHeight w:val="300"/>
        </w:trPr>
        <w:tc>
          <w:tcPr>
            <w:tcW w:w="419" w:type="dxa"/>
            <w:tcBorders>
              <w:top w:val="nil"/>
              <w:left w:val="nil"/>
              <w:bottom w:val="nil"/>
              <w:right w:val="nil"/>
            </w:tcBorders>
            <w:shd w:val="clear" w:color="auto" w:fill="auto"/>
            <w:noWrap/>
            <w:vAlign w:val="bottom"/>
            <w:hideMark/>
          </w:tcPr>
          <w:p w14:paraId="445274A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2A53091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E913F1A"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52EB0A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3C835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44ABD576"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4695F4"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16</w:t>
            </w:r>
          </w:p>
        </w:tc>
        <w:tc>
          <w:tcPr>
            <w:tcW w:w="5978" w:type="dxa"/>
            <w:tcBorders>
              <w:top w:val="single" w:sz="4" w:space="0" w:color="auto"/>
              <w:left w:val="nil"/>
              <w:bottom w:val="single" w:sz="4" w:space="0" w:color="auto"/>
              <w:right w:val="single" w:sz="4" w:space="0" w:color="auto"/>
            </w:tcBorders>
            <w:shd w:val="clear" w:color="auto" w:fill="auto"/>
            <w:noWrap/>
            <w:vAlign w:val="bottom"/>
            <w:hideMark/>
          </w:tcPr>
          <w:p w14:paraId="0CF3B225"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Gearing Percentage</w:t>
            </w:r>
          </w:p>
        </w:tc>
        <w:tc>
          <w:tcPr>
            <w:tcW w:w="923" w:type="dxa"/>
            <w:tcBorders>
              <w:top w:val="single" w:sz="4" w:space="0" w:color="auto"/>
              <w:left w:val="nil"/>
              <w:bottom w:val="single" w:sz="4" w:space="0" w:color="auto"/>
              <w:right w:val="single" w:sz="4" w:space="0" w:color="auto"/>
            </w:tcBorders>
            <w:shd w:val="clear" w:color="000000" w:fill="E2EFDA"/>
            <w:noWrap/>
            <w:vAlign w:val="bottom"/>
            <w:hideMark/>
          </w:tcPr>
          <w:p w14:paraId="7C05FCB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65.91%</w:t>
            </w:r>
          </w:p>
        </w:tc>
        <w:tc>
          <w:tcPr>
            <w:tcW w:w="1120" w:type="dxa"/>
            <w:tcBorders>
              <w:top w:val="single" w:sz="4" w:space="0" w:color="auto"/>
              <w:left w:val="nil"/>
              <w:bottom w:val="single" w:sz="4" w:space="0" w:color="auto"/>
              <w:right w:val="single" w:sz="4" w:space="0" w:color="auto"/>
            </w:tcBorders>
            <w:shd w:val="clear" w:color="000000" w:fill="E2EFDA"/>
            <w:noWrap/>
            <w:vAlign w:val="bottom"/>
            <w:hideMark/>
          </w:tcPr>
          <w:p w14:paraId="0CBC2EE8"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59.52%</w:t>
            </w:r>
          </w:p>
        </w:tc>
        <w:tc>
          <w:tcPr>
            <w:tcW w:w="960" w:type="dxa"/>
            <w:tcBorders>
              <w:top w:val="single" w:sz="4" w:space="0" w:color="auto"/>
              <w:left w:val="nil"/>
              <w:bottom w:val="single" w:sz="4" w:space="0" w:color="auto"/>
              <w:right w:val="single" w:sz="4" w:space="0" w:color="auto"/>
            </w:tcBorders>
            <w:shd w:val="clear" w:color="000000" w:fill="E2EFDA"/>
            <w:noWrap/>
            <w:vAlign w:val="bottom"/>
            <w:hideMark/>
          </w:tcPr>
          <w:p w14:paraId="2A601FAC"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75.42%</w:t>
            </w:r>
          </w:p>
        </w:tc>
      </w:tr>
      <w:tr w:rsidR="00A361CF" w:rsidRPr="00A361CF" w14:paraId="556FCEC7" w14:textId="77777777" w:rsidTr="0073507F">
        <w:trPr>
          <w:trHeight w:val="300"/>
        </w:trPr>
        <w:tc>
          <w:tcPr>
            <w:tcW w:w="419" w:type="dxa"/>
            <w:tcBorders>
              <w:top w:val="nil"/>
              <w:left w:val="nil"/>
              <w:bottom w:val="nil"/>
              <w:right w:val="nil"/>
            </w:tcBorders>
            <w:shd w:val="clear" w:color="auto" w:fill="auto"/>
            <w:noWrap/>
            <w:vAlign w:val="bottom"/>
            <w:hideMark/>
          </w:tcPr>
          <w:p w14:paraId="0F28F0C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30A8CA4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56648EB5"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AC3A73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F2032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62571555" w14:textId="77777777" w:rsidTr="0073507F">
        <w:trPr>
          <w:trHeight w:val="300"/>
        </w:trPr>
        <w:tc>
          <w:tcPr>
            <w:tcW w:w="419" w:type="dxa"/>
            <w:tcBorders>
              <w:top w:val="nil"/>
              <w:left w:val="nil"/>
              <w:bottom w:val="nil"/>
              <w:right w:val="nil"/>
            </w:tcBorders>
            <w:shd w:val="clear" w:color="auto" w:fill="auto"/>
            <w:noWrap/>
            <w:vAlign w:val="bottom"/>
            <w:hideMark/>
          </w:tcPr>
          <w:p w14:paraId="3D5C797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1FABB30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18FFD84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A17FEB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94A3A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65B11F2A" w14:textId="77777777" w:rsidTr="0073507F">
        <w:trPr>
          <w:trHeight w:val="300"/>
        </w:trPr>
        <w:tc>
          <w:tcPr>
            <w:tcW w:w="419" w:type="dxa"/>
            <w:tcBorders>
              <w:top w:val="nil"/>
              <w:left w:val="nil"/>
              <w:bottom w:val="nil"/>
              <w:right w:val="nil"/>
            </w:tcBorders>
            <w:shd w:val="clear" w:color="auto" w:fill="auto"/>
            <w:noWrap/>
            <w:vAlign w:val="bottom"/>
            <w:hideMark/>
          </w:tcPr>
          <w:p w14:paraId="41DA4BC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6E9ABCD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Debt/Equity Ratio</w:t>
            </w:r>
          </w:p>
        </w:tc>
        <w:tc>
          <w:tcPr>
            <w:tcW w:w="923" w:type="dxa"/>
            <w:tcBorders>
              <w:top w:val="nil"/>
              <w:left w:val="nil"/>
              <w:bottom w:val="nil"/>
              <w:right w:val="nil"/>
            </w:tcBorders>
            <w:shd w:val="clear" w:color="auto" w:fill="auto"/>
            <w:noWrap/>
            <w:vAlign w:val="bottom"/>
            <w:hideMark/>
          </w:tcPr>
          <w:p w14:paraId="414BFF0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1B84089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334B2AA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70ED0FC4" w14:textId="77777777" w:rsidTr="0073507F">
        <w:trPr>
          <w:trHeight w:val="300"/>
        </w:trPr>
        <w:tc>
          <w:tcPr>
            <w:tcW w:w="419" w:type="dxa"/>
            <w:tcBorders>
              <w:top w:val="nil"/>
              <w:left w:val="nil"/>
              <w:bottom w:val="nil"/>
              <w:right w:val="nil"/>
            </w:tcBorders>
            <w:shd w:val="clear" w:color="auto" w:fill="auto"/>
            <w:noWrap/>
            <w:vAlign w:val="bottom"/>
            <w:hideMark/>
          </w:tcPr>
          <w:p w14:paraId="570572C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0712664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67E9E3DE"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2D7991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18A7DF"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9AB508E" w14:textId="77777777" w:rsidTr="0073507F">
        <w:trPr>
          <w:trHeight w:val="300"/>
        </w:trPr>
        <w:tc>
          <w:tcPr>
            <w:tcW w:w="419" w:type="dxa"/>
            <w:tcBorders>
              <w:top w:val="nil"/>
              <w:left w:val="nil"/>
              <w:bottom w:val="nil"/>
              <w:right w:val="nil"/>
            </w:tcBorders>
            <w:shd w:val="clear" w:color="auto" w:fill="auto"/>
            <w:noWrap/>
            <w:vAlign w:val="bottom"/>
            <w:hideMark/>
          </w:tcPr>
          <w:p w14:paraId="5182D8D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23C5E66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Total Liabilities x 100%</w:t>
            </w:r>
          </w:p>
        </w:tc>
        <w:tc>
          <w:tcPr>
            <w:tcW w:w="923" w:type="dxa"/>
            <w:tcBorders>
              <w:top w:val="nil"/>
              <w:left w:val="nil"/>
              <w:bottom w:val="nil"/>
              <w:right w:val="nil"/>
            </w:tcBorders>
            <w:shd w:val="clear" w:color="auto" w:fill="auto"/>
            <w:noWrap/>
            <w:vAlign w:val="bottom"/>
            <w:hideMark/>
          </w:tcPr>
          <w:p w14:paraId="7A24FAF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2182.1</w:t>
            </w:r>
          </w:p>
        </w:tc>
        <w:tc>
          <w:tcPr>
            <w:tcW w:w="1120" w:type="dxa"/>
            <w:tcBorders>
              <w:top w:val="nil"/>
              <w:left w:val="nil"/>
              <w:bottom w:val="nil"/>
              <w:right w:val="nil"/>
            </w:tcBorders>
            <w:shd w:val="clear" w:color="auto" w:fill="auto"/>
            <w:noWrap/>
            <w:vAlign w:val="bottom"/>
            <w:hideMark/>
          </w:tcPr>
          <w:p w14:paraId="77BDF2F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1990.7</w:t>
            </w:r>
          </w:p>
        </w:tc>
        <w:tc>
          <w:tcPr>
            <w:tcW w:w="960" w:type="dxa"/>
            <w:tcBorders>
              <w:top w:val="nil"/>
              <w:left w:val="nil"/>
              <w:bottom w:val="nil"/>
              <w:right w:val="nil"/>
            </w:tcBorders>
            <w:shd w:val="clear" w:color="auto" w:fill="auto"/>
            <w:noWrap/>
            <w:vAlign w:val="bottom"/>
            <w:hideMark/>
          </w:tcPr>
          <w:p w14:paraId="4D1E979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1901.5</w:t>
            </w:r>
          </w:p>
        </w:tc>
      </w:tr>
      <w:tr w:rsidR="00A361CF" w:rsidRPr="00A361CF" w14:paraId="2BF10BC1" w14:textId="77777777" w:rsidTr="0073507F">
        <w:trPr>
          <w:trHeight w:val="300"/>
        </w:trPr>
        <w:tc>
          <w:tcPr>
            <w:tcW w:w="419" w:type="dxa"/>
            <w:tcBorders>
              <w:top w:val="nil"/>
              <w:left w:val="nil"/>
              <w:bottom w:val="nil"/>
              <w:right w:val="nil"/>
            </w:tcBorders>
            <w:shd w:val="clear" w:color="auto" w:fill="auto"/>
            <w:noWrap/>
            <w:vAlign w:val="bottom"/>
            <w:hideMark/>
          </w:tcPr>
          <w:p w14:paraId="2C3E2E5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68851992" w14:textId="363BAA99"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Stockholders</w:t>
            </w:r>
            <w:r>
              <w:rPr>
                <w:rFonts w:ascii="Calibri" w:eastAsia="Times New Roman" w:hAnsi="Calibri" w:cs="Calibri"/>
                <w:color w:val="000000"/>
                <w:sz w:val="20"/>
                <w:szCs w:val="20"/>
                <w:lang w:eastAsia="en-GB"/>
              </w:rPr>
              <w:t>’</w:t>
            </w:r>
            <w:r w:rsidRPr="00A361CF">
              <w:rPr>
                <w:rFonts w:ascii="Calibri" w:eastAsia="Times New Roman" w:hAnsi="Calibri" w:cs="Calibri"/>
                <w:color w:val="000000"/>
                <w:sz w:val="20"/>
                <w:szCs w:val="20"/>
                <w:lang w:eastAsia="en-GB"/>
              </w:rPr>
              <w:t xml:space="preserve"> Equity</w:t>
            </w:r>
          </w:p>
        </w:tc>
        <w:tc>
          <w:tcPr>
            <w:tcW w:w="923" w:type="dxa"/>
            <w:tcBorders>
              <w:top w:val="nil"/>
              <w:left w:val="nil"/>
              <w:bottom w:val="nil"/>
              <w:right w:val="nil"/>
            </w:tcBorders>
            <w:shd w:val="clear" w:color="auto" w:fill="auto"/>
            <w:noWrap/>
            <w:vAlign w:val="bottom"/>
            <w:hideMark/>
          </w:tcPr>
          <w:p w14:paraId="5532DEF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660.4</w:t>
            </w:r>
          </w:p>
        </w:tc>
        <w:tc>
          <w:tcPr>
            <w:tcW w:w="1120" w:type="dxa"/>
            <w:tcBorders>
              <w:top w:val="nil"/>
              <w:left w:val="nil"/>
              <w:bottom w:val="nil"/>
              <w:right w:val="nil"/>
            </w:tcBorders>
            <w:shd w:val="clear" w:color="auto" w:fill="auto"/>
            <w:noWrap/>
            <w:vAlign w:val="bottom"/>
            <w:hideMark/>
          </w:tcPr>
          <w:p w14:paraId="1B9F826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804.1</w:t>
            </w:r>
          </w:p>
        </w:tc>
        <w:tc>
          <w:tcPr>
            <w:tcW w:w="960" w:type="dxa"/>
            <w:tcBorders>
              <w:top w:val="nil"/>
              <w:left w:val="nil"/>
              <w:bottom w:val="nil"/>
              <w:right w:val="nil"/>
            </w:tcBorders>
            <w:shd w:val="clear" w:color="auto" w:fill="auto"/>
            <w:noWrap/>
            <w:vAlign w:val="bottom"/>
            <w:hideMark/>
          </w:tcPr>
          <w:p w14:paraId="515B058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329.6</w:t>
            </w:r>
          </w:p>
        </w:tc>
      </w:tr>
      <w:tr w:rsidR="00A361CF" w:rsidRPr="00A361CF" w14:paraId="0B59F91A" w14:textId="77777777" w:rsidTr="0073507F">
        <w:trPr>
          <w:trHeight w:val="300"/>
        </w:trPr>
        <w:tc>
          <w:tcPr>
            <w:tcW w:w="419" w:type="dxa"/>
            <w:tcBorders>
              <w:top w:val="nil"/>
              <w:left w:val="nil"/>
              <w:bottom w:val="nil"/>
              <w:right w:val="nil"/>
            </w:tcBorders>
            <w:shd w:val="clear" w:color="auto" w:fill="auto"/>
            <w:noWrap/>
            <w:vAlign w:val="bottom"/>
            <w:hideMark/>
          </w:tcPr>
          <w:p w14:paraId="595CA58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52482C8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35E0044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E106F6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8EC64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EA76AF8"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B6035C"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17</w:t>
            </w:r>
          </w:p>
        </w:tc>
        <w:tc>
          <w:tcPr>
            <w:tcW w:w="5978" w:type="dxa"/>
            <w:tcBorders>
              <w:top w:val="single" w:sz="4" w:space="0" w:color="auto"/>
              <w:left w:val="nil"/>
              <w:bottom w:val="single" w:sz="4" w:space="0" w:color="auto"/>
              <w:right w:val="single" w:sz="4" w:space="0" w:color="auto"/>
            </w:tcBorders>
            <w:shd w:val="clear" w:color="auto" w:fill="auto"/>
            <w:noWrap/>
            <w:vAlign w:val="bottom"/>
            <w:hideMark/>
          </w:tcPr>
          <w:p w14:paraId="02AB9AA5"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 xml:space="preserve">Debt to Equity Percentage </w:t>
            </w:r>
          </w:p>
        </w:tc>
        <w:tc>
          <w:tcPr>
            <w:tcW w:w="923" w:type="dxa"/>
            <w:tcBorders>
              <w:top w:val="single" w:sz="4" w:space="0" w:color="auto"/>
              <w:left w:val="nil"/>
              <w:bottom w:val="single" w:sz="4" w:space="0" w:color="auto"/>
              <w:right w:val="single" w:sz="4" w:space="0" w:color="auto"/>
            </w:tcBorders>
            <w:shd w:val="clear" w:color="000000" w:fill="E2EFDA"/>
            <w:noWrap/>
            <w:vAlign w:val="bottom"/>
            <w:hideMark/>
          </w:tcPr>
          <w:p w14:paraId="0C58649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330.42%</w:t>
            </w:r>
          </w:p>
        </w:tc>
        <w:tc>
          <w:tcPr>
            <w:tcW w:w="1120" w:type="dxa"/>
            <w:tcBorders>
              <w:top w:val="single" w:sz="4" w:space="0" w:color="auto"/>
              <w:left w:val="nil"/>
              <w:bottom w:val="single" w:sz="4" w:space="0" w:color="auto"/>
              <w:right w:val="single" w:sz="4" w:space="0" w:color="auto"/>
            </w:tcBorders>
            <w:shd w:val="clear" w:color="000000" w:fill="E2EFDA"/>
            <w:noWrap/>
            <w:vAlign w:val="bottom"/>
            <w:hideMark/>
          </w:tcPr>
          <w:p w14:paraId="3617B49F"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247.57%</w:t>
            </w:r>
          </w:p>
        </w:tc>
        <w:tc>
          <w:tcPr>
            <w:tcW w:w="960" w:type="dxa"/>
            <w:tcBorders>
              <w:top w:val="single" w:sz="4" w:space="0" w:color="auto"/>
              <w:left w:val="nil"/>
              <w:bottom w:val="single" w:sz="4" w:space="0" w:color="auto"/>
              <w:right w:val="single" w:sz="4" w:space="0" w:color="auto"/>
            </w:tcBorders>
            <w:shd w:val="clear" w:color="000000" w:fill="E2EFDA"/>
            <w:noWrap/>
            <w:vAlign w:val="bottom"/>
            <w:hideMark/>
          </w:tcPr>
          <w:p w14:paraId="4679185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576.91%</w:t>
            </w:r>
          </w:p>
        </w:tc>
      </w:tr>
      <w:tr w:rsidR="00A361CF" w:rsidRPr="00A361CF" w14:paraId="71463271" w14:textId="77777777" w:rsidTr="0073507F">
        <w:trPr>
          <w:trHeight w:val="300"/>
        </w:trPr>
        <w:tc>
          <w:tcPr>
            <w:tcW w:w="419" w:type="dxa"/>
            <w:tcBorders>
              <w:top w:val="nil"/>
              <w:left w:val="nil"/>
              <w:bottom w:val="nil"/>
              <w:right w:val="nil"/>
            </w:tcBorders>
            <w:shd w:val="clear" w:color="auto" w:fill="auto"/>
            <w:noWrap/>
            <w:vAlign w:val="bottom"/>
            <w:hideMark/>
          </w:tcPr>
          <w:p w14:paraId="67BF69C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3549242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51FBA1A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D74C50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B77D1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381F43D7" w14:textId="77777777" w:rsidTr="0073507F">
        <w:trPr>
          <w:trHeight w:val="300"/>
        </w:trPr>
        <w:tc>
          <w:tcPr>
            <w:tcW w:w="419" w:type="dxa"/>
            <w:tcBorders>
              <w:top w:val="nil"/>
              <w:left w:val="nil"/>
              <w:bottom w:val="nil"/>
              <w:right w:val="nil"/>
            </w:tcBorders>
            <w:shd w:val="clear" w:color="auto" w:fill="auto"/>
            <w:noWrap/>
            <w:vAlign w:val="bottom"/>
            <w:hideMark/>
          </w:tcPr>
          <w:p w14:paraId="2D0A128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7674EFF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7F28039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D1FB98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1CACD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61CC2C32" w14:textId="77777777" w:rsidTr="0073507F">
        <w:trPr>
          <w:trHeight w:val="300"/>
        </w:trPr>
        <w:tc>
          <w:tcPr>
            <w:tcW w:w="419" w:type="dxa"/>
            <w:tcBorders>
              <w:top w:val="nil"/>
              <w:left w:val="nil"/>
              <w:bottom w:val="nil"/>
              <w:right w:val="nil"/>
            </w:tcBorders>
            <w:shd w:val="clear" w:color="auto" w:fill="auto"/>
            <w:noWrap/>
            <w:vAlign w:val="bottom"/>
            <w:hideMark/>
          </w:tcPr>
          <w:p w14:paraId="227A6E7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4DED9404"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Long Term Debt/Equity Ratio</w:t>
            </w:r>
          </w:p>
        </w:tc>
        <w:tc>
          <w:tcPr>
            <w:tcW w:w="923" w:type="dxa"/>
            <w:tcBorders>
              <w:top w:val="nil"/>
              <w:left w:val="nil"/>
              <w:bottom w:val="nil"/>
              <w:right w:val="nil"/>
            </w:tcBorders>
            <w:shd w:val="clear" w:color="auto" w:fill="auto"/>
            <w:noWrap/>
            <w:vAlign w:val="bottom"/>
            <w:hideMark/>
          </w:tcPr>
          <w:p w14:paraId="2E5438C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7013875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383B9B9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2517E62A" w14:textId="77777777" w:rsidTr="0073507F">
        <w:trPr>
          <w:trHeight w:val="300"/>
        </w:trPr>
        <w:tc>
          <w:tcPr>
            <w:tcW w:w="419" w:type="dxa"/>
            <w:tcBorders>
              <w:top w:val="nil"/>
              <w:left w:val="nil"/>
              <w:bottom w:val="nil"/>
              <w:right w:val="nil"/>
            </w:tcBorders>
            <w:shd w:val="clear" w:color="auto" w:fill="auto"/>
            <w:noWrap/>
            <w:vAlign w:val="bottom"/>
            <w:hideMark/>
          </w:tcPr>
          <w:p w14:paraId="70C8532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502BDD7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3DDBB1F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046154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AA7359"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A73887C" w14:textId="77777777" w:rsidTr="0073507F">
        <w:trPr>
          <w:trHeight w:val="300"/>
        </w:trPr>
        <w:tc>
          <w:tcPr>
            <w:tcW w:w="419" w:type="dxa"/>
            <w:tcBorders>
              <w:top w:val="nil"/>
              <w:left w:val="nil"/>
              <w:bottom w:val="nil"/>
              <w:right w:val="nil"/>
            </w:tcBorders>
            <w:shd w:val="clear" w:color="auto" w:fill="auto"/>
            <w:noWrap/>
            <w:vAlign w:val="bottom"/>
            <w:hideMark/>
          </w:tcPr>
          <w:p w14:paraId="20E5A20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2485353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Long Term Debt x 100%</w:t>
            </w:r>
          </w:p>
        </w:tc>
        <w:tc>
          <w:tcPr>
            <w:tcW w:w="923" w:type="dxa"/>
            <w:tcBorders>
              <w:top w:val="nil"/>
              <w:left w:val="nil"/>
              <w:bottom w:val="nil"/>
              <w:right w:val="nil"/>
            </w:tcBorders>
            <w:shd w:val="clear" w:color="auto" w:fill="auto"/>
            <w:noWrap/>
            <w:vAlign w:val="bottom"/>
            <w:hideMark/>
          </w:tcPr>
          <w:p w14:paraId="2558516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1074.9</w:t>
            </w:r>
          </w:p>
        </w:tc>
        <w:tc>
          <w:tcPr>
            <w:tcW w:w="1120" w:type="dxa"/>
            <w:tcBorders>
              <w:top w:val="nil"/>
              <w:left w:val="nil"/>
              <w:bottom w:val="nil"/>
              <w:right w:val="nil"/>
            </w:tcBorders>
            <w:shd w:val="clear" w:color="auto" w:fill="auto"/>
            <w:noWrap/>
            <w:vAlign w:val="bottom"/>
            <w:hideMark/>
          </w:tcPr>
          <w:p w14:paraId="4838D4DC"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971.3</w:t>
            </w:r>
          </w:p>
        </w:tc>
        <w:tc>
          <w:tcPr>
            <w:tcW w:w="960" w:type="dxa"/>
            <w:tcBorders>
              <w:top w:val="nil"/>
              <w:left w:val="nil"/>
              <w:bottom w:val="nil"/>
              <w:right w:val="nil"/>
            </w:tcBorders>
            <w:shd w:val="clear" w:color="auto" w:fill="auto"/>
            <w:noWrap/>
            <w:vAlign w:val="bottom"/>
            <w:hideMark/>
          </w:tcPr>
          <w:p w14:paraId="474AC4F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839.1</w:t>
            </w:r>
          </w:p>
        </w:tc>
      </w:tr>
      <w:tr w:rsidR="00A361CF" w:rsidRPr="00A361CF" w14:paraId="39D394A1" w14:textId="77777777" w:rsidTr="0073507F">
        <w:trPr>
          <w:trHeight w:val="300"/>
        </w:trPr>
        <w:tc>
          <w:tcPr>
            <w:tcW w:w="419" w:type="dxa"/>
            <w:tcBorders>
              <w:top w:val="nil"/>
              <w:left w:val="nil"/>
              <w:bottom w:val="nil"/>
              <w:right w:val="nil"/>
            </w:tcBorders>
            <w:shd w:val="clear" w:color="auto" w:fill="auto"/>
            <w:noWrap/>
            <w:vAlign w:val="bottom"/>
            <w:hideMark/>
          </w:tcPr>
          <w:p w14:paraId="5D47B27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229692FE" w14:textId="14BCAA9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Shar</w:t>
            </w:r>
            <w:r>
              <w:rPr>
                <w:rFonts w:ascii="Calibri" w:eastAsia="Times New Roman" w:hAnsi="Calibri" w:cs="Calibri"/>
                <w:color w:val="000000"/>
                <w:sz w:val="20"/>
                <w:szCs w:val="20"/>
                <w:lang w:eastAsia="en-GB"/>
              </w:rPr>
              <w:t>e</w:t>
            </w:r>
            <w:r w:rsidRPr="00A361CF">
              <w:rPr>
                <w:rFonts w:ascii="Calibri" w:eastAsia="Times New Roman" w:hAnsi="Calibri" w:cs="Calibri"/>
                <w:color w:val="000000"/>
                <w:sz w:val="20"/>
                <w:szCs w:val="20"/>
                <w:lang w:eastAsia="en-GB"/>
              </w:rPr>
              <w:t>holders' Equity</w:t>
            </w:r>
          </w:p>
        </w:tc>
        <w:tc>
          <w:tcPr>
            <w:tcW w:w="923" w:type="dxa"/>
            <w:tcBorders>
              <w:top w:val="nil"/>
              <w:left w:val="nil"/>
              <w:bottom w:val="nil"/>
              <w:right w:val="nil"/>
            </w:tcBorders>
            <w:shd w:val="clear" w:color="auto" w:fill="auto"/>
            <w:noWrap/>
            <w:vAlign w:val="bottom"/>
            <w:hideMark/>
          </w:tcPr>
          <w:p w14:paraId="0591D53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660.4</w:t>
            </w:r>
          </w:p>
        </w:tc>
        <w:tc>
          <w:tcPr>
            <w:tcW w:w="1120" w:type="dxa"/>
            <w:tcBorders>
              <w:top w:val="nil"/>
              <w:left w:val="nil"/>
              <w:bottom w:val="nil"/>
              <w:right w:val="nil"/>
            </w:tcBorders>
            <w:shd w:val="clear" w:color="auto" w:fill="auto"/>
            <w:noWrap/>
            <w:vAlign w:val="bottom"/>
            <w:hideMark/>
          </w:tcPr>
          <w:p w14:paraId="46AE837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804.1</w:t>
            </w:r>
          </w:p>
        </w:tc>
        <w:tc>
          <w:tcPr>
            <w:tcW w:w="960" w:type="dxa"/>
            <w:tcBorders>
              <w:top w:val="nil"/>
              <w:left w:val="nil"/>
              <w:bottom w:val="nil"/>
              <w:right w:val="nil"/>
            </w:tcBorders>
            <w:shd w:val="clear" w:color="auto" w:fill="auto"/>
            <w:noWrap/>
            <w:vAlign w:val="bottom"/>
            <w:hideMark/>
          </w:tcPr>
          <w:p w14:paraId="2FF735B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329.6</w:t>
            </w:r>
          </w:p>
        </w:tc>
      </w:tr>
      <w:tr w:rsidR="00A361CF" w:rsidRPr="00A361CF" w14:paraId="4FDC14DB" w14:textId="77777777" w:rsidTr="0073507F">
        <w:trPr>
          <w:trHeight w:val="300"/>
        </w:trPr>
        <w:tc>
          <w:tcPr>
            <w:tcW w:w="419" w:type="dxa"/>
            <w:tcBorders>
              <w:top w:val="nil"/>
              <w:left w:val="nil"/>
              <w:bottom w:val="nil"/>
              <w:right w:val="nil"/>
            </w:tcBorders>
            <w:shd w:val="clear" w:color="auto" w:fill="auto"/>
            <w:noWrap/>
            <w:vAlign w:val="bottom"/>
            <w:hideMark/>
          </w:tcPr>
          <w:p w14:paraId="04F9A95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78E2926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27172F7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F83DA8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63CDD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93C4673"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190367"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18</w:t>
            </w:r>
          </w:p>
        </w:tc>
        <w:tc>
          <w:tcPr>
            <w:tcW w:w="5978" w:type="dxa"/>
            <w:tcBorders>
              <w:top w:val="single" w:sz="4" w:space="0" w:color="auto"/>
              <w:left w:val="nil"/>
              <w:bottom w:val="single" w:sz="4" w:space="0" w:color="auto"/>
              <w:right w:val="single" w:sz="4" w:space="0" w:color="auto"/>
            </w:tcBorders>
            <w:shd w:val="clear" w:color="auto" w:fill="auto"/>
            <w:noWrap/>
            <w:vAlign w:val="bottom"/>
            <w:hideMark/>
          </w:tcPr>
          <w:p w14:paraId="5FA46B3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Long Term Debt to Equity Percentage</w:t>
            </w:r>
          </w:p>
        </w:tc>
        <w:tc>
          <w:tcPr>
            <w:tcW w:w="923" w:type="dxa"/>
            <w:tcBorders>
              <w:top w:val="single" w:sz="4" w:space="0" w:color="auto"/>
              <w:left w:val="nil"/>
              <w:bottom w:val="single" w:sz="4" w:space="0" w:color="auto"/>
              <w:right w:val="single" w:sz="4" w:space="0" w:color="auto"/>
            </w:tcBorders>
            <w:shd w:val="clear" w:color="000000" w:fill="E2EFDA"/>
            <w:noWrap/>
            <w:vAlign w:val="bottom"/>
            <w:hideMark/>
          </w:tcPr>
          <w:p w14:paraId="41B142C4"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162.76%</w:t>
            </w:r>
          </w:p>
        </w:tc>
        <w:tc>
          <w:tcPr>
            <w:tcW w:w="1120" w:type="dxa"/>
            <w:tcBorders>
              <w:top w:val="single" w:sz="4" w:space="0" w:color="auto"/>
              <w:left w:val="nil"/>
              <w:bottom w:val="single" w:sz="4" w:space="0" w:color="auto"/>
              <w:right w:val="single" w:sz="4" w:space="0" w:color="auto"/>
            </w:tcBorders>
            <w:shd w:val="clear" w:color="000000" w:fill="E2EFDA"/>
            <w:noWrap/>
            <w:vAlign w:val="bottom"/>
            <w:hideMark/>
          </w:tcPr>
          <w:p w14:paraId="485B3EB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120.79%</w:t>
            </w:r>
          </w:p>
        </w:tc>
        <w:tc>
          <w:tcPr>
            <w:tcW w:w="960" w:type="dxa"/>
            <w:tcBorders>
              <w:top w:val="single" w:sz="4" w:space="0" w:color="auto"/>
              <w:left w:val="nil"/>
              <w:bottom w:val="single" w:sz="4" w:space="0" w:color="auto"/>
              <w:right w:val="single" w:sz="4" w:space="0" w:color="auto"/>
            </w:tcBorders>
            <w:shd w:val="clear" w:color="000000" w:fill="E2EFDA"/>
            <w:noWrap/>
            <w:vAlign w:val="bottom"/>
            <w:hideMark/>
          </w:tcPr>
          <w:p w14:paraId="6F826A7E"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254.58%</w:t>
            </w:r>
          </w:p>
        </w:tc>
      </w:tr>
      <w:tr w:rsidR="00A361CF" w:rsidRPr="00A361CF" w14:paraId="1DED4915" w14:textId="77777777" w:rsidTr="0073507F">
        <w:trPr>
          <w:trHeight w:val="300"/>
        </w:trPr>
        <w:tc>
          <w:tcPr>
            <w:tcW w:w="419" w:type="dxa"/>
            <w:tcBorders>
              <w:top w:val="nil"/>
              <w:left w:val="nil"/>
              <w:bottom w:val="nil"/>
              <w:right w:val="nil"/>
            </w:tcBorders>
            <w:shd w:val="clear" w:color="auto" w:fill="auto"/>
            <w:noWrap/>
            <w:vAlign w:val="bottom"/>
            <w:hideMark/>
          </w:tcPr>
          <w:p w14:paraId="1867B28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5D38853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5C5A595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122C68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2649E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885119A" w14:textId="77777777" w:rsidTr="0073507F">
        <w:trPr>
          <w:trHeight w:val="300"/>
        </w:trPr>
        <w:tc>
          <w:tcPr>
            <w:tcW w:w="419" w:type="dxa"/>
            <w:tcBorders>
              <w:top w:val="nil"/>
              <w:left w:val="nil"/>
              <w:bottom w:val="nil"/>
              <w:right w:val="nil"/>
            </w:tcBorders>
            <w:shd w:val="clear" w:color="auto" w:fill="auto"/>
            <w:noWrap/>
            <w:vAlign w:val="bottom"/>
            <w:hideMark/>
          </w:tcPr>
          <w:p w14:paraId="3319665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7078354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E9FDF0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63CA08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E66A3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5E9714F3" w14:textId="77777777" w:rsidTr="0073507F">
        <w:trPr>
          <w:trHeight w:val="300"/>
        </w:trPr>
        <w:tc>
          <w:tcPr>
            <w:tcW w:w="419" w:type="dxa"/>
            <w:tcBorders>
              <w:top w:val="nil"/>
              <w:left w:val="nil"/>
              <w:bottom w:val="nil"/>
              <w:right w:val="nil"/>
            </w:tcBorders>
            <w:shd w:val="clear" w:color="auto" w:fill="auto"/>
            <w:noWrap/>
            <w:vAlign w:val="bottom"/>
            <w:hideMark/>
          </w:tcPr>
          <w:p w14:paraId="14010A1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06EC5F89"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Interest Coverage</w:t>
            </w:r>
          </w:p>
        </w:tc>
        <w:tc>
          <w:tcPr>
            <w:tcW w:w="923" w:type="dxa"/>
            <w:tcBorders>
              <w:top w:val="nil"/>
              <w:left w:val="nil"/>
              <w:bottom w:val="nil"/>
              <w:right w:val="nil"/>
            </w:tcBorders>
            <w:shd w:val="clear" w:color="auto" w:fill="auto"/>
            <w:noWrap/>
            <w:vAlign w:val="bottom"/>
            <w:hideMark/>
          </w:tcPr>
          <w:p w14:paraId="3519BC1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3750EC4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3686708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37B477A7" w14:textId="77777777" w:rsidTr="0073507F">
        <w:trPr>
          <w:trHeight w:val="300"/>
        </w:trPr>
        <w:tc>
          <w:tcPr>
            <w:tcW w:w="419" w:type="dxa"/>
            <w:tcBorders>
              <w:top w:val="nil"/>
              <w:left w:val="nil"/>
              <w:bottom w:val="nil"/>
              <w:right w:val="nil"/>
            </w:tcBorders>
            <w:shd w:val="clear" w:color="auto" w:fill="auto"/>
            <w:noWrap/>
            <w:vAlign w:val="bottom"/>
            <w:hideMark/>
          </w:tcPr>
          <w:p w14:paraId="650B936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0823C50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5F4B07E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5C7BA2C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2189E9"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C4A9099" w14:textId="77777777" w:rsidTr="0073507F">
        <w:trPr>
          <w:trHeight w:val="300"/>
        </w:trPr>
        <w:tc>
          <w:tcPr>
            <w:tcW w:w="419" w:type="dxa"/>
            <w:tcBorders>
              <w:top w:val="nil"/>
              <w:left w:val="nil"/>
              <w:bottom w:val="nil"/>
              <w:right w:val="nil"/>
            </w:tcBorders>
            <w:shd w:val="clear" w:color="auto" w:fill="auto"/>
            <w:noWrap/>
            <w:vAlign w:val="bottom"/>
            <w:hideMark/>
          </w:tcPr>
          <w:p w14:paraId="215F0A8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5622994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Operating Profit x 100%</w:t>
            </w:r>
          </w:p>
        </w:tc>
        <w:tc>
          <w:tcPr>
            <w:tcW w:w="923" w:type="dxa"/>
            <w:tcBorders>
              <w:top w:val="nil"/>
              <w:left w:val="nil"/>
              <w:bottom w:val="nil"/>
              <w:right w:val="nil"/>
            </w:tcBorders>
            <w:shd w:val="clear" w:color="auto" w:fill="auto"/>
            <w:noWrap/>
            <w:vAlign w:val="bottom"/>
            <w:hideMark/>
          </w:tcPr>
          <w:p w14:paraId="085E3AC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-76.5</w:t>
            </w:r>
          </w:p>
        </w:tc>
        <w:tc>
          <w:tcPr>
            <w:tcW w:w="1120" w:type="dxa"/>
            <w:tcBorders>
              <w:top w:val="nil"/>
              <w:left w:val="nil"/>
              <w:bottom w:val="nil"/>
              <w:right w:val="nil"/>
            </w:tcBorders>
            <w:shd w:val="clear" w:color="auto" w:fill="auto"/>
            <w:noWrap/>
            <w:vAlign w:val="bottom"/>
            <w:hideMark/>
          </w:tcPr>
          <w:p w14:paraId="2201371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-322.9</w:t>
            </w:r>
          </w:p>
        </w:tc>
        <w:tc>
          <w:tcPr>
            <w:tcW w:w="960" w:type="dxa"/>
            <w:tcBorders>
              <w:top w:val="nil"/>
              <w:left w:val="nil"/>
              <w:bottom w:val="nil"/>
              <w:right w:val="nil"/>
            </w:tcBorders>
            <w:shd w:val="clear" w:color="auto" w:fill="auto"/>
            <w:noWrap/>
            <w:vAlign w:val="bottom"/>
            <w:hideMark/>
          </w:tcPr>
          <w:p w14:paraId="23AC191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-52</w:t>
            </w:r>
          </w:p>
        </w:tc>
      </w:tr>
      <w:tr w:rsidR="00A361CF" w:rsidRPr="00A361CF" w14:paraId="750B3236" w14:textId="77777777" w:rsidTr="0073507F">
        <w:trPr>
          <w:trHeight w:val="300"/>
        </w:trPr>
        <w:tc>
          <w:tcPr>
            <w:tcW w:w="419" w:type="dxa"/>
            <w:tcBorders>
              <w:top w:val="nil"/>
              <w:left w:val="nil"/>
              <w:bottom w:val="nil"/>
              <w:right w:val="nil"/>
            </w:tcBorders>
            <w:shd w:val="clear" w:color="auto" w:fill="auto"/>
            <w:noWrap/>
            <w:vAlign w:val="bottom"/>
            <w:hideMark/>
          </w:tcPr>
          <w:p w14:paraId="7399F4E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7454378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Interest Charge</w:t>
            </w:r>
          </w:p>
        </w:tc>
        <w:tc>
          <w:tcPr>
            <w:tcW w:w="923" w:type="dxa"/>
            <w:tcBorders>
              <w:top w:val="nil"/>
              <w:left w:val="nil"/>
              <w:bottom w:val="nil"/>
              <w:right w:val="nil"/>
            </w:tcBorders>
            <w:shd w:val="clear" w:color="auto" w:fill="auto"/>
            <w:noWrap/>
            <w:vAlign w:val="bottom"/>
            <w:hideMark/>
          </w:tcPr>
          <w:p w14:paraId="5DE2FD2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151.3</w:t>
            </w:r>
          </w:p>
        </w:tc>
        <w:tc>
          <w:tcPr>
            <w:tcW w:w="1120" w:type="dxa"/>
            <w:tcBorders>
              <w:top w:val="nil"/>
              <w:left w:val="nil"/>
              <w:bottom w:val="nil"/>
              <w:right w:val="nil"/>
            </w:tcBorders>
            <w:shd w:val="clear" w:color="auto" w:fill="auto"/>
            <w:noWrap/>
            <w:vAlign w:val="bottom"/>
            <w:hideMark/>
          </w:tcPr>
          <w:p w14:paraId="6816832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98.4</w:t>
            </w:r>
          </w:p>
        </w:tc>
        <w:tc>
          <w:tcPr>
            <w:tcW w:w="960" w:type="dxa"/>
            <w:tcBorders>
              <w:top w:val="nil"/>
              <w:left w:val="nil"/>
              <w:bottom w:val="nil"/>
              <w:right w:val="nil"/>
            </w:tcBorders>
            <w:shd w:val="clear" w:color="auto" w:fill="auto"/>
            <w:noWrap/>
            <w:vAlign w:val="bottom"/>
            <w:hideMark/>
          </w:tcPr>
          <w:p w14:paraId="42B3568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55.3</w:t>
            </w:r>
          </w:p>
        </w:tc>
      </w:tr>
      <w:tr w:rsidR="00A361CF" w:rsidRPr="00A361CF" w14:paraId="629A2BB5" w14:textId="77777777" w:rsidTr="0073507F">
        <w:trPr>
          <w:trHeight w:val="300"/>
        </w:trPr>
        <w:tc>
          <w:tcPr>
            <w:tcW w:w="419" w:type="dxa"/>
            <w:tcBorders>
              <w:top w:val="nil"/>
              <w:left w:val="nil"/>
              <w:bottom w:val="nil"/>
              <w:right w:val="nil"/>
            </w:tcBorders>
            <w:shd w:val="clear" w:color="auto" w:fill="auto"/>
            <w:noWrap/>
            <w:vAlign w:val="bottom"/>
            <w:hideMark/>
          </w:tcPr>
          <w:p w14:paraId="49923229"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089B222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279915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CC9EE1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C0556D"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0E511E51"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8BBB5C"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19</w:t>
            </w:r>
          </w:p>
        </w:tc>
        <w:tc>
          <w:tcPr>
            <w:tcW w:w="5978" w:type="dxa"/>
            <w:tcBorders>
              <w:top w:val="single" w:sz="4" w:space="0" w:color="auto"/>
              <w:left w:val="nil"/>
              <w:bottom w:val="single" w:sz="4" w:space="0" w:color="auto"/>
              <w:right w:val="single" w:sz="4" w:space="0" w:color="auto"/>
            </w:tcBorders>
            <w:shd w:val="clear" w:color="auto" w:fill="auto"/>
            <w:noWrap/>
            <w:vAlign w:val="bottom"/>
            <w:hideMark/>
          </w:tcPr>
          <w:p w14:paraId="3E9F94E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Interest Coverage Percentage</w:t>
            </w:r>
          </w:p>
        </w:tc>
        <w:tc>
          <w:tcPr>
            <w:tcW w:w="923" w:type="dxa"/>
            <w:tcBorders>
              <w:top w:val="single" w:sz="4" w:space="0" w:color="auto"/>
              <w:left w:val="nil"/>
              <w:bottom w:val="single" w:sz="4" w:space="0" w:color="auto"/>
              <w:right w:val="single" w:sz="4" w:space="0" w:color="auto"/>
            </w:tcBorders>
            <w:shd w:val="clear" w:color="000000" w:fill="FCE4D6"/>
            <w:noWrap/>
            <w:vAlign w:val="bottom"/>
            <w:hideMark/>
          </w:tcPr>
          <w:p w14:paraId="0B1F817D"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-50.56%</w:t>
            </w:r>
          </w:p>
        </w:tc>
        <w:tc>
          <w:tcPr>
            <w:tcW w:w="1120" w:type="dxa"/>
            <w:tcBorders>
              <w:top w:val="single" w:sz="4" w:space="0" w:color="auto"/>
              <w:left w:val="nil"/>
              <w:bottom w:val="single" w:sz="4" w:space="0" w:color="auto"/>
              <w:right w:val="single" w:sz="4" w:space="0" w:color="auto"/>
            </w:tcBorders>
            <w:shd w:val="clear" w:color="000000" w:fill="FCE4D6"/>
            <w:noWrap/>
            <w:vAlign w:val="bottom"/>
            <w:hideMark/>
          </w:tcPr>
          <w:p w14:paraId="52B754A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-328.15%</w:t>
            </w:r>
          </w:p>
        </w:tc>
        <w:tc>
          <w:tcPr>
            <w:tcW w:w="960" w:type="dxa"/>
            <w:tcBorders>
              <w:top w:val="single" w:sz="4" w:space="0" w:color="auto"/>
              <w:left w:val="nil"/>
              <w:bottom w:val="single" w:sz="4" w:space="0" w:color="auto"/>
              <w:right w:val="single" w:sz="4" w:space="0" w:color="auto"/>
            </w:tcBorders>
            <w:shd w:val="clear" w:color="000000" w:fill="FCE4D6"/>
            <w:noWrap/>
            <w:vAlign w:val="bottom"/>
            <w:hideMark/>
          </w:tcPr>
          <w:p w14:paraId="5E37660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-94.03%</w:t>
            </w:r>
          </w:p>
        </w:tc>
      </w:tr>
      <w:tr w:rsidR="00A361CF" w:rsidRPr="00A361CF" w14:paraId="1CB90C89" w14:textId="77777777" w:rsidTr="0073507F">
        <w:trPr>
          <w:trHeight w:val="300"/>
        </w:trPr>
        <w:tc>
          <w:tcPr>
            <w:tcW w:w="419" w:type="dxa"/>
            <w:tcBorders>
              <w:top w:val="nil"/>
              <w:left w:val="nil"/>
              <w:bottom w:val="nil"/>
              <w:right w:val="nil"/>
            </w:tcBorders>
            <w:shd w:val="clear" w:color="auto" w:fill="auto"/>
            <w:noWrap/>
            <w:vAlign w:val="bottom"/>
            <w:hideMark/>
          </w:tcPr>
          <w:p w14:paraId="5904B6C2"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24E40632"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5ACE7E3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ECCB37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0E7C08"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3FAD64F8" w14:textId="77777777" w:rsidTr="0073507F">
        <w:trPr>
          <w:trHeight w:val="300"/>
        </w:trPr>
        <w:tc>
          <w:tcPr>
            <w:tcW w:w="419" w:type="dxa"/>
            <w:tcBorders>
              <w:top w:val="nil"/>
              <w:left w:val="nil"/>
              <w:bottom w:val="nil"/>
              <w:right w:val="nil"/>
            </w:tcBorders>
            <w:shd w:val="clear" w:color="auto" w:fill="auto"/>
            <w:noWrap/>
            <w:vAlign w:val="bottom"/>
            <w:hideMark/>
          </w:tcPr>
          <w:p w14:paraId="02229E25"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051991A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0F5DE4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35D517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0BA45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0536CC08" w14:textId="77777777" w:rsidTr="0073507F">
        <w:trPr>
          <w:trHeight w:val="300"/>
        </w:trPr>
        <w:tc>
          <w:tcPr>
            <w:tcW w:w="419" w:type="dxa"/>
            <w:tcBorders>
              <w:top w:val="nil"/>
              <w:left w:val="nil"/>
              <w:bottom w:val="nil"/>
              <w:right w:val="nil"/>
            </w:tcBorders>
            <w:shd w:val="clear" w:color="auto" w:fill="auto"/>
            <w:noWrap/>
            <w:vAlign w:val="bottom"/>
            <w:hideMark/>
          </w:tcPr>
          <w:p w14:paraId="7A07481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0466B8CA" w14:textId="356BDBBE"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Earnings Per Ordinary Share (for Equity Holders)</w:t>
            </w:r>
          </w:p>
        </w:tc>
        <w:tc>
          <w:tcPr>
            <w:tcW w:w="923" w:type="dxa"/>
            <w:tcBorders>
              <w:top w:val="nil"/>
              <w:left w:val="nil"/>
              <w:bottom w:val="nil"/>
              <w:right w:val="nil"/>
            </w:tcBorders>
            <w:shd w:val="clear" w:color="auto" w:fill="auto"/>
            <w:noWrap/>
            <w:vAlign w:val="bottom"/>
            <w:hideMark/>
          </w:tcPr>
          <w:p w14:paraId="73CBC3A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6B1E705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60" w:type="dxa"/>
            <w:tcBorders>
              <w:top w:val="nil"/>
              <w:left w:val="nil"/>
              <w:bottom w:val="nil"/>
              <w:right w:val="nil"/>
            </w:tcBorders>
            <w:shd w:val="clear" w:color="auto" w:fill="auto"/>
            <w:noWrap/>
            <w:vAlign w:val="bottom"/>
            <w:hideMark/>
          </w:tcPr>
          <w:p w14:paraId="09C9290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4131766D" w14:textId="77777777" w:rsidTr="0073507F">
        <w:trPr>
          <w:trHeight w:val="300"/>
        </w:trPr>
        <w:tc>
          <w:tcPr>
            <w:tcW w:w="419" w:type="dxa"/>
            <w:tcBorders>
              <w:top w:val="nil"/>
              <w:left w:val="nil"/>
              <w:bottom w:val="nil"/>
              <w:right w:val="nil"/>
            </w:tcBorders>
            <w:shd w:val="clear" w:color="auto" w:fill="auto"/>
            <w:noWrap/>
            <w:vAlign w:val="bottom"/>
            <w:hideMark/>
          </w:tcPr>
          <w:p w14:paraId="223DF90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3E86EB71"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5903117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5C2AE2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A0859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0D29FD6" w14:textId="77777777" w:rsidTr="0073507F">
        <w:trPr>
          <w:trHeight w:val="300"/>
        </w:trPr>
        <w:tc>
          <w:tcPr>
            <w:tcW w:w="419" w:type="dxa"/>
            <w:tcBorders>
              <w:top w:val="nil"/>
              <w:left w:val="nil"/>
              <w:bottom w:val="nil"/>
              <w:right w:val="nil"/>
            </w:tcBorders>
            <w:shd w:val="clear" w:color="auto" w:fill="auto"/>
            <w:noWrap/>
            <w:vAlign w:val="bottom"/>
            <w:hideMark/>
          </w:tcPr>
          <w:p w14:paraId="2199109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978" w:type="dxa"/>
            <w:tcBorders>
              <w:top w:val="nil"/>
              <w:left w:val="nil"/>
              <w:bottom w:val="nil"/>
              <w:right w:val="nil"/>
            </w:tcBorders>
            <w:shd w:val="clear" w:color="auto" w:fill="auto"/>
            <w:noWrap/>
            <w:vAlign w:val="bottom"/>
            <w:hideMark/>
          </w:tcPr>
          <w:p w14:paraId="081E0DEE"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Net Income (Profit after Tax) x 100 (pence)</w:t>
            </w:r>
          </w:p>
        </w:tc>
        <w:tc>
          <w:tcPr>
            <w:tcW w:w="923" w:type="dxa"/>
            <w:tcBorders>
              <w:top w:val="nil"/>
              <w:left w:val="nil"/>
              <w:bottom w:val="nil"/>
              <w:right w:val="nil"/>
            </w:tcBorders>
            <w:shd w:val="clear" w:color="auto" w:fill="auto"/>
            <w:noWrap/>
            <w:vAlign w:val="bottom"/>
            <w:hideMark/>
          </w:tcPr>
          <w:p w14:paraId="04092939"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-191.6</w:t>
            </w:r>
          </w:p>
        </w:tc>
        <w:tc>
          <w:tcPr>
            <w:tcW w:w="1120" w:type="dxa"/>
            <w:tcBorders>
              <w:top w:val="nil"/>
              <w:left w:val="nil"/>
              <w:bottom w:val="nil"/>
              <w:right w:val="nil"/>
            </w:tcBorders>
            <w:shd w:val="clear" w:color="auto" w:fill="auto"/>
            <w:noWrap/>
            <w:vAlign w:val="bottom"/>
            <w:hideMark/>
          </w:tcPr>
          <w:p w14:paraId="6E7F274D"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-419.3</w:t>
            </w:r>
          </w:p>
        </w:tc>
        <w:tc>
          <w:tcPr>
            <w:tcW w:w="960" w:type="dxa"/>
            <w:tcBorders>
              <w:top w:val="nil"/>
              <w:left w:val="nil"/>
              <w:bottom w:val="nil"/>
              <w:right w:val="nil"/>
            </w:tcBorders>
            <w:shd w:val="clear" w:color="auto" w:fill="auto"/>
            <w:noWrap/>
            <w:vAlign w:val="bottom"/>
            <w:hideMark/>
          </w:tcPr>
          <w:p w14:paraId="1F13ACA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-126.4</w:t>
            </w:r>
          </w:p>
        </w:tc>
      </w:tr>
      <w:tr w:rsidR="00A361CF" w:rsidRPr="00A361CF" w14:paraId="55138BF6" w14:textId="77777777" w:rsidTr="0073507F">
        <w:trPr>
          <w:trHeight w:val="300"/>
        </w:trPr>
        <w:tc>
          <w:tcPr>
            <w:tcW w:w="419" w:type="dxa"/>
            <w:tcBorders>
              <w:top w:val="nil"/>
              <w:left w:val="nil"/>
              <w:bottom w:val="nil"/>
              <w:right w:val="nil"/>
            </w:tcBorders>
            <w:shd w:val="clear" w:color="auto" w:fill="auto"/>
            <w:noWrap/>
            <w:vAlign w:val="bottom"/>
            <w:hideMark/>
          </w:tcPr>
          <w:p w14:paraId="3B4ABE8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978" w:type="dxa"/>
            <w:tcBorders>
              <w:top w:val="nil"/>
              <w:left w:val="nil"/>
              <w:bottom w:val="nil"/>
              <w:right w:val="nil"/>
            </w:tcBorders>
            <w:shd w:val="clear" w:color="auto" w:fill="auto"/>
            <w:noWrap/>
            <w:vAlign w:val="bottom"/>
            <w:hideMark/>
          </w:tcPr>
          <w:p w14:paraId="3D7CA04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Number of Shares (weighted average per Financial Statements)</w:t>
            </w:r>
          </w:p>
        </w:tc>
        <w:tc>
          <w:tcPr>
            <w:tcW w:w="923" w:type="dxa"/>
            <w:tcBorders>
              <w:top w:val="nil"/>
              <w:left w:val="nil"/>
              <w:bottom w:val="nil"/>
              <w:right w:val="nil"/>
            </w:tcBorders>
            <w:shd w:val="clear" w:color="auto" w:fill="auto"/>
            <w:noWrap/>
            <w:vAlign w:val="bottom"/>
            <w:hideMark/>
          </w:tcPr>
          <w:p w14:paraId="711CBB9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115.5</w:t>
            </w:r>
          </w:p>
        </w:tc>
        <w:tc>
          <w:tcPr>
            <w:tcW w:w="1120" w:type="dxa"/>
            <w:tcBorders>
              <w:top w:val="nil"/>
              <w:left w:val="nil"/>
              <w:bottom w:val="nil"/>
              <w:right w:val="nil"/>
            </w:tcBorders>
            <w:shd w:val="clear" w:color="auto" w:fill="auto"/>
            <w:noWrap/>
            <w:vAlign w:val="bottom"/>
            <w:hideMark/>
          </w:tcPr>
          <w:p w14:paraId="7654C7B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77.2</w:t>
            </w:r>
          </w:p>
        </w:tc>
        <w:tc>
          <w:tcPr>
            <w:tcW w:w="960" w:type="dxa"/>
            <w:tcBorders>
              <w:top w:val="nil"/>
              <w:left w:val="nil"/>
              <w:bottom w:val="nil"/>
              <w:right w:val="nil"/>
            </w:tcBorders>
            <w:shd w:val="clear" w:color="auto" w:fill="auto"/>
            <w:noWrap/>
            <w:vAlign w:val="bottom"/>
            <w:hideMark/>
          </w:tcPr>
          <w:p w14:paraId="2D7DFB0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43.5</w:t>
            </w:r>
          </w:p>
        </w:tc>
      </w:tr>
      <w:tr w:rsidR="00A361CF" w:rsidRPr="00A361CF" w14:paraId="3D6A238B" w14:textId="77777777" w:rsidTr="0073507F">
        <w:trPr>
          <w:trHeight w:val="300"/>
        </w:trPr>
        <w:tc>
          <w:tcPr>
            <w:tcW w:w="419" w:type="dxa"/>
            <w:tcBorders>
              <w:top w:val="nil"/>
              <w:left w:val="nil"/>
              <w:bottom w:val="nil"/>
              <w:right w:val="nil"/>
            </w:tcBorders>
            <w:shd w:val="clear" w:color="auto" w:fill="auto"/>
            <w:noWrap/>
            <w:vAlign w:val="bottom"/>
            <w:hideMark/>
          </w:tcPr>
          <w:p w14:paraId="69ED4F7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978" w:type="dxa"/>
            <w:tcBorders>
              <w:top w:val="nil"/>
              <w:left w:val="nil"/>
              <w:bottom w:val="nil"/>
              <w:right w:val="nil"/>
            </w:tcBorders>
            <w:shd w:val="clear" w:color="auto" w:fill="auto"/>
            <w:noWrap/>
            <w:vAlign w:val="bottom"/>
            <w:hideMark/>
          </w:tcPr>
          <w:p w14:paraId="500E155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755A2A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B4D46F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A8665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4EC93EF"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E2577A"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20</w:t>
            </w:r>
          </w:p>
        </w:tc>
        <w:tc>
          <w:tcPr>
            <w:tcW w:w="5978" w:type="dxa"/>
            <w:tcBorders>
              <w:top w:val="single" w:sz="4" w:space="0" w:color="auto"/>
              <w:left w:val="nil"/>
              <w:bottom w:val="single" w:sz="4" w:space="0" w:color="auto"/>
              <w:right w:val="single" w:sz="4" w:space="0" w:color="auto"/>
            </w:tcBorders>
            <w:shd w:val="clear" w:color="auto" w:fill="auto"/>
            <w:noWrap/>
            <w:vAlign w:val="bottom"/>
            <w:hideMark/>
          </w:tcPr>
          <w:p w14:paraId="25429DD7"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Earnings Per Ordinary Share (in pence)</w:t>
            </w:r>
          </w:p>
        </w:tc>
        <w:tc>
          <w:tcPr>
            <w:tcW w:w="923" w:type="dxa"/>
            <w:tcBorders>
              <w:top w:val="single" w:sz="4" w:space="0" w:color="auto"/>
              <w:left w:val="nil"/>
              <w:bottom w:val="single" w:sz="4" w:space="0" w:color="auto"/>
              <w:right w:val="single" w:sz="4" w:space="0" w:color="auto"/>
            </w:tcBorders>
            <w:shd w:val="clear" w:color="000000" w:fill="FCE4D6"/>
            <w:noWrap/>
            <w:vAlign w:val="bottom"/>
            <w:hideMark/>
          </w:tcPr>
          <w:p w14:paraId="07AE15A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-165.9</w:t>
            </w:r>
          </w:p>
        </w:tc>
        <w:tc>
          <w:tcPr>
            <w:tcW w:w="1120" w:type="dxa"/>
            <w:tcBorders>
              <w:top w:val="single" w:sz="4" w:space="0" w:color="auto"/>
              <w:left w:val="nil"/>
              <w:bottom w:val="single" w:sz="4" w:space="0" w:color="auto"/>
              <w:right w:val="single" w:sz="4" w:space="0" w:color="auto"/>
            </w:tcBorders>
            <w:shd w:val="clear" w:color="000000" w:fill="FCE4D6"/>
            <w:noWrap/>
            <w:vAlign w:val="bottom"/>
            <w:hideMark/>
          </w:tcPr>
          <w:p w14:paraId="3C8070C5"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-543.1</w:t>
            </w:r>
          </w:p>
        </w:tc>
        <w:tc>
          <w:tcPr>
            <w:tcW w:w="960" w:type="dxa"/>
            <w:tcBorders>
              <w:top w:val="single" w:sz="4" w:space="0" w:color="auto"/>
              <w:left w:val="nil"/>
              <w:bottom w:val="single" w:sz="4" w:space="0" w:color="auto"/>
              <w:right w:val="single" w:sz="4" w:space="0" w:color="auto"/>
            </w:tcBorders>
            <w:shd w:val="clear" w:color="000000" w:fill="FCE4D6"/>
            <w:noWrap/>
            <w:vAlign w:val="bottom"/>
            <w:hideMark/>
          </w:tcPr>
          <w:p w14:paraId="267300A5"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-290.6</w:t>
            </w:r>
          </w:p>
        </w:tc>
      </w:tr>
    </w:tbl>
    <w:p w14:paraId="695BF556" w14:textId="2021D143" w:rsidR="6D3EB64B" w:rsidRDefault="6D3EB64B" w:rsidP="6D3EB64B">
      <w:pPr>
        <w:rPr>
          <w:rFonts w:ascii="Calibri" w:eastAsia="Calibri" w:hAnsi="Calibri" w:cs="Calibri"/>
          <w:color w:val="000000" w:themeColor="text1"/>
        </w:rPr>
      </w:pPr>
    </w:p>
    <w:p w14:paraId="73BFA016" w14:textId="27E4035C" w:rsidR="6D3EB64B" w:rsidRDefault="6D3EB64B" w:rsidP="6D3EB64B">
      <w:pPr>
        <w:rPr>
          <w:rFonts w:ascii="Calibri" w:eastAsia="Calibri" w:hAnsi="Calibri" w:cs="Calibri"/>
          <w:color w:val="000000" w:themeColor="text1"/>
        </w:rPr>
      </w:pPr>
    </w:p>
    <w:p w14:paraId="20963A83" w14:textId="7C8CC5DA" w:rsidR="6D3EB64B" w:rsidRDefault="6D3EB64B" w:rsidP="6D3EB64B">
      <w:pPr>
        <w:rPr>
          <w:rFonts w:ascii="Calibri" w:eastAsia="Calibri" w:hAnsi="Calibri" w:cs="Calibri"/>
          <w:color w:val="000000" w:themeColor="text1"/>
        </w:rPr>
      </w:pPr>
    </w:p>
    <w:tbl>
      <w:tblPr>
        <w:tblW w:w="9388" w:type="dxa"/>
        <w:tblLook w:val="04A0" w:firstRow="1" w:lastRow="0" w:firstColumn="1" w:lastColumn="0" w:noHBand="0" w:noVBand="1"/>
      </w:tblPr>
      <w:tblGrid>
        <w:gridCol w:w="419"/>
        <w:gridCol w:w="5897"/>
        <w:gridCol w:w="976"/>
        <w:gridCol w:w="1120"/>
        <w:gridCol w:w="976"/>
      </w:tblGrid>
      <w:tr w:rsidR="00A361CF" w:rsidRPr="00A361CF" w14:paraId="7CC937E2" w14:textId="77777777" w:rsidTr="0073507F">
        <w:trPr>
          <w:trHeight w:val="300"/>
        </w:trPr>
        <w:tc>
          <w:tcPr>
            <w:tcW w:w="7292" w:type="dxa"/>
            <w:gridSpan w:val="3"/>
            <w:tcBorders>
              <w:top w:val="nil"/>
              <w:left w:val="nil"/>
              <w:bottom w:val="nil"/>
              <w:right w:val="nil"/>
            </w:tcBorders>
            <w:shd w:val="clear" w:color="auto" w:fill="auto"/>
            <w:noWrap/>
            <w:vAlign w:val="bottom"/>
            <w:hideMark/>
          </w:tcPr>
          <w:p w14:paraId="4237C3E0" w14:textId="77777777" w:rsidR="00A361CF" w:rsidRPr="00A361CF" w:rsidRDefault="00A361CF" w:rsidP="00A361CF">
            <w:pPr>
              <w:spacing w:after="0" w:line="240" w:lineRule="auto"/>
              <w:rPr>
                <w:rFonts w:ascii="Calibri" w:eastAsia="Times New Roman" w:hAnsi="Calibri" w:cs="Calibri"/>
                <w:b/>
                <w:bCs/>
                <w:color w:val="000000"/>
                <w:sz w:val="20"/>
                <w:szCs w:val="20"/>
                <w:u w:val="single"/>
                <w:lang w:eastAsia="en-GB"/>
              </w:rPr>
            </w:pPr>
            <w:r w:rsidRPr="00A361CF">
              <w:rPr>
                <w:rFonts w:ascii="Calibri" w:eastAsia="Times New Roman" w:hAnsi="Calibri" w:cs="Calibri"/>
                <w:b/>
                <w:bCs/>
                <w:color w:val="000000"/>
                <w:sz w:val="20"/>
                <w:szCs w:val="20"/>
                <w:u w:val="single"/>
                <w:lang w:eastAsia="en-GB"/>
              </w:rPr>
              <w:t>ASTON MARTIN HOLDINGS LTD - RATIO CALCULATIONS  2019 to 2021 (3 years)</w:t>
            </w:r>
          </w:p>
        </w:tc>
        <w:tc>
          <w:tcPr>
            <w:tcW w:w="1120" w:type="dxa"/>
            <w:tcBorders>
              <w:top w:val="nil"/>
              <w:left w:val="nil"/>
              <w:bottom w:val="nil"/>
              <w:right w:val="nil"/>
            </w:tcBorders>
            <w:shd w:val="clear" w:color="auto" w:fill="auto"/>
            <w:noWrap/>
            <w:vAlign w:val="bottom"/>
            <w:hideMark/>
          </w:tcPr>
          <w:p w14:paraId="70622FEE" w14:textId="77777777" w:rsidR="00A361CF" w:rsidRPr="00A361CF" w:rsidRDefault="00A361CF" w:rsidP="00A361CF">
            <w:pPr>
              <w:spacing w:after="0" w:line="240" w:lineRule="auto"/>
              <w:rPr>
                <w:rFonts w:ascii="Calibri" w:eastAsia="Times New Roman" w:hAnsi="Calibri" w:cs="Calibri"/>
                <w:b/>
                <w:bCs/>
                <w:color w:val="000000"/>
                <w:sz w:val="20"/>
                <w:szCs w:val="20"/>
                <w:u w:val="single"/>
                <w:lang w:eastAsia="en-GB"/>
              </w:rPr>
            </w:pPr>
          </w:p>
        </w:tc>
        <w:tc>
          <w:tcPr>
            <w:tcW w:w="976" w:type="dxa"/>
            <w:tcBorders>
              <w:top w:val="nil"/>
              <w:left w:val="nil"/>
              <w:bottom w:val="nil"/>
              <w:right w:val="nil"/>
            </w:tcBorders>
            <w:shd w:val="clear" w:color="auto" w:fill="auto"/>
            <w:noWrap/>
            <w:vAlign w:val="bottom"/>
            <w:hideMark/>
          </w:tcPr>
          <w:p w14:paraId="01D5A93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68F5684D" w14:textId="77777777" w:rsidTr="0073507F">
        <w:trPr>
          <w:trHeight w:val="300"/>
        </w:trPr>
        <w:tc>
          <w:tcPr>
            <w:tcW w:w="419" w:type="dxa"/>
            <w:tcBorders>
              <w:top w:val="nil"/>
              <w:left w:val="nil"/>
              <w:bottom w:val="nil"/>
              <w:right w:val="nil"/>
            </w:tcBorders>
            <w:shd w:val="clear" w:color="auto" w:fill="auto"/>
            <w:noWrap/>
            <w:vAlign w:val="bottom"/>
            <w:hideMark/>
          </w:tcPr>
          <w:p w14:paraId="4E71CCF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7ED0236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EBD95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FFD1EFE"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9AC7F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26B2721D" w14:textId="77777777" w:rsidTr="0073507F">
        <w:trPr>
          <w:trHeight w:val="300"/>
        </w:trPr>
        <w:tc>
          <w:tcPr>
            <w:tcW w:w="419" w:type="dxa"/>
            <w:tcBorders>
              <w:top w:val="nil"/>
              <w:left w:val="nil"/>
              <w:bottom w:val="nil"/>
              <w:right w:val="nil"/>
            </w:tcBorders>
            <w:shd w:val="clear" w:color="auto" w:fill="auto"/>
            <w:noWrap/>
            <w:vAlign w:val="bottom"/>
            <w:hideMark/>
          </w:tcPr>
          <w:p w14:paraId="29AF469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4432CE1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Dividend Cover (Percentage) - Not applicable - No Dividends</w:t>
            </w:r>
          </w:p>
        </w:tc>
        <w:tc>
          <w:tcPr>
            <w:tcW w:w="976" w:type="dxa"/>
            <w:tcBorders>
              <w:top w:val="nil"/>
              <w:left w:val="nil"/>
              <w:bottom w:val="nil"/>
              <w:right w:val="nil"/>
            </w:tcBorders>
            <w:shd w:val="clear" w:color="auto" w:fill="auto"/>
            <w:noWrap/>
            <w:vAlign w:val="bottom"/>
            <w:hideMark/>
          </w:tcPr>
          <w:p w14:paraId="6C182E2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76AF6F0C"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76" w:type="dxa"/>
            <w:tcBorders>
              <w:top w:val="nil"/>
              <w:left w:val="nil"/>
              <w:bottom w:val="nil"/>
              <w:right w:val="nil"/>
            </w:tcBorders>
            <w:shd w:val="clear" w:color="auto" w:fill="auto"/>
            <w:noWrap/>
            <w:vAlign w:val="bottom"/>
            <w:hideMark/>
          </w:tcPr>
          <w:p w14:paraId="43441A5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310FABC2" w14:textId="77777777" w:rsidTr="0073507F">
        <w:trPr>
          <w:trHeight w:val="300"/>
        </w:trPr>
        <w:tc>
          <w:tcPr>
            <w:tcW w:w="419" w:type="dxa"/>
            <w:tcBorders>
              <w:top w:val="nil"/>
              <w:left w:val="nil"/>
              <w:bottom w:val="nil"/>
              <w:right w:val="nil"/>
            </w:tcBorders>
            <w:shd w:val="clear" w:color="auto" w:fill="auto"/>
            <w:noWrap/>
            <w:vAlign w:val="bottom"/>
            <w:hideMark/>
          </w:tcPr>
          <w:p w14:paraId="26D0907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2A42D51C"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F66FA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925793C"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A8D56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A994BC7" w14:textId="77777777" w:rsidTr="0073507F">
        <w:trPr>
          <w:trHeight w:val="300"/>
        </w:trPr>
        <w:tc>
          <w:tcPr>
            <w:tcW w:w="419" w:type="dxa"/>
            <w:tcBorders>
              <w:top w:val="nil"/>
              <w:left w:val="nil"/>
              <w:bottom w:val="nil"/>
              <w:right w:val="nil"/>
            </w:tcBorders>
            <w:shd w:val="clear" w:color="auto" w:fill="auto"/>
            <w:noWrap/>
            <w:vAlign w:val="bottom"/>
            <w:hideMark/>
          </w:tcPr>
          <w:p w14:paraId="413CF510"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5A923A8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Net Income (Profit after Tax) x 100%</w:t>
            </w:r>
          </w:p>
        </w:tc>
        <w:tc>
          <w:tcPr>
            <w:tcW w:w="976" w:type="dxa"/>
            <w:tcBorders>
              <w:top w:val="nil"/>
              <w:left w:val="nil"/>
              <w:bottom w:val="nil"/>
              <w:right w:val="nil"/>
            </w:tcBorders>
            <w:shd w:val="clear" w:color="auto" w:fill="auto"/>
            <w:noWrap/>
            <w:vAlign w:val="bottom"/>
            <w:hideMark/>
          </w:tcPr>
          <w:p w14:paraId="36DB62F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-191.6</w:t>
            </w:r>
          </w:p>
        </w:tc>
        <w:tc>
          <w:tcPr>
            <w:tcW w:w="1120" w:type="dxa"/>
            <w:tcBorders>
              <w:top w:val="nil"/>
              <w:left w:val="nil"/>
              <w:bottom w:val="nil"/>
              <w:right w:val="nil"/>
            </w:tcBorders>
            <w:shd w:val="clear" w:color="auto" w:fill="auto"/>
            <w:noWrap/>
            <w:vAlign w:val="bottom"/>
            <w:hideMark/>
          </w:tcPr>
          <w:p w14:paraId="196FAFF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-419.3</w:t>
            </w:r>
          </w:p>
        </w:tc>
        <w:tc>
          <w:tcPr>
            <w:tcW w:w="976" w:type="dxa"/>
            <w:tcBorders>
              <w:top w:val="nil"/>
              <w:left w:val="nil"/>
              <w:bottom w:val="nil"/>
              <w:right w:val="nil"/>
            </w:tcBorders>
            <w:shd w:val="clear" w:color="auto" w:fill="auto"/>
            <w:noWrap/>
            <w:vAlign w:val="bottom"/>
            <w:hideMark/>
          </w:tcPr>
          <w:p w14:paraId="6CBE463C"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-126.4</w:t>
            </w:r>
          </w:p>
        </w:tc>
      </w:tr>
      <w:tr w:rsidR="00A361CF" w:rsidRPr="00A361CF" w14:paraId="541A14BC" w14:textId="77777777" w:rsidTr="0073507F">
        <w:trPr>
          <w:trHeight w:val="300"/>
        </w:trPr>
        <w:tc>
          <w:tcPr>
            <w:tcW w:w="419" w:type="dxa"/>
            <w:tcBorders>
              <w:top w:val="nil"/>
              <w:left w:val="nil"/>
              <w:bottom w:val="nil"/>
              <w:right w:val="nil"/>
            </w:tcBorders>
            <w:shd w:val="clear" w:color="auto" w:fill="auto"/>
            <w:noWrap/>
            <w:vAlign w:val="bottom"/>
            <w:hideMark/>
          </w:tcPr>
          <w:p w14:paraId="45FD055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16C35BC3"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Dividend Proposed and Paid</w:t>
            </w:r>
          </w:p>
        </w:tc>
        <w:tc>
          <w:tcPr>
            <w:tcW w:w="976" w:type="dxa"/>
            <w:tcBorders>
              <w:top w:val="nil"/>
              <w:left w:val="nil"/>
              <w:bottom w:val="nil"/>
              <w:right w:val="nil"/>
            </w:tcBorders>
            <w:shd w:val="clear" w:color="auto" w:fill="auto"/>
            <w:noWrap/>
            <w:vAlign w:val="bottom"/>
            <w:hideMark/>
          </w:tcPr>
          <w:p w14:paraId="5FA40A4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nil</w:t>
            </w:r>
          </w:p>
        </w:tc>
        <w:tc>
          <w:tcPr>
            <w:tcW w:w="1120" w:type="dxa"/>
            <w:tcBorders>
              <w:top w:val="nil"/>
              <w:left w:val="nil"/>
              <w:bottom w:val="nil"/>
              <w:right w:val="nil"/>
            </w:tcBorders>
            <w:shd w:val="clear" w:color="auto" w:fill="auto"/>
            <w:noWrap/>
            <w:vAlign w:val="bottom"/>
            <w:hideMark/>
          </w:tcPr>
          <w:p w14:paraId="332C0A3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nil</w:t>
            </w:r>
          </w:p>
        </w:tc>
        <w:tc>
          <w:tcPr>
            <w:tcW w:w="976" w:type="dxa"/>
            <w:tcBorders>
              <w:top w:val="nil"/>
              <w:left w:val="nil"/>
              <w:bottom w:val="nil"/>
              <w:right w:val="nil"/>
            </w:tcBorders>
            <w:shd w:val="clear" w:color="auto" w:fill="auto"/>
            <w:noWrap/>
            <w:vAlign w:val="bottom"/>
            <w:hideMark/>
          </w:tcPr>
          <w:p w14:paraId="3B91669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nil</w:t>
            </w:r>
          </w:p>
        </w:tc>
      </w:tr>
      <w:tr w:rsidR="00A361CF" w:rsidRPr="00A361CF" w14:paraId="145AE250" w14:textId="77777777" w:rsidTr="0073507F">
        <w:trPr>
          <w:trHeight w:val="300"/>
        </w:trPr>
        <w:tc>
          <w:tcPr>
            <w:tcW w:w="419" w:type="dxa"/>
            <w:tcBorders>
              <w:top w:val="nil"/>
              <w:left w:val="nil"/>
              <w:bottom w:val="nil"/>
              <w:right w:val="nil"/>
            </w:tcBorders>
            <w:shd w:val="clear" w:color="auto" w:fill="auto"/>
            <w:noWrap/>
            <w:vAlign w:val="bottom"/>
            <w:hideMark/>
          </w:tcPr>
          <w:p w14:paraId="079A54A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46AD604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53820D"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2B0E2AD"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F4B1EF"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2F276BD4" w14:textId="77777777" w:rsidTr="0073507F">
        <w:trPr>
          <w:trHeight w:val="300"/>
        </w:trPr>
        <w:tc>
          <w:tcPr>
            <w:tcW w:w="419" w:type="dxa"/>
            <w:tcBorders>
              <w:top w:val="nil"/>
              <w:left w:val="nil"/>
              <w:bottom w:val="nil"/>
              <w:right w:val="nil"/>
            </w:tcBorders>
            <w:shd w:val="clear" w:color="auto" w:fill="auto"/>
            <w:noWrap/>
            <w:vAlign w:val="bottom"/>
            <w:hideMark/>
          </w:tcPr>
          <w:p w14:paraId="7DA8CB49"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4F8BA08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99982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16E2253"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27990D"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3DB648C"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607145"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21</w:t>
            </w:r>
          </w:p>
        </w:tc>
        <w:tc>
          <w:tcPr>
            <w:tcW w:w="5897" w:type="dxa"/>
            <w:tcBorders>
              <w:top w:val="single" w:sz="4" w:space="0" w:color="auto"/>
              <w:left w:val="nil"/>
              <w:bottom w:val="single" w:sz="4" w:space="0" w:color="auto"/>
              <w:right w:val="single" w:sz="4" w:space="0" w:color="auto"/>
            </w:tcBorders>
            <w:shd w:val="clear" w:color="auto" w:fill="auto"/>
            <w:noWrap/>
            <w:vAlign w:val="bottom"/>
            <w:hideMark/>
          </w:tcPr>
          <w:p w14:paraId="0CE621F6"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Dividend Cover (Percentage) - Not applicable - No Dividends</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3B18F3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n/a</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7DCF26C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n/a</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F10D58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n/a</w:t>
            </w:r>
          </w:p>
        </w:tc>
      </w:tr>
      <w:tr w:rsidR="00A361CF" w:rsidRPr="00A361CF" w14:paraId="2AD9F802" w14:textId="77777777" w:rsidTr="0073507F">
        <w:trPr>
          <w:trHeight w:val="300"/>
        </w:trPr>
        <w:tc>
          <w:tcPr>
            <w:tcW w:w="419" w:type="dxa"/>
            <w:tcBorders>
              <w:top w:val="nil"/>
              <w:left w:val="nil"/>
              <w:bottom w:val="nil"/>
              <w:right w:val="nil"/>
            </w:tcBorders>
            <w:shd w:val="clear" w:color="auto" w:fill="auto"/>
            <w:noWrap/>
            <w:vAlign w:val="bottom"/>
            <w:hideMark/>
          </w:tcPr>
          <w:p w14:paraId="62AD088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232E042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63355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7401781B"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69A488"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5FB7637" w14:textId="77777777" w:rsidTr="0073507F">
        <w:trPr>
          <w:trHeight w:val="300"/>
        </w:trPr>
        <w:tc>
          <w:tcPr>
            <w:tcW w:w="419" w:type="dxa"/>
            <w:tcBorders>
              <w:top w:val="nil"/>
              <w:left w:val="nil"/>
              <w:bottom w:val="nil"/>
              <w:right w:val="nil"/>
            </w:tcBorders>
            <w:shd w:val="clear" w:color="auto" w:fill="auto"/>
            <w:noWrap/>
            <w:vAlign w:val="bottom"/>
            <w:hideMark/>
          </w:tcPr>
          <w:p w14:paraId="070C2F4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797EACB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B5580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6FED32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F6FAA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71692CE6" w14:textId="77777777" w:rsidTr="0073507F">
        <w:trPr>
          <w:trHeight w:val="300"/>
        </w:trPr>
        <w:tc>
          <w:tcPr>
            <w:tcW w:w="419" w:type="dxa"/>
            <w:tcBorders>
              <w:top w:val="nil"/>
              <w:left w:val="nil"/>
              <w:bottom w:val="nil"/>
              <w:right w:val="nil"/>
            </w:tcBorders>
            <w:shd w:val="clear" w:color="auto" w:fill="auto"/>
            <w:noWrap/>
            <w:vAlign w:val="bottom"/>
            <w:hideMark/>
          </w:tcPr>
          <w:p w14:paraId="4AF32519"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6CE3198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Price per Earnings Ratio</w:t>
            </w:r>
          </w:p>
        </w:tc>
        <w:tc>
          <w:tcPr>
            <w:tcW w:w="976" w:type="dxa"/>
            <w:tcBorders>
              <w:top w:val="nil"/>
              <w:left w:val="nil"/>
              <w:bottom w:val="nil"/>
              <w:right w:val="nil"/>
            </w:tcBorders>
            <w:shd w:val="clear" w:color="auto" w:fill="auto"/>
            <w:noWrap/>
            <w:vAlign w:val="bottom"/>
            <w:hideMark/>
          </w:tcPr>
          <w:p w14:paraId="5F565981"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0EB49C9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76" w:type="dxa"/>
            <w:tcBorders>
              <w:top w:val="nil"/>
              <w:left w:val="nil"/>
              <w:bottom w:val="nil"/>
              <w:right w:val="nil"/>
            </w:tcBorders>
            <w:shd w:val="clear" w:color="auto" w:fill="auto"/>
            <w:noWrap/>
            <w:vAlign w:val="bottom"/>
            <w:hideMark/>
          </w:tcPr>
          <w:p w14:paraId="41E7B72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2E0BCDB6" w14:textId="77777777" w:rsidTr="0073507F">
        <w:trPr>
          <w:trHeight w:val="300"/>
        </w:trPr>
        <w:tc>
          <w:tcPr>
            <w:tcW w:w="419" w:type="dxa"/>
            <w:tcBorders>
              <w:top w:val="nil"/>
              <w:left w:val="nil"/>
              <w:bottom w:val="nil"/>
              <w:right w:val="nil"/>
            </w:tcBorders>
            <w:shd w:val="clear" w:color="auto" w:fill="auto"/>
            <w:noWrap/>
            <w:vAlign w:val="bottom"/>
            <w:hideMark/>
          </w:tcPr>
          <w:p w14:paraId="6AEC716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0BC88F2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28D7A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1E637F9"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FE3389"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66EE0807" w14:textId="77777777" w:rsidTr="0073507F">
        <w:trPr>
          <w:trHeight w:val="300"/>
        </w:trPr>
        <w:tc>
          <w:tcPr>
            <w:tcW w:w="419" w:type="dxa"/>
            <w:tcBorders>
              <w:top w:val="nil"/>
              <w:left w:val="nil"/>
              <w:bottom w:val="nil"/>
              <w:right w:val="nil"/>
            </w:tcBorders>
            <w:shd w:val="clear" w:color="auto" w:fill="auto"/>
            <w:noWrap/>
            <w:vAlign w:val="bottom"/>
            <w:hideMark/>
          </w:tcPr>
          <w:p w14:paraId="15DF88C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3B8EDC9C"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Market Value per Share</w:t>
            </w:r>
          </w:p>
        </w:tc>
        <w:tc>
          <w:tcPr>
            <w:tcW w:w="976" w:type="dxa"/>
            <w:tcBorders>
              <w:top w:val="nil"/>
              <w:left w:val="nil"/>
              <w:bottom w:val="nil"/>
              <w:right w:val="nil"/>
            </w:tcBorders>
            <w:shd w:val="clear" w:color="auto" w:fill="auto"/>
            <w:noWrap/>
            <w:vAlign w:val="bottom"/>
            <w:hideMark/>
          </w:tcPr>
          <w:p w14:paraId="72B22DD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1353</w:t>
            </w:r>
          </w:p>
        </w:tc>
        <w:tc>
          <w:tcPr>
            <w:tcW w:w="1120" w:type="dxa"/>
            <w:tcBorders>
              <w:top w:val="nil"/>
              <w:left w:val="nil"/>
              <w:bottom w:val="nil"/>
              <w:right w:val="nil"/>
            </w:tcBorders>
            <w:shd w:val="clear" w:color="auto" w:fill="auto"/>
            <w:noWrap/>
            <w:vAlign w:val="bottom"/>
            <w:hideMark/>
          </w:tcPr>
          <w:p w14:paraId="3895F49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2009</w:t>
            </w:r>
          </w:p>
        </w:tc>
        <w:tc>
          <w:tcPr>
            <w:tcW w:w="976" w:type="dxa"/>
            <w:tcBorders>
              <w:top w:val="nil"/>
              <w:left w:val="nil"/>
              <w:bottom w:val="nil"/>
              <w:right w:val="nil"/>
            </w:tcBorders>
            <w:shd w:val="clear" w:color="auto" w:fill="auto"/>
            <w:noWrap/>
            <w:vAlign w:val="bottom"/>
            <w:hideMark/>
          </w:tcPr>
          <w:p w14:paraId="6BD50A03" w14:textId="77777777" w:rsidR="00A361CF" w:rsidRPr="00A361CF" w:rsidRDefault="00A361CF" w:rsidP="00A361CF">
            <w:pPr>
              <w:spacing w:after="0" w:line="240" w:lineRule="auto"/>
              <w:jc w:val="right"/>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3337.41</w:t>
            </w:r>
          </w:p>
        </w:tc>
      </w:tr>
      <w:tr w:rsidR="00A361CF" w:rsidRPr="00A361CF" w14:paraId="75CAB70A" w14:textId="77777777" w:rsidTr="0073507F">
        <w:trPr>
          <w:trHeight w:val="300"/>
        </w:trPr>
        <w:tc>
          <w:tcPr>
            <w:tcW w:w="419" w:type="dxa"/>
            <w:tcBorders>
              <w:top w:val="nil"/>
              <w:left w:val="nil"/>
              <w:bottom w:val="nil"/>
              <w:right w:val="nil"/>
            </w:tcBorders>
            <w:shd w:val="clear" w:color="auto" w:fill="auto"/>
            <w:noWrap/>
            <w:vAlign w:val="bottom"/>
            <w:hideMark/>
          </w:tcPr>
          <w:p w14:paraId="54B6E6F5" w14:textId="77777777" w:rsidR="00A361CF" w:rsidRPr="00A361CF" w:rsidRDefault="00A361CF" w:rsidP="00A361CF">
            <w:pPr>
              <w:spacing w:after="0" w:line="240" w:lineRule="auto"/>
              <w:jc w:val="right"/>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07C72CD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Earnings per Ordinary Share</w:t>
            </w:r>
          </w:p>
        </w:tc>
        <w:tc>
          <w:tcPr>
            <w:tcW w:w="976" w:type="dxa"/>
            <w:tcBorders>
              <w:top w:val="nil"/>
              <w:left w:val="nil"/>
              <w:bottom w:val="nil"/>
              <w:right w:val="nil"/>
            </w:tcBorders>
            <w:shd w:val="clear" w:color="auto" w:fill="auto"/>
            <w:noWrap/>
            <w:vAlign w:val="bottom"/>
            <w:hideMark/>
          </w:tcPr>
          <w:p w14:paraId="7F109DF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-165.9</w:t>
            </w:r>
          </w:p>
        </w:tc>
        <w:tc>
          <w:tcPr>
            <w:tcW w:w="1120" w:type="dxa"/>
            <w:tcBorders>
              <w:top w:val="nil"/>
              <w:left w:val="nil"/>
              <w:bottom w:val="nil"/>
              <w:right w:val="nil"/>
            </w:tcBorders>
            <w:shd w:val="clear" w:color="auto" w:fill="auto"/>
            <w:noWrap/>
            <w:vAlign w:val="bottom"/>
            <w:hideMark/>
          </w:tcPr>
          <w:p w14:paraId="3B889606"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-543.1</w:t>
            </w:r>
          </w:p>
        </w:tc>
        <w:tc>
          <w:tcPr>
            <w:tcW w:w="976" w:type="dxa"/>
            <w:tcBorders>
              <w:top w:val="nil"/>
              <w:left w:val="nil"/>
              <w:bottom w:val="nil"/>
              <w:right w:val="nil"/>
            </w:tcBorders>
            <w:shd w:val="clear" w:color="auto" w:fill="auto"/>
            <w:noWrap/>
            <w:vAlign w:val="bottom"/>
            <w:hideMark/>
          </w:tcPr>
          <w:p w14:paraId="01F02BBE"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-290.6</w:t>
            </w:r>
          </w:p>
        </w:tc>
      </w:tr>
      <w:tr w:rsidR="00A361CF" w:rsidRPr="00A361CF" w14:paraId="60869410" w14:textId="77777777" w:rsidTr="0073507F">
        <w:trPr>
          <w:trHeight w:val="300"/>
        </w:trPr>
        <w:tc>
          <w:tcPr>
            <w:tcW w:w="419" w:type="dxa"/>
            <w:tcBorders>
              <w:top w:val="nil"/>
              <w:left w:val="nil"/>
              <w:bottom w:val="nil"/>
              <w:right w:val="nil"/>
            </w:tcBorders>
            <w:shd w:val="clear" w:color="auto" w:fill="auto"/>
            <w:noWrap/>
            <w:vAlign w:val="bottom"/>
            <w:hideMark/>
          </w:tcPr>
          <w:p w14:paraId="7CDD027A"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45B4FF3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B0261E"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FB322C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49992F"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75DF0600"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EB0A8C"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22</w:t>
            </w:r>
          </w:p>
        </w:tc>
        <w:tc>
          <w:tcPr>
            <w:tcW w:w="5897" w:type="dxa"/>
            <w:tcBorders>
              <w:top w:val="single" w:sz="4" w:space="0" w:color="auto"/>
              <w:left w:val="nil"/>
              <w:bottom w:val="single" w:sz="4" w:space="0" w:color="auto"/>
              <w:right w:val="single" w:sz="4" w:space="0" w:color="auto"/>
            </w:tcBorders>
            <w:shd w:val="clear" w:color="auto" w:fill="auto"/>
            <w:noWrap/>
            <w:vAlign w:val="bottom"/>
            <w:hideMark/>
          </w:tcPr>
          <w:p w14:paraId="4500637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PE Ratio at year end date</w:t>
            </w:r>
          </w:p>
        </w:tc>
        <w:tc>
          <w:tcPr>
            <w:tcW w:w="976" w:type="dxa"/>
            <w:tcBorders>
              <w:top w:val="single" w:sz="4" w:space="0" w:color="auto"/>
              <w:left w:val="nil"/>
              <w:bottom w:val="single" w:sz="4" w:space="0" w:color="auto"/>
              <w:right w:val="single" w:sz="4" w:space="0" w:color="auto"/>
            </w:tcBorders>
            <w:shd w:val="clear" w:color="000000" w:fill="FCE4D6"/>
            <w:noWrap/>
            <w:vAlign w:val="bottom"/>
            <w:hideMark/>
          </w:tcPr>
          <w:p w14:paraId="3AF3C3F0"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-8.16</w:t>
            </w:r>
          </w:p>
        </w:tc>
        <w:tc>
          <w:tcPr>
            <w:tcW w:w="1120" w:type="dxa"/>
            <w:tcBorders>
              <w:top w:val="single" w:sz="4" w:space="0" w:color="auto"/>
              <w:left w:val="nil"/>
              <w:bottom w:val="single" w:sz="4" w:space="0" w:color="auto"/>
              <w:right w:val="single" w:sz="4" w:space="0" w:color="auto"/>
            </w:tcBorders>
            <w:shd w:val="clear" w:color="000000" w:fill="FCE4D6"/>
            <w:noWrap/>
            <w:vAlign w:val="bottom"/>
            <w:hideMark/>
          </w:tcPr>
          <w:p w14:paraId="34B09884"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-3.7</w:t>
            </w:r>
          </w:p>
        </w:tc>
        <w:tc>
          <w:tcPr>
            <w:tcW w:w="976" w:type="dxa"/>
            <w:tcBorders>
              <w:top w:val="single" w:sz="4" w:space="0" w:color="auto"/>
              <w:left w:val="nil"/>
              <w:bottom w:val="single" w:sz="4" w:space="0" w:color="auto"/>
              <w:right w:val="single" w:sz="4" w:space="0" w:color="auto"/>
            </w:tcBorders>
            <w:shd w:val="clear" w:color="000000" w:fill="FCE4D6"/>
            <w:noWrap/>
            <w:vAlign w:val="bottom"/>
            <w:hideMark/>
          </w:tcPr>
          <w:p w14:paraId="75D7E0F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-11.48</w:t>
            </w:r>
          </w:p>
        </w:tc>
      </w:tr>
      <w:tr w:rsidR="00A361CF" w:rsidRPr="00A361CF" w14:paraId="46A8E5DC" w14:textId="77777777" w:rsidTr="0073507F">
        <w:trPr>
          <w:trHeight w:val="300"/>
        </w:trPr>
        <w:tc>
          <w:tcPr>
            <w:tcW w:w="419" w:type="dxa"/>
            <w:tcBorders>
              <w:top w:val="nil"/>
              <w:left w:val="nil"/>
              <w:bottom w:val="nil"/>
              <w:right w:val="nil"/>
            </w:tcBorders>
            <w:shd w:val="clear" w:color="auto" w:fill="auto"/>
            <w:noWrap/>
            <w:vAlign w:val="bottom"/>
            <w:hideMark/>
          </w:tcPr>
          <w:p w14:paraId="07F621EB"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087FE7D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EE418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853CB4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A94AD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0A045DD8" w14:textId="77777777" w:rsidTr="0073507F">
        <w:trPr>
          <w:trHeight w:val="300"/>
        </w:trPr>
        <w:tc>
          <w:tcPr>
            <w:tcW w:w="419" w:type="dxa"/>
            <w:tcBorders>
              <w:top w:val="nil"/>
              <w:left w:val="nil"/>
              <w:bottom w:val="nil"/>
              <w:right w:val="nil"/>
            </w:tcBorders>
            <w:shd w:val="clear" w:color="auto" w:fill="auto"/>
            <w:noWrap/>
            <w:vAlign w:val="bottom"/>
            <w:hideMark/>
          </w:tcPr>
          <w:p w14:paraId="5886F4E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4C6DFC70"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7A293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38BABE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4E61A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29EA817D" w14:textId="77777777" w:rsidTr="0073507F">
        <w:trPr>
          <w:trHeight w:val="300"/>
        </w:trPr>
        <w:tc>
          <w:tcPr>
            <w:tcW w:w="419" w:type="dxa"/>
            <w:tcBorders>
              <w:top w:val="nil"/>
              <w:left w:val="nil"/>
              <w:bottom w:val="nil"/>
              <w:right w:val="nil"/>
            </w:tcBorders>
            <w:shd w:val="clear" w:color="auto" w:fill="auto"/>
            <w:noWrap/>
            <w:vAlign w:val="bottom"/>
            <w:hideMark/>
          </w:tcPr>
          <w:p w14:paraId="6490E0C9"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250C7D80"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Dividend Yield Ratio</w:t>
            </w:r>
          </w:p>
        </w:tc>
        <w:tc>
          <w:tcPr>
            <w:tcW w:w="976" w:type="dxa"/>
            <w:tcBorders>
              <w:top w:val="nil"/>
              <w:left w:val="nil"/>
              <w:bottom w:val="nil"/>
              <w:right w:val="nil"/>
            </w:tcBorders>
            <w:shd w:val="clear" w:color="auto" w:fill="auto"/>
            <w:noWrap/>
            <w:vAlign w:val="bottom"/>
            <w:hideMark/>
          </w:tcPr>
          <w:p w14:paraId="6B37625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46C5022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76" w:type="dxa"/>
            <w:tcBorders>
              <w:top w:val="nil"/>
              <w:left w:val="nil"/>
              <w:bottom w:val="nil"/>
              <w:right w:val="nil"/>
            </w:tcBorders>
            <w:shd w:val="clear" w:color="auto" w:fill="auto"/>
            <w:noWrap/>
            <w:vAlign w:val="bottom"/>
            <w:hideMark/>
          </w:tcPr>
          <w:p w14:paraId="0EF00B34"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332758D0" w14:textId="77777777" w:rsidTr="0073507F">
        <w:trPr>
          <w:trHeight w:val="300"/>
        </w:trPr>
        <w:tc>
          <w:tcPr>
            <w:tcW w:w="419" w:type="dxa"/>
            <w:tcBorders>
              <w:top w:val="nil"/>
              <w:left w:val="nil"/>
              <w:bottom w:val="nil"/>
              <w:right w:val="nil"/>
            </w:tcBorders>
            <w:shd w:val="clear" w:color="auto" w:fill="auto"/>
            <w:noWrap/>
            <w:vAlign w:val="bottom"/>
            <w:hideMark/>
          </w:tcPr>
          <w:p w14:paraId="247669B6"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6DC221A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925996"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4883BFCF"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624CC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870346E" w14:textId="77777777" w:rsidTr="0073507F">
        <w:trPr>
          <w:trHeight w:val="300"/>
        </w:trPr>
        <w:tc>
          <w:tcPr>
            <w:tcW w:w="419" w:type="dxa"/>
            <w:tcBorders>
              <w:top w:val="nil"/>
              <w:left w:val="nil"/>
              <w:bottom w:val="nil"/>
              <w:right w:val="nil"/>
            </w:tcBorders>
            <w:shd w:val="clear" w:color="auto" w:fill="auto"/>
            <w:noWrap/>
            <w:vAlign w:val="bottom"/>
            <w:hideMark/>
          </w:tcPr>
          <w:p w14:paraId="0786EF1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5E8F2E4A"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Dividend per Share x 100%</w:t>
            </w:r>
          </w:p>
        </w:tc>
        <w:tc>
          <w:tcPr>
            <w:tcW w:w="976" w:type="dxa"/>
            <w:tcBorders>
              <w:top w:val="nil"/>
              <w:left w:val="nil"/>
              <w:bottom w:val="nil"/>
              <w:right w:val="nil"/>
            </w:tcBorders>
            <w:shd w:val="clear" w:color="auto" w:fill="auto"/>
            <w:noWrap/>
            <w:vAlign w:val="bottom"/>
            <w:hideMark/>
          </w:tcPr>
          <w:p w14:paraId="35EFC8C7"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0</w:t>
            </w:r>
          </w:p>
        </w:tc>
        <w:tc>
          <w:tcPr>
            <w:tcW w:w="1120" w:type="dxa"/>
            <w:tcBorders>
              <w:top w:val="nil"/>
              <w:left w:val="nil"/>
              <w:bottom w:val="nil"/>
              <w:right w:val="nil"/>
            </w:tcBorders>
            <w:shd w:val="clear" w:color="auto" w:fill="auto"/>
            <w:noWrap/>
            <w:vAlign w:val="bottom"/>
            <w:hideMark/>
          </w:tcPr>
          <w:p w14:paraId="4AF64E1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0</w:t>
            </w:r>
          </w:p>
        </w:tc>
        <w:tc>
          <w:tcPr>
            <w:tcW w:w="976" w:type="dxa"/>
            <w:tcBorders>
              <w:top w:val="nil"/>
              <w:left w:val="nil"/>
              <w:bottom w:val="nil"/>
              <w:right w:val="nil"/>
            </w:tcBorders>
            <w:shd w:val="clear" w:color="auto" w:fill="auto"/>
            <w:noWrap/>
            <w:vAlign w:val="bottom"/>
            <w:hideMark/>
          </w:tcPr>
          <w:p w14:paraId="661D987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0</w:t>
            </w:r>
          </w:p>
        </w:tc>
      </w:tr>
      <w:tr w:rsidR="00A361CF" w:rsidRPr="00A361CF" w14:paraId="125FA843" w14:textId="77777777" w:rsidTr="0073507F">
        <w:trPr>
          <w:trHeight w:val="300"/>
        </w:trPr>
        <w:tc>
          <w:tcPr>
            <w:tcW w:w="419" w:type="dxa"/>
            <w:tcBorders>
              <w:top w:val="nil"/>
              <w:left w:val="nil"/>
              <w:bottom w:val="nil"/>
              <w:right w:val="nil"/>
            </w:tcBorders>
            <w:shd w:val="clear" w:color="auto" w:fill="auto"/>
            <w:noWrap/>
            <w:vAlign w:val="bottom"/>
            <w:hideMark/>
          </w:tcPr>
          <w:p w14:paraId="23980FD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1BA4879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Market Value per Share</w:t>
            </w:r>
          </w:p>
        </w:tc>
        <w:tc>
          <w:tcPr>
            <w:tcW w:w="976" w:type="dxa"/>
            <w:tcBorders>
              <w:top w:val="nil"/>
              <w:left w:val="nil"/>
              <w:bottom w:val="nil"/>
              <w:right w:val="nil"/>
            </w:tcBorders>
            <w:shd w:val="clear" w:color="auto" w:fill="auto"/>
            <w:noWrap/>
            <w:vAlign w:val="bottom"/>
            <w:hideMark/>
          </w:tcPr>
          <w:p w14:paraId="11F1A51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1353</w:t>
            </w:r>
          </w:p>
        </w:tc>
        <w:tc>
          <w:tcPr>
            <w:tcW w:w="1120" w:type="dxa"/>
            <w:tcBorders>
              <w:top w:val="nil"/>
              <w:left w:val="nil"/>
              <w:bottom w:val="nil"/>
              <w:right w:val="nil"/>
            </w:tcBorders>
            <w:shd w:val="clear" w:color="auto" w:fill="auto"/>
            <w:noWrap/>
            <w:vAlign w:val="bottom"/>
            <w:hideMark/>
          </w:tcPr>
          <w:p w14:paraId="7E56130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2009</w:t>
            </w:r>
          </w:p>
        </w:tc>
        <w:tc>
          <w:tcPr>
            <w:tcW w:w="976" w:type="dxa"/>
            <w:tcBorders>
              <w:top w:val="nil"/>
              <w:left w:val="nil"/>
              <w:bottom w:val="nil"/>
              <w:right w:val="nil"/>
            </w:tcBorders>
            <w:shd w:val="clear" w:color="auto" w:fill="auto"/>
            <w:noWrap/>
            <w:vAlign w:val="bottom"/>
            <w:hideMark/>
          </w:tcPr>
          <w:p w14:paraId="4725DB6C"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3337.41</w:t>
            </w:r>
          </w:p>
        </w:tc>
      </w:tr>
      <w:tr w:rsidR="00A361CF" w:rsidRPr="00A361CF" w14:paraId="2565C3AC" w14:textId="77777777" w:rsidTr="0073507F">
        <w:trPr>
          <w:trHeight w:val="300"/>
        </w:trPr>
        <w:tc>
          <w:tcPr>
            <w:tcW w:w="419" w:type="dxa"/>
            <w:tcBorders>
              <w:top w:val="nil"/>
              <w:left w:val="nil"/>
              <w:bottom w:val="nil"/>
              <w:right w:val="nil"/>
            </w:tcBorders>
            <w:shd w:val="clear" w:color="auto" w:fill="auto"/>
            <w:noWrap/>
            <w:vAlign w:val="bottom"/>
            <w:hideMark/>
          </w:tcPr>
          <w:p w14:paraId="7AC6C6A3"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36BF532D"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E6B7D7"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227B2CA"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02904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57DC24CD"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1059BA"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23</w:t>
            </w:r>
          </w:p>
        </w:tc>
        <w:tc>
          <w:tcPr>
            <w:tcW w:w="5897" w:type="dxa"/>
            <w:tcBorders>
              <w:top w:val="single" w:sz="4" w:space="0" w:color="auto"/>
              <w:left w:val="nil"/>
              <w:bottom w:val="single" w:sz="4" w:space="0" w:color="auto"/>
              <w:right w:val="single" w:sz="4" w:space="0" w:color="auto"/>
            </w:tcBorders>
            <w:shd w:val="clear" w:color="auto" w:fill="auto"/>
            <w:noWrap/>
            <w:vAlign w:val="bottom"/>
            <w:hideMark/>
          </w:tcPr>
          <w:p w14:paraId="2A4F0FE9"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Dividend Yield Ratio</w:t>
            </w:r>
          </w:p>
        </w:tc>
        <w:tc>
          <w:tcPr>
            <w:tcW w:w="976" w:type="dxa"/>
            <w:tcBorders>
              <w:top w:val="single" w:sz="4" w:space="0" w:color="auto"/>
              <w:left w:val="nil"/>
              <w:bottom w:val="single" w:sz="4" w:space="0" w:color="auto"/>
              <w:right w:val="single" w:sz="4" w:space="0" w:color="auto"/>
            </w:tcBorders>
            <w:shd w:val="clear" w:color="000000" w:fill="FCE4D6"/>
            <w:noWrap/>
            <w:vAlign w:val="bottom"/>
            <w:hideMark/>
          </w:tcPr>
          <w:p w14:paraId="3622213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0</w:t>
            </w:r>
          </w:p>
        </w:tc>
        <w:tc>
          <w:tcPr>
            <w:tcW w:w="1120" w:type="dxa"/>
            <w:tcBorders>
              <w:top w:val="single" w:sz="4" w:space="0" w:color="auto"/>
              <w:left w:val="nil"/>
              <w:bottom w:val="single" w:sz="4" w:space="0" w:color="auto"/>
              <w:right w:val="single" w:sz="4" w:space="0" w:color="auto"/>
            </w:tcBorders>
            <w:shd w:val="clear" w:color="000000" w:fill="FCE4D6"/>
            <w:noWrap/>
            <w:vAlign w:val="bottom"/>
            <w:hideMark/>
          </w:tcPr>
          <w:p w14:paraId="5661A82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0</w:t>
            </w:r>
          </w:p>
        </w:tc>
        <w:tc>
          <w:tcPr>
            <w:tcW w:w="976" w:type="dxa"/>
            <w:tcBorders>
              <w:top w:val="single" w:sz="4" w:space="0" w:color="auto"/>
              <w:left w:val="nil"/>
              <w:bottom w:val="single" w:sz="4" w:space="0" w:color="auto"/>
              <w:right w:val="single" w:sz="4" w:space="0" w:color="auto"/>
            </w:tcBorders>
            <w:shd w:val="clear" w:color="000000" w:fill="FCE4D6"/>
            <w:noWrap/>
            <w:vAlign w:val="bottom"/>
            <w:hideMark/>
          </w:tcPr>
          <w:p w14:paraId="7B7BCFB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0</w:t>
            </w:r>
          </w:p>
        </w:tc>
      </w:tr>
      <w:tr w:rsidR="00A361CF" w:rsidRPr="00A361CF" w14:paraId="377F15EF" w14:textId="77777777" w:rsidTr="0073507F">
        <w:trPr>
          <w:trHeight w:val="300"/>
        </w:trPr>
        <w:tc>
          <w:tcPr>
            <w:tcW w:w="419" w:type="dxa"/>
            <w:tcBorders>
              <w:top w:val="nil"/>
              <w:left w:val="nil"/>
              <w:bottom w:val="nil"/>
              <w:right w:val="nil"/>
            </w:tcBorders>
            <w:shd w:val="clear" w:color="auto" w:fill="auto"/>
            <w:noWrap/>
            <w:vAlign w:val="bottom"/>
            <w:hideMark/>
          </w:tcPr>
          <w:p w14:paraId="337CA26B"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4F6FA375"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DEAF60"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61FAB09E"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5686D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0D10486B" w14:textId="77777777" w:rsidTr="0073507F">
        <w:trPr>
          <w:trHeight w:val="300"/>
        </w:trPr>
        <w:tc>
          <w:tcPr>
            <w:tcW w:w="419" w:type="dxa"/>
            <w:tcBorders>
              <w:top w:val="nil"/>
              <w:left w:val="nil"/>
              <w:bottom w:val="nil"/>
              <w:right w:val="nil"/>
            </w:tcBorders>
            <w:shd w:val="clear" w:color="auto" w:fill="auto"/>
            <w:noWrap/>
            <w:vAlign w:val="bottom"/>
            <w:hideMark/>
          </w:tcPr>
          <w:p w14:paraId="21793E07"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434D61F8"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B42F4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D858104"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B35D5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Restated</w:t>
            </w:r>
          </w:p>
        </w:tc>
      </w:tr>
      <w:tr w:rsidR="00A361CF" w:rsidRPr="00A361CF" w14:paraId="1494712E" w14:textId="77777777" w:rsidTr="0073507F">
        <w:trPr>
          <w:trHeight w:val="300"/>
        </w:trPr>
        <w:tc>
          <w:tcPr>
            <w:tcW w:w="419" w:type="dxa"/>
            <w:tcBorders>
              <w:top w:val="nil"/>
              <w:left w:val="nil"/>
              <w:bottom w:val="nil"/>
              <w:right w:val="nil"/>
            </w:tcBorders>
            <w:shd w:val="clear" w:color="auto" w:fill="auto"/>
            <w:noWrap/>
            <w:vAlign w:val="bottom"/>
            <w:hideMark/>
          </w:tcPr>
          <w:p w14:paraId="44B6EFBC"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3917E859"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Revenue per Employee</w:t>
            </w:r>
          </w:p>
        </w:tc>
        <w:tc>
          <w:tcPr>
            <w:tcW w:w="976" w:type="dxa"/>
            <w:tcBorders>
              <w:top w:val="nil"/>
              <w:left w:val="nil"/>
              <w:bottom w:val="nil"/>
              <w:right w:val="nil"/>
            </w:tcBorders>
            <w:shd w:val="clear" w:color="auto" w:fill="auto"/>
            <w:noWrap/>
            <w:vAlign w:val="bottom"/>
            <w:hideMark/>
          </w:tcPr>
          <w:p w14:paraId="65396B2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2021</w:t>
            </w:r>
          </w:p>
        </w:tc>
        <w:tc>
          <w:tcPr>
            <w:tcW w:w="1120" w:type="dxa"/>
            <w:tcBorders>
              <w:top w:val="nil"/>
              <w:left w:val="nil"/>
              <w:bottom w:val="nil"/>
              <w:right w:val="nil"/>
            </w:tcBorders>
            <w:shd w:val="clear" w:color="auto" w:fill="auto"/>
            <w:noWrap/>
            <w:vAlign w:val="bottom"/>
            <w:hideMark/>
          </w:tcPr>
          <w:p w14:paraId="66CFD828"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2020</w:t>
            </w:r>
          </w:p>
        </w:tc>
        <w:tc>
          <w:tcPr>
            <w:tcW w:w="976" w:type="dxa"/>
            <w:tcBorders>
              <w:top w:val="nil"/>
              <w:left w:val="nil"/>
              <w:bottom w:val="nil"/>
              <w:right w:val="nil"/>
            </w:tcBorders>
            <w:shd w:val="clear" w:color="auto" w:fill="auto"/>
            <w:noWrap/>
            <w:vAlign w:val="bottom"/>
            <w:hideMark/>
          </w:tcPr>
          <w:p w14:paraId="4EA46A72"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2019</w:t>
            </w:r>
          </w:p>
        </w:tc>
      </w:tr>
      <w:tr w:rsidR="00A361CF" w:rsidRPr="00A361CF" w14:paraId="604D9154" w14:textId="77777777" w:rsidTr="0073507F">
        <w:trPr>
          <w:trHeight w:val="300"/>
        </w:trPr>
        <w:tc>
          <w:tcPr>
            <w:tcW w:w="419" w:type="dxa"/>
            <w:tcBorders>
              <w:top w:val="nil"/>
              <w:left w:val="nil"/>
              <w:bottom w:val="nil"/>
              <w:right w:val="nil"/>
            </w:tcBorders>
            <w:shd w:val="clear" w:color="auto" w:fill="auto"/>
            <w:noWrap/>
            <w:vAlign w:val="bottom"/>
            <w:hideMark/>
          </w:tcPr>
          <w:p w14:paraId="1DC6BC6B"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6C370C04"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D4E9AB"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01151479"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BF272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0F2BD3E6" w14:textId="77777777" w:rsidTr="0073507F">
        <w:trPr>
          <w:trHeight w:val="300"/>
        </w:trPr>
        <w:tc>
          <w:tcPr>
            <w:tcW w:w="419" w:type="dxa"/>
            <w:tcBorders>
              <w:top w:val="nil"/>
              <w:left w:val="nil"/>
              <w:bottom w:val="nil"/>
              <w:right w:val="nil"/>
            </w:tcBorders>
            <w:shd w:val="clear" w:color="auto" w:fill="auto"/>
            <w:noWrap/>
            <w:vAlign w:val="bottom"/>
            <w:hideMark/>
          </w:tcPr>
          <w:p w14:paraId="1ACD3586"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5897" w:type="dxa"/>
            <w:tcBorders>
              <w:top w:val="nil"/>
              <w:left w:val="nil"/>
              <w:bottom w:val="nil"/>
              <w:right w:val="nil"/>
            </w:tcBorders>
            <w:shd w:val="clear" w:color="auto" w:fill="auto"/>
            <w:noWrap/>
            <w:vAlign w:val="bottom"/>
            <w:hideMark/>
          </w:tcPr>
          <w:p w14:paraId="4D8B03FC"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Revenue</w:t>
            </w:r>
          </w:p>
        </w:tc>
        <w:tc>
          <w:tcPr>
            <w:tcW w:w="976" w:type="dxa"/>
            <w:tcBorders>
              <w:top w:val="nil"/>
              <w:left w:val="nil"/>
              <w:bottom w:val="nil"/>
              <w:right w:val="nil"/>
            </w:tcBorders>
            <w:shd w:val="clear" w:color="auto" w:fill="auto"/>
            <w:noWrap/>
            <w:vAlign w:val="bottom"/>
            <w:hideMark/>
          </w:tcPr>
          <w:p w14:paraId="6924BE20"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1095.3</w:t>
            </w:r>
          </w:p>
        </w:tc>
        <w:tc>
          <w:tcPr>
            <w:tcW w:w="1120" w:type="dxa"/>
            <w:tcBorders>
              <w:top w:val="nil"/>
              <w:left w:val="nil"/>
              <w:bottom w:val="nil"/>
              <w:right w:val="nil"/>
            </w:tcBorders>
            <w:shd w:val="clear" w:color="auto" w:fill="auto"/>
            <w:noWrap/>
            <w:vAlign w:val="bottom"/>
            <w:hideMark/>
          </w:tcPr>
          <w:p w14:paraId="419EBAD3"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611.8</w:t>
            </w:r>
          </w:p>
        </w:tc>
        <w:tc>
          <w:tcPr>
            <w:tcW w:w="976" w:type="dxa"/>
            <w:tcBorders>
              <w:top w:val="nil"/>
              <w:left w:val="nil"/>
              <w:bottom w:val="nil"/>
              <w:right w:val="nil"/>
            </w:tcBorders>
            <w:shd w:val="clear" w:color="auto" w:fill="auto"/>
            <w:noWrap/>
            <w:vAlign w:val="bottom"/>
            <w:hideMark/>
          </w:tcPr>
          <w:p w14:paraId="01720B65"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r w:rsidRPr="00A361CF">
              <w:rPr>
                <w:rFonts w:ascii="Calibri" w:eastAsia="Times New Roman" w:hAnsi="Calibri" w:cs="Calibri"/>
                <w:color w:val="000000"/>
                <w:sz w:val="20"/>
                <w:szCs w:val="20"/>
                <w:u w:val="single"/>
                <w:lang w:eastAsia="en-GB"/>
              </w:rPr>
              <w:t>980.5</w:t>
            </w:r>
          </w:p>
        </w:tc>
      </w:tr>
      <w:tr w:rsidR="00A361CF" w:rsidRPr="00A361CF" w14:paraId="14B3BA07" w14:textId="77777777" w:rsidTr="0073507F">
        <w:trPr>
          <w:trHeight w:val="300"/>
        </w:trPr>
        <w:tc>
          <w:tcPr>
            <w:tcW w:w="419" w:type="dxa"/>
            <w:tcBorders>
              <w:top w:val="nil"/>
              <w:left w:val="nil"/>
              <w:bottom w:val="nil"/>
              <w:right w:val="nil"/>
            </w:tcBorders>
            <w:shd w:val="clear" w:color="auto" w:fill="auto"/>
            <w:noWrap/>
            <w:vAlign w:val="bottom"/>
            <w:hideMark/>
          </w:tcPr>
          <w:p w14:paraId="1F6CC67F" w14:textId="77777777" w:rsidR="00A361CF" w:rsidRPr="00A361CF" w:rsidRDefault="00A361CF" w:rsidP="00A361CF">
            <w:pPr>
              <w:spacing w:after="0" w:line="240" w:lineRule="auto"/>
              <w:jc w:val="center"/>
              <w:rPr>
                <w:rFonts w:ascii="Calibri" w:eastAsia="Times New Roman" w:hAnsi="Calibri" w:cs="Calibri"/>
                <w:color w:val="000000"/>
                <w:sz w:val="20"/>
                <w:szCs w:val="20"/>
                <w:u w:val="single"/>
                <w:lang w:eastAsia="en-GB"/>
              </w:rPr>
            </w:pPr>
          </w:p>
        </w:tc>
        <w:tc>
          <w:tcPr>
            <w:tcW w:w="5897" w:type="dxa"/>
            <w:tcBorders>
              <w:top w:val="nil"/>
              <w:left w:val="nil"/>
              <w:bottom w:val="nil"/>
              <w:right w:val="nil"/>
            </w:tcBorders>
            <w:shd w:val="clear" w:color="auto" w:fill="auto"/>
            <w:noWrap/>
            <w:vAlign w:val="bottom"/>
            <w:hideMark/>
          </w:tcPr>
          <w:p w14:paraId="2B07ADF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Average Number of Employees</w:t>
            </w:r>
          </w:p>
        </w:tc>
        <w:tc>
          <w:tcPr>
            <w:tcW w:w="976" w:type="dxa"/>
            <w:tcBorders>
              <w:top w:val="nil"/>
              <w:left w:val="nil"/>
              <w:bottom w:val="nil"/>
              <w:right w:val="nil"/>
            </w:tcBorders>
            <w:shd w:val="clear" w:color="auto" w:fill="auto"/>
            <w:noWrap/>
            <w:vAlign w:val="bottom"/>
            <w:hideMark/>
          </w:tcPr>
          <w:p w14:paraId="60AAE624"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2351</w:t>
            </w:r>
          </w:p>
        </w:tc>
        <w:tc>
          <w:tcPr>
            <w:tcW w:w="1120" w:type="dxa"/>
            <w:tcBorders>
              <w:top w:val="nil"/>
              <w:left w:val="nil"/>
              <w:bottom w:val="nil"/>
              <w:right w:val="nil"/>
            </w:tcBorders>
            <w:shd w:val="clear" w:color="auto" w:fill="auto"/>
            <w:noWrap/>
            <w:vAlign w:val="bottom"/>
            <w:hideMark/>
          </w:tcPr>
          <w:p w14:paraId="174BD4C0"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2487</w:t>
            </w:r>
          </w:p>
        </w:tc>
        <w:tc>
          <w:tcPr>
            <w:tcW w:w="976" w:type="dxa"/>
            <w:tcBorders>
              <w:top w:val="nil"/>
              <w:left w:val="nil"/>
              <w:bottom w:val="nil"/>
              <w:right w:val="nil"/>
            </w:tcBorders>
            <w:shd w:val="clear" w:color="auto" w:fill="auto"/>
            <w:noWrap/>
            <w:vAlign w:val="bottom"/>
            <w:hideMark/>
          </w:tcPr>
          <w:p w14:paraId="532D877D"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2565</w:t>
            </w:r>
          </w:p>
        </w:tc>
      </w:tr>
      <w:tr w:rsidR="00A361CF" w:rsidRPr="00A361CF" w14:paraId="48B3E3A1" w14:textId="77777777" w:rsidTr="0073507F">
        <w:trPr>
          <w:trHeight w:val="300"/>
        </w:trPr>
        <w:tc>
          <w:tcPr>
            <w:tcW w:w="419" w:type="dxa"/>
            <w:tcBorders>
              <w:top w:val="nil"/>
              <w:left w:val="nil"/>
              <w:bottom w:val="nil"/>
              <w:right w:val="nil"/>
            </w:tcBorders>
            <w:shd w:val="clear" w:color="auto" w:fill="auto"/>
            <w:noWrap/>
            <w:vAlign w:val="bottom"/>
            <w:hideMark/>
          </w:tcPr>
          <w:p w14:paraId="4DF45C6F"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p>
        </w:tc>
        <w:tc>
          <w:tcPr>
            <w:tcW w:w="5897" w:type="dxa"/>
            <w:tcBorders>
              <w:top w:val="nil"/>
              <w:left w:val="nil"/>
              <w:bottom w:val="nil"/>
              <w:right w:val="nil"/>
            </w:tcBorders>
            <w:shd w:val="clear" w:color="auto" w:fill="auto"/>
            <w:noWrap/>
            <w:vAlign w:val="bottom"/>
            <w:hideMark/>
          </w:tcPr>
          <w:p w14:paraId="328AE983" w14:textId="77777777" w:rsidR="00A361CF" w:rsidRPr="00A361CF" w:rsidRDefault="00A361CF" w:rsidP="00A361CF">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2D229B"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5C9549E2"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403811" w14:textId="77777777" w:rsidR="00A361CF" w:rsidRPr="00A361CF" w:rsidRDefault="00A361CF" w:rsidP="00A361CF">
            <w:pPr>
              <w:spacing w:after="0" w:line="240" w:lineRule="auto"/>
              <w:jc w:val="center"/>
              <w:rPr>
                <w:rFonts w:ascii="Times New Roman" w:eastAsia="Times New Roman" w:hAnsi="Times New Roman" w:cs="Times New Roman"/>
                <w:sz w:val="20"/>
                <w:szCs w:val="20"/>
                <w:lang w:eastAsia="en-GB"/>
              </w:rPr>
            </w:pPr>
          </w:p>
        </w:tc>
      </w:tr>
      <w:tr w:rsidR="00A361CF" w:rsidRPr="00A361CF" w14:paraId="128B841F" w14:textId="77777777" w:rsidTr="0073507F">
        <w:trPr>
          <w:trHeight w:val="300"/>
        </w:trPr>
        <w:tc>
          <w:tcPr>
            <w:tcW w:w="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307034" w14:textId="77777777" w:rsidR="00A361CF" w:rsidRPr="00A361CF" w:rsidRDefault="00A361CF" w:rsidP="00A361CF">
            <w:pPr>
              <w:spacing w:after="0" w:line="240" w:lineRule="auto"/>
              <w:jc w:val="right"/>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24</w:t>
            </w:r>
          </w:p>
        </w:tc>
        <w:tc>
          <w:tcPr>
            <w:tcW w:w="5897" w:type="dxa"/>
            <w:tcBorders>
              <w:top w:val="single" w:sz="4" w:space="0" w:color="auto"/>
              <w:left w:val="nil"/>
              <w:bottom w:val="single" w:sz="4" w:space="0" w:color="auto"/>
              <w:right w:val="single" w:sz="4" w:space="0" w:color="auto"/>
            </w:tcBorders>
            <w:shd w:val="clear" w:color="auto" w:fill="auto"/>
            <w:noWrap/>
            <w:vAlign w:val="bottom"/>
            <w:hideMark/>
          </w:tcPr>
          <w:p w14:paraId="354D5721" w14:textId="77777777" w:rsidR="00A361CF" w:rsidRPr="00A361CF" w:rsidRDefault="00A361CF" w:rsidP="00A361CF">
            <w:pPr>
              <w:spacing w:after="0" w:line="240" w:lineRule="auto"/>
              <w:jc w:val="center"/>
              <w:rPr>
                <w:rFonts w:ascii="Calibri" w:eastAsia="Times New Roman" w:hAnsi="Calibri" w:cs="Calibri"/>
                <w:b/>
                <w:bCs/>
                <w:color w:val="000000"/>
                <w:sz w:val="20"/>
                <w:szCs w:val="20"/>
                <w:lang w:eastAsia="en-GB"/>
              </w:rPr>
            </w:pPr>
            <w:r w:rsidRPr="00A361CF">
              <w:rPr>
                <w:rFonts w:ascii="Calibri" w:eastAsia="Times New Roman" w:hAnsi="Calibri" w:cs="Calibri"/>
                <w:b/>
                <w:bCs/>
                <w:color w:val="000000"/>
                <w:sz w:val="20"/>
                <w:szCs w:val="20"/>
                <w:lang w:eastAsia="en-GB"/>
              </w:rPr>
              <w:t xml:space="preserve">Revenue per Employee </w:t>
            </w:r>
          </w:p>
        </w:tc>
        <w:tc>
          <w:tcPr>
            <w:tcW w:w="976" w:type="dxa"/>
            <w:tcBorders>
              <w:top w:val="single" w:sz="4" w:space="0" w:color="auto"/>
              <w:left w:val="nil"/>
              <w:bottom w:val="single" w:sz="4" w:space="0" w:color="auto"/>
              <w:right w:val="single" w:sz="4" w:space="0" w:color="auto"/>
            </w:tcBorders>
            <w:shd w:val="clear" w:color="000000" w:fill="E2EFDA"/>
            <w:noWrap/>
            <w:vAlign w:val="bottom"/>
            <w:hideMark/>
          </w:tcPr>
          <w:p w14:paraId="73145777"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£465,900</w:t>
            </w:r>
          </w:p>
        </w:tc>
        <w:tc>
          <w:tcPr>
            <w:tcW w:w="1120" w:type="dxa"/>
            <w:tcBorders>
              <w:top w:val="single" w:sz="4" w:space="0" w:color="auto"/>
              <w:left w:val="nil"/>
              <w:bottom w:val="single" w:sz="4" w:space="0" w:color="auto"/>
              <w:right w:val="single" w:sz="4" w:space="0" w:color="auto"/>
            </w:tcBorders>
            <w:shd w:val="clear" w:color="000000" w:fill="E2EFDA"/>
            <w:noWrap/>
            <w:vAlign w:val="bottom"/>
            <w:hideMark/>
          </w:tcPr>
          <w:p w14:paraId="6E6C5F32"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£246,000</w:t>
            </w:r>
          </w:p>
        </w:tc>
        <w:tc>
          <w:tcPr>
            <w:tcW w:w="976" w:type="dxa"/>
            <w:tcBorders>
              <w:top w:val="single" w:sz="4" w:space="0" w:color="auto"/>
              <w:left w:val="nil"/>
              <w:bottom w:val="single" w:sz="4" w:space="0" w:color="auto"/>
              <w:right w:val="single" w:sz="4" w:space="0" w:color="auto"/>
            </w:tcBorders>
            <w:shd w:val="clear" w:color="000000" w:fill="E2EFDA"/>
            <w:noWrap/>
            <w:vAlign w:val="bottom"/>
            <w:hideMark/>
          </w:tcPr>
          <w:p w14:paraId="4E8D01D1" w14:textId="77777777" w:rsidR="00A361CF" w:rsidRPr="00A361CF" w:rsidRDefault="00A361CF" w:rsidP="00A361CF">
            <w:pPr>
              <w:spacing w:after="0" w:line="240" w:lineRule="auto"/>
              <w:jc w:val="center"/>
              <w:rPr>
                <w:rFonts w:ascii="Calibri" w:eastAsia="Times New Roman" w:hAnsi="Calibri" w:cs="Calibri"/>
                <w:color w:val="000000"/>
                <w:sz w:val="20"/>
                <w:szCs w:val="20"/>
                <w:lang w:eastAsia="en-GB"/>
              </w:rPr>
            </w:pPr>
            <w:r w:rsidRPr="00A361CF">
              <w:rPr>
                <w:rFonts w:ascii="Calibri" w:eastAsia="Times New Roman" w:hAnsi="Calibri" w:cs="Calibri"/>
                <w:color w:val="000000"/>
                <w:sz w:val="20"/>
                <w:szCs w:val="20"/>
                <w:lang w:eastAsia="en-GB"/>
              </w:rPr>
              <w:t>£382,300</w:t>
            </w:r>
          </w:p>
        </w:tc>
      </w:tr>
    </w:tbl>
    <w:p w14:paraId="569550DE" w14:textId="2F9246EF" w:rsidR="6D3EB64B" w:rsidRDefault="6D3EB64B" w:rsidP="6D3EB64B">
      <w:pPr>
        <w:rPr>
          <w:rFonts w:ascii="Calibri" w:eastAsia="Calibri" w:hAnsi="Calibri" w:cs="Calibri"/>
          <w:color w:val="000000" w:themeColor="text1"/>
        </w:rPr>
      </w:pPr>
    </w:p>
    <w:p w14:paraId="0DE30C67" w14:textId="3D048CE9" w:rsidR="6D3EB64B" w:rsidRDefault="6D3EB64B" w:rsidP="6D3EB64B">
      <w:pPr>
        <w:rPr>
          <w:rFonts w:ascii="Calibri" w:eastAsia="Calibri" w:hAnsi="Calibri" w:cs="Calibri"/>
          <w:color w:val="000000" w:themeColor="text1"/>
        </w:rPr>
      </w:pPr>
    </w:p>
    <w:p w14:paraId="4190A6C0" w14:textId="505E2EEC" w:rsidR="6D3EB64B" w:rsidRDefault="6D3EB64B" w:rsidP="6D3EB64B">
      <w:pPr>
        <w:rPr>
          <w:rFonts w:ascii="Calibri" w:eastAsia="Calibri" w:hAnsi="Calibri" w:cs="Calibri"/>
          <w:color w:val="000000" w:themeColor="text1"/>
        </w:rPr>
      </w:pPr>
    </w:p>
    <w:p w14:paraId="7A35AED1" w14:textId="0CD7C241" w:rsidR="6D3EB64B" w:rsidRDefault="6D3EB64B" w:rsidP="6D3EB64B">
      <w:pPr>
        <w:rPr>
          <w:rFonts w:ascii="Calibri" w:eastAsia="Calibri" w:hAnsi="Calibri" w:cs="Calibri"/>
          <w:color w:val="000000" w:themeColor="text1"/>
        </w:rPr>
      </w:pPr>
    </w:p>
    <w:p w14:paraId="66C2CC86" w14:textId="3FB3A1C4" w:rsidR="6D3EB64B" w:rsidRDefault="6D3EB64B" w:rsidP="5AC7D45C">
      <w:pPr>
        <w:rPr>
          <w:rFonts w:ascii="Calibri" w:eastAsia="Calibri" w:hAnsi="Calibri" w:cs="Calibri"/>
          <w:color w:val="000000" w:themeColor="text1"/>
        </w:rPr>
      </w:pPr>
    </w:p>
    <w:p w14:paraId="0A7E3817" w14:textId="76AC3DF1" w:rsidR="5AC7D45C" w:rsidRDefault="5AC7D45C" w:rsidP="5AC7D45C">
      <w:pPr>
        <w:rPr>
          <w:rFonts w:ascii="Calibri" w:eastAsia="Calibri" w:hAnsi="Calibri" w:cs="Calibri"/>
          <w:color w:val="000000" w:themeColor="text1"/>
        </w:rPr>
      </w:pPr>
    </w:p>
    <w:p w14:paraId="71B993E4" w14:textId="5A10DB9A" w:rsidR="5AC7D45C" w:rsidRDefault="5AC7D45C" w:rsidP="5AC7D45C">
      <w:pPr>
        <w:rPr>
          <w:rFonts w:ascii="Calibri" w:eastAsia="Calibri" w:hAnsi="Calibri" w:cs="Calibri"/>
          <w:color w:val="000000" w:themeColor="text1"/>
        </w:rPr>
      </w:pPr>
    </w:p>
    <w:p w14:paraId="3BB0B40F" w14:textId="77777777" w:rsidR="00A06D0E" w:rsidRDefault="00A06D0E" w:rsidP="00A06D0E">
      <w:pPr>
        <w:rPr>
          <w:b/>
          <w:bCs/>
        </w:rPr>
      </w:pPr>
      <w:r w:rsidRPr="114D2111">
        <w:rPr>
          <w:b/>
          <w:bCs/>
        </w:rPr>
        <w:lastRenderedPageBreak/>
        <w:t>FINANCIAL RATIOS – SUMMARY TABLE</w:t>
      </w:r>
    </w:p>
    <w:tbl>
      <w:tblPr>
        <w:tblStyle w:val="TableGrid"/>
        <w:tblW w:w="0" w:type="auto"/>
        <w:tblLayout w:type="fixed"/>
        <w:tblLook w:val="06A0" w:firstRow="1" w:lastRow="0" w:firstColumn="1" w:lastColumn="0" w:noHBand="1" w:noVBand="1"/>
      </w:tblPr>
      <w:tblGrid>
        <w:gridCol w:w="360"/>
        <w:gridCol w:w="5655"/>
        <w:gridCol w:w="1041"/>
        <w:gridCol w:w="993"/>
        <w:gridCol w:w="966"/>
      </w:tblGrid>
      <w:tr w:rsidR="00A06D0E" w14:paraId="708EB85E" w14:textId="77777777" w:rsidTr="00327517">
        <w:trPr>
          <w:trHeight w:val="300"/>
        </w:trPr>
        <w:tc>
          <w:tcPr>
            <w:tcW w:w="7056" w:type="dxa"/>
            <w:gridSpan w:val="3"/>
            <w:tcBorders>
              <w:top w:val="nil"/>
              <w:left w:val="nil"/>
              <w:bottom w:val="nil"/>
              <w:right w:val="nil"/>
            </w:tcBorders>
            <w:tcMar>
              <w:top w:w="15" w:type="dxa"/>
              <w:left w:w="15" w:type="dxa"/>
              <w:right w:w="15" w:type="dxa"/>
            </w:tcMar>
            <w:vAlign w:val="bottom"/>
          </w:tcPr>
          <w:p w14:paraId="04F87B32" w14:textId="77777777" w:rsidR="00A06D0E" w:rsidRDefault="00A06D0E" w:rsidP="00327517">
            <w:r w:rsidRPr="114D2111">
              <w:rPr>
                <w:rFonts w:ascii="Calibri" w:eastAsia="Calibri" w:hAnsi="Calibri" w:cs="Calibri"/>
                <w:b/>
                <w:bCs/>
                <w:color w:val="000000" w:themeColor="text1"/>
                <w:sz w:val="20"/>
                <w:szCs w:val="20"/>
                <w:u w:val="single"/>
              </w:rPr>
              <w:t>ASTON MARTIN HOLDINGS LTD - RATIO CALCULATIONS  2019 to 2021 (3 years)</w:t>
            </w:r>
          </w:p>
        </w:tc>
        <w:tc>
          <w:tcPr>
            <w:tcW w:w="993" w:type="dxa"/>
            <w:tcBorders>
              <w:top w:val="nil"/>
              <w:left w:val="nil"/>
              <w:bottom w:val="nil"/>
              <w:right w:val="nil"/>
            </w:tcBorders>
            <w:tcMar>
              <w:top w:w="15" w:type="dxa"/>
              <w:left w:w="15" w:type="dxa"/>
              <w:right w:w="15" w:type="dxa"/>
            </w:tcMar>
            <w:vAlign w:val="bottom"/>
          </w:tcPr>
          <w:p w14:paraId="4B9AD52D" w14:textId="77777777" w:rsidR="00A06D0E" w:rsidRDefault="00A06D0E" w:rsidP="00327517"/>
        </w:tc>
        <w:tc>
          <w:tcPr>
            <w:tcW w:w="966" w:type="dxa"/>
            <w:tcBorders>
              <w:top w:val="nil"/>
              <w:left w:val="nil"/>
              <w:bottom w:val="nil"/>
              <w:right w:val="nil"/>
            </w:tcBorders>
            <w:tcMar>
              <w:top w:w="15" w:type="dxa"/>
              <w:left w:w="15" w:type="dxa"/>
              <w:right w:w="15" w:type="dxa"/>
            </w:tcMar>
            <w:vAlign w:val="bottom"/>
          </w:tcPr>
          <w:p w14:paraId="0DF0F90A" w14:textId="77777777" w:rsidR="00A06D0E" w:rsidRDefault="00A06D0E" w:rsidP="00327517"/>
        </w:tc>
      </w:tr>
      <w:tr w:rsidR="00A06D0E" w14:paraId="70A8BFA5" w14:textId="77777777" w:rsidTr="00327517">
        <w:trPr>
          <w:trHeight w:val="300"/>
        </w:trPr>
        <w:tc>
          <w:tcPr>
            <w:tcW w:w="360" w:type="dxa"/>
            <w:tcBorders>
              <w:top w:val="nil"/>
              <w:left w:val="nil"/>
              <w:bottom w:val="nil"/>
              <w:right w:val="nil"/>
            </w:tcBorders>
            <w:tcMar>
              <w:top w:w="15" w:type="dxa"/>
              <w:left w:w="15" w:type="dxa"/>
              <w:right w:w="15" w:type="dxa"/>
            </w:tcMar>
            <w:vAlign w:val="bottom"/>
          </w:tcPr>
          <w:p w14:paraId="2E43CFC8" w14:textId="77777777" w:rsidR="00A06D0E" w:rsidRDefault="00A06D0E" w:rsidP="00327517"/>
        </w:tc>
        <w:tc>
          <w:tcPr>
            <w:tcW w:w="5655" w:type="dxa"/>
            <w:tcBorders>
              <w:top w:val="nil"/>
              <w:left w:val="nil"/>
              <w:bottom w:val="nil"/>
              <w:right w:val="nil"/>
            </w:tcBorders>
            <w:tcMar>
              <w:top w:w="15" w:type="dxa"/>
              <w:left w:w="15" w:type="dxa"/>
              <w:right w:w="15" w:type="dxa"/>
            </w:tcMar>
            <w:vAlign w:val="bottom"/>
          </w:tcPr>
          <w:p w14:paraId="7A86F934" w14:textId="77777777" w:rsidR="00A06D0E" w:rsidRDefault="00A06D0E" w:rsidP="00327517"/>
        </w:tc>
        <w:tc>
          <w:tcPr>
            <w:tcW w:w="1041" w:type="dxa"/>
            <w:tcBorders>
              <w:top w:val="nil"/>
              <w:left w:val="nil"/>
              <w:bottom w:val="nil"/>
              <w:right w:val="nil"/>
            </w:tcBorders>
            <w:tcMar>
              <w:top w:w="15" w:type="dxa"/>
              <w:left w:w="15" w:type="dxa"/>
              <w:right w:w="15" w:type="dxa"/>
            </w:tcMar>
            <w:vAlign w:val="bottom"/>
          </w:tcPr>
          <w:p w14:paraId="27134005" w14:textId="77777777" w:rsidR="00A06D0E" w:rsidRDefault="00A06D0E" w:rsidP="00327517"/>
        </w:tc>
        <w:tc>
          <w:tcPr>
            <w:tcW w:w="993" w:type="dxa"/>
            <w:tcBorders>
              <w:top w:val="nil"/>
              <w:left w:val="nil"/>
              <w:bottom w:val="nil"/>
              <w:right w:val="nil"/>
            </w:tcBorders>
            <w:tcMar>
              <w:top w:w="15" w:type="dxa"/>
              <w:left w:w="15" w:type="dxa"/>
              <w:right w:w="15" w:type="dxa"/>
            </w:tcMar>
            <w:vAlign w:val="bottom"/>
          </w:tcPr>
          <w:p w14:paraId="288BCAAC" w14:textId="77777777" w:rsidR="00A06D0E" w:rsidRDefault="00A06D0E" w:rsidP="00327517"/>
        </w:tc>
        <w:tc>
          <w:tcPr>
            <w:tcW w:w="966" w:type="dxa"/>
            <w:tcBorders>
              <w:top w:val="nil"/>
              <w:left w:val="nil"/>
              <w:bottom w:val="nil"/>
              <w:right w:val="nil"/>
            </w:tcBorders>
            <w:tcMar>
              <w:top w:w="15" w:type="dxa"/>
              <w:left w:w="15" w:type="dxa"/>
              <w:right w:w="15" w:type="dxa"/>
            </w:tcMar>
            <w:vAlign w:val="bottom"/>
          </w:tcPr>
          <w:p w14:paraId="15EAED92" w14:textId="77777777" w:rsidR="00A06D0E" w:rsidRDefault="00A06D0E" w:rsidP="00327517">
            <w:pPr>
              <w:jc w:val="center"/>
            </w:pPr>
            <w:r w:rsidRPr="114D2111">
              <w:rPr>
                <w:rFonts w:ascii="Calibri" w:eastAsia="Calibri" w:hAnsi="Calibri" w:cs="Calibri"/>
                <w:color w:val="000000" w:themeColor="text1"/>
                <w:sz w:val="20"/>
                <w:szCs w:val="20"/>
              </w:rPr>
              <w:t>Restated</w:t>
            </w:r>
          </w:p>
        </w:tc>
      </w:tr>
      <w:tr w:rsidR="00A06D0E" w14:paraId="6878DF83" w14:textId="77777777" w:rsidTr="00327517">
        <w:trPr>
          <w:trHeight w:val="300"/>
        </w:trPr>
        <w:tc>
          <w:tcPr>
            <w:tcW w:w="360" w:type="dxa"/>
            <w:tcBorders>
              <w:top w:val="nil"/>
              <w:left w:val="nil"/>
              <w:bottom w:val="nil"/>
              <w:right w:val="nil"/>
            </w:tcBorders>
            <w:tcMar>
              <w:top w:w="15" w:type="dxa"/>
              <w:left w:w="15" w:type="dxa"/>
              <w:right w:w="15" w:type="dxa"/>
            </w:tcMar>
            <w:vAlign w:val="bottom"/>
          </w:tcPr>
          <w:p w14:paraId="14CD1355" w14:textId="77777777" w:rsidR="00A06D0E" w:rsidRDefault="00A06D0E" w:rsidP="00327517"/>
        </w:tc>
        <w:tc>
          <w:tcPr>
            <w:tcW w:w="5655" w:type="dxa"/>
            <w:tcBorders>
              <w:top w:val="nil"/>
              <w:left w:val="nil"/>
              <w:bottom w:val="nil"/>
              <w:right w:val="nil"/>
            </w:tcBorders>
            <w:tcMar>
              <w:top w:w="15" w:type="dxa"/>
              <w:left w:w="15" w:type="dxa"/>
              <w:right w:w="15" w:type="dxa"/>
            </w:tcMar>
            <w:vAlign w:val="bottom"/>
          </w:tcPr>
          <w:p w14:paraId="1A6B570F" w14:textId="77777777" w:rsidR="00A06D0E" w:rsidRDefault="00A06D0E" w:rsidP="00327517"/>
        </w:tc>
        <w:tc>
          <w:tcPr>
            <w:tcW w:w="1041" w:type="dxa"/>
            <w:tcBorders>
              <w:top w:val="nil"/>
              <w:left w:val="nil"/>
              <w:bottom w:val="nil"/>
              <w:right w:val="nil"/>
            </w:tcBorders>
            <w:tcMar>
              <w:top w:w="15" w:type="dxa"/>
              <w:left w:w="15" w:type="dxa"/>
              <w:right w:w="15" w:type="dxa"/>
            </w:tcMar>
            <w:vAlign w:val="bottom"/>
          </w:tcPr>
          <w:p w14:paraId="22F79040" w14:textId="77777777" w:rsidR="00A06D0E" w:rsidRDefault="00A06D0E" w:rsidP="00327517">
            <w:pPr>
              <w:jc w:val="center"/>
            </w:pPr>
            <w:r w:rsidRPr="114D2111">
              <w:rPr>
                <w:rFonts w:ascii="Calibri" w:eastAsia="Calibri" w:hAnsi="Calibri" w:cs="Calibri"/>
                <w:color w:val="000000" w:themeColor="text1"/>
                <w:sz w:val="20"/>
                <w:szCs w:val="20"/>
                <w:u w:val="single"/>
              </w:rPr>
              <w:t>2021</w:t>
            </w:r>
          </w:p>
        </w:tc>
        <w:tc>
          <w:tcPr>
            <w:tcW w:w="993" w:type="dxa"/>
            <w:tcBorders>
              <w:top w:val="nil"/>
              <w:left w:val="nil"/>
              <w:bottom w:val="nil"/>
              <w:right w:val="nil"/>
            </w:tcBorders>
            <w:tcMar>
              <w:top w:w="15" w:type="dxa"/>
              <w:left w:w="15" w:type="dxa"/>
              <w:right w:w="15" w:type="dxa"/>
            </w:tcMar>
            <w:vAlign w:val="bottom"/>
          </w:tcPr>
          <w:p w14:paraId="0E65AAC4" w14:textId="77777777" w:rsidR="00A06D0E" w:rsidRDefault="00A06D0E" w:rsidP="00327517">
            <w:pPr>
              <w:jc w:val="center"/>
            </w:pPr>
            <w:r w:rsidRPr="114D2111">
              <w:rPr>
                <w:rFonts w:ascii="Calibri" w:eastAsia="Calibri" w:hAnsi="Calibri" w:cs="Calibri"/>
                <w:color w:val="000000" w:themeColor="text1"/>
                <w:sz w:val="20"/>
                <w:szCs w:val="20"/>
                <w:u w:val="single"/>
              </w:rPr>
              <w:t>2020</w:t>
            </w:r>
          </w:p>
        </w:tc>
        <w:tc>
          <w:tcPr>
            <w:tcW w:w="966" w:type="dxa"/>
            <w:tcBorders>
              <w:top w:val="nil"/>
              <w:left w:val="nil"/>
              <w:bottom w:val="nil"/>
              <w:right w:val="nil"/>
            </w:tcBorders>
            <w:tcMar>
              <w:top w:w="15" w:type="dxa"/>
              <w:left w:w="15" w:type="dxa"/>
              <w:right w:w="15" w:type="dxa"/>
            </w:tcMar>
            <w:vAlign w:val="bottom"/>
          </w:tcPr>
          <w:p w14:paraId="6D54C790" w14:textId="77777777" w:rsidR="00A06D0E" w:rsidRDefault="00A06D0E" w:rsidP="00327517">
            <w:pPr>
              <w:jc w:val="center"/>
            </w:pPr>
            <w:r w:rsidRPr="114D2111">
              <w:rPr>
                <w:rFonts w:ascii="Calibri" w:eastAsia="Calibri" w:hAnsi="Calibri" w:cs="Calibri"/>
                <w:color w:val="000000" w:themeColor="text1"/>
                <w:sz w:val="20"/>
                <w:szCs w:val="20"/>
                <w:u w:val="single"/>
              </w:rPr>
              <w:t>2019</w:t>
            </w:r>
          </w:p>
        </w:tc>
      </w:tr>
      <w:tr w:rsidR="00A06D0E" w14:paraId="504C33F1"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0239CB4" w14:textId="77777777" w:rsidR="00A06D0E" w:rsidRDefault="00A06D0E" w:rsidP="00327517">
            <w:r w:rsidRPr="114D2111">
              <w:rPr>
                <w:rFonts w:ascii="Calibri" w:eastAsia="Calibri" w:hAnsi="Calibri" w:cs="Calibri"/>
                <w:color w:val="000000" w:themeColor="text1"/>
                <w:sz w:val="20"/>
                <w:szCs w:val="20"/>
              </w:rPr>
              <w:t>1</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13F5F62" w14:textId="77777777" w:rsidR="00A06D0E" w:rsidRDefault="00A06D0E" w:rsidP="00327517">
            <w:pPr>
              <w:jc w:val="center"/>
            </w:pPr>
            <w:r w:rsidRPr="114D2111">
              <w:rPr>
                <w:rFonts w:ascii="Calibri" w:eastAsia="Calibri" w:hAnsi="Calibri" w:cs="Calibri"/>
                <w:b/>
                <w:bCs/>
                <w:color w:val="000000" w:themeColor="text1"/>
                <w:sz w:val="20"/>
                <w:szCs w:val="20"/>
              </w:rPr>
              <w:t>Gross Profit Margin Percentage</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73B2312" w14:textId="77777777" w:rsidR="00A06D0E" w:rsidRDefault="00A06D0E" w:rsidP="00327517">
            <w:pPr>
              <w:jc w:val="center"/>
            </w:pPr>
            <w:r w:rsidRPr="114D2111">
              <w:rPr>
                <w:rFonts w:ascii="Calibri" w:eastAsia="Calibri" w:hAnsi="Calibri" w:cs="Calibri"/>
                <w:b/>
                <w:bCs/>
                <w:color w:val="000000" w:themeColor="text1"/>
                <w:sz w:val="20"/>
                <w:szCs w:val="20"/>
              </w:rPr>
              <w:t>31.38%</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2BD4421" w14:textId="77777777" w:rsidR="00A06D0E" w:rsidRDefault="00A06D0E" w:rsidP="00327517">
            <w:pPr>
              <w:jc w:val="center"/>
            </w:pPr>
            <w:r w:rsidRPr="114D2111">
              <w:rPr>
                <w:rFonts w:ascii="Calibri" w:eastAsia="Calibri" w:hAnsi="Calibri" w:cs="Calibri"/>
                <w:b/>
                <w:bCs/>
                <w:color w:val="000000" w:themeColor="text1"/>
                <w:sz w:val="20"/>
                <w:szCs w:val="20"/>
              </w:rPr>
              <w:t>18.16%</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51EB709E" w14:textId="77777777" w:rsidR="00A06D0E" w:rsidRDefault="00A06D0E" w:rsidP="00327517">
            <w:pPr>
              <w:jc w:val="center"/>
            </w:pPr>
            <w:r w:rsidRPr="114D2111">
              <w:rPr>
                <w:rFonts w:ascii="Calibri" w:eastAsia="Calibri" w:hAnsi="Calibri" w:cs="Calibri"/>
                <w:b/>
                <w:bCs/>
                <w:color w:val="000000" w:themeColor="text1"/>
                <w:sz w:val="20"/>
                <w:szCs w:val="20"/>
              </w:rPr>
              <w:t>34.45%</w:t>
            </w:r>
          </w:p>
        </w:tc>
      </w:tr>
      <w:tr w:rsidR="00A06D0E" w14:paraId="1745F68F"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6717686" w14:textId="77777777" w:rsidR="00A06D0E" w:rsidRDefault="00A06D0E" w:rsidP="00327517">
            <w:r w:rsidRPr="114D2111">
              <w:rPr>
                <w:rFonts w:ascii="Calibri" w:eastAsia="Calibri" w:hAnsi="Calibri" w:cs="Calibri"/>
                <w:color w:val="000000" w:themeColor="text1"/>
                <w:sz w:val="20"/>
                <w:szCs w:val="20"/>
              </w:rPr>
              <w:t>2</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DCC195" w14:textId="77777777" w:rsidR="00A06D0E" w:rsidRDefault="00A06D0E" w:rsidP="00327517">
            <w:pPr>
              <w:jc w:val="center"/>
            </w:pPr>
            <w:r w:rsidRPr="114D2111">
              <w:rPr>
                <w:rFonts w:ascii="Calibri" w:eastAsia="Calibri" w:hAnsi="Calibri" w:cs="Calibri"/>
                <w:b/>
                <w:bCs/>
                <w:color w:val="000000" w:themeColor="text1"/>
                <w:sz w:val="20"/>
                <w:szCs w:val="20"/>
              </w:rPr>
              <w:t>Operating Profit Margin Percentage</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44FB2EDF" w14:textId="77777777" w:rsidR="00A06D0E" w:rsidRDefault="00A06D0E" w:rsidP="00327517">
            <w:pPr>
              <w:jc w:val="center"/>
            </w:pPr>
            <w:r w:rsidRPr="114D2111">
              <w:rPr>
                <w:rFonts w:ascii="Calibri" w:eastAsia="Calibri" w:hAnsi="Calibri" w:cs="Calibri"/>
                <w:b/>
                <w:bCs/>
                <w:color w:val="000000" w:themeColor="text1"/>
                <w:sz w:val="20"/>
                <w:szCs w:val="20"/>
              </w:rPr>
              <w:t>-6.98%</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7341EE43" w14:textId="77777777" w:rsidR="00A06D0E" w:rsidRDefault="00A06D0E" w:rsidP="00327517">
            <w:pPr>
              <w:jc w:val="center"/>
            </w:pPr>
            <w:r w:rsidRPr="114D2111">
              <w:rPr>
                <w:rFonts w:ascii="Calibri" w:eastAsia="Calibri" w:hAnsi="Calibri" w:cs="Calibri"/>
                <w:b/>
                <w:bCs/>
                <w:color w:val="000000" w:themeColor="text1"/>
                <w:sz w:val="20"/>
                <w:szCs w:val="20"/>
              </w:rPr>
              <w:t>-52.78%</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435E6498" w14:textId="77777777" w:rsidR="00A06D0E" w:rsidRDefault="00A06D0E" w:rsidP="00327517">
            <w:pPr>
              <w:jc w:val="center"/>
            </w:pPr>
            <w:r w:rsidRPr="114D2111">
              <w:rPr>
                <w:rFonts w:ascii="Calibri" w:eastAsia="Calibri" w:hAnsi="Calibri" w:cs="Calibri"/>
                <w:b/>
                <w:bCs/>
                <w:color w:val="000000" w:themeColor="text1"/>
                <w:sz w:val="20"/>
                <w:szCs w:val="20"/>
              </w:rPr>
              <w:t>-5.30%</w:t>
            </w:r>
          </w:p>
        </w:tc>
      </w:tr>
      <w:tr w:rsidR="00A06D0E" w14:paraId="30A2612C"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2108F88" w14:textId="77777777" w:rsidR="00A06D0E" w:rsidRDefault="00A06D0E" w:rsidP="00327517">
            <w:r w:rsidRPr="114D2111">
              <w:rPr>
                <w:rFonts w:ascii="Calibri" w:eastAsia="Calibri" w:hAnsi="Calibri" w:cs="Calibri"/>
                <w:color w:val="000000" w:themeColor="text1"/>
                <w:sz w:val="20"/>
                <w:szCs w:val="20"/>
              </w:rPr>
              <w:t>3</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05F4E78" w14:textId="77777777" w:rsidR="00A06D0E" w:rsidRDefault="00A06D0E" w:rsidP="00327517">
            <w:pPr>
              <w:jc w:val="center"/>
            </w:pPr>
            <w:r w:rsidRPr="114D2111">
              <w:rPr>
                <w:rFonts w:ascii="Calibri" w:eastAsia="Calibri" w:hAnsi="Calibri" w:cs="Calibri"/>
                <w:b/>
                <w:bCs/>
                <w:color w:val="000000" w:themeColor="text1"/>
                <w:sz w:val="20"/>
                <w:szCs w:val="20"/>
              </w:rPr>
              <w:t>Net Profit Margin Percentage</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63520106" w14:textId="77777777" w:rsidR="00A06D0E" w:rsidRDefault="00A06D0E" w:rsidP="00327517">
            <w:pPr>
              <w:jc w:val="center"/>
            </w:pPr>
            <w:r w:rsidRPr="114D2111">
              <w:rPr>
                <w:rFonts w:ascii="Calibri" w:eastAsia="Calibri" w:hAnsi="Calibri" w:cs="Calibri"/>
                <w:b/>
                <w:bCs/>
                <w:color w:val="000000" w:themeColor="text1"/>
                <w:sz w:val="20"/>
                <w:szCs w:val="20"/>
              </w:rPr>
              <w:t>-17.28%</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5BFE1C32" w14:textId="77777777" w:rsidR="00A06D0E" w:rsidRDefault="00A06D0E" w:rsidP="00327517">
            <w:pPr>
              <w:jc w:val="center"/>
            </w:pPr>
            <w:r w:rsidRPr="114D2111">
              <w:rPr>
                <w:rFonts w:ascii="Calibri" w:eastAsia="Calibri" w:hAnsi="Calibri" w:cs="Calibri"/>
                <w:b/>
                <w:bCs/>
                <w:color w:val="000000" w:themeColor="text1"/>
                <w:sz w:val="20"/>
                <w:szCs w:val="20"/>
              </w:rPr>
              <w:t>-67.10%</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3E8C8A4C" w14:textId="77777777" w:rsidR="00A06D0E" w:rsidRDefault="00A06D0E" w:rsidP="00327517">
            <w:pPr>
              <w:jc w:val="center"/>
            </w:pPr>
            <w:r w:rsidRPr="114D2111">
              <w:rPr>
                <w:rFonts w:ascii="Calibri" w:eastAsia="Calibri" w:hAnsi="Calibri" w:cs="Calibri"/>
                <w:b/>
                <w:bCs/>
                <w:color w:val="000000" w:themeColor="text1"/>
                <w:sz w:val="20"/>
                <w:szCs w:val="20"/>
              </w:rPr>
              <w:t>-11.99%</w:t>
            </w:r>
          </w:p>
        </w:tc>
      </w:tr>
      <w:tr w:rsidR="00A06D0E" w14:paraId="22DDCDC6"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076AD79" w14:textId="77777777" w:rsidR="00A06D0E" w:rsidRDefault="00A06D0E" w:rsidP="00327517">
            <w:r w:rsidRPr="114D2111">
              <w:rPr>
                <w:rFonts w:ascii="Calibri" w:eastAsia="Calibri" w:hAnsi="Calibri" w:cs="Calibri"/>
                <w:color w:val="000000" w:themeColor="text1"/>
                <w:sz w:val="20"/>
                <w:szCs w:val="20"/>
              </w:rPr>
              <w:t>4</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3E9E8A7" w14:textId="77777777" w:rsidR="00A06D0E" w:rsidRDefault="00A06D0E" w:rsidP="00327517">
            <w:pPr>
              <w:jc w:val="center"/>
            </w:pPr>
            <w:r w:rsidRPr="114D2111">
              <w:rPr>
                <w:rFonts w:ascii="Calibri" w:eastAsia="Calibri" w:hAnsi="Calibri" w:cs="Calibri"/>
                <w:b/>
                <w:bCs/>
                <w:color w:val="000000" w:themeColor="text1"/>
                <w:sz w:val="20"/>
                <w:szCs w:val="20"/>
              </w:rPr>
              <w:t xml:space="preserve">EBITDA % Margin </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F8F2582" w14:textId="77777777" w:rsidR="00A06D0E" w:rsidRDefault="00A06D0E" w:rsidP="00327517">
            <w:pPr>
              <w:jc w:val="center"/>
            </w:pPr>
            <w:r w:rsidRPr="114D2111">
              <w:rPr>
                <w:rFonts w:ascii="Calibri" w:eastAsia="Calibri" w:hAnsi="Calibri" w:cs="Calibri"/>
                <w:b/>
                <w:bCs/>
                <w:color w:val="000000" w:themeColor="text1"/>
                <w:sz w:val="20"/>
                <w:szCs w:val="20"/>
              </w:rPr>
              <w:t>12.59%</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19EDA13" w14:textId="77777777" w:rsidR="00A06D0E" w:rsidRDefault="00A06D0E" w:rsidP="00327517">
            <w:pPr>
              <w:jc w:val="center"/>
            </w:pPr>
            <w:r w:rsidRPr="114D2111">
              <w:rPr>
                <w:rFonts w:ascii="Calibri" w:eastAsia="Calibri" w:hAnsi="Calibri" w:cs="Calibri"/>
                <w:b/>
                <w:bCs/>
                <w:color w:val="000000" w:themeColor="text1"/>
                <w:sz w:val="20"/>
                <w:szCs w:val="20"/>
              </w:rPr>
              <w:t>-11.46%</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620C978" w14:textId="77777777" w:rsidR="00A06D0E" w:rsidRDefault="00A06D0E" w:rsidP="00327517">
            <w:pPr>
              <w:jc w:val="center"/>
            </w:pPr>
            <w:r w:rsidRPr="114D2111">
              <w:rPr>
                <w:rFonts w:ascii="Calibri" w:eastAsia="Calibri" w:hAnsi="Calibri" w:cs="Calibri"/>
                <w:b/>
                <w:bCs/>
                <w:color w:val="000000" w:themeColor="text1"/>
                <w:sz w:val="20"/>
                <w:szCs w:val="20"/>
              </w:rPr>
              <w:t>12.13%</w:t>
            </w:r>
          </w:p>
        </w:tc>
      </w:tr>
      <w:tr w:rsidR="00A06D0E" w14:paraId="03EFB2FC"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22BDBDA" w14:textId="77777777" w:rsidR="00A06D0E" w:rsidRDefault="00A06D0E" w:rsidP="00327517">
            <w:r w:rsidRPr="114D2111">
              <w:rPr>
                <w:rFonts w:ascii="Calibri" w:eastAsia="Calibri" w:hAnsi="Calibri" w:cs="Calibri"/>
                <w:color w:val="000000" w:themeColor="text1"/>
                <w:sz w:val="20"/>
                <w:szCs w:val="20"/>
              </w:rPr>
              <w:t>5</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79E1981" w14:textId="77777777" w:rsidR="00A06D0E" w:rsidRDefault="00A06D0E" w:rsidP="00327517">
            <w:pPr>
              <w:jc w:val="center"/>
            </w:pPr>
            <w:r w:rsidRPr="114D2111">
              <w:rPr>
                <w:rFonts w:ascii="Calibri" w:eastAsia="Calibri" w:hAnsi="Calibri" w:cs="Calibri"/>
                <w:b/>
                <w:bCs/>
                <w:color w:val="000000" w:themeColor="text1"/>
                <w:sz w:val="20"/>
                <w:szCs w:val="20"/>
              </w:rPr>
              <w:t xml:space="preserve">Return on Assets Percentage </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67454580" w14:textId="77777777" w:rsidR="00A06D0E" w:rsidRDefault="00A06D0E" w:rsidP="00327517">
            <w:pPr>
              <w:jc w:val="center"/>
            </w:pPr>
            <w:r w:rsidRPr="114D2111">
              <w:rPr>
                <w:rFonts w:ascii="Calibri" w:eastAsia="Calibri" w:hAnsi="Calibri" w:cs="Calibri"/>
                <w:b/>
                <w:bCs/>
                <w:color w:val="000000" w:themeColor="text1"/>
                <w:sz w:val="20"/>
                <w:szCs w:val="20"/>
              </w:rPr>
              <w:t>-6.66%</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67881EF5" w14:textId="77777777" w:rsidR="00A06D0E" w:rsidRDefault="00A06D0E" w:rsidP="00327517">
            <w:pPr>
              <w:jc w:val="center"/>
            </w:pPr>
            <w:r w:rsidRPr="114D2111">
              <w:rPr>
                <w:rFonts w:ascii="Calibri" w:eastAsia="Calibri" w:hAnsi="Calibri" w:cs="Calibri"/>
                <w:b/>
                <w:bCs/>
                <w:color w:val="000000" w:themeColor="text1"/>
                <w:sz w:val="20"/>
                <w:szCs w:val="20"/>
              </w:rPr>
              <w:t>-14.69%</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6C188693" w14:textId="77777777" w:rsidR="00A06D0E" w:rsidRDefault="00A06D0E" w:rsidP="00327517">
            <w:pPr>
              <w:jc w:val="center"/>
            </w:pPr>
            <w:r w:rsidRPr="114D2111">
              <w:rPr>
                <w:rFonts w:ascii="Calibri" w:eastAsia="Calibri" w:hAnsi="Calibri" w:cs="Calibri"/>
                <w:b/>
                <w:bCs/>
                <w:color w:val="000000" w:themeColor="text1"/>
                <w:sz w:val="20"/>
                <w:szCs w:val="20"/>
              </w:rPr>
              <w:t>-5.27%</w:t>
            </w:r>
          </w:p>
        </w:tc>
      </w:tr>
      <w:tr w:rsidR="00A06D0E" w14:paraId="5B7A6EFA"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DB23182" w14:textId="77777777" w:rsidR="00A06D0E" w:rsidRDefault="00A06D0E" w:rsidP="00327517">
            <w:r w:rsidRPr="114D2111">
              <w:rPr>
                <w:rFonts w:ascii="Calibri" w:eastAsia="Calibri" w:hAnsi="Calibri" w:cs="Calibri"/>
                <w:color w:val="000000" w:themeColor="text1"/>
                <w:sz w:val="20"/>
                <w:szCs w:val="20"/>
              </w:rPr>
              <w:t>6</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8221866" w14:textId="77777777" w:rsidR="00A06D0E" w:rsidRDefault="00A06D0E" w:rsidP="00327517">
            <w:pPr>
              <w:jc w:val="center"/>
            </w:pPr>
            <w:r w:rsidRPr="114D2111">
              <w:rPr>
                <w:rFonts w:ascii="Calibri" w:eastAsia="Calibri" w:hAnsi="Calibri" w:cs="Calibri"/>
                <w:b/>
                <w:bCs/>
                <w:color w:val="000000" w:themeColor="text1"/>
                <w:sz w:val="20"/>
                <w:szCs w:val="20"/>
              </w:rPr>
              <w:t>EBITDA Return on Assets Percentage</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F0EE888" w14:textId="77777777" w:rsidR="00A06D0E" w:rsidRDefault="00A06D0E" w:rsidP="00327517">
            <w:pPr>
              <w:jc w:val="center"/>
            </w:pPr>
            <w:r w:rsidRPr="114D2111">
              <w:rPr>
                <w:rFonts w:ascii="Calibri" w:eastAsia="Calibri" w:hAnsi="Calibri" w:cs="Calibri"/>
                <w:b/>
                <w:bCs/>
                <w:color w:val="000000" w:themeColor="text1"/>
                <w:sz w:val="20"/>
                <w:szCs w:val="20"/>
              </w:rPr>
              <w:t>4.85%</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69FB7D53" w14:textId="77777777" w:rsidR="00A06D0E" w:rsidRDefault="00A06D0E" w:rsidP="00327517">
            <w:pPr>
              <w:jc w:val="center"/>
            </w:pPr>
            <w:r w:rsidRPr="114D2111">
              <w:rPr>
                <w:rFonts w:ascii="Calibri" w:eastAsia="Calibri" w:hAnsi="Calibri" w:cs="Calibri"/>
                <w:b/>
                <w:bCs/>
                <w:color w:val="000000" w:themeColor="text1"/>
                <w:sz w:val="20"/>
                <w:szCs w:val="20"/>
              </w:rPr>
              <w:t>-2.51%</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003C3C6" w14:textId="77777777" w:rsidR="00A06D0E" w:rsidRDefault="00A06D0E" w:rsidP="00327517">
            <w:pPr>
              <w:jc w:val="center"/>
            </w:pPr>
            <w:r w:rsidRPr="114D2111">
              <w:rPr>
                <w:rFonts w:ascii="Calibri" w:eastAsia="Calibri" w:hAnsi="Calibri" w:cs="Calibri"/>
                <w:b/>
                <w:bCs/>
                <w:color w:val="000000" w:themeColor="text1"/>
                <w:sz w:val="20"/>
                <w:szCs w:val="20"/>
              </w:rPr>
              <w:t>5.33%</w:t>
            </w:r>
          </w:p>
        </w:tc>
      </w:tr>
      <w:tr w:rsidR="00A06D0E" w14:paraId="586F0F43"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30043F7" w14:textId="77777777" w:rsidR="00A06D0E" w:rsidRDefault="00A06D0E" w:rsidP="00327517">
            <w:r w:rsidRPr="114D2111">
              <w:rPr>
                <w:rFonts w:ascii="Calibri" w:eastAsia="Calibri" w:hAnsi="Calibri" w:cs="Calibri"/>
                <w:color w:val="000000" w:themeColor="text1"/>
                <w:sz w:val="20"/>
                <w:szCs w:val="20"/>
              </w:rPr>
              <w:t>7</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C3C17B9" w14:textId="77777777" w:rsidR="00A06D0E" w:rsidRDefault="00A06D0E" w:rsidP="00327517">
            <w:pPr>
              <w:jc w:val="center"/>
            </w:pPr>
            <w:r w:rsidRPr="114D2111">
              <w:rPr>
                <w:rFonts w:ascii="Calibri" w:eastAsia="Calibri" w:hAnsi="Calibri" w:cs="Calibri"/>
                <w:b/>
                <w:bCs/>
                <w:color w:val="000000" w:themeColor="text1"/>
                <w:sz w:val="20"/>
                <w:szCs w:val="20"/>
              </w:rPr>
              <w:t xml:space="preserve">Return on Equity Percentage </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6866E880" w14:textId="77777777" w:rsidR="00A06D0E" w:rsidRDefault="00A06D0E" w:rsidP="00327517">
            <w:pPr>
              <w:jc w:val="center"/>
            </w:pPr>
            <w:r w:rsidRPr="114D2111">
              <w:rPr>
                <w:rFonts w:ascii="Calibri" w:eastAsia="Calibri" w:hAnsi="Calibri" w:cs="Calibri"/>
                <w:b/>
                <w:bCs/>
                <w:color w:val="000000" w:themeColor="text1"/>
                <w:sz w:val="20"/>
                <w:szCs w:val="20"/>
              </w:rPr>
              <w:t>-28.66%</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4EF2749B" w14:textId="77777777" w:rsidR="00A06D0E" w:rsidRDefault="00A06D0E" w:rsidP="00327517">
            <w:pPr>
              <w:jc w:val="center"/>
            </w:pPr>
            <w:r w:rsidRPr="114D2111">
              <w:rPr>
                <w:rFonts w:ascii="Calibri" w:eastAsia="Calibri" w:hAnsi="Calibri" w:cs="Calibri"/>
                <w:b/>
                <w:bCs/>
                <w:color w:val="000000" w:themeColor="text1"/>
                <w:sz w:val="20"/>
                <w:szCs w:val="20"/>
              </w:rPr>
              <w:t>-51.05%</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46702CAF" w14:textId="77777777" w:rsidR="00A06D0E" w:rsidRDefault="00A06D0E" w:rsidP="00327517">
            <w:pPr>
              <w:jc w:val="center"/>
            </w:pPr>
            <w:r w:rsidRPr="114D2111">
              <w:rPr>
                <w:rFonts w:ascii="Calibri" w:eastAsia="Calibri" w:hAnsi="Calibri" w:cs="Calibri"/>
                <w:b/>
                <w:bCs/>
                <w:color w:val="000000" w:themeColor="text1"/>
                <w:sz w:val="20"/>
                <w:szCs w:val="20"/>
              </w:rPr>
              <w:t>-35.68%</w:t>
            </w:r>
          </w:p>
        </w:tc>
      </w:tr>
      <w:tr w:rsidR="00A06D0E" w14:paraId="6BA9DCF0"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7A96770" w14:textId="77777777" w:rsidR="00A06D0E" w:rsidRDefault="00A06D0E" w:rsidP="00327517">
            <w:r w:rsidRPr="114D2111">
              <w:rPr>
                <w:rFonts w:ascii="Calibri" w:eastAsia="Calibri" w:hAnsi="Calibri" w:cs="Calibri"/>
                <w:color w:val="000000" w:themeColor="text1"/>
                <w:sz w:val="20"/>
                <w:szCs w:val="20"/>
              </w:rPr>
              <w:t>8</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8F21551" w14:textId="77777777" w:rsidR="00A06D0E" w:rsidRDefault="00A06D0E" w:rsidP="00327517">
            <w:pPr>
              <w:jc w:val="center"/>
            </w:pPr>
            <w:r w:rsidRPr="114D2111">
              <w:rPr>
                <w:rFonts w:ascii="Calibri" w:eastAsia="Calibri" w:hAnsi="Calibri" w:cs="Calibri"/>
                <w:b/>
                <w:bCs/>
                <w:color w:val="000000" w:themeColor="text1"/>
                <w:sz w:val="20"/>
                <w:szCs w:val="20"/>
              </w:rPr>
              <w:t xml:space="preserve">Current Ratio </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A28B843" w14:textId="77777777" w:rsidR="00A06D0E" w:rsidRDefault="00A06D0E" w:rsidP="00327517">
            <w:pPr>
              <w:jc w:val="center"/>
            </w:pPr>
            <w:r w:rsidRPr="114D2111">
              <w:rPr>
                <w:rFonts w:ascii="Calibri" w:eastAsia="Calibri" w:hAnsi="Calibri" w:cs="Calibri"/>
                <w:b/>
                <w:bCs/>
                <w:color w:val="000000" w:themeColor="text1"/>
                <w:sz w:val="20"/>
                <w:szCs w:val="20"/>
              </w:rPr>
              <w:t>0.96</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0731DBA7" w14:textId="77777777" w:rsidR="00A06D0E" w:rsidRDefault="00A06D0E" w:rsidP="00327517">
            <w:pPr>
              <w:jc w:val="center"/>
            </w:pPr>
            <w:r w:rsidRPr="114D2111">
              <w:rPr>
                <w:rFonts w:ascii="Calibri" w:eastAsia="Calibri" w:hAnsi="Calibri" w:cs="Calibri"/>
                <w:b/>
                <w:bCs/>
                <w:color w:val="000000" w:themeColor="text1"/>
                <w:sz w:val="20"/>
                <w:szCs w:val="20"/>
              </w:rPr>
              <w:t>1.1</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EC44C25" w14:textId="77777777" w:rsidR="00A06D0E" w:rsidRDefault="00A06D0E" w:rsidP="00327517">
            <w:pPr>
              <w:jc w:val="center"/>
            </w:pPr>
            <w:r w:rsidRPr="114D2111">
              <w:rPr>
                <w:rFonts w:ascii="Calibri" w:eastAsia="Calibri" w:hAnsi="Calibri" w:cs="Calibri"/>
                <w:b/>
                <w:bCs/>
                <w:color w:val="000000" w:themeColor="text1"/>
                <w:sz w:val="20"/>
                <w:szCs w:val="20"/>
              </w:rPr>
              <w:t>0.64</w:t>
            </w:r>
          </w:p>
        </w:tc>
      </w:tr>
      <w:tr w:rsidR="00A06D0E" w14:paraId="367CC4F0"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E8DD78C" w14:textId="77777777" w:rsidR="00A06D0E" w:rsidRDefault="00A06D0E" w:rsidP="00327517">
            <w:r w:rsidRPr="114D2111">
              <w:rPr>
                <w:rFonts w:ascii="Calibri" w:eastAsia="Calibri" w:hAnsi="Calibri" w:cs="Calibri"/>
                <w:color w:val="000000" w:themeColor="text1"/>
                <w:sz w:val="20"/>
                <w:szCs w:val="20"/>
              </w:rPr>
              <w:t>9</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2931982" w14:textId="77777777" w:rsidR="00A06D0E" w:rsidRDefault="00A06D0E" w:rsidP="00327517">
            <w:pPr>
              <w:jc w:val="center"/>
            </w:pPr>
            <w:r w:rsidRPr="114D2111">
              <w:rPr>
                <w:rFonts w:ascii="Calibri" w:eastAsia="Calibri" w:hAnsi="Calibri" w:cs="Calibri"/>
                <w:b/>
                <w:bCs/>
                <w:color w:val="000000" w:themeColor="text1"/>
                <w:sz w:val="20"/>
                <w:szCs w:val="20"/>
              </w:rPr>
              <w:t xml:space="preserve">Quick Ratio </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0466F9C" w14:textId="77777777" w:rsidR="00A06D0E" w:rsidRDefault="00A06D0E" w:rsidP="00327517">
            <w:pPr>
              <w:jc w:val="center"/>
            </w:pPr>
            <w:r w:rsidRPr="114D2111">
              <w:rPr>
                <w:rFonts w:ascii="Calibri" w:eastAsia="Calibri" w:hAnsi="Calibri" w:cs="Calibri"/>
                <w:b/>
                <w:bCs/>
                <w:color w:val="000000" w:themeColor="text1"/>
                <w:sz w:val="20"/>
                <w:szCs w:val="20"/>
              </w:rPr>
              <w:t>0.74</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59349647" w14:textId="77777777" w:rsidR="00A06D0E" w:rsidRDefault="00A06D0E" w:rsidP="00327517">
            <w:pPr>
              <w:jc w:val="center"/>
            </w:pPr>
            <w:r w:rsidRPr="114D2111">
              <w:rPr>
                <w:rFonts w:ascii="Calibri" w:eastAsia="Calibri" w:hAnsi="Calibri" w:cs="Calibri"/>
                <w:b/>
                <w:bCs/>
                <w:color w:val="000000" w:themeColor="text1"/>
                <w:sz w:val="20"/>
                <w:szCs w:val="20"/>
              </w:rPr>
              <w:t>0.84</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5175FD21" w14:textId="77777777" w:rsidR="00A06D0E" w:rsidRDefault="00A06D0E" w:rsidP="00327517">
            <w:pPr>
              <w:jc w:val="center"/>
            </w:pPr>
            <w:r w:rsidRPr="114D2111">
              <w:rPr>
                <w:rFonts w:ascii="Calibri" w:eastAsia="Calibri" w:hAnsi="Calibri" w:cs="Calibri"/>
                <w:b/>
                <w:bCs/>
                <w:color w:val="000000" w:themeColor="text1"/>
                <w:sz w:val="20"/>
                <w:szCs w:val="20"/>
              </w:rPr>
              <w:t>0.41</w:t>
            </w:r>
          </w:p>
        </w:tc>
      </w:tr>
      <w:tr w:rsidR="00A06D0E" w14:paraId="117E5229"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B9BFEE1" w14:textId="77777777" w:rsidR="00A06D0E" w:rsidRDefault="00A06D0E" w:rsidP="00327517">
            <w:r w:rsidRPr="114D2111">
              <w:rPr>
                <w:rFonts w:ascii="Calibri" w:eastAsia="Calibri" w:hAnsi="Calibri" w:cs="Calibri"/>
                <w:color w:val="000000" w:themeColor="text1"/>
                <w:sz w:val="20"/>
                <w:szCs w:val="20"/>
              </w:rPr>
              <w:t>10</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A8DF9D1" w14:textId="77777777" w:rsidR="00A06D0E" w:rsidRDefault="00A06D0E" w:rsidP="00327517">
            <w:pPr>
              <w:jc w:val="center"/>
            </w:pPr>
            <w:r w:rsidRPr="114D2111">
              <w:rPr>
                <w:rFonts w:ascii="Calibri" w:eastAsia="Calibri" w:hAnsi="Calibri" w:cs="Calibri"/>
                <w:b/>
                <w:bCs/>
                <w:color w:val="000000" w:themeColor="text1"/>
                <w:sz w:val="20"/>
                <w:szCs w:val="20"/>
              </w:rPr>
              <w:t>Cash Ratio</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3B5BF57" w14:textId="77777777" w:rsidR="00A06D0E" w:rsidRDefault="00A06D0E" w:rsidP="00327517">
            <w:pPr>
              <w:jc w:val="center"/>
            </w:pPr>
            <w:r w:rsidRPr="114D2111">
              <w:rPr>
                <w:rFonts w:ascii="Calibri" w:eastAsia="Calibri" w:hAnsi="Calibri" w:cs="Calibri"/>
                <w:b/>
                <w:bCs/>
                <w:color w:val="000000" w:themeColor="text1"/>
                <w:sz w:val="20"/>
                <w:szCs w:val="20"/>
              </w:rPr>
              <w:t>0.43</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E7A1C1C" w14:textId="77777777" w:rsidR="00A06D0E" w:rsidRDefault="00A06D0E" w:rsidP="00327517">
            <w:pPr>
              <w:jc w:val="center"/>
            </w:pPr>
            <w:r w:rsidRPr="114D2111">
              <w:rPr>
                <w:rFonts w:ascii="Calibri" w:eastAsia="Calibri" w:hAnsi="Calibri" w:cs="Calibri"/>
                <w:b/>
                <w:bCs/>
                <w:color w:val="000000" w:themeColor="text1"/>
                <w:sz w:val="20"/>
                <w:szCs w:val="20"/>
              </w:rPr>
              <w:t>0.56</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D953E27" w14:textId="77777777" w:rsidR="00A06D0E" w:rsidRDefault="00A06D0E" w:rsidP="00327517">
            <w:pPr>
              <w:jc w:val="center"/>
            </w:pPr>
            <w:r w:rsidRPr="114D2111">
              <w:rPr>
                <w:rFonts w:ascii="Calibri" w:eastAsia="Calibri" w:hAnsi="Calibri" w:cs="Calibri"/>
                <w:b/>
                <w:bCs/>
                <w:color w:val="000000" w:themeColor="text1"/>
                <w:sz w:val="20"/>
                <w:szCs w:val="20"/>
              </w:rPr>
              <w:t>0.08</w:t>
            </w:r>
          </w:p>
        </w:tc>
      </w:tr>
      <w:tr w:rsidR="00A06D0E" w14:paraId="5942803C"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622A944" w14:textId="77777777" w:rsidR="00A06D0E" w:rsidRDefault="00A06D0E" w:rsidP="00327517">
            <w:r w:rsidRPr="114D2111">
              <w:rPr>
                <w:rFonts w:ascii="Calibri" w:eastAsia="Calibri" w:hAnsi="Calibri" w:cs="Calibri"/>
                <w:color w:val="000000" w:themeColor="text1"/>
                <w:sz w:val="20"/>
                <w:szCs w:val="20"/>
              </w:rPr>
              <w:t>11</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AC45C49" w14:textId="77777777" w:rsidR="00A06D0E" w:rsidRDefault="00A06D0E" w:rsidP="00327517">
            <w:pPr>
              <w:jc w:val="center"/>
            </w:pPr>
            <w:r w:rsidRPr="114D2111">
              <w:rPr>
                <w:rFonts w:ascii="Calibri" w:eastAsia="Calibri" w:hAnsi="Calibri" w:cs="Calibri"/>
                <w:b/>
                <w:bCs/>
                <w:color w:val="000000" w:themeColor="text1"/>
                <w:sz w:val="20"/>
                <w:szCs w:val="20"/>
              </w:rPr>
              <w:t>DSO to nearest number of days (Trade &amp; Other Receivables)</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0A153A69" w14:textId="77777777" w:rsidR="00A06D0E" w:rsidRDefault="00A06D0E" w:rsidP="00327517">
            <w:pPr>
              <w:jc w:val="center"/>
            </w:pPr>
            <w:r w:rsidRPr="114D2111">
              <w:rPr>
                <w:rFonts w:ascii="Calibri" w:eastAsia="Calibri" w:hAnsi="Calibri" w:cs="Calibri"/>
                <w:b/>
                <w:bCs/>
                <w:color w:val="000000" w:themeColor="text1"/>
                <w:sz w:val="20"/>
                <w:szCs w:val="20"/>
              </w:rPr>
              <w:t>82</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B6E722F" w14:textId="77777777" w:rsidR="00A06D0E" w:rsidRDefault="00A06D0E" w:rsidP="00327517">
            <w:pPr>
              <w:jc w:val="center"/>
            </w:pPr>
            <w:r w:rsidRPr="114D2111">
              <w:rPr>
                <w:rFonts w:ascii="Calibri" w:eastAsia="Calibri" w:hAnsi="Calibri" w:cs="Calibri"/>
                <w:b/>
                <w:bCs/>
                <w:color w:val="000000" w:themeColor="text1"/>
                <w:sz w:val="20"/>
                <w:szCs w:val="20"/>
              </w:rPr>
              <w:t>107</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071F5D14" w14:textId="77777777" w:rsidR="00A06D0E" w:rsidRDefault="00A06D0E" w:rsidP="00327517">
            <w:pPr>
              <w:jc w:val="center"/>
            </w:pPr>
            <w:r w:rsidRPr="114D2111">
              <w:rPr>
                <w:rFonts w:ascii="Calibri" w:eastAsia="Calibri" w:hAnsi="Calibri" w:cs="Calibri"/>
                <w:b/>
                <w:bCs/>
                <w:color w:val="000000" w:themeColor="text1"/>
                <w:sz w:val="20"/>
                <w:szCs w:val="20"/>
              </w:rPr>
              <w:t>94</w:t>
            </w:r>
          </w:p>
        </w:tc>
      </w:tr>
      <w:tr w:rsidR="00A06D0E" w14:paraId="726E8737"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73E71EF" w14:textId="77777777" w:rsidR="00A06D0E" w:rsidRDefault="00A06D0E" w:rsidP="00327517">
            <w:r w:rsidRPr="114D2111">
              <w:rPr>
                <w:rFonts w:ascii="Calibri" w:eastAsia="Calibri" w:hAnsi="Calibri" w:cs="Calibri"/>
                <w:color w:val="000000" w:themeColor="text1"/>
                <w:sz w:val="20"/>
                <w:szCs w:val="20"/>
              </w:rPr>
              <w:t>12</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1A5CC7E" w14:textId="77777777" w:rsidR="00A06D0E" w:rsidRDefault="00A06D0E" w:rsidP="00327517">
            <w:pPr>
              <w:jc w:val="center"/>
            </w:pPr>
            <w:r w:rsidRPr="114D2111">
              <w:rPr>
                <w:rFonts w:ascii="Calibri" w:eastAsia="Calibri" w:hAnsi="Calibri" w:cs="Calibri"/>
                <w:b/>
                <w:bCs/>
                <w:color w:val="000000" w:themeColor="text1"/>
                <w:sz w:val="20"/>
                <w:szCs w:val="20"/>
              </w:rPr>
              <w:t>DSO to nearest number of days (Trade Receivables only)</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0A2E27A" w14:textId="77777777" w:rsidR="00A06D0E" w:rsidRDefault="00A06D0E" w:rsidP="00327517">
            <w:pPr>
              <w:jc w:val="center"/>
            </w:pPr>
            <w:r w:rsidRPr="114D2111">
              <w:rPr>
                <w:rFonts w:ascii="Calibri" w:eastAsia="Calibri" w:hAnsi="Calibri" w:cs="Calibri"/>
                <w:b/>
                <w:bCs/>
                <w:color w:val="000000" w:themeColor="text1"/>
                <w:sz w:val="20"/>
                <w:szCs w:val="20"/>
              </w:rPr>
              <w:t>46</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3D740F4" w14:textId="77777777" w:rsidR="00A06D0E" w:rsidRDefault="00A06D0E" w:rsidP="00327517">
            <w:pPr>
              <w:jc w:val="center"/>
            </w:pPr>
            <w:r w:rsidRPr="114D2111">
              <w:rPr>
                <w:rFonts w:ascii="Calibri" w:eastAsia="Calibri" w:hAnsi="Calibri" w:cs="Calibri"/>
                <w:b/>
                <w:bCs/>
                <w:color w:val="000000" w:themeColor="text1"/>
                <w:sz w:val="20"/>
                <w:szCs w:val="20"/>
              </w:rPr>
              <w:t>61</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3E3BA4B" w14:textId="77777777" w:rsidR="00A06D0E" w:rsidRDefault="00A06D0E" w:rsidP="00327517">
            <w:pPr>
              <w:jc w:val="center"/>
            </w:pPr>
            <w:r w:rsidRPr="114D2111">
              <w:rPr>
                <w:rFonts w:ascii="Calibri" w:eastAsia="Calibri" w:hAnsi="Calibri" w:cs="Calibri"/>
                <w:b/>
                <w:bCs/>
                <w:color w:val="000000" w:themeColor="text1"/>
                <w:sz w:val="20"/>
                <w:szCs w:val="20"/>
              </w:rPr>
              <w:t>65</w:t>
            </w:r>
          </w:p>
        </w:tc>
      </w:tr>
      <w:tr w:rsidR="00A06D0E" w14:paraId="5F0FD451"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5463D1F" w14:textId="77777777" w:rsidR="00A06D0E" w:rsidRDefault="00A06D0E" w:rsidP="00327517">
            <w:r w:rsidRPr="114D2111">
              <w:rPr>
                <w:rFonts w:ascii="Calibri" w:eastAsia="Calibri" w:hAnsi="Calibri" w:cs="Calibri"/>
                <w:color w:val="000000" w:themeColor="text1"/>
                <w:sz w:val="20"/>
                <w:szCs w:val="20"/>
              </w:rPr>
              <w:t>13</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2A396B8" w14:textId="77777777" w:rsidR="00A06D0E" w:rsidRDefault="00A06D0E" w:rsidP="00327517">
            <w:pPr>
              <w:jc w:val="center"/>
            </w:pPr>
            <w:r w:rsidRPr="114D2111">
              <w:rPr>
                <w:rFonts w:ascii="Calibri" w:eastAsia="Calibri" w:hAnsi="Calibri" w:cs="Calibri"/>
                <w:b/>
                <w:bCs/>
                <w:color w:val="000000" w:themeColor="text1"/>
                <w:sz w:val="20"/>
                <w:szCs w:val="20"/>
              </w:rPr>
              <w:t xml:space="preserve">Inventory Turnover </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8D9DD20" w14:textId="77777777" w:rsidR="00A06D0E" w:rsidRDefault="00A06D0E" w:rsidP="00327517">
            <w:pPr>
              <w:jc w:val="center"/>
            </w:pPr>
            <w:r w:rsidRPr="114D2111">
              <w:rPr>
                <w:rFonts w:ascii="Calibri" w:eastAsia="Calibri" w:hAnsi="Calibri" w:cs="Calibri"/>
                <w:b/>
                <w:bCs/>
                <w:color w:val="000000" w:themeColor="text1"/>
                <w:sz w:val="20"/>
                <w:szCs w:val="20"/>
              </w:rPr>
              <w:t>3.72</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904C4A7" w14:textId="77777777" w:rsidR="00A06D0E" w:rsidRDefault="00A06D0E" w:rsidP="00327517">
            <w:pPr>
              <w:jc w:val="center"/>
            </w:pPr>
            <w:r w:rsidRPr="114D2111">
              <w:rPr>
                <w:rFonts w:ascii="Calibri" w:eastAsia="Calibri" w:hAnsi="Calibri" w:cs="Calibri"/>
                <w:b/>
                <w:bCs/>
                <w:color w:val="000000" w:themeColor="text1"/>
                <w:sz w:val="20"/>
                <w:szCs w:val="20"/>
              </w:rPr>
              <w:t>2.45</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6F92511" w14:textId="77777777" w:rsidR="00A06D0E" w:rsidRDefault="00A06D0E" w:rsidP="00327517">
            <w:pPr>
              <w:jc w:val="center"/>
            </w:pPr>
            <w:r w:rsidRPr="114D2111">
              <w:rPr>
                <w:rFonts w:ascii="Calibri" w:eastAsia="Calibri" w:hAnsi="Calibri" w:cs="Calibri"/>
                <w:b/>
                <w:bCs/>
                <w:color w:val="000000" w:themeColor="text1"/>
                <w:sz w:val="20"/>
                <w:szCs w:val="20"/>
              </w:rPr>
              <w:t>3.51</w:t>
            </w:r>
          </w:p>
        </w:tc>
      </w:tr>
      <w:tr w:rsidR="00A06D0E" w14:paraId="6C87A947"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D510AC7" w14:textId="77777777" w:rsidR="00A06D0E" w:rsidRDefault="00A06D0E" w:rsidP="00327517">
            <w:r w:rsidRPr="114D2111">
              <w:rPr>
                <w:rFonts w:ascii="Calibri" w:eastAsia="Calibri" w:hAnsi="Calibri" w:cs="Calibri"/>
                <w:color w:val="000000" w:themeColor="text1"/>
                <w:sz w:val="20"/>
                <w:szCs w:val="20"/>
              </w:rPr>
              <w:t>14</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9176EF4" w14:textId="77777777" w:rsidR="00A06D0E" w:rsidRDefault="00A06D0E" w:rsidP="00327517">
            <w:pPr>
              <w:jc w:val="center"/>
            </w:pPr>
            <w:r w:rsidRPr="114D2111">
              <w:rPr>
                <w:rFonts w:ascii="Calibri" w:eastAsia="Calibri" w:hAnsi="Calibri" w:cs="Calibri"/>
                <w:b/>
                <w:bCs/>
                <w:color w:val="000000" w:themeColor="text1"/>
                <w:sz w:val="20"/>
                <w:szCs w:val="20"/>
              </w:rPr>
              <w:t>DPO to nearest number of days (Trade &amp; Other Payables)</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03084775" w14:textId="77777777" w:rsidR="00A06D0E" w:rsidRDefault="00A06D0E" w:rsidP="00327517">
            <w:pPr>
              <w:jc w:val="center"/>
            </w:pPr>
            <w:r w:rsidRPr="114D2111">
              <w:rPr>
                <w:rFonts w:ascii="Calibri" w:eastAsia="Calibri" w:hAnsi="Calibri" w:cs="Calibri"/>
                <w:b/>
                <w:bCs/>
                <w:color w:val="000000" w:themeColor="text1"/>
                <w:sz w:val="20"/>
                <w:szCs w:val="20"/>
              </w:rPr>
              <w:t>355</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FAA0B8C" w14:textId="77777777" w:rsidR="00A06D0E" w:rsidRDefault="00A06D0E" w:rsidP="00327517">
            <w:pPr>
              <w:jc w:val="center"/>
            </w:pPr>
            <w:r w:rsidRPr="114D2111">
              <w:rPr>
                <w:rFonts w:ascii="Calibri" w:eastAsia="Calibri" w:hAnsi="Calibri" w:cs="Calibri"/>
                <w:b/>
                <w:bCs/>
                <w:color w:val="000000" w:themeColor="text1"/>
                <w:sz w:val="20"/>
                <w:szCs w:val="20"/>
              </w:rPr>
              <w:t>427</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989F4F7" w14:textId="77777777" w:rsidR="00A06D0E" w:rsidRDefault="00A06D0E" w:rsidP="00327517">
            <w:pPr>
              <w:jc w:val="center"/>
            </w:pPr>
            <w:r w:rsidRPr="114D2111">
              <w:rPr>
                <w:rFonts w:ascii="Calibri" w:eastAsia="Calibri" w:hAnsi="Calibri" w:cs="Calibri"/>
                <w:b/>
                <w:bCs/>
                <w:color w:val="000000" w:themeColor="text1"/>
                <w:sz w:val="20"/>
                <w:szCs w:val="20"/>
              </w:rPr>
              <w:t>422</w:t>
            </w:r>
          </w:p>
        </w:tc>
      </w:tr>
      <w:tr w:rsidR="00A06D0E" w14:paraId="5825215D"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B760B2B" w14:textId="77777777" w:rsidR="00A06D0E" w:rsidRDefault="00A06D0E" w:rsidP="00327517">
            <w:r w:rsidRPr="114D2111">
              <w:rPr>
                <w:rFonts w:ascii="Calibri" w:eastAsia="Calibri" w:hAnsi="Calibri" w:cs="Calibri"/>
                <w:color w:val="000000" w:themeColor="text1"/>
                <w:sz w:val="20"/>
                <w:szCs w:val="20"/>
              </w:rPr>
              <w:t>15</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A974C8E" w14:textId="77777777" w:rsidR="00A06D0E" w:rsidRDefault="00A06D0E" w:rsidP="00327517">
            <w:pPr>
              <w:jc w:val="center"/>
            </w:pPr>
            <w:r w:rsidRPr="114D2111">
              <w:rPr>
                <w:rFonts w:ascii="Calibri" w:eastAsia="Calibri" w:hAnsi="Calibri" w:cs="Calibri"/>
                <w:b/>
                <w:bCs/>
                <w:color w:val="000000" w:themeColor="text1"/>
                <w:sz w:val="20"/>
                <w:szCs w:val="20"/>
              </w:rPr>
              <w:t>DPO to nearest number of days (Trade Payable only)</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960DEEB" w14:textId="77777777" w:rsidR="00A06D0E" w:rsidRDefault="00A06D0E" w:rsidP="00327517">
            <w:pPr>
              <w:jc w:val="center"/>
            </w:pPr>
            <w:r w:rsidRPr="114D2111">
              <w:rPr>
                <w:rFonts w:ascii="Calibri" w:eastAsia="Calibri" w:hAnsi="Calibri" w:cs="Calibri"/>
                <w:b/>
                <w:bCs/>
                <w:color w:val="000000" w:themeColor="text1"/>
                <w:sz w:val="20"/>
                <w:szCs w:val="20"/>
              </w:rPr>
              <w:t>65</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454B676" w14:textId="77777777" w:rsidR="00A06D0E" w:rsidRDefault="00A06D0E" w:rsidP="00327517">
            <w:pPr>
              <w:jc w:val="center"/>
            </w:pPr>
            <w:r w:rsidRPr="114D2111">
              <w:rPr>
                <w:rFonts w:ascii="Calibri" w:eastAsia="Calibri" w:hAnsi="Calibri" w:cs="Calibri"/>
                <w:b/>
                <w:bCs/>
                <w:color w:val="000000" w:themeColor="text1"/>
                <w:sz w:val="20"/>
                <w:szCs w:val="20"/>
              </w:rPr>
              <w:t>76</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0E8A595" w14:textId="77777777" w:rsidR="00A06D0E" w:rsidRDefault="00A06D0E" w:rsidP="00327517">
            <w:pPr>
              <w:jc w:val="center"/>
            </w:pPr>
            <w:r w:rsidRPr="114D2111">
              <w:rPr>
                <w:rFonts w:ascii="Calibri" w:eastAsia="Calibri" w:hAnsi="Calibri" w:cs="Calibri"/>
                <w:b/>
                <w:bCs/>
                <w:color w:val="000000" w:themeColor="text1"/>
                <w:sz w:val="20"/>
                <w:szCs w:val="20"/>
              </w:rPr>
              <w:t>79</w:t>
            </w:r>
          </w:p>
        </w:tc>
      </w:tr>
      <w:tr w:rsidR="00A06D0E" w14:paraId="0A0C938F"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37DDDA1" w14:textId="77777777" w:rsidR="00A06D0E" w:rsidRDefault="00A06D0E" w:rsidP="00327517">
            <w:r w:rsidRPr="114D2111">
              <w:rPr>
                <w:rFonts w:ascii="Calibri" w:eastAsia="Calibri" w:hAnsi="Calibri" w:cs="Calibri"/>
                <w:color w:val="000000" w:themeColor="text1"/>
                <w:sz w:val="20"/>
                <w:szCs w:val="20"/>
              </w:rPr>
              <w:t>16</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EAC3218" w14:textId="77777777" w:rsidR="00A06D0E" w:rsidRDefault="00A06D0E" w:rsidP="00327517">
            <w:pPr>
              <w:jc w:val="center"/>
            </w:pPr>
            <w:r w:rsidRPr="114D2111">
              <w:rPr>
                <w:rFonts w:ascii="Calibri" w:eastAsia="Calibri" w:hAnsi="Calibri" w:cs="Calibri"/>
                <w:b/>
                <w:bCs/>
                <w:color w:val="000000" w:themeColor="text1"/>
                <w:sz w:val="20"/>
                <w:szCs w:val="20"/>
              </w:rPr>
              <w:t>Gearing Percentage</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F0A9CEF" w14:textId="77777777" w:rsidR="00A06D0E" w:rsidRDefault="00A06D0E" w:rsidP="00327517">
            <w:pPr>
              <w:jc w:val="center"/>
            </w:pPr>
            <w:r w:rsidRPr="114D2111">
              <w:rPr>
                <w:rFonts w:ascii="Calibri" w:eastAsia="Calibri" w:hAnsi="Calibri" w:cs="Calibri"/>
                <w:b/>
                <w:bCs/>
                <w:color w:val="000000" w:themeColor="text1"/>
                <w:sz w:val="20"/>
                <w:szCs w:val="20"/>
              </w:rPr>
              <w:t>65.91%</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5334AF9" w14:textId="77777777" w:rsidR="00A06D0E" w:rsidRDefault="00A06D0E" w:rsidP="00327517">
            <w:pPr>
              <w:jc w:val="center"/>
            </w:pPr>
            <w:r w:rsidRPr="114D2111">
              <w:rPr>
                <w:rFonts w:ascii="Calibri" w:eastAsia="Calibri" w:hAnsi="Calibri" w:cs="Calibri"/>
                <w:b/>
                <w:bCs/>
                <w:color w:val="000000" w:themeColor="text1"/>
                <w:sz w:val="20"/>
                <w:szCs w:val="20"/>
              </w:rPr>
              <w:t>59.52%</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BD01D9B" w14:textId="77777777" w:rsidR="00A06D0E" w:rsidRDefault="00A06D0E" w:rsidP="00327517">
            <w:pPr>
              <w:jc w:val="center"/>
            </w:pPr>
            <w:r w:rsidRPr="114D2111">
              <w:rPr>
                <w:rFonts w:ascii="Calibri" w:eastAsia="Calibri" w:hAnsi="Calibri" w:cs="Calibri"/>
                <w:b/>
                <w:bCs/>
                <w:color w:val="000000" w:themeColor="text1"/>
                <w:sz w:val="20"/>
                <w:szCs w:val="20"/>
              </w:rPr>
              <w:t>75.42%</w:t>
            </w:r>
          </w:p>
        </w:tc>
      </w:tr>
      <w:tr w:rsidR="00A06D0E" w14:paraId="491B2D30"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F859D08" w14:textId="77777777" w:rsidR="00A06D0E" w:rsidRDefault="00A06D0E" w:rsidP="00327517">
            <w:r w:rsidRPr="114D2111">
              <w:rPr>
                <w:rFonts w:ascii="Calibri" w:eastAsia="Calibri" w:hAnsi="Calibri" w:cs="Calibri"/>
                <w:color w:val="000000" w:themeColor="text1"/>
                <w:sz w:val="20"/>
                <w:szCs w:val="20"/>
              </w:rPr>
              <w:t>17</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3E60BB4" w14:textId="77777777" w:rsidR="00A06D0E" w:rsidRDefault="00A06D0E" w:rsidP="00327517">
            <w:pPr>
              <w:jc w:val="center"/>
            </w:pPr>
            <w:r w:rsidRPr="114D2111">
              <w:rPr>
                <w:rFonts w:ascii="Calibri" w:eastAsia="Calibri" w:hAnsi="Calibri" w:cs="Calibri"/>
                <w:b/>
                <w:bCs/>
                <w:color w:val="000000" w:themeColor="text1"/>
                <w:sz w:val="20"/>
                <w:szCs w:val="20"/>
              </w:rPr>
              <w:t xml:space="preserve">Debt to Equity Percentage </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0B5BE364" w14:textId="77777777" w:rsidR="00A06D0E" w:rsidRDefault="00A06D0E" w:rsidP="00327517">
            <w:pPr>
              <w:jc w:val="center"/>
            </w:pPr>
            <w:r w:rsidRPr="114D2111">
              <w:rPr>
                <w:rFonts w:ascii="Calibri" w:eastAsia="Calibri" w:hAnsi="Calibri" w:cs="Calibri"/>
                <w:b/>
                <w:bCs/>
                <w:color w:val="000000" w:themeColor="text1"/>
                <w:sz w:val="20"/>
                <w:szCs w:val="20"/>
              </w:rPr>
              <w:t>330.42%</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5F2F357D" w14:textId="77777777" w:rsidR="00A06D0E" w:rsidRDefault="00A06D0E" w:rsidP="00327517">
            <w:pPr>
              <w:jc w:val="center"/>
            </w:pPr>
            <w:r w:rsidRPr="114D2111">
              <w:rPr>
                <w:rFonts w:ascii="Calibri" w:eastAsia="Calibri" w:hAnsi="Calibri" w:cs="Calibri"/>
                <w:b/>
                <w:bCs/>
                <w:color w:val="000000" w:themeColor="text1"/>
                <w:sz w:val="20"/>
                <w:szCs w:val="20"/>
              </w:rPr>
              <w:t>247.57%</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123E529" w14:textId="77777777" w:rsidR="00A06D0E" w:rsidRDefault="00A06D0E" w:rsidP="00327517">
            <w:pPr>
              <w:jc w:val="center"/>
            </w:pPr>
            <w:r w:rsidRPr="114D2111">
              <w:rPr>
                <w:rFonts w:ascii="Calibri" w:eastAsia="Calibri" w:hAnsi="Calibri" w:cs="Calibri"/>
                <w:b/>
                <w:bCs/>
                <w:color w:val="000000" w:themeColor="text1"/>
                <w:sz w:val="20"/>
                <w:szCs w:val="20"/>
              </w:rPr>
              <w:t>576.91%</w:t>
            </w:r>
          </w:p>
        </w:tc>
      </w:tr>
      <w:tr w:rsidR="00A06D0E" w14:paraId="06BAC023"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2A1555E" w14:textId="77777777" w:rsidR="00A06D0E" w:rsidRDefault="00A06D0E" w:rsidP="00327517">
            <w:r w:rsidRPr="114D2111">
              <w:rPr>
                <w:rFonts w:ascii="Calibri" w:eastAsia="Calibri" w:hAnsi="Calibri" w:cs="Calibri"/>
                <w:color w:val="000000" w:themeColor="text1"/>
                <w:sz w:val="20"/>
                <w:szCs w:val="20"/>
              </w:rPr>
              <w:t>18</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254C333" w14:textId="77777777" w:rsidR="00A06D0E" w:rsidRDefault="00A06D0E" w:rsidP="00327517">
            <w:pPr>
              <w:jc w:val="center"/>
            </w:pPr>
            <w:r w:rsidRPr="114D2111">
              <w:rPr>
                <w:rFonts w:ascii="Calibri" w:eastAsia="Calibri" w:hAnsi="Calibri" w:cs="Calibri"/>
                <w:b/>
                <w:bCs/>
                <w:color w:val="000000" w:themeColor="text1"/>
                <w:sz w:val="20"/>
                <w:szCs w:val="20"/>
              </w:rPr>
              <w:t>Long Term Debt to Equity Percentage</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8D16361" w14:textId="77777777" w:rsidR="00A06D0E" w:rsidRDefault="00A06D0E" w:rsidP="00327517">
            <w:pPr>
              <w:jc w:val="center"/>
            </w:pPr>
            <w:r w:rsidRPr="114D2111">
              <w:rPr>
                <w:rFonts w:ascii="Calibri" w:eastAsia="Calibri" w:hAnsi="Calibri" w:cs="Calibri"/>
                <w:b/>
                <w:bCs/>
                <w:color w:val="000000" w:themeColor="text1"/>
                <w:sz w:val="20"/>
                <w:szCs w:val="20"/>
              </w:rPr>
              <w:t>162.76%</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53DE50C9" w14:textId="77777777" w:rsidR="00A06D0E" w:rsidRDefault="00A06D0E" w:rsidP="00327517">
            <w:pPr>
              <w:jc w:val="center"/>
            </w:pPr>
            <w:r w:rsidRPr="114D2111">
              <w:rPr>
                <w:rFonts w:ascii="Calibri" w:eastAsia="Calibri" w:hAnsi="Calibri" w:cs="Calibri"/>
                <w:b/>
                <w:bCs/>
                <w:color w:val="000000" w:themeColor="text1"/>
                <w:sz w:val="20"/>
                <w:szCs w:val="20"/>
              </w:rPr>
              <w:t>120.79%</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2CE12FA" w14:textId="77777777" w:rsidR="00A06D0E" w:rsidRDefault="00A06D0E" w:rsidP="00327517">
            <w:pPr>
              <w:jc w:val="center"/>
            </w:pPr>
            <w:r w:rsidRPr="114D2111">
              <w:rPr>
                <w:rFonts w:ascii="Calibri" w:eastAsia="Calibri" w:hAnsi="Calibri" w:cs="Calibri"/>
                <w:b/>
                <w:bCs/>
                <w:color w:val="000000" w:themeColor="text1"/>
                <w:sz w:val="20"/>
                <w:szCs w:val="20"/>
              </w:rPr>
              <w:t>254.58%</w:t>
            </w:r>
          </w:p>
        </w:tc>
      </w:tr>
      <w:tr w:rsidR="00A06D0E" w14:paraId="38D6FC13"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569C4D9" w14:textId="77777777" w:rsidR="00A06D0E" w:rsidRDefault="00A06D0E" w:rsidP="00327517">
            <w:r w:rsidRPr="114D2111">
              <w:rPr>
                <w:rFonts w:ascii="Calibri" w:eastAsia="Calibri" w:hAnsi="Calibri" w:cs="Calibri"/>
                <w:color w:val="000000" w:themeColor="text1"/>
                <w:sz w:val="20"/>
                <w:szCs w:val="20"/>
              </w:rPr>
              <w:t>19</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5B19346" w14:textId="77777777" w:rsidR="00A06D0E" w:rsidRDefault="00A06D0E" w:rsidP="00327517">
            <w:pPr>
              <w:jc w:val="center"/>
            </w:pPr>
            <w:r w:rsidRPr="114D2111">
              <w:rPr>
                <w:rFonts w:ascii="Calibri" w:eastAsia="Calibri" w:hAnsi="Calibri" w:cs="Calibri"/>
                <w:b/>
                <w:bCs/>
                <w:color w:val="000000" w:themeColor="text1"/>
                <w:sz w:val="20"/>
                <w:szCs w:val="20"/>
              </w:rPr>
              <w:t>Interest Coverage Percentage</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086BA120" w14:textId="77777777" w:rsidR="00A06D0E" w:rsidRDefault="00A06D0E" w:rsidP="00327517">
            <w:pPr>
              <w:jc w:val="center"/>
            </w:pPr>
            <w:r w:rsidRPr="114D2111">
              <w:rPr>
                <w:rFonts w:ascii="Calibri" w:eastAsia="Calibri" w:hAnsi="Calibri" w:cs="Calibri"/>
                <w:b/>
                <w:bCs/>
                <w:color w:val="000000" w:themeColor="text1"/>
                <w:sz w:val="20"/>
                <w:szCs w:val="20"/>
              </w:rPr>
              <w:t>-50.56%</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2411010C" w14:textId="77777777" w:rsidR="00A06D0E" w:rsidRDefault="00A06D0E" w:rsidP="00327517">
            <w:pPr>
              <w:jc w:val="center"/>
            </w:pPr>
            <w:r w:rsidRPr="114D2111">
              <w:rPr>
                <w:rFonts w:ascii="Calibri" w:eastAsia="Calibri" w:hAnsi="Calibri" w:cs="Calibri"/>
                <w:b/>
                <w:bCs/>
                <w:color w:val="000000" w:themeColor="text1"/>
                <w:sz w:val="20"/>
                <w:szCs w:val="20"/>
              </w:rPr>
              <w:t>-328.15%</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3B61FA95" w14:textId="77777777" w:rsidR="00A06D0E" w:rsidRDefault="00A06D0E" w:rsidP="00327517">
            <w:pPr>
              <w:jc w:val="center"/>
            </w:pPr>
            <w:r w:rsidRPr="114D2111">
              <w:rPr>
                <w:rFonts w:ascii="Calibri" w:eastAsia="Calibri" w:hAnsi="Calibri" w:cs="Calibri"/>
                <w:b/>
                <w:bCs/>
                <w:color w:val="000000" w:themeColor="text1"/>
                <w:sz w:val="20"/>
                <w:szCs w:val="20"/>
              </w:rPr>
              <w:t>-94.03%</w:t>
            </w:r>
          </w:p>
        </w:tc>
      </w:tr>
      <w:tr w:rsidR="00A06D0E" w14:paraId="046C7F96"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91257E" w14:textId="77777777" w:rsidR="00A06D0E" w:rsidRDefault="00A06D0E" w:rsidP="00327517">
            <w:r w:rsidRPr="114D2111">
              <w:rPr>
                <w:rFonts w:ascii="Calibri" w:eastAsia="Calibri" w:hAnsi="Calibri" w:cs="Calibri"/>
                <w:color w:val="000000" w:themeColor="text1"/>
                <w:sz w:val="20"/>
                <w:szCs w:val="20"/>
              </w:rPr>
              <w:t>20</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D581C48" w14:textId="77777777" w:rsidR="00A06D0E" w:rsidRDefault="00A06D0E" w:rsidP="00327517">
            <w:pPr>
              <w:jc w:val="center"/>
            </w:pPr>
            <w:r w:rsidRPr="114D2111">
              <w:rPr>
                <w:rFonts w:ascii="Calibri" w:eastAsia="Calibri" w:hAnsi="Calibri" w:cs="Calibri"/>
                <w:b/>
                <w:bCs/>
                <w:color w:val="000000" w:themeColor="text1"/>
                <w:sz w:val="20"/>
                <w:szCs w:val="20"/>
              </w:rPr>
              <w:t>Earnings Per Ordinary Share (in pence)</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5841B0E6" w14:textId="77777777" w:rsidR="00A06D0E" w:rsidRDefault="00A06D0E" w:rsidP="00327517">
            <w:pPr>
              <w:jc w:val="center"/>
            </w:pPr>
            <w:r w:rsidRPr="114D2111">
              <w:rPr>
                <w:rFonts w:ascii="Calibri" w:eastAsia="Calibri" w:hAnsi="Calibri" w:cs="Calibri"/>
                <w:b/>
                <w:bCs/>
                <w:color w:val="000000" w:themeColor="text1"/>
                <w:sz w:val="20"/>
                <w:szCs w:val="20"/>
              </w:rPr>
              <w:t>-165.9</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6B2C50FA" w14:textId="77777777" w:rsidR="00A06D0E" w:rsidRDefault="00A06D0E" w:rsidP="00327517">
            <w:pPr>
              <w:jc w:val="center"/>
            </w:pPr>
            <w:r w:rsidRPr="114D2111">
              <w:rPr>
                <w:rFonts w:ascii="Calibri" w:eastAsia="Calibri" w:hAnsi="Calibri" w:cs="Calibri"/>
                <w:b/>
                <w:bCs/>
                <w:color w:val="000000" w:themeColor="text1"/>
                <w:sz w:val="20"/>
                <w:szCs w:val="20"/>
              </w:rPr>
              <w:t>-543.1</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1E2B7677" w14:textId="77777777" w:rsidR="00A06D0E" w:rsidRDefault="00A06D0E" w:rsidP="00327517">
            <w:pPr>
              <w:jc w:val="center"/>
            </w:pPr>
            <w:r w:rsidRPr="114D2111">
              <w:rPr>
                <w:rFonts w:ascii="Calibri" w:eastAsia="Calibri" w:hAnsi="Calibri" w:cs="Calibri"/>
                <w:b/>
                <w:bCs/>
                <w:color w:val="000000" w:themeColor="text1"/>
                <w:sz w:val="20"/>
                <w:szCs w:val="20"/>
              </w:rPr>
              <w:t>-290.6</w:t>
            </w:r>
          </w:p>
        </w:tc>
      </w:tr>
      <w:tr w:rsidR="00A06D0E" w14:paraId="64CE5333"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167547D" w14:textId="77777777" w:rsidR="00A06D0E" w:rsidRDefault="00A06D0E" w:rsidP="00327517">
            <w:r w:rsidRPr="114D2111">
              <w:rPr>
                <w:rFonts w:ascii="Calibri" w:eastAsia="Calibri" w:hAnsi="Calibri" w:cs="Calibri"/>
                <w:color w:val="000000" w:themeColor="text1"/>
                <w:sz w:val="20"/>
                <w:szCs w:val="20"/>
              </w:rPr>
              <w:t>21</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42125B1" w14:textId="77777777" w:rsidR="00A06D0E" w:rsidRDefault="00A06D0E" w:rsidP="00327517">
            <w:pPr>
              <w:jc w:val="center"/>
            </w:pPr>
            <w:r w:rsidRPr="114D2111">
              <w:rPr>
                <w:rFonts w:ascii="Calibri" w:eastAsia="Calibri" w:hAnsi="Calibri" w:cs="Calibri"/>
                <w:b/>
                <w:bCs/>
                <w:color w:val="000000" w:themeColor="text1"/>
                <w:sz w:val="20"/>
                <w:szCs w:val="20"/>
              </w:rPr>
              <w:t>Dividend Cover (Percentage) - Not applicable - No Dividends</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06AFA875" w14:textId="77777777" w:rsidR="00A06D0E" w:rsidRDefault="00A06D0E" w:rsidP="00327517">
            <w:pPr>
              <w:jc w:val="center"/>
            </w:pPr>
            <w:r w:rsidRPr="114D2111">
              <w:rPr>
                <w:rFonts w:ascii="Calibri" w:eastAsia="Calibri" w:hAnsi="Calibri" w:cs="Calibri"/>
                <w:color w:val="000000" w:themeColor="text1"/>
                <w:sz w:val="20"/>
                <w:szCs w:val="20"/>
              </w:rPr>
              <w:t>n/a</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1BDE49FA" w14:textId="77777777" w:rsidR="00A06D0E" w:rsidRDefault="00A06D0E" w:rsidP="00327517">
            <w:pPr>
              <w:jc w:val="center"/>
            </w:pPr>
            <w:r w:rsidRPr="114D2111">
              <w:rPr>
                <w:rFonts w:ascii="Calibri" w:eastAsia="Calibri" w:hAnsi="Calibri" w:cs="Calibri"/>
                <w:color w:val="000000" w:themeColor="text1"/>
                <w:sz w:val="20"/>
                <w:szCs w:val="20"/>
              </w:rPr>
              <w:t>n/a</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39C8BB83" w14:textId="77777777" w:rsidR="00A06D0E" w:rsidRDefault="00A06D0E" w:rsidP="00327517">
            <w:pPr>
              <w:jc w:val="center"/>
            </w:pPr>
            <w:r w:rsidRPr="114D2111">
              <w:rPr>
                <w:rFonts w:ascii="Calibri" w:eastAsia="Calibri" w:hAnsi="Calibri" w:cs="Calibri"/>
                <w:color w:val="000000" w:themeColor="text1"/>
                <w:sz w:val="20"/>
                <w:szCs w:val="20"/>
              </w:rPr>
              <w:t>n/a</w:t>
            </w:r>
          </w:p>
        </w:tc>
      </w:tr>
      <w:tr w:rsidR="00A06D0E" w14:paraId="227CFCFB"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A5AB7B9" w14:textId="77777777" w:rsidR="00A06D0E" w:rsidRDefault="00A06D0E" w:rsidP="00327517">
            <w:r w:rsidRPr="114D2111">
              <w:rPr>
                <w:rFonts w:ascii="Calibri" w:eastAsia="Calibri" w:hAnsi="Calibri" w:cs="Calibri"/>
                <w:color w:val="000000" w:themeColor="text1"/>
                <w:sz w:val="20"/>
                <w:szCs w:val="20"/>
              </w:rPr>
              <w:t>22</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5471922" w14:textId="77777777" w:rsidR="00A06D0E" w:rsidRDefault="00A06D0E" w:rsidP="00327517">
            <w:pPr>
              <w:jc w:val="center"/>
            </w:pPr>
            <w:r w:rsidRPr="114D2111">
              <w:rPr>
                <w:rFonts w:ascii="Calibri" w:eastAsia="Calibri" w:hAnsi="Calibri" w:cs="Calibri"/>
                <w:b/>
                <w:bCs/>
                <w:color w:val="000000" w:themeColor="text1"/>
                <w:sz w:val="20"/>
                <w:szCs w:val="20"/>
              </w:rPr>
              <w:t>PE Ratio at year end date</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739C20E3" w14:textId="77777777" w:rsidR="00A06D0E" w:rsidRDefault="00A06D0E" w:rsidP="00327517">
            <w:pPr>
              <w:jc w:val="center"/>
            </w:pPr>
            <w:r w:rsidRPr="114D2111">
              <w:rPr>
                <w:rFonts w:ascii="Calibri" w:eastAsia="Calibri" w:hAnsi="Calibri" w:cs="Calibri"/>
                <w:b/>
                <w:bCs/>
                <w:color w:val="000000" w:themeColor="text1"/>
                <w:sz w:val="20"/>
                <w:szCs w:val="20"/>
              </w:rPr>
              <w:t>-8.16</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47A6A81D" w14:textId="77777777" w:rsidR="00A06D0E" w:rsidRDefault="00A06D0E" w:rsidP="00327517">
            <w:pPr>
              <w:jc w:val="center"/>
            </w:pPr>
            <w:r w:rsidRPr="114D2111">
              <w:rPr>
                <w:rFonts w:ascii="Calibri" w:eastAsia="Calibri" w:hAnsi="Calibri" w:cs="Calibri"/>
                <w:b/>
                <w:bCs/>
                <w:color w:val="000000" w:themeColor="text1"/>
                <w:sz w:val="20"/>
                <w:szCs w:val="20"/>
              </w:rPr>
              <w:t>-3.7</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5F8C3FEB" w14:textId="77777777" w:rsidR="00A06D0E" w:rsidRDefault="00A06D0E" w:rsidP="00327517">
            <w:pPr>
              <w:jc w:val="center"/>
            </w:pPr>
            <w:r w:rsidRPr="114D2111">
              <w:rPr>
                <w:rFonts w:ascii="Calibri" w:eastAsia="Calibri" w:hAnsi="Calibri" w:cs="Calibri"/>
                <w:b/>
                <w:bCs/>
                <w:color w:val="000000" w:themeColor="text1"/>
                <w:sz w:val="20"/>
                <w:szCs w:val="20"/>
              </w:rPr>
              <w:t>-11.48</w:t>
            </w:r>
          </w:p>
        </w:tc>
      </w:tr>
      <w:tr w:rsidR="00A06D0E" w14:paraId="38FC9397"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001DE29" w14:textId="77777777" w:rsidR="00A06D0E" w:rsidRDefault="00A06D0E" w:rsidP="00327517">
            <w:r w:rsidRPr="114D2111">
              <w:rPr>
                <w:rFonts w:ascii="Calibri" w:eastAsia="Calibri" w:hAnsi="Calibri" w:cs="Calibri"/>
                <w:color w:val="000000" w:themeColor="text1"/>
                <w:sz w:val="20"/>
                <w:szCs w:val="20"/>
              </w:rPr>
              <w:t>23</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2B48E7B" w14:textId="77777777" w:rsidR="00A06D0E" w:rsidRDefault="00A06D0E" w:rsidP="00327517">
            <w:pPr>
              <w:jc w:val="center"/>
            </w:pPr>
            <w:r w:rsidRPr="114D2111">
              <w:rPr>
                <w:rFonts w:ascii="Calibri" w:eastAsia="Calibri" w:hAnsi="Calibri" w:cs="Calibri"/>
                <w:b/>
                <w:bCs/>
                <w:color w:val="000000" w:themeColor="text1"/>
                <w:sz w:val="20"/>
                <w:szCs w:val="20"/>
              </w:rPr>
              <w:t>Dividend Yield Ratio</w:t>
            </w:r>
          </w:p>
        </w:tc>
        <w:tc>
          <w:tcPr>
            <w:tcW w:w="1041"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73CAD860" w14:textId="77777777" w:rsidR="00A06D0E" w:rsidRDefault="00A06D0E" w:rsidP="00327517">
            <w:pPr>
              <w:jc w:val="center"/>
            </w:pPr>
            <w:r w:rsidRPr="114D2111">
              <w:rPr>
                <w:rFonts w:ascii="Calibri" w:eastAsia="Calibri" w:hAnsi="Calibri" w:cs="Calibri"/>
                <w:color w:val="000000" w:themeColor="text1"/>
                <w:sz w:val="20"/>
                <w:szCs w:val="20"/>
              </w:rPr>
              <w:t>0</w:t>
            </w:r>
          </w:p>
        </w:tc>
        <w:tc>
          <w:tcPr>
            <w:tcW w:w="993"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47DBD6F5" w14:textId="77777777" w:rsidR="00A06D0E" w:rsidRDefault="00A06D0E" w:rsidP="00327517">
            <w:pPr>
              <w:jc w:val="center"/>
            </w:pPr>
            <w:r w:rsidRPr="114D2111">
              <w:rPr>
                <w:rFonts w:ascii="Calibri" w:eastAsia="Calibri" w:hAnsi="Calibri" w:cs="Calibri"/>
                <w:color w:val="000000" w:themeColor="text1"/>
                <w:sz w:val="20"/>
                <w:szCs w:val="20"/>
              </w:rPr>
              <w:t>0</w:t>
            </w:r>
          </w:p>
        </w:tc>
        <w:tc>
          <w:tcPr>
            <w:tcW w:w="966" w:type="dxa"/>
            <w:tcBorders>
              <w:top w:val="single" w:sz="4" w:space="0" w:color="auto"/>
              <w:left w:val="single" w:sz="4" w:space="0" w:color="auto"/>
              <w:bottom w:val="single" w:sz="4" w:space="0" w:color="auto"/>
              <w:right w:val="single" w:sz="4" w:space="0" w:color="auto"/>
            </w:tcBorders>
            <w:shd w:val="clear" w:color="auto" w:fill="FCE4D6"/>
            <w:tcMar>
              <w:top w:w="15" w:type="dxa"/>
              <w:left w:w="15" w:type="dxa"/>
              <w:right w:w="15" w:type="dxa"/>
            </w:tcMar>
            <w:vAlign w:val="bottom"/>
          </w:tcPr>
          <w:p w14:paraId="57D2470D" w14:textId="77777777" w:rsidR="00A06D0E" w:rsidRDefault="00A06D0E" w:rsidP="00327517">
            <w:pPr>
              <w:jc w:val="center"/>
            </w:pPr>
            <w:r w:rsidRPr="114D2111">
              <w:rPr>
                <w:rFonts w:ascii="Calibri" w:eastAsia="Calibri" w:hAnsi="Calibri" w:cs="Calibri"/>
                <w:color w:val="000000" w:themeColor="text1"/>
                <w:sz w:val="20"/>
                <w:szCs w:val="20"/>
              </w:rPr>
              <w:t>0</w:t>
            </w:r>
          </w:p>
        </w:tc>
      </w:tr>
      <w:tr w:rsidR="00A06D0E" w14:paraId="7A270D1E" w14:textId="77777777" w:rsidTr="00327517">
        <w:trPr>
          <w:trHeight w:val="300"/>
        </w:trPr>
        <w:tc>
          <w:tcPr>
            <w:tcW w:w="36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CB6E7D7" w14:textId="77777777" w:rsidR="00A06D0E" w:rsidRDefault="00A06D0E" w:rsidP="00327517">
            <w:r w:rsidRPr="114D2111">
              <w:rPr>
                <w:rFonts w:ascii="Calibri" w:eastAsia="Calibri" w:hAnsi="Calibri" w:cs="Calibri"/>
                <w:color w:val="000000" w:themeColor="text1"/>
                <w:sz w:val="20"/>
                <w:szCs w:val="20"/>
              </w:rPr>
              <w:t>24</w:t>
            </w:r>
          </w:p>
        </w:tc>
        <w:tc>
          <w:tcPr>
            <w:tcW w:w="565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FE8F0BC" w14:textId="77777777" w:rsidR="00A06D0E" w:rsidRDefault="00A06D0E" w:rsidP="00327517">
            <w:pPr>
              <w:jc w:val="center"/>
            </w:pPr>
            <w:r w:rsidRPr="114D2111">
              <w:rPr>
                <w:rFonts w:ascii="Calibri" w:eastAsia="Calibri" w:hAnsi="Calibri" w:cs="Calibri"/>
                <w:b/>
                <w:bCs/>
                <w:color w:val="000000" w:themeColor="text1"/>
                <w:sz w:val="20"/>
                <w:szCs w:val="20"/>
              </w:rPr>
              <w:t xml:space="preserve">Revenue per Employee </w:t>
            </w:r>
          </w:p>
        </w:tc>
        <w:tc>
          <w:tcPr>
            <w:tcW w:w="1041"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66816AA" w14:textId="77777777" w:rsidR="00A06D0E" w:rsidRDefault="00A06D0E" w:rsidP="00327517">
            <w:pPr>
              <w:jc w:val="center"/>
            </w:pPr>
            <w:r w:rsidRPr="114D2111">
              <w:rPr>
                <w:rFonts w:ascii="Calibri" w:eastAsia="Calibri" w:hAnsi="Calibri" w:cs="Calibri"/>
                <w:color w:val="000000" w:themeColor="text1"/>
                <w:sz w:val="20"/>
                <w:szCs w:val="20"/>
              </w:rPr>
              <w:t>£465,900</w:t>
            </w:r>
          </w:p>
        </w:tc>
        <w:tc>
          <w:tcPr>
            <w:tcW w:w="993"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23A64B5" w14:textId="77777777" w:rsidR="00A06D0E" w:rsidRDefault="00A06D0E" w:rsidP="00327517">
            <w:pPr>
              <w:jc w:val="center"/>
            </w:pPr>
            <w:r w:rsidRPr="114D2111">
              <w:rPr>
                <w:rFonts w:ascii="Calibri" w:eastAsia="Calibri" w:hAnsi="Calibri" w:cs="Calibri"/>
                <w:color w:val="000000" w:themeColor="text1"/>
                <w:sz w:val="20"/>
                <w:szCs w:val="20"/>
              </w:rPr>
              <w:t>£246,000</w:t>
            </w:r>
          </w:p>
        </w:tc>
        <w:tc>
          <w:tcPr>
            <w:tcW w:w="966"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5362B47" w14:textId="77777777" w:rsidR="00A06D0E" w:rsidRDefault="00A06D0E" w:rsidP="00327517">
            <w:pPr>
              <w:jc w:val="center"/>
            </w:pPr>
            <w:r w:rsidRPr="114D2111">
              <w:rPr>
                <w:rFonts w:ascii="Calibri" w:eastAsia="Calibri" w:hAnsi="Calibri" w:cs="Calibri"/>
                <w:color w:val="000000" w:themeColor="text1"/>
                <w:sz w:val="20"/>
                <w:szCs w:val="20"/>
              </w:rPr>
              <w:t>£382,300</w:t>
            </w:r>
          </w:p>
        </w:tc>
      </w:tr>
    </w:tbl>
    <w:p w14:paraId="472F3F4B" w14:textId="12A3096A" w:rsidR="00A06D0E" w:rsidRDefault="00A06D0E" w:rsidP="00A06D0E">
      <w:pPr>
        <w:jc w:val="both"/>
        <w:rPr>
          <w:b/>
          <w:bCs/>
        </w:rPr>
      </w:pPr>
    </w:p>
    <w:p w14:paraId="13ACE687" w14:textId="77777777" w:rsidR="00A06D0E" w:rsidRDefault="00A06D0E" w:rsidP="00A06D0E">
      <w:pPr>
        <w:jc w:val="both"/>
        <w:rPr>
          <w:b/>
          <w:bCs/>
        </w:rPr>
      </w:pPr>
    </w:p>
    <w:p w14:paraId="7A9C02C6" w14:textId="77777777" w:rsidR="00A06D0E" w:rsidRDefault="00A06D0E" w:rsidP="00A06D0E">
      <w:pPr>
        <w:jc w:val="both"/>
        <w:rPr>
          <w:b/>
          <w:bCs/>
        </w:rPr>
      </w:pPr>
    </w:p>
    <w:p w14:paraId="4E2360A9" w14:textId="77777777" w:rsidR="00A06D0E" w:rsidRDefault="00A06D0E" w:rsidP="00A06D0E">
      <w:pPr>
        <w:jc w:val="both"/>
        <w:rPr>
          <w:b/>
          <w:bCs/>
        </w:rPr>
      </w:pPr>
    </w:p>
    <w:p w14:paraId="3E40219D" w14:textId="77777777" w:rsidR="00A06D0E" w:rsidRDefault="00A06D0E" w:rsidP="00A06D0E">
      <w:pPr>
        <w:jc w:val="both"/>
        <w:rPr>
          <w:b/>
          <w:bCs/>
        </w:rPr>
      </w:pPr>
    </w:p>
    <w:p w14:paraId="3D56654B" w14:textId="77777777" w:rsidR="00A06D0E" w:rsidRDefault="00A06D0E" w:rsidP="00A06D0E">
      <w:pPr>
        <w:jc w:val="both"/>
        <w:rPr>
          <w:b/>
          <w:bCs/>
        </w:rPr>
      </w:pPr>
    </w:p>
    <w:p w14:paraId="609D4C77" w14:textId="4B5B8397" w:rsidR="5AC7D45C" w:rsidRDefault="5AC7D45C" w:rsidP="5AC7D45C">
      <w:pPr>
        <w:rPr>
          <w:rFonts w:ascii="Calibri" w:eastAsia="Calibri" w:hAnsi="Calibri" w:cs="Calibri"/>
          <w:color w:val="000000" w:themeColor="text1"/>
        </w:rPr>
      </w:pPr>
    </w:p>
    <w:p w14:paraId="10D410CC" w14:textId="77777777" w:rsidR="00A06D0E" w:rsidRDefault="00A06D0E" w:rsidP="5AC7D45C">
      <w:pPr>
        <w:rPr>
          <w:rFonts w:ascii="Calibri" w:eastAsia="Calibri" w:hAnsi="Calibri" w:cs="Calibri"/>
          <w:color w:val="000000" w:themeColor="text1"/>
        </w:rPr>
      </w:pPr>
    </w:p>
    <w:p w14:paraId="1188E31C" w14:textId="44388B7A" w:rsidR="5AC7D45C" w:rsidRDefault="5AC7D45C" w:rsidP="5AC7D45C">
      <w:pPr>
        <w:rPr>
          <w:rFonts w:ascii="Calibri" w:eastAsia="Calibri" w:hAnsi="Calibri" w:cs="Calibri"/>
          <w:color w:val="000000" w:themeColor="text1"/>
        </w:rPr>
      </w:pPr>
    </w:p>
    <w:p w14:paraId="1FE7E4F2" w14:textId="77777777" w:rsidR="00A06D0E" w:rsidRDefault="00A06D0E" w:rsidP="00B04F70">
      <w:pPr>
        <w:jc w:val="both"/>
        <w:rPr>
          <w:rFonts w:ascii="Calibri" w:eastAsia="Calibri" w:hAnsi="Calibri" w:cs="Calibri"/>
          <w:b/>
          <w:bCs/>
          <w:color w:val="000000" w:themeColor="text1"/>
        </w:rPr>
      </w:pPr>
    </w:p>
    <w:p w14:paraId="74DF36BB" w14:textId="32952CE4" w:rsidR="00B04F70" w:rsidRPr="00B04F70" w:rsidRDefault="00B04F70" w:rsidP="00B04F70">
      <w:pPr>
        <w:jc w:val="both"/>
        <w:rPr>
          <w:rFonts w:ascii="Calibri" w:eastAsia="Calibri" w:hAnsi="Calibri" w:cs="Calibri"/>
          <w:b/>
          <w:bCs/>
          <w:color w:val="000000" w:themeColor="text1"/>
        </w:rPr>
      </w:pPr>
      <w:r w:rsidRPr="00B04F70">
        <w:rPr>
          <w:rFonts w:ascii="Calibri" w:eastAsia="Calibri" w:hAnsi="Calibri" w:cs="Calibri"/>
          <w:b/>
          <w:bCs/>
          <w:color w:val="000000" w:themeColor="text1"/>
        </w:rPr>
        <w:t>Appendix 2 – Legal and practical considerations for structuring a Joint Venture (Embedded PDF)</w:t>
      </w:r>
    </w:p>
    <w:p w14:paraId="5B880BC7" w14:textId="4283F881" w:rsidR="5AC7D45C" w:rsidRDefault="00B04F70" w:rsidP="5AC7D45C">
      <w:pPr>
        <w:rPr>
          <w:rFonts w:ascii="Calibri" w:eastAsia="Calibri" w:hAnsi="Calibri" w:cs="Calibri"/>
          <w:color w:val="000000" w:themeColor="text1"/>
        </w:rPr>
      </w:pPr>
      <w:r>
        <w:rPr>
          <w:rFonts w:ascii="Calibri" w:eastAsia="Calibri" w:hAnsi="Calibri" w:cs="Calibri"/>
          <w:color w:val="000000" w:themeColor="text1"/>
        </w:rPr>
        <w:t>This file can be accessed by double-clicking the file icon below:</w:t>
      </w:r>
    </w:p>
    <w:p w14:paraId="5BE14EDE" w14:textId="19AD1E6C" w:rsidR="00B04F70" w:rsidRDefault="001B12EC" w:rsidP="5AC7D45C">
      <w:pPr>
        <w:rPr>
          <w:rFonts w:ascii="Calibri" w:eastAsia="Calibri" w:hAnsi="Calibri" w:cs="Calibri"/>
          <w:color w:val="000000" w:themeColor="text1"/>
        </w:rPr>
      </w:pPr>
      <w:r>
        <w:rPr>
          <w:rFonts w:ascii="Calibri" w:eastAsia="Calibri" w:hAnsi="Calibri" w:cs="Calibri"/>
          <w:color w:val="000000" w:themeColor="text1"/>
        </w:rPr>
        <w:object w:dxaOrig="1544" w:dyaOrig="993" w14:anchorId="1F7690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3pt;height:49.5pt" o:ole="">
            <v:imagedata r:id="rId21" o:title=""/>
          </v:shape>
          <o:OLEObject Type="Embed" ProgID="Package" ShapeID="_x0000_i1025" DrawAspect="Icon" ObjectID="_1736230832" r:id="rId22"/>
        </w:object>
      </w:r>
    </w:p>
    <w:p w14:paraId="7C4E1095" w14:textId="632D5585" w:rsidR="5AC7D45C" w:rsidRDefault="5AC7D45C" w:rsidP="5AC7D45C">
      <w:pPr>
        <w:rPr>
          <w:rFonts w:ascii="Calibri" w:eastAsia="Calibri" w:hAnsi="Calibri" w:cs="Calibri"/>
          <w:color w:val="000000" w:themeColor="text1"/>
        </w:rPr>
      </w:pPr>
    </w:p>
    <w:p w14:paraId="2DF2B262" w14:textId="77777777" w:rsidR="00B04F70" w:rsidRPr="00B04F70" w:rsidRDefault="00B04F70" w:rsidP="00B04F70">
      <w:pPr>
        <w:jc w:val="both"/>
        <w:rPr>
          <w:rFonts w:ascii="Calibri" w:eastAsia="Calibri" w:hAnsi="Calibri" w:cs="Calibri"/>
          <w:b/>
          <w:bCs/>
          <w:color w:val="000000" w:themeColor="text1"/>
        </w:rPr>
      </w:pPr>
      <w:r w:rsidRPr="00B04F70">
        <w:rPr>
          <w:rFonts w:ascii="Calibri" w:eastAsia="Calibri" w:hAnsi="Calibri" w:cs="Calibri"/>
          <w:b/>
          <w:bCs/>
          <w:color w:val="000000" w:themeColor="text1"/>
        </w:rPr>
        <w:t>Appendix 3 – McKinsey report on the future of High Luxury Sportscars (Embedded PDF Document)</w:t>
      </w:r>
    </w:p>
    <w:p w14:paraId="16168E23" w14:textId="77777777" w:rsidR="00B04F70" w:rsidRDefault="00B04F70" w:rsidP="00B04F70">
      <w:pPr>
        <w:rPr>
          <w:rFonts w:ascii="Calibri" w:eastAsia="Calibri" w:hAnsi="Calibri" w:cs="Calibri"/>
          <w:color w:val="000000" w:themeColor="text1"/>
        </w:rPr>
      </w:pPr>
      <w:r>
        <w:rPr>
          <w:rFonts w:ascii="Calibri" w:eastAsia="Calibri" w:hAnsi="Calibri" w:cs="Calibri"/>
          <w:color w:val="000000" w:themeColor="text1"/>
        </w:rPr>
        <w:t>This file can be accessed by double-clicking the file icon below:</w:t>
      </w:r>
    </w:p>
    <w:p w14:paraId="44DA78E2" w14:textId="1BC58EF2" w:rsidR="5AC7D45C" w:rsidRDefault="00DB347B" w:rsidP="5AC7D45C">
      <w:pPr>
        <w:rPr>
          <w:rFonts w:ascii="Calibri" w:eastAsia="Calibri" w:hAnsi="Calibri" w:cs="Calibri"/>
          <w:color w:val="000000" w:themeColor="text1"/>
        </w:rPr>
      </w:pPr>
      <w:r>
        <w:rPr>
          <w:rFonts w:ascii="Calibri" w:eastAsia="Calibri" w:hAnsi="Calibri" w:cs="Calibri"/>
          <w:color w:val="000000" w:themeColor="text1"/>
        </w:rPr>
        <w:object w:dxaOrig="1544" w:dyaOrig="993" w14:anchorId="32BBDE9C">
          <v:shape id="_x0000_i1026" type="#_x0000_t75" style="width:77.3pt;height:49.5pt" o:ole="">
            <v:imagedata r:id="rId23" o:title=""/>
          </v:shape>
          <o:OLEObject Type="Embed" ProgID="Package" ShapeID="_x0000_i1026" DrawAspect="Icon" ObjectID="_1736230833" r:id="rId24"/>
        </w:object>
      </w:r>
    </w:p>
    <w:p w14:paraId="493785A1" w14:textId="77777777" w:rsidR="00B04F70" w:rsidRDefault="00B04F70" w:rsidP="00B04F70">
      <w:pPr>
        <w:jc w:val="both"/>
        <w:rPr>
          <w:rFonts w:ascii="Calibri" w:eastAsia="Calibri" w:hAnsi="Calibri" w:cs="Calibri"/>
          <w:color w:val="000000" w:themeColor="text1"/>
        </w:rPr>
      </w:pPr>
    </w:p>
    <w:p w14:paraId="307A7EC6" w14:textId="665E42DA" w:rsidR="00B04F70" w:rsidRPr="00B04F70" w:rsidRDefault="00B04F70" w:rsidP="00B04F70">
      <w:pPr>
        <w:jc w:val="both"/>
        <w:rPr>
          <w:rFonts w:ascii="Calibri" w:eastAsia="Calibri" w:hAnsi="Calibri" w:cs="Calibri"/>
          <w:b/>
          <w:bCs/>
          <w:color w:val="000000" w:themeColor="text1"/>
        </w:rPr>
      </w:pPr>
      <w:r w:rsidRPr="00B04F70">
        <w:rPr>
          <w:rFonts w:ascii="Calibri" w:eastAsia="Calibri" w:hAnsi="Calibri" w:cs="Calibri"/>
          <w:b/>
          <w:bCs/>
          <w:color w:val="000000" w:themeColor="text1"/>
        </w:rPr>
        <w:t>Appendix 4 – MarketLine SWOT Analysis for AML (Embedded PDF Document)</w:t>
      </w:r>
    </w:p>
    <w:p w14:paraId="281C5652" w14:textId="622850B1" w:rsidR="00B04F70" w:rsidRDefault="00B04F70" w:rsidP="00B04F70">
      <w:pPr>
        <w:rPr>
          <w:rFonts w:ascii="Calibri" w:eastAsia="Calibri" w:hAnsi="Calibri" w:cs="Calibri"/>
          <w:color w:val="000000" w:themeColor="text1"/>
        </w:rPr>
      </w:pPr>
      <w:r>
        <w:rPr>
          <w:rFonts w:ascii="Calibri" w:eastAsia="Calibri" w:hAnsi="Calibri" w:cs="Calibri"/>
          <w:color w:val="000000" w:themeColor="text1"/>
        </w:rPr>
        <w:t>This file can be accessed by double-clicking the file icon below:</w:t>
      </w:r>
    </w:p>
    <w:p w14:paraId="3FAC8C63" w14:textId="741AEE3C" w:rsidR="00B04F70" w:rsidRDefault="004C57B0" w:rsidP="00B04F70">
      <w:pPr>
        <w:rPr>
          <w:rFonts w:ascii="Calibri" w:eastAsia="Calibri" w:hAnsi="Calibri" w:cs="Calibri"/>
          <w:color w:val="000000" w:themeColor="text1"/>
        </w:rPr>
      </w:pPr>
      <w:r>
        <w:rPr>
          <w:rFonts w:ascii="Calibri" w:eastAsia="Calibri" w:hAnsi="Calibri" w:cs="Calibri"/>
          <w:color w:val="000000" w:themeColor="text1"/>
        </w:rPr>
        <w:object w:dxaOrig="1544" w:dyaOrig="993" w14:anchorId="43AF6944">
          <v:shape id="_x0000_i1027" type="#_x0000_t75" style="width:77.3pt;height:49.5pt" o:ole="">
            <v:imagedata r:id="rId25" o:title=""/>
          </v:shape>
          <o:OLEObject Type="Embed" ProgID="Package" ShapeID="_x0000_i1027" DrawAspect="Icon" ObjectID="_1736230834" r:id="rId26"/>
        </w:object>
      </w:r>
    </w:p>
    <w:p w14:paraId="00476A8B" w14:textId="4ECF168F" w:rsidR="00B04F70" w:rsidRDefault="00B04F70" w:rsidP="5AC7D45C">
      <w:pPr>
        <w:rPr>
          <w:rFonts w:ascii="Calibri" w:eastAsia="Calibri" w:hAnsi="Calibri" w:cs="Calibri"/>
          <w:color w:val="000000" w:themeColor="text1"/>
        </w:rPr>
      </w:pPr>
    </w:p>
    <w:p w14:paraId="79A15167" w14:textId="77777777" w:rsidR="00B04F70" w:rsidRDefault="00B04F70" w:rsidP="5AC7D45C">
      <w:pPr>
        <w:rPr>
          <w:rFonts w:ascii="Calibri" w:eastAsia="Calibri" w:hAnsi="Calibri" w:cs="Calibri"/>
          <w:color w:val="000000" w:themeColor="text1"/>
        </w:rPr>
      </w:pPr>
    </w:p>
    <w:p w14:paraId="5D5492E5" w14:textId="29152815" w:rsidR="5AC7D45C" w:rsidRDefault="5AC7D45C" w:rsidP="5AC7D45C">
      <w:pPr>
        <w:rPr>
          <w:rFonts w:ascii="Calibri" w:eastAsia="Calibri" w:hAnsi="Calibri" w:cs="Calibri"/>
          <w:color w:val="000000" w:themeColor="text1"/>
        </w:rPr>
      </w:pPr>
    </w:p>
    <w:p w14:paraId="5F5E0278" w14:textId="25EF2E4E" w:rsidR="5AC7D45C" w:rsidRDefault="5AC7D45C" w:rsidP="5AC7D45C">
      <w:pPr>
        <w:rPr>
          <w:rFonts w:ascii="Calibri" w:eastAsia="Calibri" w:hAnsi="Calibri" w:cs="Calibri"/>
          <w:color w:val="000000" w:themeColor="text1"/>
        </w:rPr>
      </w:pPr>
    </w:p>
    <w:p w14:paraId="5286FB1B" w14:textId="289FD3B4" w:rsidR="5AC7D45C" w:rsidRDefault="5AC7D45C" w:rsidP="5AC7D45C">
      <w:pPr>
        <w:rPr>
          <w:rFonts w:ascii="Calibri" w:eastAsia="Calibri" w:hAnsi="Calibri" w:cs="Calibri"/>
          <w:color w:val="000000" w:themeColor="text1"/>
        </w:rPr>
      </w:pPr>
    </w:p>
    <w:p w14:paraId="1096258E" w14:textId="26DA5671" w:rsidR="5AC7D45C" w:rsidRDefault="5AC7D45C" w:rsidP="5AC7D45C">
      <w:pPr>
        <w:rPr>
          <w:rFonts w:ascii="Calibri" w:eastAsia="Calibri" w:hAnsi="Calibri" w:cs="Calibri"/>
          <w:color w:val="000000" w:themeColor="text1"/>
        </w:rPr>
      </w:pPr>
    </w:p>
    <w:p w14:paraId="64C1B4DA" w14:textId="3722BA4D" w:rsidR="5AC7D45C" w:rsidRDefault="5AC7D45C" w:rsidP="5AC7D45C">
      <w:pPr>
        <w:rPr>
          <w:rFonts w:ascii="Calibri" w:eastAsia="Calibri" w:hAnsi="Calibri" w:cs="Calibri"/>
          <w:color w:val="000000" w:themeColor="text1"/>
        </w:rPr>
      </w:pPr>
    </w:p>
    <w:p w14:paraId="4066801B" w14:textId="1474862E" w:rsidR="5AC7D45C" w:rsidRDefault="5AC7D45C" w:rsidP="5AC7D45C">
      <w:pPr>
        <w:rPr>
          <w:rFonts w:ascii="Calibri" w:eastAsia="Calibri" w:hAnsi="Calibri" w:cs="Calibri"/>
          <w:color w:val="000000" w:themeColor="text1"/>
        </w:rPr>
      </w:pPr>
    </w:p>
    <w:p w14:paraId="368F7A17" w14:textId="2E78EFC2" w:rsidR="5AC7D45C" w:rsidRDefault="5AC7D45C" w:rsidP="5AC7D45C">
      <w:pPr>
        <w:rPr>
          <w:rFonts w:ascii="Calibri" w:eastAsia="Calibri" w:hAnsi="Calibri" w:cs="Calibri"/>
          <w:color w:val="000000" w:themeColor="text1"/>
        </w:rPr>
      </w:pPr>
    </w:p>
    <w:p w14:paraId="1DE2156A" w14:textId="09DA2F1E" w:rsidR="5AC7D45C" w:rsidRDefault="5AC7D45C" w:rsidP="5AC7D45C">
      <w:pPr>
        <w:rPr>
          <w:rFonts w:ascii="Calibri" w:eastAsia="Calibri" w:hAnsi="Calibri" w:cs="Calibri"/>
          <w:color w:val="000000" w:themeColor="text1"/>
        </w:rPr>
      </w:pPr>
    </w:p>
    <w:p w14:paraId="364C3DA0" w14:textId="152948F3" w:rsidR="5AC7D45C" w:rsidRDefault="5AC7D45C" w:rsidP="5AC7D45C">
      <w:pPr>
        <w:rPr>
          <w:rFonts w:ascii="Calibri" w:eastAsia="Calibri" w:hAnsi="Calibri" w:cs="Calibri"/>
          <w:color w:val="000000" w:themeColor="text1"/>
        </w:rPr>
      </w:pPr>
    </w:p>
    <w:p w14:paraId="4F41C904" w14:textId="2767487F" w:rsidR="5AC7D45C" w:rsidRDefault="5AC7D45C" w:rsidP="5AC7D45C">
      <w:pPr>
        <w:rPr>
          <w:rFonts w:ascii="Calibri" w:eastAsia="Calibri" w:hAnsi="Calibri" w:cs="Calibri"/>
          <w:color w:val="000000" w:themeColor="text1"/>
        </w:rPr>
      </w:pPr>
    </w:p>
    <w:p w14:paraId="241BC32B" w14:textId="18E9F678" w:rsidR="5AC7D45C" w:rsidRDefault="5AC7D45C" w:rsidP="5AC7D45C">
      <w:pPr>
        <w:rPr>
          <w:rFonts w:ascii="Calibri" w:eastAsia="Calibri" w:hAnsi="Calibri" w:cs="Calibri"/>
          <w:color w:val="000000" w:themeColor="text1"/>
        </w:rPr>
      </w:pPr>
    </w:p>
    <w:p w14:paraId="594C23E7" w14:textId="77777777" w:rsidR="00B04F70" w:rsidRDefault="00B04F70" w:rsidP="114D2111">
      <w:pPr>
        <w:jc w:val="both"/>
        <w:rPr>
          <w:b/>
          <w:bCs/>
        </w:rPr>
      </w:pPr>
    </w:p>
    <w:p w14:paraId="6572233E" w14:textId="3B662953" w:rsidR="6D3EB64B" w:rsidRDefault="54F7B329" w:rsidP="114D2111">
      <w:pPr>
        <w:jc w:val="both"/>
        <w:rPr>
          <w:b/>
          <w:bCs/>
        </w:rPr>
      </w:pPr>
      <w:r w:rsidRPr="114D2111">
        <w:rPr>
          <w:b/>
          <w:bCs/>
        </w:rPr>
        <w:t>Appendix</w:t>
      </w:r>
      <w:r w:rsidR="4DC964FC" w:rsidRPr="114D2111">
        <w:rPr>
          <w:b/>
          <w:bCs/>
        </w:rPr>
        <w:t xml:space="preserve"> 5 - </w:t>
      </w:r>
      <w:r w:rsidRPr="114D2111">
        <w:rPr>
          <w:b/>
          <w:bCs/>
        </w:rPr>
        <w:t>Executive Summary – Broader Questions beyond the Numbers</w:t>
      </w:r>
    </w:p>
    <w:p w14:paraId="0C3922EA" w14:textId="28ADBA82" w:rsidR="6D3EB64B" w:rsidRDefault="54F7B329" w:rsidP="114D2111">
      <w:pPr>
        <w:jc w:val="both"/>
      </w:pPr>
      <w:r w:rsidRPr="114D2111">
        <w:t>The purpose of this report is to review the current opportunity for entering a £5 million Joint Venture (JV) with Aston Martin (AM) with clear recommendations and a conclusion for board consideration</w:t>
      </w:r>
    </w:p>
    <w:p w14:paraId="70C338E1" w14:textId="5C348063" w:rsidR="6D3EB64B" w:rsidRDefault="54F7B329" w:rsidP="114D2111">
      <w:pPr>
        <w:jc w:val="both"/>
        <w:rPr>
          <w:u w:val="single"/>
        </w:rPr>
      </w:pPr>
      <w:r w:rsidRPr="114D2111">
        <w:rPr>
          <w:u w:val="single"/>
        </w:rPr>
        <w:t>Alongside conventional financial ratio analysis, we must consider the following:</w:t>
      </w:r>
    </w:p>
    <w:p w14:paraId="33A06665" w14:textId="71C638C9" w:rsidR="6D3EB64B" w:rsidRDefault="54F7B329" w:rsidP="114D2111">
      <w:pPr>
        <w:pStyle w:val="ListParagraph"/>
        <w:numPr>
          <w:ilvl w:val="0"/>
          <w:numId w:val="22"/>
        </w:numPr>
        <w:jc w:val="both"/>
      </w:pPr>
      <w:r w:rsidRPr="114D2111">
        <w:t xml:space="preserve">Risk Mitigation – Legal &amp; Financial (see Appendix </w:t>
      </w:r>
      <w:r w:rsidR="008F6819">
        <w:t>2</w:t>
      </w:r>
      <w:r w:rsidRPr="114D2111">
        <w:t>)</w:t>
      </w:r>
    </w:p>
    <w:p w14:paraId="2F4B3CD6" w14:textId="161492C5" w:rsidR="6D3EB64B" w:rsidRDefault="54F7B329" w:rsidP="114D2111">
      <w:pPr>
        <w:pStyle w:val="ListParagraph"/>
        <w:numPr>
          <w:ilvl w:val="0"/>
          <w:numId w:val="22"/>
        </w:numPr>
        <w:jc w:val="both"/>
      </w:pPr>
      <w:r w:rsidRPr="114D2111">
        <w:t xml:space="preserve">Risk Assessment - Financial Review of AM Financial Results using both conventional Ratio Analysis and further in-depth investigations covering Accounting Policies and externalities (such as adjacent technical developments amongst current and potential new competitors) </w:t>
      </w:r>
    </w:p>
    <w:p w14:paraId="6C0B60B3" w14:textId="4E61BAAB" w:rsidR="6D3EB64B" w:rsidRDefault="54F7B329" w:rsidP="114D2111">
      <w:pPr>
        <w:pStyle w:val="ListParagraph"/>
        <w:numPr>
          <w:ilvl w:val="0"/>
          <w:numId w:val="22"/>
        </w:numPr>
        <w:jc w:val="both"/>
      </w:pPr>
      <w:r w:rsidRPr="114D2111">
        <w:t>AML has capitalised a substantial part of costs relating to research and development projects which will have to be offset against future revenues. What will this eventual amortisation mean for AML’s future profitability and how quickly might it have to happen?</w:t>
      </w:r>
    </w:p>
    <w:p w14:paraId="50BF6FB5" w14:textId="3DD1C3DF" w:rsidR="6D3EB64B" w:rsidRDefault="54F7B329" w:rsidP="114D2111">
      <w:pPr>
        <w:pStyle w:val="ListParagraph"/>
        <w:numPr>
          <w:ilvl w:val="0"/>
          <w:numId w:val="22"/>
        </w:numPr>
        <w:jc w:val="both"/>
      </w:pPr>
      <w:r w:rsidRPr="114D2111">
        <w:t>Intellectual Property – What happens to any JV created IP in terms of Protection, Appropriation and Capturing Value?</w:t>
      </w:r>
    </w:p>
    <w:p w14:paraId="121CDA92" w14:textId="13415F42" w:rsidR="6D3EB64B" w:rsidRDefault="54F7B329" w:rsidP="114D2111">
      <w:pPr>
        <w:pStyle w:val="ListParagraph"/>
        <w:numPr>
          <w:ilvl w:val="0"/>
          <w:numId w:val="22"/>
        </w:numPr>
        <w:jc w:val="both"/>
      </w:pPr>
      <w:r w:rsidRPr="114D2111">
        <w:t>What recent investments have been made, and by whom, in AM and what might this mean for future funding sources?</w:t>
      </w:r>
    </w:p>
    <w:p w14:paraId="2EBB1EA1" w14:textId="0AF3DAB6" w:rsidR="6D3EB64B" w:rsidRDefault="54F7B329" w:rsidP="114D2111">
      <w:pPr>
        <w:pStyle w:val="ListParagraph"/>
        <w:numPr>
          <w:ilvl w:val="0"/>
          <w:numId w:val="22"/>
        </w:numPr>
        <w:jc w:val="both"/>
      </w:pPr>
      <w:r w:rsidRPr="114D2111">
        <w:t>What is the market outlook for High Luxury Sports Cars?</w:t>
      </w:r>
    </w:p>
    <w:p w14:paraId="0C04D1D5" w14:textId="2D71DC82" w:rsidR="6D3EB64B" w:rsidRDefault="54F7B329" w:rsidP="114D2111">
      <w:pPr>
        <w:pStyle w:val="ListParagraph"/>
        <w:numPr>
          <w:ilvl w:val="0"/>
          <w:numId w:val="22"/>
        </w:numPr>
        <w:jc w:val="both"/>
      </w:pPr>
      <w:r w:rsidRPr="114D2111">
        <w:t>Opportunity Cost – what other opportunities might we forego if we apply limited internal resources to the JV?</w:t>
      </w:r>
    </w:p>
    <w:p w14:paraId="44B184D4" w14:textId="19360329" w:rsidR="6D3EB64B" w:rsidRDefault="54F7B329" w:rsidP="114D2111">
      <w:pPr>
        <w:pStyle w:val="ListParagraph"/>
        <w:numPr>
          <w:ilvl w:val="0"/>
          <w:numId w:val="22"/>
        </w:numPr>
        <w:jc w:val="both"/>
      </w:pPr>
      <w:r w:rsidRPr="114D2111">
        <w:t>What might happen if we do not grasp this JV opportunity? Could it be taken up by a competitor?</w:t>
      </w:r>
    </w:p>
    <w:p w14:paraId="753C8B3A" w14:textId="0BC0C21E" w:rsidR="6D3EB64B" w:rsidRDefault="54F7B329" w:rsidP="114D2111">
      <w:pPr>
        <w:pStyle w:val="ListParagraph"/>
        <w:numPr>
          <w:ilvl w:val="0"/>
          <w:numId w:val="22"/>
        </w:numPr>
        <w:jc w:val="both"/>
      </w:pPr>
      <w:r w:rsidRPr="114D2111">
        <w:t>What are the potential benefits for our organisation in developing a closer association with AM’s strong international brand?</w:t>
      </w:r>
    </w:p>
    <w:p w14:paraId="5D64BEC0" w14:textId="5C7D7952" w:rsidR="6D3EB64B" w:rsidRDefault="54F7B329" w:rsidP="114D2111">
      <w:pPr>
        <w:pStyle w:val="ListParagraph"/>
        <w:numPr>
          <w:ilvl w:val="0"/>
          <w:numId w:val="22"/>
        </w:numPr>
        <w:jc w:val="both"/>
      </w:pPr>
      <w:r w:rsidRPr="114D2111">
        <w:t>Key findings from an independent SWOT Analysis for AM – What might this mean for our organisation? (See Market Line Report in Appendix 4)</w:t>
      </w:r>
    </w:p>
    <w:p w14:paraId="5E488EBA" w14:textId="2884FD39" w:rsidR="6D3EB64B" w:rsidRDefault="54F7B329" w:rsidP="114D2111">
      <w:pPr>
        <w:pStyle w:val="ListParagraph"/>
        <w:numPr>
          <w:ilvl w:val="0"/>
          <w:numId w:val="22"/>
        </w:numPr>
        <w:rPr>
          <w:rFonts w:ascii="Calibri" w:eastAsia="Calibri" w:hAnsi="Calibri" w:cs="Calibri"/>
          <w:color w:val="000000" w:themeColor="text1"/>
        </w:rPr>
      </w:pPr>
      <w:r w:rsidRPr="114D2111">
        <w:t xml:space="preserve">Supply chain fragility has been a major weakness, so how can this be mitigated </w:t>
      </w:r>
      <w:sdt>
        <w:sdtPr>
          <w:alias w:val="Citation"/>
          <w:tag w:val="{&quot;referencesIds&quot;:[&quot;doc:63a93e3af3b36405559c7d36&quot;],&quot;referencesOptions&quot;:{&quot;doc:63a93e3af3b36405559c7d36&quot;:{&quot;author&quot;:true,&quot;year&quot;:true,&quot;pageReplace&quot;:&quot;&quot;,&quot;prefix&quot;:&quot;&quot;,&quot;suffix&quot;:&quot;&quot;}},&quot;hasBrokenReferences&quot;:false,&quot;hasManualEdits&quot;:false,&quot;citationType&quot;:&quot;inline&quot;,&quot;id&quot;:1388605916,&quot;citationText&quot;:&quot;&lt;span style=\&quot;font-family:Calibri;font-size:14.666666666666666px;color:#000000\&quot;&gt;(Qamar, Collinson et al. 2022)&lt;/span&gt;&quot;}"/>
          <w:id w:val="552582355"/>
          <w:placeholder>
            <w:docPart w:val="DefaultPlaceholder_1081868574"/>
          </w:placeholder>
        </w:sdtPr>
        <w:sdtContent>
          <w:r w:rsidR="5EC524EC" w:rsidRPr="114D2111">
            <w:rPr>
              <w:rFonts w:ascii="Calibri" w:eastAsia="Calibri" w:hAnsi="Calibri" w:cs="Calibri"/>
              <w:color w:val="000000" w:themeColor="text1"/>
            </w:rPr>
            <w:t>(Qamar, Co</w:t>
          </w:r>
          <w:bookmarkStart w:id="37" w:name="_Int_Mtaot1pl"/>
          <w:r w:rsidR="5EC524EC" w:rsidRPr="114D2111">
            <w:rPr>
              <w:rFonts w:ascii="Calibri" w:eastAsia="Calibri" w:hAnsi="Calibri" w:cs="Calibri"/>
              <w:color w:val="000000" w:themeColor="text1"/>
            </w:rPr>
            <w:t>ll</w:t>
          </w:r>
          <w:bookmarkEnd w:id="37"/>
          <w:r w:rsidR="5EC524EC" w:rsidRPr="114D2111">
            <w:rPr>
              <w:rFonts w:ascii="Calibri" w:eastAsia="Calibri" w:hAnsi="Calibri" w:cs="Calibri"/>
              <w:color w:val="000000" w:themeColor="text1"/>
            </w:rPr>
            <w:t>inson et al. 2022)</w:t>
          </w:r>
        </w:sdtContent>
      </w:sdt>
    </w:p>
    <w:p w14:paraId="61B3EF44" w14:textId="06B42A83" w:rsidR="6D3EB64B" w:rsidRDefault="54F7B329" w:rsidP="114D2111">
      <w:pPr>
        <w:pStyle w:val="ListParagraph"/>
        <w:numPr>
          <w:ilvl w:val="0"/>
          <w:numId w:val="22"/>
        </w:numPr>
        <w:jc w:val="both"/>
      </w:pPr>
      <w:r w:rsidRPr="114D2111">
        <w:t xml:space="preserve">Resource planning and </w:t>
      </w:r>
      <w:bookmarkStart w:id="38" w:name="_Int_zYBSoef2"/>
      <w:r w:rsidRPr="114D2111">
        <w:t>leveraging</w:t>
      </w:r>
      <w:bookmarkEnd w:id="38"/>
      <w:r w:rsidRPr="114D2111">
        <w:t xml:space="preserve"> our strong supply chain networks might reduce the need for deploying internal resources</w:t>
      </w:r>
    </w:p>
    <w:p w14:paraId="0DF42F77" w14:textId="28B58BAA" w:rsidR="6D3EB64B" w:rsidRDefault="54F7B329" w:rsidP="114D2111">
      <w:pPr>
        <w:pStyle w:val="ListParagraph"/>
        <w:numPr>
          <w:ilvl w:val="0"/>
          <w:numId w:val="22"/>
        </w:numPr>
        <w:jc w:val="both"/>
      </w:pPr>
      <w:r w:rsidRPr="114D2111">
        <w:t>Could we apply for Innovate UK (or other) grant support for developing innovative technology, thereby mitigating some of the financial risks, or could we catalyse partnerships with UWTSD (or other University based researchers) who already have links with AM?</w:t>
      </w:r>
    </w:p>
    <w:p w14:paraId="5D8E5344" w14:textId="54A413D5" w:rsidR="6D3EB64B" w:rsidRDefault="54F7B329" w:rsidP="114D2111">
      <w:pPr>
        <w:pStyle w:val="ListParagraph"/>
        <w:numPr>
          <w:ilvl w:val="0"/>
          <w:numId w:val="22"/>
        </w:numPr>
        <w:jc w:val="both"/>
      </w:pPr>
      <w:r w:rsidRPr="114D2111">
        <w:t>What is the recent history of AM entering JVs with other manufacturers and what lessons might we learn from these projects? (See example of Mercedes Benz collaboration agreement for accessing MB’s key electric powertrain technology)</w:t>
      </w:r>
    </w:p>
    <w:p w14:paraId="6591A538" w14:textId="3F8C6C32" w:rsidR="6D3EB64B" w:rsidRDefault="54F7B329" w:rsidP="114D2111">
      <w:pPr>
        <w:pStyle w:val="ListParagraph"/>
        <w:numPr>
          <w:ilvl w:val="0"/>
          <w:numId w:val="22"/>
        </w:numPr>
        <w:jc w:val="both"/>
      </w:pPr>
      <w:r w:rsidRPr="114D2111">
        <w:t>How does the JV project fit with our technology roadmap and what might be the spinoff benefits for the IP we develop</w:t>
      </w:r>
    </w:p>
    <w:p w14:paraId="1DE965DA" w14:textId="7D5F813B" w:rsidR="6D3EB64B" w:rsidRDefault="54F7B329" w:rsidP="114D2111">
      <w:pPr>
        <w:pStyle w:val="ListParagraph"/>
        <w:numPr>
          <w:ilvl w:val="0"/>
          <w:numId w:val="22"/>
        </w:numPr>
        <w:jc w:val="both"/>
      </w:pPr>
      <w:r w:rsidRPr="114D2111">
        <w:t>IP management will be vital if we are to make key technology available to AM as we may otherwise lose control of valuable proprietary assets</w:t>
      </w:r>
    </w:p>
    <w:p w14:paraId="0B25C6E2" w14:textId="5463CB25" w:rsidR="6D3EB64B" w:rsidRDefault="54F7B329" w:rsidP="114D2111">
      <w:pPr>
        <w:pStyle w:val="ListParagraph"/>
        <w:numPr>
          <w:ilvl w:val="0"/>
          <w:numId w:val="22"/>
        </w:numPr>
        <w:jc w:val="both"/>
      </w:pPr>
      <w:r w:rsidRPr="114D2111">
        <w:t>What is AM’s history of collaboration agreements (see MB press release)</w:t>
      </w:r>
    </w:p>
    <w:p w14:paraId="0895D0A9" w14:textId="1B9876DB" w:rsidR="6D3EB64B" w:rsidRDefault="54F7B329" w:rsidP="114D2111">
      <w:pPr>
        <w:jc w:val="both"/>
      </w:pPr>
      <w:r w:rsidRPr="114D2111">
        <w:t>Given AM’s turbulent history and its supply chain problems, associated with Covid-19 and Brexit, all these issues (and others) are worthy of consideration as the company struggles to turn a corner in both its profitability and cash position.</w:t>
      </w:r>
    </w:p>
    <w:p w14:paraId="6A2F4CC5" w14:textId="5EF56759" w:rsidR="114D2111" w:rsidRDefault="114D2111" w:rsidP="114D2111">
      <w:pPr>
        <w:rPr>
          <w:rFonts w:ascii="Calibri" w:eastAsia="Calibri" w:hAnsi="Calibri" w:cs="Calibri"/>
          <w:color w:val="000000" w:themeColor="text1"/>
        </w:rPr>
      </w:pPr>
    </w:p>
    <w:p w14:paraId="06EDBEC7" w14:textId="0B254D09" w:rsidR="58A86296" w:rsidRDefault="06758258" w:rsidP="114D2111">
      <w:pPr>
        <w:rPr>
          <w:rFonts w:ascii="Calibri" w:eastAsia="Calibri" w:hAnsi="Calibri" w:cs="Calibri"/>
        </w:rPr>
      </w:pPr>
      <w:bookmarkStart w:id="39" w:name="_Hlk125312791"/>
      <w:r w:rsidRPr="114D2111">
        <w:rPr>
          <w:rFonts w:ascii="Calibri" w:eastAsia="Calibri" w:hAnsi="Calibri" w:cs="Calibri"/>
          <w:b/>
          <w:bCs/>
          <w:color w:val="000000" w:themeColor="text1"/>
        </w:rPr>
        <w:t>Appendix 6 –</w:t>
      </w:r>
      <w:r w:rsidR="089116E8" w:rsidRPr="114D2111">
        <w:rPr>
          <w:rFonts w:ascii="Calibri" w:eastAsia="Calibri" w:hAnsi="Calibri" w:cs="Calibri"/>
          <w:b/>
          <w:bCs/>
          <w:color w:val="000000" w:themeColor="text1"/>
        </w:rPr>
        <w:t xml:space="preserve"> </w:t>
      </w:r>
      <w:r w:rsidR="65C7F4F0" w:rsidRPr="114D2111">
        <w:rPr>
          <w:rFonts w:ascii="Calibri" w:eastAsia="Calibri" w:hAnsi="Calibri" w:cs="Calibri"/>
          <w:b/>
          <w:bCs/>
          <w:color w:val="000000" w:themeColor="text1"/>
        </w:rPr>
        <w:t>External evidence of AML’s p</w:t>
      </w:r>
      <w:r w:rsidR="089116E8" w:rsidRPr="114D2111">
        <w:rPr>
          <w:rFonts w:ascii="Calibri" w:eastAsia="Calibri" w:hAnsi="Calibri" w:cs="Calibri"/>
          <w:b/>
          <w:bCs/>
          <w:color w:val="000000" w:themeColor="text1"/>
        </w:rPr>
        <w:t xml:space="preserve">ursuit of </w:t>
      </w:r>
      <w:r w:rsidR="451A6789" w:rsidRPr="114D2111">
        <w:rPr>
          <w:rFonts w:ascii="Calibri" w:eastAsia="Calibri" w:hAnsi="Calibri" w:cs="Calibri"/>
          <w:b/>
          <w:bCs/>
          <w:color w:val="000000" w:themeColor="text1"/>
        </w:rPr>
        <w:t>‘</w:t>
      </w:r>
      <w:r w:rsidR="089116E8" w:rsidRPr="114D2111">
        <w:rPr>
          <w:rFonts w:ascii="Calibri" w:eastAsia="Calibri" w:hAnsi="Calibri" w:cs="Calibri"/>
          <w:b/>
          <w:bCs/>
          <w:color w:val="000000" w:themeColor="text1"/>
        </w:rPr>
        <w:t>Project Horizon</w:t>
      </w:r>
      <w:r w:rsidR="7AC1D68D" w:rsidRPr="114D2111">
        <w:rPr>
          <w:rFonts w:ascii="Calibri" w:eastAsia="Calibri" w:hAnsi="Calibri" w:cs="Calibri"/>
          <w:b/>
          <w:bCs/>
          <w:color w:val="000000" w:themeColor="text1"/>
        </w:rPr>
        <w:t>’</w:t>
      </w:r>
      <w:r w:rsidR="7AC1D68D" w:rsidRPr="114D2111">
        <w:rPr>
          <w:rFonts w:ascii="Calibri" w:eastAsia="Calibri" w:hAnsi="Calibri" w:cs="Calibri"/>
          <w:color w:val="000000" w:themeColor="text1"/>
        </w:rPr>
        <w:t xml:space="preserve"> </w:t>
      </w:r>
    </w:p>
    <w:bookmarkEnd w:id="39"/>
    <w:p w14:paraId="004E90D9" w14:textId="09DD8524" w:rsidR="58A86296" w:rsidRDefault="089116E8" w:rsidP="6D3EB64B">
      <w:pPr>
        <w:rPr>
          <w:rFonts w:ascii="Calibri" w:eastAsia="Calibri" w:hAnsi="Calibri" w:cs="Calibri"/>
        </w:rPr>
      </w:pPr>
      <w:r w:rsidRPr="114D2111">
        <w:rPr>
          <w:rFonts w:ascii="Calibri" w:eastAsia="Calibri" w:hAnsi="Calibri" w:cs="Calibri"/>
          <w:color w:val="000000" w:themeColor="text1"/>
        </w:rPr>
        <w:t xml:space="preserve">(PH which also stands for Prancing Horse...I wonder </w:t>
      </w:r>
      <w:r w:rsidRPr="114D2111">
        <w:rPr>
          <w:rFonts w:ascii="Segoe UI Emoji" w:eastAsia="Segoe UI Emoji" w:hAnsi="Segoe UI Emoji" w:cs="Segoe UI Emoji"/>
          <w:color w:val="000000" w:themeColor="text1"/>
        </w:rPr>
        <w:t>😊</w:t>
      </w:r>
      <w:r w:rsidRPr="114D2111">
        <w:rPr>
          <w:rFonts w:ascii="Calibri" w:eastAsia="Calibri" w:hAnsi="Calibri" w:cs="Calibri"/>
          <w:color w:val="000000" w:themeColor="text1"/>
        </w:rPr>
        <w:t>)</w:t>
      </w:r>
    </w:p>
    <w:tbl>
      <w:tblPr>
        <w:tblStyle w:val="TableGrid"/>
        <w:tblW w:w="0" w:type="auto"/>
        <w:tblLook w:val="06A0" w:firstRow="1" w:lastRow="0" w:firstColumn="1" w:lastColumn="0" w:noHBand="1" w:noVBand="1"/>
      </w:tblPr>
      <w:tblGrid>
        <w:gridCol w:w="4307"/>
        <w:gridCol w:w="2064"/>
        <w:gridCol w:w="2645"/>
      </w:tblGrid>
      <w:tr w:rsidR="74871879" w14:paraId="727674A2" w14:textId="77777777" w:rsidTr="114D2111">
        <w:trPr>
          <w:trHeight w:val="300"/>
        </w:trPr>
        <w:tc>
          <w:tcPr>
            <w:tcW w:w="2505" w:type="dxa"/>
          </w:tcPr>
          <w:p w14:paraId="256994B4" w14:textId="36AEA8AD" w:rsidR="74871879" w:rsidRDefault="74871879" w:rsidP="74871879">
            <w:pPr>
              <w:spacing w:line="259" w:lineRule="auto"/>
            </w:pPr>
            <w:r w:rsidRPr="74871879">
              <w:rPr>
                <w:b/>
                <w:bCs/>
                <w:sz w:val="18"/>
                <w:szCs w:val="18"/>
              </w:rPr>
              <w:t>Reference/website address</w:t>
            </w:r>
          </w:p>
        </w:tc>
        <w:tc>
          <w:tcPr>
            <w:tcW w:w="2715" w:type="dxa"/>
          </w:tcPr>
          <w:p w14:paraId="383E59BE" w14:textId="5B7F6AAB" w:rsidR="74871879" w:rsidRDefault="74871879" w:rsidP="74871879">
            <w:pPr>
              <w:rPr>
                <w:b/>
                <w:bCs/>
                <w:sz w:val="18"/>
                <w:szCs w:val="18"/>
              </w:rPr>
            </w:pPr>
            <w:r w:rsidRPr="74871879">
              <w:rPr>
                <w:b/>
                <w:bCs/>
                <w:sz w:val="18"/>
                <w:szCs w:val="18"/>
              </w:rPr>
              <w:t>Report Excerpts</w:t>
            </w:r>
          </w:p>
        </w:tc>
        <w:tc>
          <w:tcPr>
            <w:tcW w:w="3675" w:type="dxa"/>
          </w:tcPr>
          <w:p w14:paraId="63084464" w14:textId="13CD1FB9" w:rsidR="74871879" w:rsidRDefault="74871879" w:rsidP="74871879">
            <w:pPr>
              <w:rPr>
                <w:b/>
                <w:bCs/>
                <w:sz w:val="18"/>
                <w:szCs w:val="18"/>
              </w:rPr>
            </w:pPr>
            <w:r w:rsidRPr="74871879">
              <w:rPr>
                <w:b/>
                <w:bCs/>
                <w:sz w:val="18"/>
                <w:szCs w:val="18"/>
              </w:rPr>
              <w:t>Relevance to recommendations</w:t>
            </w:r>
          </w:p>
        </w:tc>
      </w:tr>
      <w:tr w:rsidR="74871879" w14:paraId="4962F6F1" w14:textId="77777777" w:rsidTr="114D2111">
        <w:trPr>
          <w:trHeight w:val="300"/>
        </w:trPr>
        <w:tc>
          <w:tcPr>
            <w:tcW w:w="2505" w:type="dxa"/>
          </w:tcPr>
          <w:p w14:paraId="27853F69" w14:textId="70C8352F" w:rsidR="74871879" w:rsidRDefault="00000000" w:rsidP="6D3EB64B">
            <w:pPr>
              <w:rPr>
                <w:rFonts w:ascii="Calibri" w:eastAsia="Calibri" w:hAnsi="Calibri" w:cs="Calibri"/>
                <w:sz w:val="16"/>
                <w:szCs w:val="16"/>
              </w:rPr>
            </w:pPr>
            <w:hyperlink r:id="rId27">
              <w:r w:rsidR="53A5EB1C" w:rsidRPr="6D3EB64B">
                <w:rPr>
                  <w:rStyle w:val="Hyperlink"/>
                  <w:rFonts w:ascii="Calibri" w:eastAsia="Calibri" w:hAnsi="Calibri" w:cs="Calibri"/>
                  <w:sz w:val="16"/>
                  <w:szCs w:val="16"/>
                </w:rPr>
                <w:t>https://www.pesmedia.com/aston-martin-lagonda-19102022</w:t>
              </w:r>
            </w:hyperlink>
          </w:p>
        </w:tc>
        <w:tc>
          <w:tcPr>
            <w:tcW w:w="2715" w:type="dxa"/>
          </w:tcPr>
          <w:p w14:paraId="75C0D325" w14:textId="40C1482F" w:rsidR="74871879" w:rsidRDefault="53A5EB1C" w:rsidP="6D3EB64B">
            <w:pPr>
              <w:rPr>
                <w:sz w:val="16"/>
                <w:szCs w:val="16"/>
              </w:rPr>
            </w:pPr>
            <w:r w:rsidRPr="6D3EB64B">
              <w:rPr>
                <w:sz w:val="16"/>
                <w:szCs w:val="16"/>
              </w:rPr>
              <w:t>Digital transformation has delivered a 30% increase in workflow efficiency for luxury car manufacturer Aston Martin Lagonda.</w:t>
            </w:r>
          </w:p>
        </w:tc>
        <w:tc>
          <w:tcPr>
            <w:tcW w:w="3675" w:type="dxa"/>
          </w:tcPr>
          <w:p w14:paraId="06C91A95" w14:textId="7E51A7E9" w:rsidR="74871879" w:rsidRDefault="53A5EB1C" w:rsidP="6D3EB64B">
            <w:pPr>
              <w:rPr>
                <w:sz w:val="16"/>
                <w:szCs w:val="16"/>
              </w:rPr>
            </w:pPr>
            <w:r w:rsidRPr="6D3EB64B">
              <w:rPr>
                <w:sz w:val="16"/>
                <w:szCs w:val="16"/>
              </w:rPr>
              <w:t>Increases in workflow efficiency contribute to lower cost of sales and higher GP and EBITDA margins</w:t>
            </w:r>
          </w:p>
        </w:tc>
      </w:tr>
      <w:tr w:rsidR="74871879" w14:paraId="7C4BC263" w14:textId="77777777" w:rsidTr="114D2111">
        <w:trPr>
          <w:trHeight w:val="300"/>
        </w:trPr>
        <w:tc>
          <w:tcPr>
            <w:tcW w:w="2505" w:type="dxa"/>
          </w:tcPr>
          <w:p w14:paraId="3D571E0B" w14:textId="79AE7C32" w:rsidR="74871879" w:rsidRDefault="00000000" w:rsidP="6D3EB64B">
            <w:pPr>
              <w:rPr>
                <w:sz w:val="16"/>
                <w:szCs w:val="16"/>
              </w:rPr>
            </w:pPr>
            <w:hyperlink r:id="rId28">
              <w:r w:rsidR="53A5EB1C" w:rsidRPr="6D3EB64B">
                <w:rPr>
                  <w:rStyle w:val="Hyperlink"/>
                  <w:rFonts w:ascii="Calibri" w:eastAsia="Calibri" w:hAnsi="Calibri" w:cs="Calibri"/>
                  <w:sz w:val="16"/>
                  <w:szCs w:val="16"/>
                </w:rPr>
                <w:t>https://3dprint.com/293410/aston-martins-dbr22-features-fully-3d-printed-rear-assembly/</w:t>
              </w:r>
            </w:hyperlink>
          </w:p>
          <w:p w14:paraId="35F17675" w14:textId="323C2EC8" w:rsidR="74871879" w:rsidRDefault="74871879" w:rsidP="6D3EB64B">
            <w:pPr>
              <w:rPr>
                <w:rFonts w:ascii="Calibri" w:eastAsia="Calibri" w:hAnsi="Calibri" w:cs="Calibri"/>
                <w:sz w:val="16"/>
                <w:szCs w:val="16"/>
              </w:rPr>
            </w:pPr>
          </w:p>
        </w:tc>
        <w:tc>
          <w:tcPr>
            <w:tcW w:w="2715" w:type="dxa"/>
          </w:tcPr>
          <w:p w14:paraId="3F49B035" w14:textId="0A930C52" w:rsidR="74871879" w:rsidRDefault="53A5EB1C" w:rsidP="6D3EB64B">
            <w:pPr>
              <w:rPr>
                <w:sz w:val="16"/>
                <w:szCs w:val="16"/>
              </w:rPr>
            </w:pPr>
            <w:r w:rsidRPr="6D3EB64B">
              <w:rPr>
                <w:sz w:val="16"/>
                <w:szCs w:val="16"/>
              </w:rPr>
              <w:t>Aston Martin’s DBR22 Features Fully 3D Printed Rear Assembly from Divergent....Aston says this brings "significant" weight savings without compromising on rigidity."</w:t>
            </w:r>
          </w:p>
        </w:tc>
        <w:tc>
          <w:tcPr>
            <w:tcW w:w="3675" w:type="dxa"/>
          </w:tcPr>
          <w:p w14:paraId="4C799F45" w14:textId="521098A4" w:rsidR="74871879" w:rsidRDefault="197C2E8F" w:rsidP="6D3EB64B">
            <w:pPr>
              <w:rPr>
                <w:sz w:val="16"/>
                <w:szCs w:val="16"/>
              </w:rPr>
            </w:pPr>
            <w:r w:rsidRPr="114D2111">
              <w:rPr>
                <w:sz w:val="16"/>
                <w:szCs w:val="16"/>
              </w:rPr>
              <w:t xml:space="preserve">3D printing for low volume ‘specials’ such as the DBR22 opens significant opportunities for savings and improving development lead times. However, this may </w:t>
            </w:r>
            <w:bookmarkStart w:id="40" w:name="_Int_zzcfGLm1"/>
            <w:r w:rsidRPr="114D2111">
              <w:rPr>
                <w:sz w:val="16"/>
                <w:szCs w:val="16"/>
              </w:rPr>
              <w:t>expedite</w:t>
            </w:r>
            <w:bookmarkEnd w:id="40"/>
            <w:r w:rsidRPr="114D2111">
              <w:rPr>
                <w:sz w:val="16"/>
                <w:szCs w:val="16"/>
              </w:rPr>
              <w:t xml:space="preserve"> writing off previously developed R&amp;D expenditure by making it obsolete.</w:t>
            </w:r>
          </w:p>
        </w:tc>
      </w:tr>
      <w:tr w:rsidR="74871879" w14:paraId="58A2C09A" w14:textId="77777777" w:rsidTr="114D2111">
        <w:trPr>
          <w:trHeight w:val="300"/>
        </w:trPr>
        <w:tc>
          <w:tcPr>
            <w:tcW w:w="2505" w:type="dxa"/>
          </w:tcPr>
          <w:p w14:paraId="5B8A5251" w14:textId="1865D916" w:rsidR="74871879" w:rsidRDefault="00000000" w:rsidP="6D3EB64B">
            <w:pPr>
              <w:rPr>
                <w:sz w:val="16"/>
                <w:szCs w:val="16"/>
              </w:rPr>
            </w:pPr>
            <w:hyperlink r:id="rId29">
              <w:r w:rsidR="53A5EB1C" w:rsidRPr="6D3EB64B">
                <w:rPr>
                  <w:rStyle w:val="Hyperlink"/>
                  <w:rFonts w:ascii="Calibri" w:eastAsia="Calibri" w:hAnsi="Calibri" w:cs="Calibri"/>
                  <w:sz w:val="16"/>
                  <w:szCs w:val="16"/>
                </w:rPr>
                <w:t>https://www.divergent3d.com</w:t>
              </w:r>
            </w:hyperlink>
          </w:p>
          <w:p w14:paraId="26ECD0F9" w14:textId="7802F671" w:rsidR="74871879" w:rsidRDefault="74871879" w:rsidP="6D3EB64B">
            <w:pPr>
              <w:rPr>
                <w:rFonts w:ascii="Calibri" w:eastAsia="Calibri" w:hAnsi="Calibri" w:cs="Calibri"/>
                <w:sz w:val="16"/>
                <w:szCs w:val="16"/>
              </w:rPr>
            </w:pPr>
          </w:p>
        </w:tc>
        <w:tc>
          <w:tcPr>
            <w:tcW w:w="2715" w:type="dxa"/>
          </w:tcPr>
          <w:p w14:paraId="16EE585B" w14:textId="6A0786E8" w:rsidR="74871879" w:rsidRDefault="53A5EB1C" w:rsidP="6D3EB64B">
            <w:pPr>
              <w:rPr>
                <w:sz w:val="16"/>
                <w:szCs w:val="16"/>
              </w:rPr>
            </w:pPr>
            <w:r w:rsidRPr="6D3EB64B">
              <w:rPr>
                <w:sz w:val="16"/>
                <w:szCs w:val="16"/>
              </w:rPr>
              <w:t xml:space="preserve">Divergent's digital production system, the Divergent Adaptive Production System (DAPS™), radically transforms auto manufacturing economics </w:t>
            </w:r>
            <w:r w:rsidRPr="6D3EB64B">
              <w:rPr>
                <w:sz w:val="16"/>
                <w:szCs w:val="16"/>
                <w:highlight w:val="yellow"/>
              </w:rPr>
              <w:t>and environmental impact using a data-driven approach for designing and building vehicle structures.</w:t>
            </w:r>
          </w:p>
        </w:tc>
        <w:tc>
          <w:tcPr>
            <w:tcW w:w="3675" w:type="dxa"/>
          </w:tcPr>
          <w:p w14:paraId="2D652680" w14:textId="5116FABD" w:rsidR="74871879" w:rsidRDefault="53A5EB1C" w:rsidP="6D3EB64B">
            <w:pPr>
              <w:rPr>
                <w:sz w:val="16"/>
                <w:szCs w:val="16"/>
              </w:rPr>
            </w:pPr>
            <w:r w:rsidRPr="6D3EB64B">
              <w:rPr>
                <w:sz w:val="16"/>
                <w:szCs w:val="16"/>
              </w:rPr>
              <w:t>AM</w:t>
            </w:r>
            <w:r w:rsidR="0005709B">
              <w:rPr>
                <w:sz w:val="16"/>
                <w:szCs w:val="16"/>
              </w:rPr>
              <w:t>L</w:t>
            </w:r>
            <w:r w:rsidRPr="6D3EB64B">
              <w:rPr>
                <w:sz w:val="16"/>
                <w:szCs w:val="16"/>
              </w:rPr>
              <w:t>’s partnership with Divergent is another example of collaboration which enhances its agility, moving into the territory of a lean start-up. This further underlines the potential for current internal R&amp;D to become obsolescent, as new partners with better technologies, replace internal projects.</w:t>
            </w:r>
          </w:p>
        </w:tc>
      </w:tr>
      <w:tr w:rsidR="74871879" w14:paraId="529BF567" w14:textId="77777777" w:rsidTr="114D2111">
        <w:trPr>
          <w:trHeight w:val="300"/>
        </w:trPr>
        <w:tc>
          <w:tcPr>
            <w:tcW w:w="2505" w:type="dxa"/>
          </w:tcPr>
          <w:p w14:paraId="1C4705D6" w14:textId="55B02494" w:rsidR="74871879" w:rsidRDefault="00000000" w:rsidP="6D3EB64B">
            <w:pPr>
              <w:rPr>
                <w:sz w:val="16"/>
                <w:szCs w:val="16"/>
              </w:rPr>
            </w:pPr>
            <w:hyperlink r:id="rId30">
              <w:r w:rsidR="53A5EB1C" w:rsidRPr="6D3EB64B">
                <w:rPr>
                  <w:rStyle w:val="Hyperlink"/>
                  <w:rFonts w:ascii="Calibri" w:eastAsia="Calibri" w:hAnsi="Calibri" w:cs="Calibri"/>
                  <w:sz w:val="16"/>
                  <w:szCs w:val="16"/>
                </w:rPr>
                <w:t>https://www.engineering.com/story/aston-martin-goes-additive-to-develop-new-suspension-system-in-six-months</w:t>
              </w:r>
            </w:hyperlink>
          </w:p>
        </w:tc>
        <w:tc>
          <w:tcPr>
            <w:tcW w:w="2715" w:type="dxa"/>
          </w:tcPr>
          <w:p w14:paraId="48AF42D2" w14:textId="4A14D1C9" w:rsidR="74871879" w:rsidRDefault="53A5EB1C" w:rsidP="6D3EB64B">
            <w:pPr>
              <w:rPr>
                <w:sz w:val="16"/>
                <w:szCs w:val="16"/>
              </w:rPr>
            </w:pPr>
            <w:r w:rsidRPr="6D3EB64B">
              <w:rPr>
                <w:sz w:val="16"/>
                <w:szCs w:val="16"/>
              </w:rPr>
              <w:t>“Luxury brands such as Aston Martin are an obvious avenue for the growth of 3D printing technology in the automotive sector.”</w:t>
            </w:r>
          </w:p>
        </w:tc>
        <w:tc>
          <w:tcPr>
            <w:tcW w:w="3675" w:type="dxa"/>
          </w:tcPr>
          <w:p w14:paraId="6CE9C278" w14:textId="4283293B" w:rsidR="74871879" w:rsidRDefault="53A5EB1C" w:rsidP="6D3EB64B">
            <w:pPr>
              <w:rPr>
                <w:sz w:val="16"/>
                <w:szCs w:val="16"/>
              </w:rPr>
            </w:pPr>
            <w:r w:rsidRPr="6D3EB64B">
              <w:rPr>
                <w:sz w:val="16"/>
                <w:szCs w:val="16"/>
              </w:rPr>
              <w:t>This reinforces the point of AM</w:t>
            </w:r>
            <w:r w:rsidR="0005709B">
              <w:rPr>
                <w:sz w:val="16"/>
                <w:szCs w:val="16"/>
              </w:rPr>
              <w:t>L</w:t>
            </w:r>
            <w:r w:rsidRPr="6D3EB64B">
              <w:rPr>
                <w:sz w:val="16"/>
                <w:szCs w:val="16"/>
              </w:rPr>
              <w:t>’s key collaborative initiatives and recognition that strategic partnerships are vital for rapid development, agility, and risk mitigation</w:t>
            </w:r>
          </w:p>
        </w:tc>
      </w:tr>
      <w:tr w:rsidR="74871879" w14:paraId="78D63383" w14:textId="77777777" w:rsidTr="114D2111">
        <w:trPr>
          <w:trHeight w:val="300"/>
        </w:trPr>
        <w:tc>
          <w:tcPr>
            <w:tcW w:w="2505" w:type="dxa"/>
          </w:tcPr>
          <w:p w14:paraId="0B74CE9D" w14:textId="7724FF36" w:rsidR="74871879" w:rsidRDefault="00000000" w:rsidP="6D3EB64B">
            <w:pPr>
              <w:rPr>
                <w:sz w:val="16"/>
                <w:szCs w:val="16"/>
              </w:rPr>
            </w:pPr>
            <w:hyperlink r:id="rId31">
              <w:r w:rsidR="53A5EB1C" w:rsidRPr="6D3EB64B">
                <w:rPr>
                  <w:rStyle w:val="Hyperlink"/>
                  <w:sz w:val="16"/>
                  <w:szCs w:val="16"/>
                </w:rPr>
                <w:t>https://www.forbes.com/sites/neilwinton/2022/11/13/ferrari-finances-trump-aston-martins-but-powerful-backers-can-sponsor-electric-fightback/?sh=78e342926733</w:t>
              </w:r>
            </w:hyperlink>
          </w:p>
        </w:tc>
        <w:tc>
          <w:tcPr>
            <w:tcW w:w="2715" w:type="dxa"/>
          </w:tcPr>
          <w:p w14:paraId="5692BE48" w14:textId="17F7BF66" w:rsidR="74871879" w:rsidRDefault="53A5EB1C" w:rsidP="6D3EB64B">
            <w:pPr>
              <w:rPr>
                <w:sz w:val="16"/>
                <w:szCs w:val="16"/>
              </w:rPr>
            </w:pPr>
            <w:r w:rsidRPr="6D3EB64B">
              <w:rPr>
                <w:sz w:val="16"/>
                <w:szCs w:val="16"/>
              </w:rPr>
              <w:t>“Leadership in the electric car revolution is a must for serious players in this high-end sector. Ferrari has not exactly been setting the world alight with its plan to unveil its first all-electric vehicle in 2025. Aston Martin’s credentials aren’t very impressive either, but some of its biggest shareholders are leaders in the transition to an electric world.”</w:t>
            </w:r>
          </w:p>
        </w:tc>
        <w:tc>
          <w:tcPr>
            <w:tcW w:w="3675" w:type="dxa"/>
          </w:tcPr>
          <w:p w14:paraId="4C6F3C7F" w14:textId="3CD1A0EA" w:rsidR="74871879" w:rsidRDefault="53A5EB1C" w:rsidP="6D3EB64B">
            <w:pPr>
              <w:rPr>
                <w:sz w:val="16"/>
                <w:szCs w:val="16"/>
              </w:rPr>
            </w:pPr>
            <w:r w:rsidRPr="6D3EB64B">
              <w:rPr>
                <w:sz w:val="16"/>
                <w:szCs w:val="16"/>
              </w:rPr>
              <w:t>The shareholders referred to in this Forbes article are MB and Zhejiang Geely Holding Group (China). Both these groups have electric vehicle technology which will be of value to AM</w:t>
            </w:r>
            <w:r w:rsidR="0005709B">
              <w:rPr>
                <w:sz w:val="16"/>
                <w:szCs w:val="16"/>
              </w:rPr>
              <w:t>L</w:t>
            </w:r>
            <w:r w:rsidRPr="6D3EB64B">
              <w:rPr>
                <w:sz w:val="16"/>
                <w:szCs w:val="16"/>
              </w:rPr>
              <w:t>.</w:t>
            </w:r>
          </w:p>
        </w:tc>
      </w:tr>
    </w:tbl>
    <w:p w14:paraId="650386D9" w14:textId="0C96DEC9" w:rsidR="6D3EB64B" w:rsidRDefault="6D3EB64B" w:rsidP="6D3EB64B">
      <w:pPr>
        <w:rPr>
          <w:sz w:val="18"/>
          <w:szCs w:val="18"/>
        </w:rPr>
      </w:pPr>
    </w:p>
    <w:p w14:paraId="3DE05536" w14:textId="0AD3F4DB" w:rsidR="6D3EB64B" w:rsidRDefault="6D3EB64B" w:rsidP="6D3EB64B">
      <w:pPr>
        <w:rPr>
          <w:sz w:val="18"/>
          <w:szCs w:val="18"/>
        </w:rPr>
      </w:pPr>
    </w:p>
    <w:p w14:paraId="53D291F7" w14:textId="02B5CC9F" w:rsidR="6D3EB64B" w:rsidRDefault="6D3EB64B" w:rsidP="6D3EB64B">
      <w:pPr>
        <w:rPr>
          <w:sz w:val="18"/>
          <w:szCs w:val="18"/>
        </w:rPr>
      </w:pPr>
    </w:p>
    <w:p w14:paraId="526BE2C7" w14:textId="580B01E0" w:rsidR="6D3EB64B" w:rsidRDefault="6D3EB64B" w:rsidP="6D3EB64B">
      <w:pPr>
        <w:rPr>
          <w:sz w:val="18"/>
          <w:szCs w:val="18"/>
        </w:rPr>
      </w:pPr>
    </w:p>
    <w:p w14:paraId="400F9C56" w14:textId="6514FFD7" w:rsidR="6D3EB64B" w:rsidRDefault="6D3EB64B" w:rsidP="6D3EB64B">
      <w:pPr>
        <w:rPr>
          <w:sz w:val="18"/>
          <w:szCs w:val="18"/>
        </w:rPr>
      </w:pPr>
    </w:p>
    <w:p w14:paraId="1873583B" w14:textId="754BCACA" w:rsidR="6D3EB64B" w:rsidRDefault="6D3EB64B" w:rsidP="114D2111"/>
    <w:p w14:paraId="1C7238D3" w14:textId="3599B270" w:rsidR="114D2111" w:rsidRDefault="114D2111" w:rsidP="114D2111"/>
    <w:p w14:paraId="645F4748" w14:textId="363E71C5" w:rsidR="008F6819" w:rsidRDefault="008F6819" w:rsidP="114D2111"/>
    <w:p w14:paraId="149F5987" w14:textId="403A440B" w:rsidR="008F6819" w:rsidRDefault="008F6819" w:rsidP="114D2111"/>
    <w:p w14:paraId="3A6EBBA7" w14:textId="77777777" w:rsidR="008F6819" w:rsidRPr="008F6819" w:rsidRDefault="008F6819" w:rsidP="008F6819">
      <w:pPr>
        <w:jc w:val="both"/>
        <w:rPr>
          <w:rFonts w:ascii="Calibri" w:eastAsia="Calibri" w:hAnsi="Calibri" w:cs="Calibri"/>
          <w:b/>
          <w:bCs/>
          <w:color w:val="000000" w:themeColor="text1"/>
        </w:rPr>
      </w:pPr>
      <w:r w:rsidRPr="008F6819">
        <w:rPr>
          <w:rFonts w:ascii="Calibri" w:eastAsia="Calibri" w:hAnsi="Calibri" w:cs="Calibri"/>
          <w:b/>
          <w:bCs/>
          <w:color w:val="000000" w:themeColor="text1"/>
        </w:rPr>
        <w:t>Appendix 7 - DBS 770 Ultimate</w:t>
      </w:r>
    </w:p>
    <w:p w14:paraId="3EFFAA6E" w14:textId="77777777" w:rsidR="008F6819" w:rsidRDefault="008F6819" w:rsidP="008F6819">
      <w:pPr>
        <w:rPr>
          <w:rFonts w:ascii="Calibri" w:eastAsia="Calibri" w:hAnsi="Calibri" w:cs="Calibri"/>
          <w:color w:val="000000" w:themeColor="text1"/>
        </w:rPr>
      </w:pPr>
      <w:bookmarkStart w:id="41" w:name="_Hlk125306028"/>
      <w:r>
        <w:rPr>
          <w:rFonts w:ascii="Calibri" w:eastAsia="Calibri" w:hAnsi="Calibri" w:cs="Calibri"/>
          <w:color w:val="000000" w:themeColor="text1"/>
        </w:rPr>
        <w:t>This file can be accessed by double-clicking the file icon below:</w:t>
      </w:r>
    </w:p>
    <w:bookmarkEnd w:id="41"/>
    <w:p w14:paraId="4113F77B" w14:textId="6BC13278" w:rsidR="008F6819" w:rsidRDefault="004A0F77" w:rsidP="114D2111">
      <w:r>
        <w:object w:dxaOrig="4440" w:dyaOrig="811" w14:anchorId="1931E17D">
          <v:shape id="_x0000_i1032" type="#_x0000_t75" style="width:238.45pt;height:40.55pt" o:ole="">
            <v:imagedata r:id="rId32" o:title=""/>
          </v:shape>
          <o:OLEObject Type="Embed" ProgID="Package" ShapeID="_x0000_i1032" DrawAspect="Content" ObjectID="_1736230835" r:id="rId33"/>
        </w:object>
      </w:r>
    </w:p>
    <w:p w14:paraId="15C5A69F" w14:textId="2BA84AF7" w:rsidR="008F6819" w:rsidRDefault="008F6819" w:rsidP="114D2111"/>
    <w:p w14:paraId="734571D7" w14:textId="77777777" w:rsidR="008F6819" w:rsidRPr="008F6819" w:rsidRDefault="008F6819" w:rsidP="008F6819">
      <w:pPr>
        <w:jc w:val="both"/>
        <w:rPr>
          <w:rFonts w:ascii="Calibri" w:eastAsia="Calibri" w:hAnsi="Calibri" w:cs="Calibri"/>
          <w:b/>
          <w:bCs/>
          <w:color w:val="000000" w:themeColor="text1"/>
        </w:rPr>
      </w:pPr>
      <w:r w:rsidRPr="008F6819">
        <w:rPr>
          <w:rFonts w:ascii="Calibri" w:eastAsia="Calibri" w:hAnsi="Calibri" w:cs="Calibri"/>
          <w:b/>
          <w:bCs/>
          <w:color w:val="000000" w:themeColor="text1"/>
        </w:rPr>
        <w:t>Appendix 8 – MarketLine Summary Q3 2022 Financial Results and Operational Highlights</w:t>
      </w:r>
    </w:p>
    <w:p w14:paraId="6F983E2E" w14:textId="77777777" w:rsidR="008F6819" w:rsidRDefault="008F6819" w:rsidP="008F6819">
      <w:pPr>
        <w:rPr>
          <w:rFonts w:ascii="Calibri" w:eastAsia="Calibri" w:hAnsi="Calibri" w:cs="Calibri"/>
          <w:color w:val="000000" w:themeColor="text1"/>
        </w:rPr>
      </w:pPr>
      <w:r>
        <w:rPr>
          <w:rFonts w:ascii="Calibri" w:eastAsia="Calibri" w:hAnsi="Calibri" w:cs="Calibri"/>
          <w:color w:val="000000" w:themeColor="text1"/>
        </w:rPr>
        <w:t>This file can be accessed by double-clicking the file icon below:</w:t>
      </w:r>
    </w:p>
    <w:p w14:paraId="72509DD9" w14:textId="666FEA65" w:rsidR="008F6819" w:rsidRDefault="000F120D" w:rsidP="114D2111">
      <w:r>
        <w:object w:dxaOrig="6240" w:dyaOrig="810" w14:anchorId="11468E04">
          <v:shape id="_x0000_i1029" type="#_x0000_t75" style="width:285.8pt;height:40.5pt" o:ole="">
            <v:imagedata r:id="rId34" o:title=""/>
          </v:shape>
          <o:OLEObject Type="Embed" ProgID="Package" ShapeID="_x0000_i1029" DrawAspect="Content" ObjectID="_1736230836" r:id="rId35"/>
        </w:object>
      </w:r>
    </w:p>
    <w:p w14:paraId="1B4868B9" w14:textId="58F0099F" w:rsidR="008F6819" w:rsidRDefault="008F6819" w:rsidP="114D2111"/>
    <w:p w14:paraId="3B1178AF" w14:textId="44FC911D" w:rsidR="114D2111" w:rsidRDefault="114D2111" w:rsidP="114D2111"/>
    <w:p w14:paraId="2857DE24" w14:textId="4DF1C9B8" w:rsidR="008F6819" w:rsidRDefault="008F6819" w:rsidP="114D2111"/>
    <w:p w14:paraId="4FD46BFD" w14:textId="233FA214" w:rsidR="008F6819" w:rsidRDefault="008F6819" w:rsidP="114D2111"/>
    <w:p w14:paraId="5B399296" w14:textId="4AB95C9C" w:rsidR="008F6819" w:rsidRDefault="008F6819" w:rsidP="114D2111"/>
    <w:p w14:paraId="44229786" w14:textId="7E1BDB20" w:rsidR="008F6819" w:rsidRDefault="008F6819" w:rsidP="114D2111"/>
    <w:p w14:paraId="0DB2469A" w14:textId="0B4B2BAF" w:rsidR="008F6819" w:rsidRDefault="008F6819" w:rsidP="114D2111"/>
    <w:p w14:paraId="5DD792B8" w14:textId="322474E3" w:rsidR="008F6819" w:rsidRDefault="008F6819" w:rsidP="114D2111"/>
    <w:p w14:paraId="3BA4EC5A" w14:textId="410C01E7" w:rsidR="008F6819" w:rsidRDefault="008F6819" w:rsidP="114D2111"/>
    <w:p w14:paraId="04B1C028" w14:textId="32256BB7" w:rsidR="008F6819" w:rsidRDefault="008F6819" w:rsidP="114D2111"/>
    <w:p w14:paraId="60A21343" w14:textId="44C9CBA1" w:rsidR="008F6819" w:rsidRDefault="008F6819" w:rsidP="114D2111"/>
    <w:p w14:paraId="0C95B49C" w14:textId="663E8555" w:rsidR="008F6819" w:rsidRDefault="008F6819" w:rsidP="114D2111"/>
    <w:p w14:paraId="078E04B8" w14:textId="6E57BD77" w:rsidR="008F6819" w:rsidRDefault="008F6819" w:rsidP="114D2111"/>
    <w:p w14:paraId="370C6808" w14:textId="71FFC0A9" w:rsidR="008F6819" w:rsidRDefault="008F6819" w:rsidP="114D2111"/>
    <w:p w14:paraId="7B8F17B7" w14:textId="3B8DBF4B" w:rsidR="008F6819" w:rsidRDefault="008F6819" w:rsidP="114D2111"/>
    <w:p w14:paraId="47F064CE" w14:textId="6C581464" w:rsidR="008F6819" w:rsidRDefault="008F6819" w:rsidP="114D2111"/>
    <w:p w14:paraId="0A132D34" w14:textId="1CB9D486" w:rsidR="008F6819" w:rsidRDefault="008F6819" w:rsidP="114D2111"/>
    <w:p w14:paraId="201AC7BD" w14:textId="3E6D53D5" w:rsidR="008F6819" w:rsidRDefault="008F6819" w:rsidP="114D2111"/>
    <w:p w14:paraId="0335F8BC" w14:textId="77777777" w:rsidR="008F6819" w:rsidRDefault="008F6819" w:rsidP="114D2111"/>
    <w:p w14:paraId="628C54E3" w14:textId="1DAC1366" w:rsidR="34B928B9" w:rsidRDefault="34B928B9" w:rsidP="114D2111">
      <w:pPr>
        <w:rPr>
          <w:sz w:val="20"/>
          <w:szCs w:val="20"/>
        </w:rPr>
      </w:pPr>
      <w:r w:rsidRPr="114D2111">
        <w:rPr>
          <w:b/>
          <w:bCs/>
        </w:rPr>
        <w:lastRenderedPageBreak/>
        <w:t>BIBLIOGRAPHY</w:t>
      </w:r>
    </w:p>
    <w:sdt>
      <w:sdtPr>
        <w:tag w:val="rw.biblio"/>
        <w:id w:val="2134184000"/>
        <w:placeholder>
          <w:docPart w:val="DefaultPlaceholder_1081868574"/>
        </w:placeholder>
      </w:sdtPr>
      <w:sdtContent>
        <w:p w14:paraId="01E6A864" w14:textId="673700D6" w:rsidR="7B555729" w:rsidRDefault="7B555729" w:rsidP="114D2111">
          <w:pPr>
            <w:rPr>
              <w:sz w:val="20"/>
              <w:szCs w:val="20"/>
            </w:rPr>
          </w:pPr>
          <w:r w:rsidRPr="114D2111">
            <w:rPr>
              <w:rFonts w:ascii="Calibri" w:eastAsia="Calibri" w:hAnsi="Calibri" w:cs="Calibri"/>
              <w:color w:val="000000" w:themeColor="text1"/>
            </w:rPr>
            <w:t xml:space="preserve">ATRILL, P. and MCLANEY, E., 2015. </w:t>
          </w:r>
          <w:r w:rsidRPr="114D2111">
            <w:rPr>
              <w:rFonts w:ascii="Calibri" w:eastAsia="Calibri" w:hAnsi="Calibri" w:cs="Calibri"/>
              <w:i/>
              <w:iCs/>
              <w:color w:val="000000" w:themeColor="text1"/>
            </w:rPr>
            <w:t xml:space="preserve">Accounting and Finance for Non-Specialists. </w:t>
          </w:r>
          <w:r w:rsidRPr="114D2111">
            <w:rPr>
              <w:rFonts w:ascii="Calibri" w:eastAsia="Calibri" w:hAnsi="Calibri" w:cs="Calibri"/>
              <w:color w:val="000000" w:themeColor="text1"/>
            </w:rPr>
            <w:t>9th edn. Harlow, United Kingdom: Pearson.</w:t>
          </w:r>
        </w:p>
        <w:p w14:paraId="2E9A3F55" w14:textId="4139DA95" w:rsidR="00232662" w:rsidRDefault="00232662" w:rsidP="114D2111">
          <w:pPr>
            <w:rPr>
              <w:rFonts w:ascii="Calibri" w:eastAsia="Calibri" w:hAnsi="Calibri" w:cs="Calibri"/>
              <w:color w:val="000000" w:themeColor="text1"/>
            </w:rPr>
          </w:pPr>
          <w:r w:rsidRPr="00232662">
            <w:rPr>
              <w:rFonts w:ascii="Calibri" w:eastAsia="Calibri" w:hAnsi="Calibri" w:cs="Calibri"/>
              <w:color w:val="000000" w:themeColor="text1"/>
            </w:rPr>
            <w:t>CORPORATE FINANCE INSTITUTE, 2023-last update, Limitations of Ratio Analysis. Available: </w:t>
          </w:r>
          <w:hyperlink r:id="rId36" w:tgtFrame="_blank" w:history="1">
            <w:r w:rsidRPr="00232662">
              <w:rPr>
                <w:rStyle w:val="Hyperlink"/>
                <w:rFonts w:ascii="Calibri" w:eastAsia="Calibri" w:hAnsi="Calibri" w:cs="Calibri"/>
              </w:rPr>
              <w:t>https://corporatefinanceinstitute.com/resources/accounting/limitations-ratio-analysis/</w:t>
            </w:r>
          </w:hyperlink>
          <w:r w:rsidRPr="00232662">
            <w:rPr>
              <w:rFonts w:ascii="Calibri" w:eastAsia="Calibri" w:hAnsi="Calibri" w:cs="Calibri"/>
              <w:color w:val="000000" w:themeColor="text1"/>
            </w:rPr>
            <w:t> [25 Jan, 2023].</w:t>
          </w:r>
        </w:p>
        <w:p w14:paraId="07B5875B" w14:textId="0F1828BE" w:rsidR="00C31CCD" w:rsidRDefault="00C31CCD" w:rsidP="114D2111">
          <w:pPr>
            <w:rPr>
              <w:rFonts w:ascii="Calibri" w:eastAsia="Calibri" w:hAnsi="Calibri" w:cs="Calibri"/>
              <w:color w:val="000000" w:themeColor="text1"/>
            </w:rPr>
          </w:pPr>
          <w:r w:rsidRPr="00C31CCD">
            <w:rPr>
              <w:rFonts w:ascii="Calibri" w:eastAsia="Calibri" w:hAnsi="Calibri" w:cs="Calibri"/>
              <w:color w:val="000000" w:themeColor="text1"/>
            </w:rPr>
            <w:t>DATARAILS, 2022-last update, 5 Key Financial Ratios. Available: </w:t>
          </w:r>
          <w:hyperlink r:id="rId37" w:tgtFrame="_blank" w:history="1">
            <w:r w:rsidRPr="00C31CCD">
              <w:rPr>
                <w:rStyle w:val="Hyperlink"/>
                <w:rFonts w:ascii="Calibri" w:eastAsia="Calibri" w:hAnsi="Calibri" w:cs="Calibri"/>
              </w:rPr>
              <w:t>https://www.datarails.com/5-key-financial-ratios/</w:t>
            </w:r>
          </w:hyperlink>
          <w:r w:rsidRPr="00C31CCD">
            <w:rPr>
              <w:rFonts w:ascii="Calibri" w:eastAsia="Calibri" w:hAnsi="Calibri" w:cs="Calibri"/>
              <w:color w:val="000000" w:themeColor="text1"/>
            </w:rPr>
            <w:t> [25 Jan, 2023].</w:t>
          </w:r>
        </w:p>
        <w:p w14:paraId="1D9A9D44" w14:textId="5A165CE3" w:rsidR="7B555729" w:rsidRDefault="7B555729" w:rsidP="114D2111">
          <w:r w:rsidRPr="114D2111">
            <w:rPr>
              <w:rFonts w:ascii="Calibri" w:eastAsia="Calibri" w:hAnsi="Calibri" w:cs="Calibri"/>
              <w:color w:val="000000" w:themeColor="text1"/>
            </w:rPr>
            <w:t xml:space="preserve">FIELDS, E., 2016. </w:t>
          </w:r>
          <w:r w:rsidRPr="114D2111">
            <w:rPr>
              <w:rFonts w:ascii="Calibri" w:eastAsia="Calibri" w:hAnsi="Calibri" w:cs="Calibri"/>
              <w:i/>
              <w:iCs/>
              <w:color w:val="000000" w:themeColor="text1"/>
            </w:rPr>
            <w:t xml:space="preserve">The Essentials of Finance and Accounting for Nonfinancial Managers. </w:t>
          </w:r>
          <w:r w:rsidRPr="114D2111">
            <w:rPr>
              <w:rFonts w:ascii="Calibri" w:eastAsia="Calibri" w:hAnsi="Calibri" w:cs="Calibri"/>
              <w:color w:val="000000" w:themeColor="text1"/>
            </w:rPr>
            <w:t>Nashville, UNITED STATES: AMACOM.</w:t>
          </w:r>
        </w:p>
        <w:p w14:paraId="08091F57" w14:textId="63C5B799" w:rsidR="7B555729" w:rsidRPr="0070693B" w:rsidRDefault="7B555729" w:rsidP="114D2111">
          <w:pPr>
            <w:rPr>
              <w:lang w:val="fr-FR"/>
            </w:rPr>
          </w:pPr>
          <w:r w:rsidRPr="114D2111">
            <w:rPr>
              <w:rFonts w:ascii="Calibri" w:eastAsia="Calibri" w:hAnsi="Calibri" w:cs="Calibri"/>
              <w:color w:val="000000" w:themeColor="text1"/>
            </w:rPr>
            <w:t xml:space="preserve">GEELY, 2022-last update, Geely Group Profile. </w:t>
          </w:r>
          <w:r w:rsidRPr="0070693B">
            <w:rPr>
              <w:rFonts w:ascii="Calibri" w:eastAsia="Calibri" w:hAnsi="Calibri" w:cs="Calibri"/>
              <w:color w:val="000000" w:themeColor="text1"/>
              <w:lang w:val="fr-FR"/>
            </w:rPr>
            <w:t xml:space="preserve">Available: </w:t>
          </w:r>
          <w:hyperlink r:id="rId38">
            <w:r w:rsidRPr="0070693B">
              <w:rPr>
                <w:rStyle w:val="Hyperlink"/>
                <w:rFonts w:ascii="Calibri" w:eastAsia="Calibri" w:hAnsi="Calibri" w:cs="Calibri"/>
                <w:lang w:val="fr-FR"/>
              </w:rPr>
              <w:t>http://zgh.com/overview/</w:t>
            </w:r>
          </w:hyperlink>
          <w:r w:rsidRPr="0070693B">
            <w:rPr>
              <w:rFonts w:ascii="Calibri" w:eastAsia="Calibri" w:hAnsi="Calibri" w:cs="Calibri"/>
              <w:color w:val="000000" w:themeColor="text1"/>
              <w:lang w:val="fr-FR"/>
            </w:rPr>
            <w:t xml:space="preserve"> [29 Dec, 2022].</w:t>
          </w:r>
        </w:p>
        <w:p w14:paraId="6E92FACC" w14:textId="038E3A90" w:rsidR="000D343F" w:rsidRDefault="000D343F" w:rsidP="114D2111">
          <w:pPr>
            <w:rPr>
              <w:rFonts w:ascii="Calibri" w:eastAsia="Calibri" w:hAnsi="Calibri" w:cs="Calibri"/>
              <w:color w:val="000000" w:themeColor="text1"/>
            </w:rPr>
          </w:pPr>
          <w:r w:rsidRPr="000D343F">
            <w:rPr>
              <w:rFonts w:ascii="Calibri" w:eastAsia="Calibri" w:hAnsi="Calibri" w:cs="Calibri"/>
              <w:color w:val="000000" w:themeColor="text1"/>
            </w:rPr>
            <w:t>GENERATIONAL EQUITY, 2023-last update, EBITDA: Meaning, Importance, Formula, Calculation &amp; Example. Available: </w:t>
          </w:r>
          <w:hyperlink r:id="rId39" w:anchor=":~:text=As%20discussed%20earlier%2C%20EBITDA%20helps,clearer%20indication%20of%20your%20earnings." w:tgtFrame="_blank" w:history="1">
            <w:r w:rsidRPr="000D343F">
              <w:rPr>
                <w:rStyle w:val="Hyperlink"/>
                <w:rFonts w:ascii="Calibri" w:eastAsia="Calibri" w:hAnsi="Calibri" w:cs="Calibri"/>
              </w:rPr>
              <w:t>https://www.genequityco.com/insights/ebitda#:~:text=As%20discussed%20earlier%2C%20EBITDA%20helps,clearer%20indication%20of%20your%20earnings.</w:t>
            </w:r>
          </w:hyperlink>
          <w:r w:rsidRPr="000D343F">
            <w:rPr>
              <w:rFonts w:ascii="Calibri" w:eastAsia="Calibri" w:hAnsi="Calibri" w:cs="Calibri"/>
              <w:color w:val="000000" w:themeColor="text1"/>
            </w:rPr>
            <w:t> [25 Jan, 2023].</w:t>
          </w:r>
        </w:p>
        <w:p w14:paraId="4C4236BC" w14:textId="566151FB" w:rsidR="7B555729" w:rsidRPr="0070693B" w:rsidRDefault="7B555729" w:rsidP="114D2111">
          <w:pPr>
            <w:rPr>
              <w:lang w:val="fr-FR"/>
            </w:rPr>
          </w:pPr>
          <w:r w:rsidRPr="114D2111">
            <w:rPr>
              <w:rFonts w:ascii="Calibri" w:eastAsia="Calibri" w:hAnsi="Calibri" w:cs="Calibri"/>
              <w:color w:val="000000" w:themeColor="text1"/>
            </w:rPr>
            <w:t xml:space="preserve">HOLDER, J., Dec 20, 2022-last update, Aston Martin: Stroll ups stake to block possible Geely takeover. </w:t>
          </w:r>
          <w:r w:rsidRPr="0070693B">
            <w:rPr>
              <w:rFonts w:ascii="Calibri" w:eastAsia="Calibri" w:hAnsi="Calibri" w:cs="Calibri"/>
              <w:color w:val="000000" w:themeColor="text1"/>
              <w:lang w:val="fr-FR"/>
            </w:rPr>
            <w:t xml:space="preserve">Available: </w:t>
          </w:r>
          <w:hyperlink r:id="rId40">
            <w:r w:rsidRPr="0070693B">
              <w:rPr>
                <w:rStyle w:val="Hyperlink"/>
                <w:rFonts w:ascii="Calibri" w:eastAsia="Calibri" w:hAnsi="Calibri" w:cs="Calibri"/>
                <w:lang w:val="fr-FR"/>
              </w:rPr>
              <w:t>https://www.autocar.co.uk/car-news/business-finance-and-corporate/aston-martin-stroll-ups-stake-block-possible-geely-takeover.</w:t>
            </w:r>
          </w:hyperlink>
        </w:p>
        <w:p w14:paraId="35EDB83D" w14:textId="40F061BB" w:rsidR="7B555729" w:rsidRDefault="7B555729" w:rsidP="114D2111">
          <w:r w:rsidRPr="114D2111">
            <w:rPr>
              <w:rFonts w:ascii="Calibri" w:eastAsia="Calibri" w:hAnsi="Calibri" w:cs="Calibri"/>
              <w:color w:val="000000" w:themeColor="text1"/>
            </w:rPr>
            <w:t xml:space="preserve">HOLMES, G., SUGDEN, A. and GEE, P., 2008. </w:t>
          </w:r>
          <w:r w:rsidRPr="114D2111">
            <w:rPr>
              <w:rFonts w:ascii="Calibri" w:eastAsia="Calibri" w:hAnsi="Calibri" w:cs="Calibri"/>
              <w:i/>
              <w:iCs/>
              <w:color w:val="000000" w:themeColor="text1"/>
            </w:rPr>
            <w:t xml:space="preserve">Interpreting company reports and accounts. </w:t>
          </w:r>
          <w:r w:rsidRPr="114D2111">
            <w:rPr>
              <w:rFonts w:ascii="Calibri" w:eastAsia="Calibri" w:hAnsi="Calibri" w:cs="Calibri"/>
              <w:color w:val="000000" w:themeColor="text1"/>
            </w:rPr>
            <w:t>10 edn. Harlow, England: FT Prentice Hall.</w:t>
          </w:r>
        </w:p>
        <w:p w14:paraId="7990076E" w14:textId="0EF9AB88" w:rsidR="004A0217" w:rsidRDefault="004A0217" w:rsidP="114D2111">
          <w:pPr>
            <w:rPr>
              <w:rFonts w:ascii="Calibri" w:eastAsia="Calibri" w:hAnsi="Calibri" w:cs="Calibri"/>
              <w:color w:val="000000" w:themeColor="text1"/>
            </w:rPr>
          </w:pPr>
          <w:r w:rsidRPr="004A0217">
            <w:rPr>
              <w:rFonts w:ascii="Calibri" w:eastAsia="Calibri" w:hAnsi="Calibri" w:cs="Calibri"/>
              <w:color w:val="000000" w:themeColor="text1"/>
            </w:rPr>
            <w:t>INVESTOPEDIA, 2023-last update, Quick Ratio Formula With Examples, Pros and Cons. Available: </w:t>
          </w:r>
          <w:hyperlink r:id="rId41" w:tgtFrame="_blank" w:history="1">
            <w:r w:rsidRPr="004A0217">
              <w:rPr>
                <w:rStyle w:val="Hyperlink"/>
                <w:rFonts w:ascii="Calibri" w:eastAsia="Calibri" w:hAnsi="Calibri" w:cs="Calibri"/>
              </w:rPr>
              <w:t>https://www.investopedia.com/terms/q/quickratio.asp</w:t>
            </w:r>
          </w:hyperlink>
          <w:r w:rsidRPr="004A0217">
            <w:rPr>
              <w:rFonts w:ascii="Calibri" w:eastAsia="Calibri" w:hAnsi="Calibri" w:cs="Calibri"/>
              <w:color w:val="000000" w:themeColor="text1"/>
            </w:rPr>
            <w:t> [26 Jan, 2023].</w:t>
          </w:r>
        </w:p>
        <w:p w14:paraId="753413CC" w14:textId="4FD6ABF7" w:rsidR="7B555729" w:rsidRDefault="7B555729" w:rsidP="114D2111">
          <w:r w:rsidRPr="114D2111">
            <w:rPr>
              <w:rFonts w:ascii="Calibri" w:eastAsia="Calibri" w:hAnsi="Calibri" w:cs="Calibri"/>
              <w:color w:val="000000" w:themeColor="text1"/>
            </w:rPr>
            <w:t xml:space="preserve">LUXUO, Jul 26, 2014-last update, Customize the new Ferrari California T online. Available: </w:t>
          </w:r>
          <w:hyperlink r:id="rId42">
            <w:r w:rsidRPr="114D2111">
              <w:rPr>
                <w:rStyle w:val="Hyperlink"/>
                <w:rFonts w:ascii="Calibri" w:eastAsia="Calibri" w:hAnsi="Calibri" w:cs="Calibri"/>
              </w:rPr>
              <w:t>https://www.luxuo.com/cars/automobile/ferrari-california-t-online-configurator.html</w:t>
            </w:r>
          </w:hyperlink>
          <w:r w:rsidRPr="114D2111">
            <w:rPr>
              <w:rFonts w:ascii="Calibri" w:eastAsia="Calibri" w:hAnsi="Calibri" w:cs="Calibri"/>
              <w:color w:val="000000" w:themeColor="text1"/>
            </w:rPr>
            <w:t xml:space="preserve"> [Jan 12, 2023].</w:t>
          </w:r>
        </w:p>
        <w:p w14:paraId="4C37C19B" w14:textId="0C7DC750" w:rsidR="7B555729" w:rsidRDefault="7B555729" w:rsidP="114D2111">
          <w:r w:rsidRPr="114D2111">
            <w:rPr>
              <w:rFonts w:ascii="Calibri" w:eastAsia="Calibri" w:hAnsi="Calibri" w:cs="Calibri"/>
              <w:color w:val="000000" w:themeColor="text1"/>
            </w:rPr>
            <w:t xml:space="preserve">MAVERICK, J.B., May 28, 2021-last update, Key Financial Ratios to Analyze the Auto Industry. Available: </w:t>
          </w:r>
          <w:hyperlink r:id="rId43">
            <w:r w:rsidRPr="114D2111">
              <w:rPr>
                <w:rStyle w:val="Hyperlink"/>
                <w:rFonts w:ascii="Calibri" w:eastAsia="Calibri" w:hAnsi="Calibri" w:cs="Calibri"/>
              </w:rPr>
              <w:t>https://www.investopedia.com/articles/active-trading/082015/key-financial-ratios-analyze-automotive-industry.asp</w:t>
            </w:r>
          </w:hyperlink>
          <w:r w:rsidRPr="114D2111">
            <w:rPr>
              <w:rFonts w:ascii="Calibri" w:eastAsia="Calibri" w:hAnsi="Calibri" w:cs="Calibri"/>
              <w:color w:val="000000" w:themeColor="text1"/>
            </w:rPr>
            <w:t xml:space="preserve"> [Jan 21, 2023].</w:t>
          </w:r>
        </w:p>
        <w:p w14:paraId="2897D689" w14:textId="773F3ABE" w:rsidR="7B555729" w:rsidRDefault="7B555729" w:rsidP="114D2111">
          <w:r w:rsidRPr="114D2111">
            <w:rPr>
              <w:rFonts w:ascii="Calibri" w:eastAsia="Calibri" w:hAnsi="Calibri" w:cs="Calibri"/>
              <w:color w:val="000000" w:themeColor="text1"/>
            </w:rPr>
            <w:t xml:space="preserve">PHILLIPS, W., 2 Nov, 2022-last update, Aston Martin locates staff at suppliers to deal with component hold-ups. </w:t>
          </w:r>
          <w:r w:rsidRPr="0070693B">
            <w:rPr>
              <w:rFonts w:ascii="Calibri" w:eastAsia="Calibri" w:hAnsi="Calibri" w:cs="Calibri"/>
              <w:color w:val="000000" w:themeColor="text1"/>
              <w:lang w:val="fr-FR"/>
            </w:rPr>
            <w:t xml:space="preserve">Available: </w:t>
          </w:r>
          <w:hyperlink r:id="rId44" w:anchor=":~:text=Luxury%20carmaker%20Aston%20Martin%20has,add%20%C2%A310m%20to%20costs.">
            <w:r w:rsidRPr="0070693B">
              <w:rPr>
                <w:rStyle w:val="Hyperlink"/>
                <w:rFonts w:ascii="Calibri" w:eastAsia="Calibri" w:hAnsi="Calibri" w:cs="Calibri"/>
                <w:lang w:val="fr-FR"/>
              </w:rPr>
              <w:t>https://www.cips.org/supply-management/news/2022/november/aston-martin-locates-staff-at-suppliers-to-deal-with-component-hold-ups/#:~:text=Luxury%20carmaker%20Aston%20Martin%20has,add%20%C2%A310m%20to%20costs.</w:t>
            </w:r>
          </w:hyperlink>
          <w:r w:rsidRPr="0070693B">
            <w:rPr>
              <w:rFonts w:ascii="Calibri" w:eastAsia="Calibri" w:hAnsi="Calibri" w:cs="Calibri"/>
              <w:color w:val="000000" w:themeColor="text1"/>
              <w:lang w:val="fr-FR"/>
            </w:rPr>
            <w:t xml:space="preserve"> </w:t>
          </w:r>
          <w:r w:rsidRPr="114D2111">
            <w:rPr>
              <w:rFonts w:ascii="Calibri" w:eastAsia="Calibri" w:hAnsi="Calibri" w:cs="Calibri"/>
              <w:color w:val="000000" w:themeColor="text1"/>
            </w:rPr>
            <w:t>[21 Jan, 2023].</w:t>
          </w:r>
        </w:p>
        <w:p w14:paraId="1C40FAF9" w14:textId="2B148B3F" w:rsidR="7B555729" w:rsidRDefault="7B555729" w:rsidP="114D2111">
          <w:r w:rsidRPr="114D2111">
            <w:rPr>
              <w:rFonts w:ascii="Calibri" w:eastAsia="Calibri" w:hAnsi="Calibri" w:cs="Calibri"/>
              <w:color w:val="000000" w:themeColor="text1"/>
            </w:rPr>
            <w:t xml:space="preserve">QAMAR, A., COLLINSON, S. and GREEN, A., 2022. Covid-19 disruption, resilience and industrial policy: the automotive sector in the West Midlands. </w:t>
          </w:r>
          <w:r w:rsidRPr="114D2111">
            <w:rPr>
              <w:rFonts w:ascii="Calibri" w:eastAsia="Calibri" w:hAnsi="Calibri" w:cs="Calibri"/>
              <w:i/>
              <w:iCs/>
              <w:color w:val="000000" w:themeColor="text1"/>
            </w:rPr>
            <w:t xml:space="preserve">Regional Studies, </w:t>
          </w:r>
          <w:r w:rsidRPr="114D2111">
            <w:rPr>
              <w:rFonts w:ascii="Calibri" w:eastAsia="Calibri" w:hAnsi="Calibri" w:cs="Calibri"/>
              <w:b/>
              <w:bCs/>
              <w:color w:val="000000" w:themeColor="text1"/>
            </w:rPr>
            <w:t>0</w:t>
          </w:r>
          <w:r w:rsidRPr="114D2111">
            <w:rPr>
              <w:rFonts w:ascii="Calibri" w:eastAsia="Calibri" w:hAnsi="Calibri" w:cs="Calibri"/>
              <w:color w:val="000000" w:themeColor="text1"/>
            </w:rPr>
            <w:t>(0), pp. 1-15.</w:t>
          </w:r>
        </w:p>
        <w:p w14:paraId="5799BEB9" w14:textId="7958A2F6" w:rsidR="7B555729" w:rsidRDefault="7B555729" w:rsidP="114D2111">
          <w:r w:rsidRPr="114D2111">
            <w:rPr>
              <w:rFonts w:ascii="Calibri" w:eastAsia="Calibri" w:hAnsi="Calibri" w:cs="Calibri"/>
              <w:color w:val="000000" w:themeColor="text1"/>
            </w:rPr>
            <w:lastRenderedPageBreak/>
            <w:t xml:space="preserve">SHABONG, Y., 2020-last update, Mercedes-Benz to lift Aston Martin stake to up to 20% by 2023. Available: </w:t>
          </w:r>
          <w:hyperlink r:id="rId45">
            <w:r w:rsidRPr="114D2111">
              <w:rPr>
                <w:rStyle w:val="Hyperlink"/>
                <w:rFonts w:ascii="Calibri" w:eastAsia="Calibri" w:hAnsi="Calibri" w:cs="Calibri"/>
              </w:rPr>
              <w:t>https://www.reuters.com/article/aston-martin-divestiture-idUSKBN27D11D</w:t>
            </w:r>
          </w:hyperlink>
          <w:r w:rsidRPr="114D2111">
            <w:rPr>
              <w:rFonts w:ascii="Calibri" w:eastAsia="Calibri" w:hAnsi="Calibri" w:cs="Calibri"/>
              <w:color w:val="000000" w:themeColor="text1"/>
            </w:rPr>
            <w:t xml:space="preserve"> [22 Jan, 2023].</w:t>
          </w:r>
        </w:p>
        <w:p w14:paraId="48210209" w14:textId="6449CE52" w:rsidR="7B555729" w:rsidRDefault="7B555729" w:rsidP="114D2111">
          <w:r w:rsidRPr="114D2111">
            <w:rPr>
              <w:rFonts w:ascii="Calibri" w:eastAsia="Calibri" w:hAnsi="Calibri" w:cs="Calibri"/>
              <w:color w:val="000000" w:themeColor="text1"/>
            </w:rPr>
            <w:t>TRUDELL, C. and MORISON, R., 2023, -01-18T10:15:08.595Z. Britishvolt’s Failure Reinforces UK Car Sector’s Existential Dread</w:t>
          </w:r>
          <w:r w:rsidRPr="114D2111">
            <w:rPr>
              <w:rFonts w:ascii="Calibri" w:eastAsia="Calibri" w:hAnsi="Calibri" w:cs="Calibri"/>
              <w:i/>
              <w:iCs/>
              <w:color w:val="000000" w:themeColor="text1"/>
            </w:rPr>
            <w:t>. Bloomberg.com</w:t>
          </w:r>
          <w:r w:rsidRPr="114D2111">
            <w:rPr>
              <w:rFonts w:ascii="Calibri" w:eastAsia="Calibri" w:hAnsi="Calibri" w:cs="Calibri"/>
              <w:color w:val="000000" w:themeColor="text1"/>
            </w:rPr>
            <w:t>.</w:t>
          </w:r>
        </w:p>
        <w:p w14:paraId="55C0B6B4" w14:textId="2A83542F" w:rsidR="7B555729" w:rsidRDefault="7B555729" w:rsidP="114D2111">
          <w:r w:rsidRPr="114D2111">
            <w:rPr>
              <w:rFonts w:ascii="Calibri" w:eastAsia="Calibri" w:hAnsi="Calibri" w:cs="Calibri"/>
              <w:color w:val="000000" w:themeColor="text1"/>
            </w:rPr>
            <w:t xml:space="preserve">TRUETT, R., 2022. Aston Martin pivots to electric amid turmoil; Plug-in hybrid, EV are on the horizon. </w:t>
          </w:r>
          <w:r w:rsidRPr="114D2111">
            <w:rPr>
              <w:rFonts w:ascii="Calibri" w:eastAsia="Calibri" w:hAnsi="Calibri" w:cs="Calibri"/>
              <w:i/>
              <w:iCs/>
              <w:color w:val="000000" w:themeColor="text1"/>
            </w:rPr>
            <w:t xml:space="preserve">Automotive News, </w:t>
          </w:r>
          <w:r w:rsidRPr="114D2111">
            <w:rPr>
              <w:rFonts w:ascii="Calibri" w:eastAsia="Calibri" w:hAnsi="Calibri" w:cs="Calibri"/>
              <w:b/>
              <w:bCs/>
              <w:color w:val="000000" w:themeColor="text1"/>
            </w:rPr>
            <w:t>97</w:t>
          </w:r>
          <w:r w:rsidRPr="114D2111">
            <w:rPr>
              <w:rFonts w:ascii="Calibri" w:eastAsia="Calibri" w:hAnsi="Calibri" w:cs="Calibri"/>
              <w:color w:val="000000" w:themeColor="text1"/>
            </w:rPr>
            <w:t>(7057), pp. 29.</w:t>
          </w:r>
        </w:p>
        <w:p w14:paraId="261B03A7" w14:textId="1B574C50" w:rsidR="00D24177" w:rsidRDefault="00D24177" w:rsidP="114D2111">
          <w:pPr>
            <w:rPr>
              <w:rFonts w:ascii="Calibri" w:eastAsia="Calibri" w:hAnsi="Calibri" w:cs="Calibri"/>
              <w:color w:val="000000" w:themeColor="text1"/>
            </w:rPr>
          </w:pPr>
          <w:r w:rsidRPr="00D24177">
            <w:rPr>
              <w:rFonts w:ascii="Calibri" w:eastAsia="Calibri" w:hAnsi="Calibri" w:cs="Calibri"/>
              <w:color w:val="000000" w:themeColor="text1"/>
            </w:rPr>
            <w:t>WALLSTREETMOJO, 2023-last update, Cash Ratio. Available: </w:t>
          </w:r>
          <w:hyperlink r:id="rId46" w:tgtFrame="_blank" w:history="1">
            <w:r w:rsidRPr="00D24177">
              <w:rPr>
                <w:rStyle w:val="Hyperlink"/>
                <w:rFonts w:ascii="Calibri" w:eastAsia="Calibri" w:hAnsi="Calibri" w:cs="Calibri"/>
              </w:rPr>
              <w:t>https://www.wallstreetmojo.com/cash-ratio/</w:t>
            </w:r>
          </w:hyperlink>
          <w:r w:rsidRPr="00D24177">
            <w:rPr>
              <w:rFonts w:ascii="Calibri" w:eastAsia="Calibri" w:hAnsi="Calibri" w:cs="Calibri"/>
              <w:color w:val="000000" w:themeColor="text1"/>
            </w:rPr>
            <w:t> [26 Jan, 2023].</w:t>
          </w:r>
        </w:p>
        <w:p w14:paraId="49670865" w14:textId="7A7CF048" w:rsidR="7B555729" w:rsidRDefault="7B555729" w:rsidP="114D2111">
          <w:r w:rsidRPr="114D2111">
            <w:rPr>
              <w:rFonts w:ascii="Calibri" w:eastAsia="Calibri" w:hAnsi="Calibri" w:cs="Calibri"/>
              <w:color w:val="000000" w:themeColor="text1"/>
            </w:rPr>
            <w:t xml:space="preserve">WALSH, C., 2009. </w:t>
          </w:r>
          <w:r w:rsidRPr="114D2111">
            <w:rPr>
              <w:rFonts w:ascii="Calibri" w:eastAsia="Calibri" w:hAnsi="Calibri" w:cs="Calibri"/>
              <w:i/>
              <w:iCs/>
              <w:color w:val="000000" w:themeColor="text1"/>
            </w:rPr>
            <w:t xml:space="preserve">Key Management Ratios. </w:t>
          </w:r>
          <w:r w:rsidRPr="114D2111">
            <w:rPr>
              <w:rFonts w:ascii="Calibri" w:eastAsia="Calibri" w:hAnsi="Calibri" w:cs="Calibri"/>
              <w:color w:val="000000" w:themeColor="text1"/>
            </w:rPr>
            <w:t>Harlow: Pearson Education, Limited.</w:t>
          </w:r>
        </w:p>
        <w:p w14:paraId="4303F05A" w14:textId="2478A747" w:rsidR="7B555729" w:rsidRDefault="7B555729" w:rsidP="114D2111">
          <w:r w:rsidRPr="114D2111">
            <w:rPr>
              <w:rFonts w:ascii="Calibri" w:eastAsia="Calibri" w:hAnsi="Calibri" w:cs="Calibri"/>
              <w:color w:val="000000" w:themeColor="text1"/>
            </w:rPr>
            <w:t xml:space="preserve">WITHERS, B., 2023-last update, Lean on me. Available: </w:t>
          </w:r>
          <w:hyperlink r:id="rId47">
            <w:r w:rsidRPr="114D2111">
              <w:rPr>
                <w:rStyle w:val="Hyperlink"/>
                <w:rFonts w:ascii="Calibri" w:eastAsia="Calibri" w:hAnsi="Calibri" w:cs="Calibri"/>
              </w:rPr>
              <w:t>https://teachrock.org/wp-content/uploads/Lean-on-Me-Lyrics.pdf</w:t>
            </w:r>
          </w:hyperlink>
          <w:r w:rsidRPr="114D2111">
            <w:rPr>
              <w:rFonts w:ascii="Calibri" w:eastAsia="Calibri" w:hAnsi="Calibri" w:cs="Calibri"/>
              <w:color w:val="000000" w:themeColor="text1"/>
            </w:rPr>
            <w:t xml:space="preserve"> [22 Jan, 2023].</w:t>
          </w:r>
        </w:p>
        <w:p w14:paraId="347BAA1A" w14:textId="1D2F1553" w:rsidR="114D2111" w:rsidRDefault="00000000" w:rsidP="114D2111">
          <w:pPr>
            <w:rPr>
              <w:sz w:val="20"/>
              <w:szCs w:val="20"/>
            </w:rPr>
          </w:pPr>
        </w:p>
      </w:sdtContent>
    </w:sdt>
    <w:sectPr w:rsidR="114D2111" w:rsidSect="0070693B">
      <w:headerReference w:type="default" r:id="rId48"/>
      <w:footerReference w:type="default" r:id="rId4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4D700" w14:textId="77777777" w:rsidR="00C923F0" w:rsidRDefault="00C923F0">
      <w:pPr>
        <w:spacing w:after="0" w:line="240" w:lineRule="auto"/>
      </w:pPr>
      <w:r>
        <w:separator/>
      </w:r>
    </w:p>
  </w:endnote>
  <w:endnote w:type="continuationSeparator" w:id="0">
    <w:p w14:paraId="158F8237" w14:textId="77777777" w:rsidR="00C923F0" w:rsidRDefault="00C92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Light">
    <w:altName w:val="Amasis MT Pro Light"/>
    <w:charset w:val="00"/>
    <w:family w:val="roman"/>
    <w:pitch w:val="variable"/>
    <w:sig w:usb0="A00000AF" w:usb1="4000205B" w:usb2="00000000" w:usb3="00000000" w:csb0="00000093"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9"/>
      <w:gridCol w:w="4487"/>
    </w:tblGrid>
    <w:tr w:rsidR="00AB2C8D" w14:paraId="7B233089" w14:textId="77777777">
      <w:trPr>
        <w:trHeight w:hRule="exact" w:val="115"/>
        <w:jc w:val="center"/>
      </w:trPr>
      <w:tc>
        <w:tcPr>
          <w:tcW w:w="4686" w:type="dxa"/>
          <w:shd w:val="clear" w:color="auto" w:fill="4472C4" w:themeFill="accent1"/>
          <w:tcMar>
            <w:top w:w="0" w:type="dxa"/>
            <w:bottom w:w="0" w:type="dxa"/>
          </w:tcMar>
        </w:tcPr>
        <w:p w14:paraId="66FA7E25" w14:textId="77777777" w:rsidR="00AB2C8D" w:rsidRDefault="00AB2C8D">
          <w:pPr>
            <w:pStyle w:val="Header"/>
            <w:tabs>
              <w:tab w:val="clear" w:pos="4680"/>
              <w:tab w:val="clear" w:pos="9360"/>
            </w:tabs>
            <w:rPr>
              <w:caps/>
              <w:sz w:val="18"/>
            </w:rPr>
          </w:pPr>
        </w:p>
      </w:tc>
      <w:tc>
        <w:tcPr>
          <w:tcW w:w="4674" w:type="dxa"/>
          <w:shd w:val="clear" w:color="auto" w:fill="4472C4" w:themeFill="accent1"/>
          <w:tcMar>
            <w:top w:w="0" w:type="dxa"/>
            <w:bottom w:w="0" w:type="dxa"/>
          </w:tcMar>
        </w:tcPr>
        <w:p w14:paraId="32C643C8" w14:textId="77777777" w:rsidR="00AB2C8D" w:rsidRDefault="00AB2C8D">
          <w:pPr>
            <w:pStyle w:val="Header"/>
            <w:tabs>
              <w:tab w:val="clear" w:pos="4680"/>
              <w:tab w:val="clear" w:pos="9360"/>
            </w:tabs>
            <w:jc w:val="right"/>
            <w:rPr>
              <w:caps/>
              <w:sz w:val="18"/>
            </w:rPr>
          </w:pPr>
        </w:p>
      </w:tc>
    </w:tr>
    <w:tr w:rsidR="00AB2C8D" w14:paraId="13FAB625" w14:textId="77777777">
      <w:trPr>
        <w:jc w:val="center"/>
      </w:trPr>
      <w:sdt>
        <w:sdtPr>
          <w:rPr>
            <w:caps/>
            <w:color w:val="808080" w:themeColor="background1" w:themeShade="80"/>
            <w:sz w:val="18"/>
            <w:szCs w:val="18"/>
          </w:rPr>
          <w:alias w:val="Author"/>
          <w:tag w:val=""/>
          <w:id w:val="1534151868"/>
          <w:placeholder>
            <w:docPart w:val="9EBF72606C5743788FE519F3275AA85C"/>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1009F2A8" w14:textId="156A9EE1" w:rsidR="00AB2C8D" w:rsidRDefault="00AB2C8D">
              <w:pPr>
                <w:pStyle w:val="Footer"/>
                <w:tabs>
                  <w:tab w:val="clear" w:pos="4680"/>
                  <w:tab w:val="clear" w:pos="9360"/>
                </w:tabs>
                <w:rPr>
                  <w:caps/>
                  <w:color w:val="808080" w:themeColor="background1" w:themeShade="80"/>
                  <w:sz w:val="18"/>
                  <w:szCs w:val="18"/>
                </w:rPr>
              </w:pPr>
              <w:r>
                <w:rPr>
                  <w:caps/>
                  <w:color w:val="808080" w:themeColor="background1" w:themeShade="80"/>
                  <w:sz w:val="18"/>
                  <w:szCs w:val="18"/>
                </w:rPr>
                <w:t>Christopher Davies (2126255)</w:t>
              </w:r>
            </w:p>
          </w:tc>
        </w:sdtContent>
      </w:sdt>
      <w:tc>
        <w:tcPr>
          <w:tcW w:w="4674" w:type="dxa"/>
          <w:shd w:val="clear" w:color="auto" w:fill="auto"/>
          <w:vAlign w:val="center"/>
        </w:tcPr>
        <w:p w14:paraId="68AEC64F" w14:textId="77777777" w:rsidR="00AB2C8D" w:rsidRDefault="00AB2C8D">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DE83C43" w14:textId="2F085E0F" w:rsidR="6D3EB64B" w:rsidRDefault="6D3EB64B" w:rsidP="6D3EB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E9EDC" w14:textId="77777777" w:rsidR="00C923F0" w:rsidRDefault="00C923F0">
      <w:pPr>
        <w:spacing w:after="0" w:line="240" w:lineRule="auto"/>
      </w:pPr>
      <w:r>
        <w:separator/>
      </w:r>
    </w:p>
  </w:footnote>
  <w:footnote w:type="continuationSeparator" w:id="0">
    <w:p w14:paraId="1F9A5347" w14:textId="77777777" w:rsidR="00C923F0" w:rsidRDefault="00C923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2F2A8" w14:textId="592FC6FE" w:rsidR="6D3EB64B" w:rsidRDefault="0070693B" w:rsidP="6D3EB64B">
    <w:pPr>
      <w:pStyle w:val="Header"/>
    </w:pPr>
    <w:r>
      <w:rPr>
        <w:noProof/>
      </w:rPr>
      <mc:AlternateContent>
        <mc:Choice Requires="wps">
          <w:drawing>
            <wp:anchor distT="0" distB="0" distL="118745" distR="118745" simplePos="0" relativeHeight="251659264" behindDoc="1" locked="0" layoutInCell="1" allowOverlap="0" wp14:anchorId="18F1E1B5" wp14:editId="126C91A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CB81E2" w14:textId="2C41E357" w:rsidR="0070693B" w:rsidRDefault="00DB347B">
                              <w:pPr>
                                <w:pStyle w:val="Header"/>
                                <w:tabs>
                                  <w:tab w:val="clear" w:pos="4680"/>
                                  <w:tab w:val="clear" w:pos="9360"/>
                                </w:tabs>
                                <w:jc w:val="center"/>
                                <w:rPr>
                                  <w:caps/>
                                  <w:color w:val="FFFFFF" w:themeColor="background1"/>
                                </w:rPr>
                              </w:pPr>
                              <w:r>
                                <w:t>Business Review: Aston Martin Lagonda Recommendations on a £5M Joint venture opportunity                                                            ACPA7002 - Student 2126255 C J Davies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8F1E1B5"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CB81E2" w14:textId="2C41E357" w:rsidR="0070693B" w:rsidRDefault="00DB347B">
                        <w:pPr>
                          <w:pStyle w:val="Header"/>
                          <w:tabs>
                            <w:tab w:val="clear" w:pos="4680"/>
                            <w:tab w:val="clear" w:pos="9360"/>
                          </w:tabs>
                          <w:jc w:val="center"/>
                          <w:rPr>
                            <w:caps/>
                            <w:color w:val="FFFFFF" w:themeColor="background1"/>
                          </w:rPr>
                        </w:pPr>
                        <w:r>
                          <w:t>Business Review: Aston Martin Lagonda Recommendations on a £5M Joint venture opportunity                                                            ACPA7002 - Student 2126255 C J Davies</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textHash int2:hashCode="x0XWbU74dVr6U+" int2:id="0kLgSN37">
      <int2:state int2:value="Rejected" int2:type="AugLoop_Text_Critique"/>
    </int2:textHash>
    <int2:textHash int2:hashCode="myUq1ChWjjqB3v" int2:id="QYIiF0Fy">
      <int2:state int2:value="Rejected" int2:type="AugLoop_Text_Critique"/>
    </int2:textHash>
    <int2:textHash int2:hashCode="2JjnJ0go1uyUnX" int2:id="so5oU438">
      <int2:state int2:value="Rejected" int2:type="AugLoop_Text_Critique"/>
    </int2:textHash>
    <int2:textHash int2:hashCode="OPJirOcAfIeMOj" int2:id="9xlqEuz7">
      <int2:state int2:value="Rejected" int2:type="AugLoop_Text_Critique"/>
    </int2:textHash>
    <int2:textHash int2:hashCode="njzEQ7h0bgx4V1" int2:id="czHk4nkQ">
      <int2:state int2:value="Rejected" int2:type="AugLoop_Text_Critique"/>
    </int2:textHash>
    <int2:bookmark int2:bookmarkName="_Int_4fxJ9R0V" int2:invalidationBookmarkName="" int2:hashCode="vTQ6RQCQf2J9Ff" int2:id="DgSuecBK">
      <int2:state int2:value="Rejected" int2:type="AugLoop_Text_Critique"/>
    </int2:bookmark>
    <int2:bookmark int2:bookmarkName="_Int_E5iThnqT" int2:invalidationBookmarkName="" int2:hashCode="SradH0SdDJdch8" int2:id="EkowoYzD">
      <int2:state int2:value="Rejected" int2:type="AugLoop_Text_Critique"/>
    </int2:bookmark>
    <int2:bookmark int2:bookmarkName="_Int_zzcfGLm1" int2:invalidationBookmarkName="" int2:hashCode="zU6+yX/gUIel5w" int2:id="31bMp8gM">
      <int2:state int2:value="Rejected" int2:type="AugLoop_Text_Critique"/>
    </int2:bookmark>
    <int2:bookmark int2:bookmarkName="_Int_Mtaot1pl" int2:invalidationBookmarkName="" int2:hashCode="EQyKMMFgcL8oE0" int2:id="6JpC1ImJ">
      <int2:state int2:value="Rejected" int2:type="AugLoop_Text_Critique"/>
    </int2:bookmark>
    <int2:bookmark int2:bookmarkName="_Int_zYBSoef2" int2:invalidationBookmarkName="" int2:hashCode="2tnVu19RozVa1b" int2:id="DPTEeZv7">
      <int2:state int2:value="Rejected" int2:type="AugLoop_Text_Critique"/>
    </int2:bookmark>
    <int2:bookmark int2:bookmarkName="_Int_kParm1yY" int2:invalidationBookmarkName="" int2:hashCode="maS+KK4PEzqNKd" int2:id="h9cM9stS">
      <int2:state int2:value="Rejected" int2:type="AugLoop_Text_Critique"/>
    </int2:bookmark>
    <int2:bookmark int2:bookmarkName="_Int_qO2tSvsN" int2:invalidationBookmarkName="" int2:hashCode="csj3W2JXL1myG9" int2:id="BNFjfOxk">
      <int2:state int2:value="Rejected" int2:type="AugLoop_Text_Critique"/>
    </int2:bookmark>
    <int2:bookmark int2:bookmarkName="_Int_bL4dY4kj" int2:invalidationBookmarkName="" int2:hashCode="351r0XWD+hEdsL" int2:id="NM8Gi9Uu">
      <int2:state int2:value="Rejected" int2:type="AugLoop_Text_Critique"/>
    </int2:bookmark>
    <int2:bookmark int2:bookmarkName="_Int_rQLHcYfR" int2:invalidationBookmarkName="" int2:hashCode="RqhmcRGM7U3nVn" int2:id="gbzspkAF">
      <int2:state int2:value="Rejected" int2:type="AugLoop_Text_Critique"/>
    </int2:bookmark>
    <int2:bookmark int2:bookmarkName="_Int_M5gEsmVn" int2:invalidationBookmarkName="" int2:hashCode="csj3W2JXL1myG9" int2:id="ffHacN5x">
      <int2:state int2:value="Rejected" int2:type="AugLoop_Text_Critique"/>
    </int2:bookmark>
    <int2:bookmark int2:bookmarkName="_Int_WQLtCXw2" int2:invalidationBookmarkName="" int2:hashCode="351r0XWD+hEdsL" int2:id="BiHyZkT6">
      <int2:state int2:value="Rejected" int2:type="AugLoop_Text_Critique"/>
    </int2:bookmark>
    <int2:bookmark int2:bookmarkName="_Int_aUNrLssW" int2:invalidationBookmarkName="" int2:hashCode="TcL93OYEvZqVzN" int2:id="yBNA1o2N">
      <int2:state int2:value="Rejected" int2:type="AugLoop_Text_Critique"/>
    </int2:bookmark>
    <int2:bookmark int2:bookmarkName="_Int_4Ah0CJuo" int2:invalidationBookmarkName="" int2:hashCode="C6SzXJxOM6ab1b" int2:id="W0i5OnX9">
      <int2:state int2:value="Rejected" int2:type="AugLoop_Text_Critique"/>
    </int2:bookmark>
    <int2:bookmark int2:bookmarkName="_Int_hRRgSgjn" int2:invalidationBookmarkName="" int2:hashCode="M1xMHi8FtSl6Vn" int2:id="dG7DzRAU">
      <int2:state int2:value="Rejected" int2:type="AugLoop_Text_Critique"/>
    </int2:bookmark>
    <int2:bookmark int2:bookmarkName="_Int_hkp3ZgBP" int2:invalidationBookmarkName="" int2:hashCode="ZanletI6wlweVG" int2:id="edIUyNhw">
      <int2:state int2:value="Rejected" int2:type="AugLoop_Text_Critique"/>
    </int2:bookmark>
    <int2:bookmark int2:bookmarkName="_Int_p6Jj6gyl" int2:invalidationBookmarkName="" int2:hashCode="hJAMto6HXZnHv3" int2:id="JHtPxFwJ">
      <int2:state int2:value="Rejected" int2:type="AugLoop_Text_Critique"/>
    </int2:bookmark>
    <int2:bookmark int2:bookmarkName="_Int_rezBGoQt" int2:invalidationBookmarkName="" int2:hashCode="FXS923XHim/SJR" int2:id="ColQqfk3">
      <int2:state int2:value="Rejected" int2:type="AugLoop_Text_Critique"/>
    </int2:bookmark>
    <int2:bookmark int2:bookmarkName="_Int_MwOCYyM0" int2:invalidationBookmarkName="" int2:hashCode="rbX4KCL8rha8Av" int2:id="VWxpF9bI">
      <int2:state int2:value="Rejected" int2:type="AugLoop_Text_Critique"/>
    </int2:bookmark>
    <int2:bookmark int2:bookmarkName="_Int_JsJEO9Hl" int2:invalidationBookmarkName="" int2:hashCode="tH82PitDDAZH8U" int2:id="aUo98E8U">
      <int2:state int2:value="Rejected" int2:type="AugLoop_Text_Critique"/>
    </int2:bookmark>
    <int2:bookmark int2:bookmarkName="_Int_JFATdp9o" int2:invalidationBookmarkName="" int2:hashCode="keiF2OWvs635Oa" int2:id="0KnJoF8X">
      <int2:state int2:value="Rejected" int2:type="AugLoop_Text_Critique"/>
    </int2:bookmark>
    <int2:bookmark int2:bookmarkName="_Int_PZIsCzDE" int2:invalidationBookmarkName="" int2:hashCode="vTQ6RQCQf2J9Ff" int2:id="TDjfy76E">
      <int2:state int2:value="Rejected" int2:type="AugLoop_Text_Critique"/>
    </int2:bookmark>
    <int2:bookmark int2:bookmarkName="_Int_X42HB1EF" int2:invalidationBookmarkName="" int2:hashCode="Misg/15vGxeaYP" int2:id="qeQJ6SbC">
      <int2:state int2:value="Rejected" int2:type="AugLoop_Text_Critique"/>
    </int2:bookmark>
    <int2:bookmark int2:bookmarkName="_Int_0AH7Vd34" int2:invalidationBookmarkName="" int2:hashCode="DnfKAEcAKPtOFp" int2:id="W5Th2dy3">
      <int2:state int2:value="Rejected" int2:type="AugLoop_Text_Critique"/>
    </int2:bookmark>
    <int2:bookmark int2:bookmarkName="_Int_CjFwjMCI" int2:invalidationBookmarkName="" int2:hashCode="VRyAVr/dM977IK" int2:id="esgqLvH9">
      <int2:state int2:value="Rejected" int2:type="AugLoop_Text_Critique"/>
    </int2:bookmark>
    <int2:bookmark int2:bookmarkName="_Int_FAIHFDgt" int2:invalidationBookmarkName="" int2:hashCode="PnzlC+gY9xrDTS" int2:id="ESWUqqmC">
      <int2:state int2:value="Rejected" int2:type="AugLoop_Text_Critique"/>
    </int2:bookmark>
    <int2:bookmark int2:bookmarkName="_Int_4GdHRHq9" int2:invalidationBookmarkName="" int2:hashCode="s4nYnOhSAw/+QB" int2:id="J7J1yH4G">
      <int2:state int2:value="Rejected" int2:type="AugLoop_Text_Critique"/>
    </int2:bookmark>
    <int2:bookmark int2:bookmarkName="_Int_dX1INlWd" int2:invalidationBookmarkName="" int2:hashCode="rEq+feTRu6hrJg" int2:id="zWbR8kwz">
      <int2:state int2:value="Rejected" int2:type="AugLoop_Text_Critique"/>
    </int2:bookmark>
    <int2:bookmark int2:bookmarkName="_Int_JtMa6Wxv" int2:invalidationBookmarkName="" int2:hashCode="rEq+feTRu6hrJg" int2:id="DSeZGU4j">
      <int2:state int2:value="Rejected" int2:type="AugLoop_Text_Critique"/>
    </int2:bookmark>
    <int2:bookmark int2:bookmarkName="_Int_aWd8KSSn" int2:invalidationBookmarkName="" int2:hashCode="IEEkdmk2qlIoq+" int2:id="crz17x4n">
      <int2:state int2:value="Rejected" int2:type="AugLoop_Text_Critique"/>
    </int2:bookmark>
    <int2:bookmark int2:bookmarkName="_Int_Bm9Ni3dB" int2:invalidationBookmarkName="" int2:hashCode="6qL6T6GUJZY8y9" int2:id="Jw1Av6az">
      <int2:state int2:value="Rejected" int2:type="AugLoop_Text_Critique"/>
    </int2:bookmark>
    <int2:bookmark int2:bookmarkName="_Int_0qc3tYVo" int2:invalidationBookmarkName="" int2:hashCode="dalNooyseA++F1" int2:id="9KNdpij3">
      <int2:state int2:value="Rejected" int2:type="AugLoop_Text_Critique"/>
    </int2:bookmark>
    <int2:bookmark int2:bookmarkName="_Int_e6nf59yC" int2:invalidationBookmarkName="" int2:hashCode="a7X/VNNYq0VXgz" int2:id="axQAVjxz">
      <int2:state int2:value="Rejected" int2:type="AugLoop_Text_Critique"/>
    </int2:bookmark>
    <int2:bookmark int2:bookmarkName="_Int_Wbzlch0y" int2:invalidationBookmarkName="" int2:hashCode="GnfUFiJMu+d6Q5" int2:id="UvdGMG4M">
      <int2:state int2:value="Rejected" int2:type="AugLoop_Text_Critique"/>
    </int2:bookmark>
    <int2:bookmark int2:bookmarkName="_Int_dNC1xr9K" int2:invalidationBookmarkName="" int2:hashCode="IEEkdmk2qlIoq+" int2:id="VDeW1cr3">
      <int2:state int2:value="Rejected" int2:type="AugLoop_Text_Critique"/>
    </int2:bookmark>
    <int2:bookmark int2:bookmarkName="_Int_RVanVwKh" int2:invalidationBookmarkName="" int2:hashCode="PnzlC+gY9xrDTS" int2:id="ZymE0Vl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2504F"/>
    <w:multiLevelType w:val="hybridMultilevel"/>
    <w:tmpl w:val="1A1E5698"/>
    <w:lvl w:ilvl="0" w:tplc="610C95D0">
      <w:start w:val="1"/>
      <w:numFmt w:val="bullet"/>
      <w:lvlText w:val=""/>
      <w:lvlJc w:val="left"/>
      <w:pPr>
        <w:ind w:left="720" w:hanging="360"/>
      </w:pPr>
      <w:rPr>
        <w:rFonts w:ascii="Symbol" w:hAnsi="Symbol" w:hint="default"/>
      </w:rPr>
    </w:lvl>
    <w:lvl w:ilvl="1" w:tplc="D632CCFA">
      <w:start w:val="1"/>
      <w:numFmt w:val="bullet"/>
      <w:lvlText w:val="o"/>
      <w:lvlJc w:val="left"/>
      <w:pPr>
        <w:ind w:left="1440" w:hanging="360"/>
      </w:pPr>
      <w:rPr>
        <w:rFonts w:ascii="Courier New" w:hAnsi="Courier New" w:hint="default"/>
      </w:rPr>
    </w:lvl>
    <w:lvl w:ilvl="2" w:tplc="274E3E36">
      <w:start w:val="1"/>
      <w:numFmt w:val="bullet"/>
      <w:lvlText w:val=""/>
      <w:lvlJc w:val="left"/>
      <w:pPr>
        <w:ind w:left="2160" w:hanging="360"/>
      </w:pPr>
      <w:rPr>
        <w:rFonts w:ascii="Wingdings" w:hAnsi="Wingdings" w:hint="default"/>
      </w:rPr>
    </w:lvl>
    <w:lvl w:ilvl="3" w:tplc="EF0AF782">
      <w:start w:val="1"/>
      <w:numFmt w:val="bullet"/>
      <w:lvlText w:val=""/>
      <w:lvlJc w:val="left"/>
      <w:pPr>
        <w:ind w:left="2880" w:hanging="360"/>
      </w:pPr>
      <w:rPr>
        <w:rFonts w:ascii="Symbol" w:hAnsi="Symbol" w:hint="default"/>
      </w:rPr>
    </w:lvl>
    <w:lvl w:ilvl="4" w:tplc="E468E4D8">
      <w:start w:val="1"/>
      <w:numFmt w:val="bullet"/>
      <w:lvlText w:val="o"/>
      <w:lvlJc w:val="left"/>
      <w:pPr>
        <w:ind w:left="3600" w:hanging="360"/>
      </w:pPr>
      <w:rPr>
        <w:rFonts w:ascii="Courier New" w:hAnsi="Courier New" w:hint="default"/>
      </w:rPr>
    </w:lvl>
    <w:lvl w:ilvl="5" w:tplc="DCB2263C">
      <w:start w:val="1"/>
      <w:numFmt w:val="bullet"/>
      <w:lvlText w:val=""/>
      <w:lvlJc w:val="left"/>
      <w:pPr>
        <w:ind w:left="4320" w:hanging="360"/>
      </w:pPr>
      <w:rPr>
        <w:rFonts w:ascii="Wingdings" w:hAnsi="Wingdings" w:hint="default"/>
      </w:rPr>
    </w:lvl>
    <w:lvl w:ilvl="6" w:tplc="2480CC4E">
      <w:start w:val="1"/>
      <w:numFmt w:val="bullet"/>
      <w:lvlText w:val=""/>
      <w:lvlJc w:val="left"/>
      <w:pPr>
        <w:ind w:left="5040" w:hanging="360"/>
      </w:pPr>
      <w:rPr>
        <w:rFonts w:ascii="Symbol" w:hAnsi="Symbol" w:hint="default"/>
      </w:rPr>
    </w:lvl>
    <w:lvl w:ilvl="7" w:tplc="65E8E008">
      <w:start w:val="1"/>
      <w:numFmt w:val="bullet"/>
      <w:lvlText w:val="o"/>
      <w:lvlJc w:val="left"/>
      <w:pPr>
        <w:ind w:left="5760" w:hanging="360"/>
      </w:pPr>
      <w:rPr>
        <w:rFonts w:ascii="Courier New" w:hAnsi="Courier New" w:hint="default"/>
      </w:rPr>
    </w:lvl>
    <w:lvl w:ilvl="8" w:tplc="53900F38">
      <w:start w:val="1"/>
      <w:numFmt w:val="bullet"/>
      <w:lvlText w:val=""/>
      <w:lvlJc w:val="left"/>
      <w:pPr>
        <w:ind w:left="6480" w:hanging="360"/>
      </w:pPr>
      <w:rPr>
        <w:rFonts w:ascii="Wingdings" w:hAnsi="Wingdings" w:hint="default"/>
      </w:rPr>
    </w:lvl>
  </w:abstractNum>
  <w:abstractNum w:abstractNumId="1" w15:restartNumberingAfterBreak="0">
    <w:nsid w:val="12A28D5C"/>
    <w:multiLevelType w:val="hybridMultilevel"/>
    <w:tmpl w:val="5FF48F1C"/>
    <w:lvl w:ilvl="0" w:tplc="AE2EA7E8">
      <w:start w:val="1"/>
      <w:numFmt w:val="bullet"/>
      <w:lvlText w:val=""/>
      <w:lvlJc w:val="left"/>
      <w:pPr>
        <w:ind w:left="720" w:hanging="360"/>
      </w:pPr>
      <w:rPr>
        <w:rFonts w:ascii="Symbol" w:hAnsi="Symbol" w:hint="default"/>
      </w:rPr>
    </w:lvl>
    <w:lvl w:ilvl="1" w:tplc="19B485BA">
      <w:start w:val="1"/>
      <w:numFmt w:val="bullet"/>
      <w:lvlText w:val="o"/>
      <w:lvlJc w:val="left"/>
      <w:pPr>
        <w:ind w:left="1440" w:hanging="360"/>
      </w:pPr>
      <w:rPr>
        <w:rFonts w:ascii="Courier New" w:hAnsi="Courier New" w:hint="default"/>
      </w:rPr>
    </w:lvl>
    <w:lvl w:ilvl="2" w:tplc="9A88F3C6">
      <w:start w:val="1"/>
      <w:numFmt w:val="bullet"/>
      <w:lvlText w:val=""/>
      <w:lvlJc w:val="left"/>
      <w:pPr>
        <w:ind w:left="2160" w:hanging="360"/>
      </w:pPr>
      <w:rPr>
        <w:rFonts w:ascii="Wingdings" w:hAnsi="Wingdings" w:hint="default"/>
      </w:rPr>
    </w:lvl>
    <w:lvl w:ilvl="3" w:tplc="AAB4614E">
      <w:start w:val="1"/>
      <w:numFmt w:val="bullet"/>
      <w:lvlText w:val=""/>
      <w:lvlJc w:val="left"/>
      <w:pPr>
        <w:ind w:left="2880" w:hanging="360"/>
      </w:pPr>
      <w:rPr>
        <w:rFonts w:ascii="Symbol" w:hAnsi="Symbol" w:hint="default"/>
      </w:rPr>
    </w:lvl>
    <w:lvl w:ilvl="4" w:tplc="424CDE66">
      <w:start w:val="1"/>
      <w:numFmt w:val="bullet"/>
      <w:lvlText w:val="o"/>
      <w:lvlJc w:val="left"/>
      <w:pPr>
        <w:ind w:left="3600" w:hanging="360"/>
      </w:pPr>
      <w:rPr>
        <w:rFonts w:ascii="Courier New" w:hAnsi="Courier New" w:hint="default"/>
      </w:rPr>
    </w:lvl>
    <w:lvl w:ilvl="5" w:tplc="8EBAF64A">
      <w:start w:val="1"/>
      <w:numFmt w:val="bullet"/>
      <w:lvlText w:val=""/>
      <w:lvlJc w:val="left"/>
      <w:pPr>
        <w:ind w:left="4320" w:hanging="360"/>
      </w:pPr>
      <w:rPr>
        <w:rFonts w:ascii="Wingdings" w:hAnsi="Wingdings" w:hint="default"/>
      </w:rPr>
    </w:lvl>
    <w:lvl w:ilvl="6" w:tplc="190AD6B0">
      <w:start w:val="1"/>
      <w:numFmt w:val="bullet"/>
      <w:lvlText w:val=""/>
      <w:lvlJc w:val="left"/>
      <w:pPr>
        <w:ind w:left="5040" w:hanging="360"/>
      </w:pPr>
      <w:rPr>
        <w:rFonts w:ascii="Symbol" w:hAnsi="Symbol" w:hint="default"/>
      </w:rPr>
    </w:lvl>
    <w:lvl w:ilvl="7" w:tplc="970C1D56">
      <w:start w:val="1"/>
      <w:numFmt w:val="bullet"/>
      <w:lvlText w:val="o"/>
      <w:lvlJc w:val="left"/>
      <w:pPr>
        <w:ind w:left="5760" w:hanging="360"/>
      </w:pPr>
      <w:rPr>
        <w:rFonts w:ascii="Courier New" w:hAnsi="Courier New" w:hint="default"/>
      </w:rPr>
    </w:lvl>
    <w:lvl w:ilvl="8" w:tplc="C4127248">
      <w:start w:val="1"/>
      <w:numFmt w:val="bullet"/>
      <w:lvlText w:val=""/>
      <w:lvlJc w:val="left"/>
      <w:pPr>
        <w:ind w:left="6480" w:hanging="360"/>
      </w:pPr>
      <w:rPr>
        <w:rFonts w:ascii="Wingdings" w:hAnsi="Wingdings" w:hint="default"/>
      </w:rPr>
    </w:lvl>
  </w:abstractNum>
  <w:abstractNum w:abstractNumId="2" w15:restartNumberingAfterBreak="0">
    <w:nsid w:val="14C52ED2"/>
    <w:multiLevelType w:val="hybridMultilevel"/>
    <w:tmpl w:val="D2EC273C"/>
    <w:lvl w:ilvl="0" w:tplc="6D18A688">
      <w:start w:val="1"/>
      <w:numFmt w:val="decimal"/>
      <w:lvlText w:val="%1."/>
      <w:lvlJc w:val="left"/>
      <w:pPr>
        <w:ind w:left="720" w:hanging="360"/>
      </w:pPr>
    </w:lvl>
    <w:lvl w:ilvl="1" w:tplc="2DE626E0">
      <w:start w:val="1"/>
      <w:numFmt w:val="lowerLetter"/>
      <w:lvlText w:val="%2."/>
      <w:lvlJc w:val="left"/>
      <w:pPr>
        <w:ind w:left="1440" w:hanging="360"/>
      </w:pPr>
    </w:lvl>
    <w:lvl w:ilvl="2" w:tplc="B7420FAE">
      <w:start w:val="1"/>
      <w:numFmt w:val="lowerRoman"/>
      <w:lvlText w:val="%3."/>
      <w:lvlJc w:val="right"/>
      <w:pPr>
        <w:ind w:left="2160" w:hanging="180"/>
      </w:pPr>
    </w:lvl>
    <w:lvl w:ilvl="3" w:tplc="0B087ED4">
      <w:start w:val="1"/>
      <w:numFmt w:val="decimal"/>
      <w:lvlText w:val="%4."/>
      <w:lvlJc w:val="left"/>
      <w:pPr>
        <w:ind w:left="2880" w:hanging="360"/>
      </w:pPr>
    </w:lvl>
    <w:lvl w:ilvl="4" w:tplc="152C8924">
      <w:start w:val="1"/>
      <w:numFmt w:val="lowerLetter"/>
      <w:lvlText w:val="%5."/>
      <w:lvlJc w:val="left"/>
      <w:pPr>
        <w:ind w:left="3600" w:hanging="360"/>
      </w:pPr>
    </w:lvl>
    <w:lvl w:ilvl="5" w:tplc="A69C24C2">
      <w:start w:val="1"/>
      <w:numFmt w:val="lowerRoman"/>
      <w:lvlText w:val="%6."/>
      <w:lvlJc w:val="right"/>
      <w:pPr>
        <w:ind w:left="4320" w:hanging="180"/>
      </w:pPr>
    </w:lvl>
    <w:lvl w:ilvl="6" w:tplc="A582E146">
      <w:start w:val="1"/>
      <w:numFmt w:val="decimal"/>
      <w:lvlText w:val="%7."/>
      <w:lvlJc w:val="left"/>
      <w:pPr>
        <w:ind w:left="5040" w:hanging="360"/>
      </w:pPr>
    </w:lvl>
    <w:lvl w:ilvl="7" w:tplc="DC5A05D4">
      <w:start w:val="1"/>
      <w:numFmt w:val="lowerLetter"/>
      <w:lvlText w:val="%8."/>
      <w:lvlJc w:val="left"/>
      <w:pPr>
        <w:ind w:left="5760" w:hanging="360"/>
      </w:pPr>
    </w:lvl>
    <w:lvl w:ilvl="8" w:tplc="15B645FC">
      <w:start w:val="1"/>
      <w:numFmt w:val="lowerRoman"/>
      <w:lvlText w:val="%9."/>
      <w:lvlJc w:val="right"/>
      <w:pPr>
        <w:ind w:left="6480" w:hanging="180"/>
      </w:pPr>
    </w:lvl>
  </w:abstractNum>
  <w:abstractNum w:abstractNumId="3" w15:restartNumberingAfterBreak="0">
    <w:nsid w:val="193B08FD"/>
    <w:multiLevelType w:val="hybridMultilevel"/>
    <w:tmpl w:val="2370D43A"/>
    <w:lvl w:ilvl="0" w:tplc="2B1E8970">
      <w:start w:val="1"/>
      <w:numFmt w:val="bullet"/>
      <w:lvlText w:val=""/>
      <w:lvlJc w:val="left"/>
      <w:pPr>
        <w:ind w:left="720" w:hanging="360"/>
      </w:pPr>
      <w:rPr>
        <w:rFonts w:ascii="Symbol" w:hAnsi="Symbol" w:hint="default"/>
      </w:rPr>
    </w:lvl>
    <w:lvl w:ilvl="1" w:tplc="FE662402">
      <w:start w:val="1"/>
      <w:numFmt w:val="bullet"/>
      <w:lvlText w:val="o"/>
      <w:lvlJc w:val="left"/>
      <w:pPr>
        <w:ind w:left="1440" w:hanging="360"/>
      </w:pPr>
      <w:rPr>
        <w:rFonts w:ascii="Courier New" w:hAnsi="Courier New" w:hint="default"/>
      </w:rPr>
    </w:lvl>
    <w:lvl w:ilvl="2" w:tplc="B85E74C2">
      <w:start w:val="1"/>
      <w:numFmt w:val="bullet"/>
      <w:lvlText w:val=""/>
      <w:lvlJc w:val="left"/>
      <w:pPr>
        <w:ind w:left="2160" w:hanging="360"/>
      </w:pPr>
      <w:rPr>
        <w:rFonts w:ascii="Wingdings" w:hAnsi="Wingdings" w:hint="default"/>
      </w:rPr>
    </w:lvl>
    <w:lvl w:ilvl="3" w:tplc="C142800C">
      <w:start w:val="1"/>
      <w:numFmt w:val="bullet"/>
      <w:lvlText w:val=""/>
      <w:lvlJc w:val="left"/>
      <w:pPr>
        <w:ind w:left="2880" w:hanging="360"/>
      </w:pPr>
      <w:rPr>
        <w:rFonts w:ascii="Symbol" w:hAnsi="Symbol" w:hint="default"/>
      </w:rPr>
    </w:lvl>
    <w:lvl w:ilvl="4" w:tplc="B4F22F04">
      <w:start w:val="1"/>
      <w:numFmt w:val="bullet"/>
      <w:lvlText w:val="o"/>
      <w:lvlJc w:val="left"/>
      <w:pPr>
        <w:ind w:left="3600" w:hanging="360"/>
      </w:pPr>
      <w:rPr>
        <w:rFonts w:ascii="Courier New" w:hAnsi="Courier New" w:hint="default"/>
      </w:rPr>
    </w:lvl>
    <w:lvl w:ilvl="5" w:tplc="2848D8CA">
      <w:start w:val="1"/>
      <w:numFmt w:val="bullet"/>
      <w:lvlText w:val=""/>
      <w:lvlJc w:val="left"/>
      <w:pPr>
        <w:ind w:left="4320" w:hanging="360"/>
      </w:pPr>
      <w:rPr>
        <w:rFonts w:ascii="Wingdings" w:hAnsi="Wingdings" w:hint="default"/>
      </w:rPr>
    </w:lvl>
    <w:lvl w:ilvl="6" w:tplc="69DA675E">
      <w:start w:val="1"/>
      <w:numFmt w:val="bullet"/>
      <w:lvlText w:val=""/>
      <w:lvlJc w:val="left"/>
      <w:pPr>
        <w:ind w:left="5040" w:hanging="360"/>
      </w:pPr>
      <w:rPr>
        <w:rFonts w:ascii="Symbol" w:hAnsi="Symbol" w:hint="default"/>
      </w:rPr>
    </w:lvl>
    <w:lvl w:ilvl="7" w:tplc="FA54F3EC">
      <w:start w:val="1"/>
      <w:numFmt w:val="bullet"/>
      <w:lvlText w:val="o"/>
      <w:lvlJc w:val="left"/>
      <w:pPr>
        <w:ind w:left="5760" w:hanging="360"/>
      </w:pPr>
      <w:rPr>
        <w:rFonts w:ascii="Courier New" w:hAnsi="Courier New" w:hint="default"/>
      </w:rPr>
    </w:lvl>
    <w:lvl w:ilvl="8" w:tplc="4800BF1C">
      <w:start w:val="1"/>
      <w:numFmt w:val="bullet"/>
      <w:lvlText w:val=""/>
      <w:lvlJc w:val="left"/>
      <w:pPr>
        <w:ind w:left="6480" w:hanging="360"/>
      </w:pPr>
      <w:rPr>
        <w:rFonts w:ascii="Wingdings" w:hAnsi="Wingdings" w:hint="default"/>
      </w:rPr>
    </w:lvl>
  </w:abstractNum>
  <w:abstractNum w:abstractNumId="4" w15:restartNumberingAfterBreak="0">
    <w:nsid w:val="1BB63F0C"/>
    <w:multiLevelType w:val="hybridMultilevel"/>
    <w:tmpl w:val="61A4344C"/>
    <w:lvl w:ilvl="0" w:tplc="B46AC33A">
      <w:start w:val="1"/>
      <w:numFmt w:val="decimal"/>
      <w:lvlText w:val="%1."/>
      <w:lvlJc w:val="left"/>
      <w:pPr>
        <w:ind w:left="720" w:hanging="360"/>
      </w:pPr>
    </w:lvl>
    <w:lvl w:ilvl="1" w:tplc="2620ECB2">
      <w:start w:val="1"/>
      <w:numFmt w:val="lowerLetter"/>
      <w:lvlText w:val="%2."/>
      <w:lvlJc w:val="left"/>
      <w:pPr>
        <w:ind w:left="1440" w:hanging="360"/>
      </w:pPr>
    </w:lvl>
    <w:lvl w:ilvl="2" w:tplc="07ACA54A">
      <w:start w:val="1"/>
      <w:numFmt w:val="lowerRoman"/>
      <w:lvlText w:val="%3."/>
      <w:lvlJc w:val="right"/>
      <w:pPr>
        <w:ind w:left="2160" w:hanging="180"/>
      </w:pPr>
    </w:lvl>
    <w:lvl w:ilvl="3" w:tplc="B356928C">
      <w:start w:val="1"/>
      <w:numFmt w:val="decimal"/>
      <w:lvlText w:val="%4."/>
      <w:lvlJc w:val="left"/>
      <w:pPr>
        <w:ind w:left="2880" w:hanging="360"/>
      </w:pPr>
    </w:lvl>
    <w:lvl w:ilvl="4" w:tplc="9A52DAD8">
      <w:start w:val="1"/>
      <w:numFmt w:val="lowerLetter"/>
      <w:lvlText w:val="%5."/>
      <w:lvlJc w:val="left"/>
      <w:pPr>
        <w:ind w:left="3600" w:hanging="360"/>
      </w:pPr>
    </w:lvl>
    <w:lvl w:ilvl="5" w:tplc="09EE3E9C">
      <w:start w:val="1"/>
      <w:numFmt w:val="lowerRoman"/>
      <w:lvlText w:val="%6."/>
      <w:lvlJc w:val="right"/>
      <w:pPr>
        <w:ind w:left="4320" w:hanging="180"/>
      </w:pPr>
    </w:lvl>
    <w:lvl w:ilvl="6" w:tplc="3AE82A9C">
      <w:start w:val="1"/>
      <w:numFmt w:val="decimal"/>
      <w:lvlText w:val="%7."/>
      <w:lvlJc w:val="left"/>
      <w:pPr>
        <w:ind w:left="5040" w:hanging="360"/>
      </w:pPr>
    </w:lvl>
    <w:lvl w:ilvl="7" w:tplc="F6FCE24A">
      <w:start w:val="1"/>
      <w:numFmt w:val="lowerLetter"/>
      <w:lvlText w:val="%8."/>
      <w:lvlJc w:val="left"/>
      <w:pPr>
        <w:ind w:left="5760" w:hanging="360"/>
      </w:pPr>
    </w:lvl>
    <w:lvl w:ilvl="8" w:tplc="D5D84A72">
      <w:start w:val="1"/>
      <w:numFmt w:val="lowerRoman"/>
      <w:lvlText w:val="%9."/>
      <w:lvlJc w:val="right"/>
      <w:pPr>
        <w:ind w:left="6480" w:hanging="180"/>
      </w:pPr>
    </w:lvl>
  </w:abstractNum>
  <w:abstractNum w:abstractNumId="5" w15:restartNumberingAfterBreak="0">
    <w:nsid w:val="237B5900"/>
    <w:multiLevelType w:val="hybridMultilevel"/>
    <w:tmpl w:val="5D9ECBA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3DE0E17"/>
    <w:multiLevelType w:val="hybridMultilevel"/>
    <w:tmpl w:val="74C07360"/>
    <w:lvl w:ilvl="0" w:tplc="C380C276">
      <w:start w:val="1"/>
      <w:numFmt w:val="bullet"/>
      <w:lvlText w:val=""/>
      <w:lvlJc w:val="left"/>
      <w:pPr>
        <w:ind w:left="720" w:hanging="360"/>
      </w:pPr>
      <w:rPr>
        <w:rFonts w:ascii="Symbol" w:hAnsi="Symbol" w:hint="default"/>
      </w:rPr>
    </w:lvl>
    <w:lvl w:ilvl="1" w:tplc="E5324242">
      <w:start w:val="1"/>
      <w:numFmt w:val="bullet"/>
      <w:lvlText w:val="o"/>
      <w:lvlJc w:val="left"/>
      <w:pPr>
        <w:ind w:left="1440" w:hanging="360"/>
      </w:pPr>
      <w:rPr>
        <w:rFonts w:ascii="Courier New" w:hAnsi="Courier New" w:hint="default"/>
      </w:rPr>
    </w:lvl>
    <w:lvl w:ilvl="2" w:tplc="3FD6595E">
      <w:start w:val="1"/>
      <w:numFmt w:val="bullet"/>
      <w:lvlText w:val=""/>
      <w:lvlJc w:val="left"/>
      <w:pPr>
        <w:ind w:left="2160" w:hanging="360"/>
      </w:pPr>
      <w:rPr>
        <w:rFonts w:ascii="Wingdings" w:hAnsi="Wingdings" w:hint="default"/>
      </w:rPr>
    </w:lvl>
    <w:lvl w:ilvl="3" w:tplc="0268BF6C">
      <w:start w:val="1"/>
      <w:numFmt w:val="bullet"/>
      <w:lvlText w:val=""/>
      <w:lvlJc w:val="left"/>
      <w:pPr>
        <w:ind w:left="2880" w:hanging="360"/>
      </w:pPr>
      <w:rPr>
        <w:rFonts w:ascii="Symbol" w:hAnsi="Symbol" w:hint="default"/>
      </w:rPr>
    </w:lvl>
    <w:lvl w:ilvl="4" w:tplc="425E5C48">
      <w:start w:val="1"/>
      <w:numFmt w:val="bullet"/>
      <w:lvlText w:val="o"/>
      <w:lvlJc w:val="left"/>
      <w:pPr>
        <w:ind w:left="3600" w:hanging="360"/>
      </w:pPr>
      <w:rPr>
        <w:rFonts w:ascii="Courier New" w:hAnsi="Courier New" w:hint="default"/>
      </w:rPr>
    </w:lvl>
    <w:lvl w:ilvl="5" w:tplc="9B72F9FC">
      <w:start w:val="1"/>
      <w:numFmt w:val="bullet"/>
      <w:lvlText w:val=""/>
      <w:lvlJc w:val="left"/>
      <w:pPr>
        <w:ind w:left="4320" w:hanging="360"/>
      </w:pPr>
      <w:rPr>
        <w:rFonts w:ascii="Wingdings" w:hAnsi="Wingdings" w:hint="default"/>
      </w:rPr>
    </w:lvl>
    <w:lvl w:ilvl="6" w:tplc="C162430E">
      <w:start w:val="1"/>
      <w:numFmt w:val="bullet"/>
      <w:lvlText w:val=""/>
      <w:lvlJc w:val="left"/>
      <w:pPr>
        <w:ind w:left="5040" w:hanging="360"/>
      </w:pPr>
      <w:rPr>
        <w:rFonts w:ascii="Symbol" w:hAnsi="Symbol" w:hint="default"/>
      </w:rPr>
    </w:lvl>
    <w:lvl w:ilvl="7" w:tplc="06101176">
      <w:start w:val="1"/>
      <w:numFmt w:val="bullet"/>
      <w:lvlText w:val="o"/>
      <w:lvlJc w:val="left"/>
      <w:pPr>
        <w:ind w:left="5760" w:hanging="360"/>
      </w:pPr>
      <w:rPr>
        <w:rFonts w:ascii="Courier New" w:hAnsi="Courier New" w:hint="default"/>
      </w:rPr>
    </w:lvl>
    <w:lvl w:ilvl="8" w:tplc="48BA87C4">
      <w:start w:val="1"/>
      <w:numFmt w:val="bullet"/>
      <w:lvlText w:val=""/>
      <w:lvlJc w:val="left"/>
      <w:pPr>
        <w:ind w:left="6480" w:hanging="360"/>
      </w:pPr>
      <w:rPr>
        <w:rFonts w:ascii="Wingdings" w:hAnsi="Wingdings" w:hint="default"/>
      </w:rPr>
    </w:lvl>
  </w:abstractNum>
  <w:abstractNum w:abstractNumId="7" w15:restartNumberingAfterBreak="0">
    <w:nsid w:val="24043A62"/>
    <w:multiLevelType w:val="hybridMultilevel"/>
    <w:tmpl w:val="7E46C3C8"/>
    <w:lvl w:ilvl="0" w:tplc="57909848">
      <w:start w:val="1"/>
      <w:numFmt w:val="bullet"/>
      <w:lvlText w:val=""/>
      <w:lvlJc w:val="left"/>
      <w:pPr>
        <w:ind w:left="720" w:hanging="360"/>
      </w:pPr>
      <w:rPr>
        <w:rFonts w:ascii="Symbol" w:hAnsi="Symbol" w:hint="default"/>
      </w:rPr>
    </w:lvl>
    <w:lvl w:ilvl="1" w:tplc="80E06FA8">
      <w:start w:val="1"/>
      <w:numFmt w:val="bullet"/>
      <w:lvlText w:val="o"/>
      <w:lvlJc w:val="left"/>
      <w:pPr>
        <w:ind w:left="1440" w:hanging="360"/>
      </w:pPr>
      <w:rPr>
        <w:rFonts w:ascii="Courier New" w:hAnsi="Courier New" w:hint="default"/>
      </w:rPr>
    </w:lvl>
    <w:lvl w:ilvl="2" w:tplc="EC66C8EE">
      <w:start w:val="1"/>
      <w:numFmt w:val="bullet"/>
      <w:lvlText w:val=""/>
      <w:lvlJc w:val="left"/>
      <w:pPr>
        <w:ind w:left="2160" w:hanging="360"/>
      </w:pPr>
      <w:rPr>
        <w:rFonts w:ascii="Wingdings" w:hAnsi="Wingdings" w:hint="default"/>
      </w:rPr>
    </w:lvl>
    <w:lvl w:ilvl="3" w:tplc="FE522BB2">
      <w:start w:val="1"/>
      <w:numFmt w:val="bullet"/>
      <w:lvlText w:val=""/>
      <w:lvlJc w:val="left"/>
      <w:pPr>
        <w:ind w:left="2880" w:hanging="360"/>
      </w:pPr>
      <w:rPr>
        <w:rFonts w:ascii="Symbol" w:hAnsi="Symbol" w:hint="default"/>
      </w:rPr>
    </w:lvl>
    <w:lvl w:ilvl="4" w:tplc="C67072EE">
      <w:start w:val="1"/>
      <w:numFmt w:val="bullet"/>
      <w:lvlText w:val="o"/>
      <w:lvlJc w:val="left"/>
      <w:pPr>
        <w:ind w:left="3600" w:hanging="360"/>
      </w:pPr>
      <w:rPr>
        <w:rFonts w:ascii="Courier New" w:hAnsi="Courier New" w:hint="default"/>
      </w:rPr>
    </w:lvl>
    <w:lvl w:ilvl="5" w:tplc="9EACAFC4">
      <w:start w:val="1"/>
      <w:numFmt w:val="bullet"/>
      <w:lvlText w:val=""/>
      <w:lvlJc w:val="left"/>
      <w:pPr>
        <w:ind w:left="4320" w:hanging="360"/>
      </w:pPr>
      <w:rPr>
        <w:rFonts w:ascii="Wingdings" w:hAnsi="Wingdings" w:hint="default"/>
      </w:rPr>
    </w:lvl>
    <w:lvl w:ilvl="6" w:tplc="A00ECA30">
      <w:start w:val="1"/>
      <w:numFmt w:val="bullet"/>
      <w:lvlText w:val=""/>
      <w:lvlJc w:val="left"/>
      <w:pPr>
        <w:ind w:left="5040" w:hanging="360"/>
      </w:pPr>
      <w:rPr>
        <w:rFonts w:ascii="Symbol" w:hAnsi="Symbol" w:hint="default"/>
      </w:rPr>
    </w:lvl>
    <w:lvl w:ilvl="7" w:tplc="16FC25D8">
      <w:start w:val="1"/>
      <w:numFmt w:val="bullet"/>
      <w:lvlText w:val="o"/>
      <w:lvlJc w:val="left"/>
      <w:pPr>
        <w:ind w:left="5760" w:hanging="360"/>
      </w:pPr>
      <w:rPr>
        <w:rFonts w:ascii="Courier New" w:hAnsi="Courier New" w:hint="default"/>
      </w:rPr>
    </w:lvl>
    <w:lvl w:ilvl="8" w:tplc="54BE77E6">
      <w:start w:val="1"/>
      <w:numFmt w:val="bullet"/>
      <w:lvlText w:val=""/>
      <w:lvlJc w:val="left"/>
      <w:pPr>
        <w:ind w:left="6480" w:hanging="360"/>
      </w:pPr>
      <w:rPr>
        <w:rFonts w:ascii="Wingdings" w:hAnsi="Wingdings" w:hint="default"/>
      </w:rPr>
    </w:lvl>
  </w:abstractNum>
  <w:abstractNum w:abstractNumId="8" w15:restartNumberingAfterBreak="0">
    <w:nsid w:val="243415FF"/>
    <w:multiLevelType w:val="hybridMultilevel"/>
    <w:tmpl w:val="270EB6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6D345"/>
    <w:multiLevelType w:val="hybridMultilevel"/>
    <w:tmpl w:val="E0BE97C0"/>
    <w:lvl w:ilvl="0" w:tplc="32A07E1E">
      <w:start w:val="1"/>
      <w:numFmt w:val="decimal"/>
      <w:lvlText w:val="%1."/>
      <w:lvlJc w:val="left"/>
      <w:pPr>
        <w:ind w:left="720" w:hanging="360"/>
      </w:pPr>
    </w:lvl>
    <w:lvl w:ilvl="1" w:tplc="A44ECDC2">
      <w:start w:val="1"/>
      <w:numFmt w:val="lowerLetter"/>
      <w:lvlText w:val="%2."/>
      <w:lvlJc w:val="left"/>
      <w:pPr>
        <w:ind w:left="1440" w:hanging="360"/>
      </w:pPr>
    </w:lvl>
    <w:lvl w:ilvl="2" w:tplc="19E6D6AC">
      <w:start w:val="1"/>
      <w:numFmt w:val="lowerRoman"/>
      <w:lvlText w:val="%3."/>
      <w:lvlJc w:val="right"/>
      <w:pPr>
        <w:ind w:left="2160" w:hanging="180"/>
      </w:pPr>
    </w:lvl>
    <w:lvl w:ilvl="3" w:tplc="1D34B1D6">
      <w:start w:val="1"/>
      <w:numFmt w:val="decimal"/>
      <w:lvlText w:val="%4."/>
      <w:lvlJc w:val="left"/>
      <w:pPr>
        <w:ind w:left="2880" w:hanging="360"/>
      </w:pPr>
    </w:lvl>
    <w:lvl w:ilvl="4" w:tplc="CCAEDABA">
      <w:start w:val="1"/>
      <w:numFmt w:val="lowerLetter"/>
      <w:lvlText w:val="%5."/>
      <w:lvlJc w:val="left"/>
      <w:pPr>
        <w:ind w:left="3600" w:hanging="360"/>
      </w:pPr>
    </w:lvl>
    <w:lvl w:ilvl="5" w:tplc="C6DC7D4C">
      <w:start w:val="1"/>
      <w:numFmt w:val="lowerRoman"/>
      <w:lvlText w:val="%6."/>
      <w:lvlJc w:val="right"/>
      <w:pPr>
        <w:ind w:left="4320" w:hanging="180"/>
      </w:pPr>
    </w:lvl>
    <w:lvl w:ilvl="6" w:tplc="6A00FECC">
      <w:start w:val="1"/>
      <w:numFmt w:val="decimal"/>
      <w:lvlText w:val="%7."/>
      <w:lvlJc w:val="left"/>
      <w:pPr>
        <w:ind w:left="5040" w:hanging="360"/>
      </w:pPr>
    </w:lvl>
    <w:lvl w:ilvl="7" w:tplc="6F22D362">
      <w:start w:val="1"/>
      <w:numFmt w:val="lowerLetter"/>
      <w:lvlText w:val="%8."/>
      <w:lvlJc w:val="left"/>
      <w:pPr>
        <w:ind w:left="5760" w:hanging="360"/>
      </w:pPr>
    </w:lvl>
    <w:lvl w:ilvl="8" w:tplc="E634EFE8">
      <w:start w:val="1"/>
      <w:numFmt w:val="lowerRoman"/>
      <w:lvlText w:val="%9."/>
      <w:lvlJc w:val="right"/>
      <w:pPr>
        <w:ind w:left="6480" w:hanging="180"/>
      </w:pPr>
    </w:lvl>
  </w:abstractNum>
  <w:abstractNum w:abstractNumId="10" w15:restartNumberingAfterBreak="0">
    <w:nsid w:val="2F43C777"/>
    <w:multiLevelType w:val="hybridMultilevel"/>
    <w:tmpl w:val="0D804A20"/>
    <w:lvl w:ilvl="0" w:tplc="0A3293A4">
      <w:start w:val="1"/>
      <w:numFmt w:val="bullet"/>
      <w:lvlText w:val=""/>
      <w:lvlJc w:val="left"/>
      <w:pPr>
        <w:ind w:left="720" w:hanging="360"/>
      </w:pPr>
      <w:rPr>
        <w:rFonts w:ascii="Symbol" w:hAnsi="Symbol" w:hint="default"/>
      </w:rPr>
    </w:lvl>
    <w:lvl w:ilvl="1" w:tplc="A810DE10">
      <w:start w:val="1"/>
      <w:numFmt w:val="bullet"/>
      <w:lvlText w:val="o"/>
      <w:lvlJc w:val="left"/>
      <w:pPr>
        <w:ind w:left="1440" w:hanging="360"/>
      </w:pPr>
      <w:rPr>
        <w:rFonts w:ascii="Courier New" w:hAnsi="Courier New" w:hint="default"/>
      </w:rPr>
    </w:lvl>
    <w:lvl w:ilvl="2" w:tplc="A1720C14">
      <w:start w:val="1"/>
      <w:numFmt w:val="bullet"/>
      <w:lvlText w:val=""/>
      <w:lvlJc w:val="left"/>
      <w:pPr>
        <w:ind w:left="2160" w:hanging="360"/>
      </w:pPr>
      <w:rPr>
        <w:rFonts w:ascii="Wingdings" w:hAnsi="Wingdings" w:hint="default"/>
      </w:rPr>
    </w:lvl>
    <w:lvl w:ilvl="3" w:tplc="A4608EFE">
      <w:start w:val="1"/>
      <w:numFmt w:val="bullet"/>
      <w:lvlText w:val=""/>
      <w:lvlJc w:val="left"/>
      <w:pPr>
        <w:ind w:left="2880" w:hanging="360"/>
      </w:pPr>
      <w:rPr>
        <w:rFonts w:ascii="Symbol" w:hAnsi="Symbol" w:hint="default"/>
      </w:rPr>
    </w:lvl>
    <w:lvl w:ilvl="4" w:tplc="37620566">
      <w:start w:val="1"/>
      <w:numFmt w:val="bullet"/>
      <w:lvlText w:val="o"/>
      <w:lvlJc w:val="left"/>
      <w:pPr>
        <w:ind w:left="3600" w:hanging="360"/>
      </w:pPr>
      <w:rPr>
        <w:rFonts w:ascii="Courier New" w:hAnsi="Courier New" w:hint="default"/>
      </w:rPr>
    </w:lvl>
    <w:lvl w:ilvl="5" w:tplc="79CE3DCA">
      <w:start w:val="1"/>
      <w:numFmt w:val="bullet"/>
      <w:lvlText w:val=""/>
      <w:lvlJc w:val="left"/>
      <w:pPr>
        <w:ind w:left="4320" w:hanging="360"/>
      </w:pPr>
      <w:rPr>
        <w:rFonts w:ascii="Wingdings" w:hAnsi="Wingdings" w:hint="default"/>
      </w:rPr>
    </w:lvl>
    <w:lvl w:ilvl="6" w:tplc="E11CA476">
      <w:start w:val="1"/>
      <w:numFmt w:val="bullet"/>
      <w:lvlText w:val=""/>
      <w:lvlJc w:val="left"/>
      <w:pPr>
        <w:ind w:left="5040" w:hanging="360"/>
      </w:pPr>
      <w:rPr>
        <w:rFonts w:ascii="Symbol" w:hAnsi="Symbol" w:hint="default"/>
      </w:rPr>
    </w:lvl>
    <w:lvl w:ilvl="7" w:tplc="C7D4A6D4">
      <w:start w:val="1"/>
      <w:numFmt w:val="bullet"/>
      <w:lvlText w:val="o"/>
      <w:lvlJc w:val="left"/>
      <w:pPr>
        <w:ind w:left="5760" w:hanging="360"/>
      </w:pPr>
      <w:rPr>
        <w:rFonts w:ascii="Courier New" w:hAnsi="Courier New" w:hint="default"/>
      </w:rPr>
    </w:lvl>
    <w:lvl w:ilvl="8" w:tplc="81ECD976">
      <w:start w:val="1"/>
      <w:numFmt w:val="bullet"/>
      <w:lvlText w:val=""/>
      <w:lvlJc w:val="left"/>
      <w:pPr>
        <w:ind w:left="6480" w:hanging="360"/>
      </w:pPr>
      <w:rPr>
        <w:rFonts w:ascii="Wingdings" w:hAnsi="Wingdings" w:hint="default"/>
      </w:rPr>
    </w:lvl>
  </w:abstractNum>
  <w:abstractNum w:abstractNumId="11" w15:restartNumberingAfterBreak="0">
    <w:nsid w:val="2F983FAF"/>
    <w:multiLevelType w:val="hybridMultilevel"/>
    <w:tmpl w:val="ACB89FD0"/>
    <w:lvl w:ilvl="0" w:tplc="8D7C6076">
      <w:start w:val="1"/>
      <w:numFmt w:val="bullet"/>
      <w:lvlText w:val=""/>
      <w:lvlJc w:val="left"/>
      <w:pPr>
        <w:ind w:left="720" w:hanging="360"/>
      </w:pPr>
      <w:rPr>
        <w:rFonts w:ascii="Wingdings" w:hAnsi="Wingdings" w:hint="default"/>
      </w:rPr>
    </w:lvl>
    <w:lvl w:ilvl="1" w:tplc="E9F278CC">
      <w:start w:val="1"/>
      <w:numFmt w:val="bullet"/>
      <w:lvlText w:val="o"/>
      <w:lvlJc w:val="left"/>
      <w:pPr>
        <w:ind w:left="1440" w:hanging="360"/>
      </w:pPr>
      <w:rPr>
        <w:rFonts w:ascii="Courier New" w:hAnsi="Courier New" w:hint="default"/>
      </w:rPr>
    </w:lvl>
    <w:lvl w:ilvl="2" w:tplc="A00EE53A">
      <w:start w:val="1"/>
      <w:numFmt w:val="bullet"/>
      <w:lvlText w:val=""/>
      <w:lvlJc w:val="left"/>
      <w:pPr>
        <w:ind w:left="2160" w:hanging="360"/>
      </w:pPr>
      <w:rPr>
        <w:rFonts w:ascii="Wingdings" w:hAnsi="Wingdings" w:hint="default"/>
      </w:rPr>
    </w:lvl>
    <w:lvl w:ilvl="3" w:tplc="6E60EDBE">
      <w:start w:val="1"/>
      <w:numFmt w:val="bullet"/>
      <w:lvlText w:val=""/>
      <w:lvlJc w:val="left"/>
      <w:pPr>
        <w:ind w:left="2880" w:hanging="360"/>
      </w:pPr>
      <w:rPr>
        <w:rFonts w:ascii="Symbol" w:hAnsi="Symbol" w:hint="default"/>
      </w:rPr>
    </w:lvl>
    <w:lvl w:ilvl="4" w:tplc="42CAB156">
      <w:start w:val="1"/>
      <w:numFmt w:val="bullet"/>
      <w:lvlText w:val="o"/>
      <w:lvlJc w:val="left"/>
      <w:pPr>
        <w:ind w:left="3600" w:hanging="360"/>
      </w:pPr>
      <w:rPr>
        <w:rFonts w:ascii="Courier New" w:hAnsi="Courier New" w:hint="default"/>
      </w:rPr>
    </w:lvl>
    <w:lvl w:ilvl="5" w:tplc="C9381578">
      <w:start w:val="1"/>
      <w:numFmt w:val="bullet"/>
      <w:lvlText w:val=""/>
      <w:lvlJc w:val="left"/>
      <w:pPr>
        <w:ind w:left="4320" w:hanging="360"/>
      </w:pPr>
      <w:rPr>
        <w:rFonts w:ascii="Wingdings" w:hAnsi="Wingdings" w:hint="default"/>
      </w:rPr>
    </w:lvl>
    <w:lvl w:ilvl="6" w:tplc="F050B66C">
      <w:start w:val="1"/>
      <w:numFmt w:val="bullet"/>
      <w:lvlText w:val=""/>
      <w:lvlJc w:val="left"/>
      <w:pPr>
        <w:ind w:left="5040" w:hanging="360"/>
      </w:pPr>
      <w:rPr>
        <w:rFonts w:ascii="Symbol" w:hAnsi="Symbol" w:hint="default"/>
      </w:rPr>
    </w:lvl>
    <w:lvl w:ilvl="7" w:tplc="C5D073F8">
      <w:start w:val="1"/>
      <w:numFmt w:val="bullet"/>
      <w:lvlText w:val="o"/>
      <w:lvlJc w:val="left"/>
      <w:pPr>
        <w:ind w:left="5760" w:hanging="360"/>
      </w:pPr>
      <w:rPr>
        <w:rFonts w:ascii="Courier New" w:hAnsi="Courier New" w:hint="default"/>
      </w:rPr>
    </w:lvl>
    <w:lvl w:ilvl="8" w:tplc="8402D2FE">
      <w:start w:val="1"/>
      <w:numFmt w:val="bullet"/>
      <w:lvlText w:val=""/>
      <w:lvlJc w:val="left"/>
      <w:pPr>
        <w:ind w:left="6480" w:hanging="360"/>
      </w:pPr>
      <w:rPr>
        <w:rFonts w:ascii="Wingdings" w:hAnsi="Wingdings" w:hint="default"/>
      </w:rPr>
    </w:lvl>
  </w:abstractNum>
  <w:abstractNum w:abstractNumId="12" w15:restartNumberingAfterBreak="0">
    <w:nsid w:val="35E92CA9"/>
    <w:multiLevelType w:val="hybridMultilevel"/>
    <w:tmpl w:val="37E814C2"/>
    <w:lvl w:ilvl="0" w:tplc="9C54BE86">
      <w:start w:val="1"/>
      <w:numFmt w:val="bullet"/>
      <w:lvlText w:val=""/>
      <w:lvlJc w:val="left"/>
      <w:pPr>
        <w:ind w:left="720" w:hanging="360"/>
      </w:pPr>
      <w:rPr>
        <w:rFonts w:ascii="Symbol" w:hAnsi="Symbol" w:hint="default"/>
      </w:rPr>
    </w:lvl>
    <w:lvl w:ilvl="1" w:tplc="B52CE72E">
      <w:start w:val="1"/>
      <w:numFmt w:val="bullet"/>
      <w:lvlText w:val="o"/>
      <w:lvlJc w:val="left"/>
      <w:pPr>
        <w:ind w:left="1440" w:hanging="360"/>
      </w:pPr>
      <w:rPr>
        <w:rFonts w:ascii="Courier New" w:hAnsi="Courier New" w:hint="default"/>
      </w:rPr>
    </w:lvl>
    <w:lvl w:ilvl="2" w:tplc="631EF428">
      <w:start w:val="1"/>
      <w:numFmt w:val="bullet"/>
      <w:lvlText w:val=""/>
      <w:lvlJc w:val="left"/>
      <w:pPr>
        <w:ind w:left="2160" w:hanging="360"/>
      </w:pPr>
      <w:rPr>
        <w:rFonts w:ascii="Wingdings" w:hAnsi="Wingdings" w:hint="default"/>
      </w:rPr>
    </w:lvl>
    <w:lvl w:ilvl="3" w:tplc="62EA1788">
      <w:start w:val="1"/>
      <w:numFmt w:val="bullet"/>
      <w:lvlText w:val=""/>
      <w:lvlJc w:val="left"/>
      <w:pPr>
        <w:ind w:left="2880" w:hanging="360"/>
      </w:pPr>
      <w:rPr>
        <w:rFonts w:ascii="Symbol" w:hAnsi="Symbol" w:hint="default"/>
      </w:rPr>
    </w:lvl>
    <w:lvl w:ilvl="4" w:tplc="10F8619E">
      <w:start w:val="1"/>
      <w:numFmt w:val="bullet"/>
      <w:lvlText w:val="o"/>
      <w:lvlJc w:val="left"/>
      <w:pPr>
        <w:ind w:left="3600" w:hanging="360"/>
      </w:pPr>
      <w:rPr>
        <w:rFonts w:ascii="Courier New" w:hAnsi="Courier New" w:hint="default"/>
      </w:rPr>
    </w:lvl>
    <w:lvl w:ilvl="5" w:tplc="44945D48">
      <w:start w:val="1"/>
      <w:numFmt w:val="bullet"/>
      <w:lvlText w:val=""/>
      <w:lvlJc w:val="left"/>
      <w:pPr>
        <w:ind w:left="4320" w:hanging="360"/>
      </w:pPr>
      <w:rPr>
        <w:rFonts w:ascii="Wingdings" w:hAnsi="Wingdings" w:hint="default"/>
      </w:rPr>
    </w:lvl>
    <w:lvl w:ilvl="6" w:tplc="0518B6B6">
      <w:start w:val="1"/>
      <w:numFmt w:val="bullet"/>
      <w:lvlText w:val=""/>
      <w:lvlJc w:val="left"/>
      <w:pPr>
        <w:ind w:left="5040" w:hanging="360"/>
      </w:pPr>
      <w:rPr>
        <w:rFonts w:ascii="Symbol" w:hAnsi="Symbol" w:hint="default"/>
      </w:rPr>
    </w:lvl>
    <w:lvl w:ilvl="7" w:tplc="D97C01D6">
      <w:start w:val="1"/>
      <w:numFmt w:val="bullet"/>
      <w:lvlText w:val="o"/>
      <w:lvlJc w:val="left"/>
      <w:pPr>
        <w:ind w:left="5760" w:hanging="360"/>
      </w:pPr>
      <w:rPr>
        <w:rFonts w:ascii="Courier New" w:hAnsi="Courier New" w:hint="default"/>
      </w:rPr>
    </w:lvl>
    <w:lvl w:ilvl="8" w:tplc="B9904684">
      <w:start w:val="1"/>
      <w:numFmt w:val="bullet"/>
      <w:lvlText w:val=""/>
      <w:lvlJc w:val="left"/>
      <w:pPr>
        <w:ind w:left="6480" w:hanging="360"/>
      </w:pPr>
      <w:rPr>
        <w:rFonts w:ascii="Wingdings" w:hAnsi="Wingdings" w:hint="default"/>
      </w:rPr>
    </w:lvl>
  </w:abstractNum>
  <w:abstractNum w:abstractNumId="13" w15:restartNumberingAfterBreak="0">
    <w:nsid w:val="3BF2D9B3"/>
    <w:multiLevelType w:val="hybridMultilevel"/>
    <w:tmpl w:val="B352E46C"/>
    <w:lvl w:ilvl="0" w:tplc="9E4C4360">
      <w:start w:val="1"/>
      <w:numFmt w:val="bullet"/>
      <w:lvlText w:val=""/>
      <w:lvlJc w:val="left"/>
      <w:pPr>
        <w:ind w:left="720" w:hanging="360"/>
      </w:pPr>
      <w:rPr>
        <w:rFonts w:ascii="Symbol" w:hAnsi="Symbol" w:hint="default"/>
      </w:rPr>
    </w:lvl>
    <w:lvl w:ilvl="1" w:tplc="372E6F3C">
      <w:start w:val="1"/>
      <w:numFmt w:val="bullet"/>
      <w:lvlText w:val="o"/>
      <w:lvlJc w:val="left"/>
      <w:pPr>
        <w:ind w:left="1440" w:hanging="360"/>
      </w:pPr>
      <w:rPr>
        <w:rFonts w:ascii="Courier New" w:hAnsi="Courier New" w:hint="default"/>
      </w:rPr>
    </w:lvl>
    <w:lvl w:ilvl="2" w:tplc="ADA28F6A">
      <w:start w:val="1"/>
      <w:numFmt w:val="bullet"/>
      <w:lvlText w:val=""/>
      <w:lvlJc w:val="left"/>
      <w:pPr>
        <w:ind w:left="2160" w:hanging="360"/>
      </w:pPr>
      <w:rPr>
        <w:rFonts w:ascii="Wingdings" w:hAnsi="Wingdings" w:hint="default"/>
      </w:rPr>
    </w:lvl>
    <w:lvl w:ilvl="3" w:tplc="687612E2">
      <w:start w:val="1"/>
      <w:numFmt w:val="bullet"/>
      <w:lvlText w:val=""/>
      <w:lvlJc w:val="left"/>
      <w:pPr>
        <w:ind w:left="2880" w:hanging="360"/>
      </w:pPr>
      <w:rPr>
        <w:rFonts w:ascii="Symbol" w:hAnsi="Symbol" w:hint="default"/>
      </w:rPr>
    </w:lvl>
    <w:lvl w:ilvl="4" w:tplc="EA36C62A">
      <w:start w:val="1"/>
      <w:numFmt w:val="bullet"/>
      <w:lvlText w:val="o"/>
      <w:lvlJc w:val="left"/>
      <w:pPr>
        <w:ind w:left="3600" w:hanging="360"/>
      </w:pPr>
      <w:rPr>
        <w:rFonts w:ascii="Courier New" w:hAnsi="Courier New" w:hint="default"/>
      </w:rPr>
    </w:lvl>
    <w:lvl w:ilvl="5" w:tplc="EB3E2D36">
      <w:start w:val="1"/>
      <w:numFmt w:val="bullet"/>
      <w:lvlText w:val=""/>
      <w:lvlJc w:val="left"/>
      <w:pPr>
        <w:ind w:left="4320" w:hanging="360"/>
      </w:pPr>
      <w:rPr>
        <w:rFonts w:ascii="Wingdings" w:hAnsi="Wingdings" w:hint="default"/>
      </w:rPr>
    </w:lvl>
    <w:lvl w:ilvl="6" w:tplc="BAA4C970">
      <w:start w:val="1"/>
      <w:numFmt w:val="bullet"/>
      <w:lvlText w:val=""/>
      <w:lvlJc w:val="left"/>
      <w:pPr>
        <w:ind w:left="5040" w:hanging="360"/>
      </w:pPr>
      <w:rPr>
        <w:rFonts w:ascii="Symbol" w:hAnsi="Symbol" w:hint="default"/>
      </w:rPr>
    </w:lvl>
    <w:lvl w:ilvl="7" w:tplc="456E2330">
      <w:start w:val="1"/>
      <w:numFmt w:val="bullet"/>
      <w:lvlText w:val="o"/>
      <w:lvlJc w:val="left"/>
      <w:pPr>
        <w:ind w:left="5760" w:hanging="360"/>
      </w:pPr>
      <w:rPr>
        <w:rFonts w:ascii="Courier New" w:hAnsi="Courier New" w:hint="default"/>
      </w:rPr>
    </w:lvl>
    <w:lvl w:ilvl="8" w:tplc="3C4A4C8E">
      <w:start w:val="1"/>
      <w:numFmt w:val="bullet"/>
      <w:lvlText w:val=""/>
      <w:lvlJc w:val="left"/>
      <w:pPr>
        <w:ind w:left="6480" w:hanging="360"/>
      </w:pPr>
      <w:rPr>
        <w:rFonts w:ascii="Wingdings" w:hAnsi="Wingdings" w:hint="default"/>
      </w:rPr>
    </w:lvl>
  </w:abstractNum>
  <w:abstractNum w:abstractNumId="14" w15:restartNumberingAfterBreak="0">
    <w:nsid w:val="40045B78"/>
    <w:multiLevelType w:val="hybridMultilevel"/>
    <w:tmpl w:val="88A0CD32"/>
    <w:lvl w:ilvl="0" w:tplc="8BA6FE38">
      <w:start w:val="1"/>
      <w:numFmt w:val="decimal"/>
      <w:lvlText w:val="%1."/>
      <w:lvlJc w:val="left"/>
      <w:pPr>
        <w:ind w:left="720" w:hanging="360"/>
      </w:pPr>
    </w:lvl>
    <w:lvl w:ilvl="1" w:tplc="67209376">
      <w:start w:val="1"/>
      <w:numFmt w:val="lowerLetter"/>
      <w:lvlText w:val="%2."/>
      <w:lvlJc w:val="left"/>
      <w:pPr>
        <w:ind w:left="1440" w:hanging="360"/>
      </w:pPr>
    </w:lvl>
    <w:lvl w:ilvl="2" w:tplc="B058BF2C">
      <w:start w:val="1"/>
      <w:numFmt w:val="lowerRoman"/>
      <w:lvlText w:val="%3."/>
      <w:lvlJc w:val="right"/>
      <w:pPr>
        <w:ind w:left="2160" w:hanging="180"/>
      </w:pPr>
    </w:lvl>
    <w:lvl w:ilvl="3" w:tplc="6D5CCD9A">
      <w:start w:val="1"/>
      <w:numFmt w:val="decimal"/>
      <w:lvlText w:val="%4."/>
      <w:lvlJc w:val="left"/>
      <w:pPr>
        <w:ind w:left="2880" w:hanging="360"/>
      </w:pPr>
    </w:lvl>
    <w:lvl w:ilvl="4" w:tplc="222A2CC0">
      <w:start w:val="1"/>
      <w:numFmt w:val="lowerLetter"/>
      <w:lvlText w:val="%5."/>
      <w:lvlJc w:val="left"/>
      <w:pPr>
        <w:ind w:left="3600" w:hanging="360"/>
      </w:pPr>
    </w:lvl>
    <w:lvl w:ilvl="5" w:tplc="179C035C">
      <w:start w:val="1"/>
      <w:numFmt w:val="lowerRoman"/>
      <w:lvlText w:val="%6."/>
      <w:lvlJc w:val="right"/>
      <w:pPr>
        <w:ind w:left="4320" w:hanging="180"/>
      </w:pPr>
    </w:lvl>
    <w:lvl w:ilvl="6" w:tplc="36D63FA2">
      <w:start w:val="1"/>
      <w:numFmt w:val="decimal"/>
      <w:lvlText w:val="%7."/>
      <w:lvlJc w:val="left"/>
      <w:pPr>
        <w:ind w:left="5040" w:hanging="360"/>
      </w:pPr>
    </w:lvl>
    <w:lvl w:ilvl="7" w:tplc="ACC479AE">
      <w:start w:val="1"/>
      <w:numFmt w:val="lowerLetter"/>
      <w:lvlText w:val="%8."/>
      <w:lvlJc w:val="left"/>
      <w:pPr>
        <w:ind w:left="5760" w:hanging="360"/>
      </w:pPr>
    </w:lvl>
    <w:lvl w:ilvl="8" w:tplc="7A104204">
      <w:start w:val="1"/>
      <w:numFmt w:val="lowerRoman"/>
      <w:lvlText w:val="%9."/>
      <w:lvlJc w:val="right"/>
      <w:pPr>
        <w:ind w:left="6480" w:hanging="180"/>
      </w:pPr>
    </w:lvl>
  </w:abstractNum>
  <w:abstractNum w:abstractNumId="15" w15:restartNumberingAfterBreak="0">
    <w:nsid w:val="40275492"/>
    <w:multiLevelType w:val="hybridMultilevel"/>
    <w:tmpl w:val="0C349A12"/>
    <w:lvl w:ilvl="0" w:tplc="E3A0FE36">
      <w:numFmt w:val="decimal"/>
      <w:lvlText w:val="%1"/>
      <w:lvlJc w:val="left"/>
      <w:pPr>
        <w:ind w:left="1800" w:hanging="1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A66434"/>
    <w:multiLevelType w:val="hybridMultilevel"/>
    <w:tmpl w:val="6DDAAE9C"/>
    <w:lvl w:ilvl="0" w:tplc="0316CC94">
      <w:start w:val="1"/>
      <w:numFmt w:val="bullet"/>
      <w:lvlText w:val=""/>
      <w:lvlJc w:val="left"/>
      <w:pPr>
        <w:ind w:left="720" w:hanging="360"/>
      </w:pPr>
      <w:rPr>
        <w:rFonts w:ascii="Symbol" w:hAnsi="Symbol" w:hint="default"/>
      </w:rPr>
    </w:lvl>
    <w:lvl w:ilvl="1" w:tplc="E64A579E">
      <w:start w:val="1"/>
      <w:numFmt w:val="bullet"/>
      <w:lvlText w:val="o"/>
      <w:lvlJc w:val="left"/>
      <w:pPr>
        <w:ind w:left="1440" w:hanging="360"/>
      </w:pPr>
      <w:rPr>
        <w:rFonts w:ascii="Courier New" w:hAnsi="Courier New" w:hint="default"/>
      </w:rPr>
    </w:lvl>
    <w:lvl w:ilvl="2" w:tplc="BC467FA8">
      <w:start w:val="1"/>
      <w:numFmt w:val="bullet"/>
      <w:lvlText w:val=""/>
      <w:lvlJc w:val="left"/>
      <w:pPr>
        <w:ind w:left="2160" w:hanging="360"/>
      </w:pPr>
      <w:rPr>
        <w:rFonts w:ascii="Wingdings" w:hAnsi="Wingdings" w:hint="default"/>
      </w:rPr>
    </w:lvl>
    <w:lvl w:ilvl="3" w:tplc="D594082E">
      <w:start w:val="1"/>
      <w:numFmt w:val="bullet"/>
      <w:lvlText w:val=""/>
      <w:lvlJc w:val="left"/>
      <w:pPr>
        <w:ind w:left="2880" w:hanging="360"/>
      </w:pPr>
      <w:rPr>
        <w:rFonts w:ascii="Symbol" w:hAnsi="Symbol" w:hint="default"/>
      </w:rPr>
    </w:lvl>
    <w:lvl w:ilvl="4" w:tplc="4BDCB390">
      <w:start w:val="1"/>
      <w:numFmt w:val="bullet"/>
      <w:lvlText w:val="o"/>
      <w:lvlJc w:val="left"/>
      <w:pPr>
        <w:ind w:left="3600" w:hanging="360"/>
      </w:pPr>
      <w:rPr>
        <w:rFonts w:ascii="Courier New" w:hAnsi="Courier New" w:hint="default"/>
      </w:rPr>
    </w:lvl>
    <w:lvl w:ilvl="5" w:tplc="1BD05B0C">
      <w:start w:val="1"/>
      <w:numFmt w:val="bullet"/>
      <w:lvlText w:val=""/>
      <w:lvlJc w:val="left"/>
      <w:pPr>
        <w:ind w:left="4320" w:hanging="360"/>
      </w:pPr>
      <w:rPr>
        <w:rFonts w:ascii="Wingdings" w:hAnsi="Wingdings" w:hint="default"/>
      </w:rPr>
    </w:lvl>
    <w:lvl w:ilvl="6" w:tplc="4B743020">
      <w:start w:val="1"/>
      <w:numFmt w:val="bullet"/>
      <w:lvlText w:val=""/>
      <w:lvlJc w:val="left"/>
      <w:pPr>
        <w:ind w:left="5040" w:hanging="360"/>
      </w:pPr>
      <w:rPr>
        <w:rFonts w:ascii="Symbol" w:hAnsi="Symbol" w:hint="default"/>
      </w:rPr>
    </w:lvl>
    <w:lvl w:ilvl="7" w:tplc="C248DC38">
      <w:start w:val="1"/>
      <w:numFmt w:val="bullet"/>
      <w:lvlText w:val="o"/>
      <w:lvlJc w:val="left"/>
      <w:pPr>
        <w:ind w:left="5760" w:hanging="360"/>
      </w:pPr>
      <w:rPr>
        <w:rFonts w:ascii="Courier New" w:hAnsi="Courier New" w:hint="default"/>
      </w:rPr>
    </w:lvl>
    <w:lvl w:ilvl="8" w:tplc="CD20F8BA">
      <w:start w:val="1"/>
      <w:numFmt w:val="bullet"/>
      <w:lvlText w:val=""/>
      <w:lvlJc w:val="left"/>
      <w:pPr>
        <w:ind w:left="6480" w:hanging="360"/>
      </w:pPr>
      <w:rPr>
        <w:rFonts w:ascii="Wingdings" w:hAnsi="Wingdings" w:hint="default"/>
      </w:rPr>
    </w:lvl>
  </w:abstractNum>
  <w:abstractNum w:abstractNumId="17" w15:restartNumberingAfterBreak="0">
    <w:nsid w:val="49D8B50D"/>
    <w:multiLevelType w:val="hybridMultilevel"/>
    <w:tmpl w:val="AD5AEC8E"/>
    <w:lvl w:ilvl="0" w:tplc="A3C094A6">
      <w:start w:val="1"/>
      <w:numFmt w:val="bullet"/>
      <w:lvlText w:val=""/>
      <w:lvlJc w:val="left"/>
      <w:pPr>
        <w:ind w:left="720" w:hanging="360"/>
      </w:pPr>
      <w:rPr>
        <w:rFonts w:ascii="Symbol" w:hAnsi="Symbol" w:hint="default"/>
      </w:rPr>
    </w:lvl>
    <w:lvl w:ilvl="1" w:tplc="47CCEADC">
      <w:start w:val="1"/>
      <w:numFmt w:val="bullet"/>
      <w:lvlText w:val="o"/>
      <w:lvlJc w:val="left"/>
      <w:pPr>
        <w:ind w:left="1440" w:hanging="360"/>
      </w:pPr>
      <w:rPr>
        <w:rFonts w:ascii="Courier New" w:hAnsi="Courier New" w:hint="default"/>
      </w:rPr>
    </w:lvl>
    <w:lvl w:ilvl="2" w:tplc="C038B4C8">
      <w:start w:val="1"/>
      <w:numFmt w:val="bullet"/>
      <w:lvlText w:val=""/>
      <w:lvlJc w:val="left"/>
      <w:pPr>
        <w:ind w:left="2160" w:hanging="360"/>
      </w:pPr>
      <w:rPr>
        <w:rFonts w:ascii="Wingdings" w:hAnsi="Wingdings" w:hint="default"/>
      </w:rPr>
    </w:lvl>
    <w:lvl w:ilvl="3" w:tplc="F36C0C92">
      <w:start w:val="1"/>
      <w:numFmt w:val="bullet"/>
      <w:lvlText w:val=""/>
      <w:lvlJc w:val="left"/>
      <w:pPr>
        <w:ind w:left="2880" w:hanging="360"/>
      </w:pPr>
      <w:rPr>
        <w:rFonts w:ascii="Symbol" w:hAnsi="Symbol" w:hint="default"/>
      </w:rPr>
    </w:lvl>
    <w:lvl w:ilvl="4" w:tplc="B308EBF0">
      <w:start w:val="1"/>
      <w:numFmt w:val="bullet"/>
      <w:lvlText w:val="o"/>
      <w:lvlJc w:val="left"/>
      <w:pPr>
        <w:ind w:left="3600" w:hanging="360"/>
      </w:pPr>
      <w:rPr>
        <w:rFonts w:ascii="Courier New" w:hAnsi="Courier New" w:hint="default"/>
      </w:rPr>
    </w:lvl>
    <w:lvl w:ilvl="5" w:tplc="F68E32A6">
      <w:start w:val="1"/>
      <w:numFmt w:val="bullet"/>
      <w:lvlText w:val=""/>
      <w:lvlJc w:val="left"/>
      <w:pPr>
        <w:ind w:left="4320" w:hanging="360"/>
      </w:pPr>
      <w:rPr>
        <w:rFonts w:ascii="Wingdings" w:hAnsi="Wingdings" w:hint="default"/>
      </w:rPr>
    </w:lvl>
    <w:lvl w:ilvl="6" w:tplc="9A0C6ACE">
      <w:start w:val="1"/>
      <w:numFmt w:val="bullet"/>
      <w:lvlText w:val=""/>
      <w:lvlJc w:val="left"/>
      <w:pPr>
        <w:ind w:left="5040" w:hanging="360"/>
      </w:pPr>
      <w:rPr>
        <w:rFonts w:ascii="Symbol" w:hAnsi="Symbol" w:hint="default"/>
      </w:rPr>
    </w:lvl>
    <w:lvl w:ilvl="7" w:tplc="00D44632">
      <w:start w:val="1"/>
      <w:numFmt w:val="bullet"/>
      <w:lvlText w:val="o"/>
      <w:lvlJc w:val="left"/>
      <w:pPr>
        <w:ind w:left="5760" w:hanging="360"/>
      </w:pPr>
      <w:rPr>
        <w:rFonts w:ascii="Courier New" w:hAnsi="Courier New" w:hint="default"/>
      </w:rPr>
    </w:lvl>
    <w:lvl w:ilvl="8" w:tplc="718A357A">
      <w:start w:val="1"/>
      <w:numFmt w:val="bullet"/>
      <w:lvlText w:val=""/>
      <w:lvlJc w:val="left"/>
      <w:pPr>
        <w:ind w:left="6480" w:hanging="360"/>
      </w:pPr>
      <w:rPr>
        <w:rFonts w:ascii="Wingdings" w:hAnsi="Wingdings" w:hint="default"/>
      </w:rPr>
    </w:lvl>
  </w:abstractNum>
  <w:abstractNum w:abstractNumId="18" w15:restartNumberingAfterBreak="0">
    <w:nsid w:val="5069FF85"/>
    <w:multiLevelType w:val="hybridMultilevel"/>
    <w:tmpl w:val="02A27842"/>
    <w:lvl w:ilvl="0" w:tplc="E3DC2D0C">
      <w:start w:val="1"/>
      <w:numFmt w:val="bullet"/>
      <w:lvlText w:val=""/>
      <w:lvlJc w:val="left"/>
      <w:pPr>
        <w:ind w:left="720" w:hanging="360"/>
      </w:pPr>
      <w:rPr>
        <w:rFonts w:ascii="Symbol" w:hAnsi="Symbol" w:hint="default"/>
      </w:rPr>
    </w:lvl>
    <w:lvl w:ilvl="1" w:tplc="86142492">
      <w:start w:val="1"/>
      <w:numFmt w:val="bullet"/>
      <w:lvlText w:val="o"/>
      <w:lvlJc w:val="left"/>
      <w:pPr>
        <w:ind w:left="1440" w:hanging="360"/>
      </w:pPr>
      <w:rPr>
        <w:rFonts w:ascii="Courier New" w:hAnsi="Courier New" w:hint="default"/>
      </w:rPr>
    </w:lvl>
    <w:lvl w:ilvl="2" w:tplc="6BB43EB6">
      <w:start w:val="1"/>
      <w:numFmt w:val="bullet"/>
      <w:lvlText w:val=""/>
      <w:lvlJc w:val="left"/>
      <w:pPr>
        <w:ind w:left="2160" w:hanging="360"/>
      </w:pPr>
      <w:rPr>
        <w:rFonts w:ascii="Wingdings" w:hAnsi="Wingdings" w:hint="default"/>
      </w:rPr>
    </w:lvl>
    <w:lvl w:ilvl="3" w:tplc="344CCBD0">
      <w:start w:val="1"/>
      <w:numFmt w:val="bullet"/>
      <w:lvlText w:val=""/>
      <w:lvlJc w:val="left"/>
      <w:pPr>
        <w:ind w:left="2880" w:hanging="360"/>
      </w:pPr>
      <w:rPr>
        <w:rFonts w:ascii="Symbol" w:hAnsi="Symbol" w:hint="default"/>
      </w:rPr>
    </w:lvl>
    <w:lvl w:ilvl="4" w:tplc="A510D86A">
      <w:start w:val="1"/>
      <w:numFmt w:val="bullet"/>
      <w:lvlText w:val="o"/>
      <w:lvlJc w:val="left"/>
      <w:pPr>
        <w:ind w:left="3600" w:hanging="360"/>
      </w:pPr>
      <w:rPr>
        <w:rFonts w:ascii="Courier New" w:hAnsi="Courier New" w:hint="default"/>
      </w:rPr>
    </w:lvl>
    <w:lvl w:ilvl="5" w:tplc="14B24CF4">
      <w:start w:val="1"/>
      <w:numFmt w:val="bullet"/>
      <w:lvlText w:val=""/>
      <w:lvlJc w:val="left"/>
      <w:pPr>
        <w:ind w:left="4320" w:hanging="360"/>
      </w:pPr>
      <w:rPr>
        <w:rFonts w:ascii="Wingdings" w:hAnsi="Wingdings" w:hint="default"/>
      </w:rPr>
    </w:lvl>
    <w:lvl w:ilvl="6" w:tplc="7DB03F9A">
      <w:start w:val="1"/>
      <w:numFmt w:val="bullet"/>
      <w:lvlText w:val=""/>
      <w:lvlJc w:val="left"/>
      <w:pPr>
        <w:ind w:left="5040" w:hanging="360"/>
      </w:pPr>
      <w:rPr>
        <w:rFonts w:ascii="Symbol" w:hAnsi="Symbol" w:hint="default"/>
      </w:rPr>
    </w:lvl>
    <w:lvl w:ilvl="7" w:tplc="462EBC60">
      <w:start w:val="1"/>
      <w:numFmt w:val="bullet"/>
      <w:lvlText w:val="o"/>
      <w:lvlJc w:val="left"/>
      <w:pPr>
        <w:ind w:left="5760" w:hanging="360"/>
      </w:pPr>
      <w:rPr>
        <w:rFonts w:ascii="Courier New" w:hAnsi="Courier New" w:hint="default"/>
      </w:rPr>
    </w:lvl>
    <w:lvl w:ilvl="8" w:tplc="226CF214">
      <w:start w:val="1"/>
      <w:numFmt w:val="bullet"/>
      <w:lvlText w:val=""/>
      <w:lvlJc w:val="left"/>
      <w:pPr>
        <w:ind w:left="6480" w:hanging="360"/>
      </w:pPr>
      <w:rPr>
        <w:rFonts w:ascii="Wingdings" w:hAnsi="Wingdings" w:hint="default"/>
      </w:rPr>
    </w:lvl>
  </w:abstractNum>
  <w:abstractNum w:abstractNumId="19" w15:restartNumberingAfterBreak="0">
    <w:nsid w:val="56EBF00D"/>
    <w:multiLevelType w:val="hybridMultilevel"/>
    <w:tmpl w:val="5A84EB6C"/>
    <w:lvl w:ilvl="0" w:tplc="26BA2B7C">
      <w:start w:val="1"/>
      <w:numFmt w:val="decimal"/>
      <w:lvlText w:val="%1."/>
      <w:lvlJc w:val="left"/>
      <w:pPr>
        <w:ind w:left="720" w:hanging="360"/>
      </w:pPr>
    </w:lvl>
    <w:lvl w:ilvl="1" w:tplc="8222C004">
      <w:start w:val="1"/>
      <w:numFmt w:val="lowerLetter"/>
      <w:lvlText w:val="%2."/>
      <w:lvlJc w:val="left"/>
      <w:pPr>
        <w:ind w:left="1440" w:hanging="360"/>
      </w:pPr>
    </w:lvl>
    <w:lvl w:ilvl="2" w:tplc="EA401F6E">
      <w:start w:val="1"/>
      <w:numFmt w:val="lowerRoman"/>
      <w:lvlText w:val="%3."/>
      <w:lvlJc w:val="right"/>
      <w:pPr>
        <w:ind w:left="2160" w:hanging="180"/>
      </w:pPr>
    </w:lvl>
    <w:lvl w:ilvl="3" w:tplc="49F81ED2">
      <w:start w:val="1"/>
      <w:numFmt w:val="decimal"/>
      <w:lvlText w:val="%4."/>
      <w:lvlJc w:val="left"/>
      <w:pPr>
        <w:ind w:left="2880" w:hanging="360"/>
      </w:pPr>
    </w:lvl>
    <w:lvl w:ilvl="4" w:tplc="A3B01618">
      <w:start w:val="1"/>
      <w:numFmt w:val="lowerLetter"/>
      <w:lvlText w:val="%5."/>
      <w:lvlJc w:val="left"/>
      <w:pPr>
        <w:ind w:left="3600" w:hanging="360"/>
      </w:pPr>
    </w:lvl>
    <w:lvl w:ilvl="5" w:tplc="DDBC3768">
      <w:start w:val="1"/>
      <w:numFmt w:val="lowerRoman"/>
      <w:lvlText w:val="%6."/>
      <w:lvlJc w:val="right"/>
      <w:pPr>
        <w:ind w:left="4320" w:hanging="180"/>
      </w:pPr>
    </w:lvl>
    <w:lvl w:ilvl="6" w:tplc="21AC03DE">
      <w:start w:val="1"/>
      <w:numFmt w:val="decimal"/>
      <w:lvlText w:val="%7."/>
      <w:lvlJc w:val="left"/>
      <w:pPr>
        <w:ind w:left="5040" w:hanging="360"/>
      </w:pPr>
    </w:lvl>
    <w:lvl w:ilvl="7" w:tplc="BF0223F6">
      <w:start w:val="1"/>
      <w:numFmt w:val="lowerLetter"/>
      <w:lvlText w:val="%8."/>
      <w:lvlJc w:val="left"/>
      <w:pPr>
        <w:ind w:left="5760" w:hanging="360"/>
      </w:pPr>
    </w:lvl>
    <w:lvl w:ilvl="8" w:tplc="DF80EEE8">
      <w:start w:val="1"/>
      <w:numFmt w:val="lowerRoman"/>
      <w:lvlText w:val="%9."/>
      <w:lvlJc w:val="right"/>
      <w:pPr>
        <w:ind w:left="6480" w:hanging="180"/>
      </w:pPr>
    </w:lvl>
  </w:abstractNum>
  <w:abstractNum w:abstractNumId="20" w15:restartNumberingAfterBreak="0">
    <w:nsid w:val="642B1284"/>
    <w:multiLevelType w:val="hybridMultilevel"/>
    <w:tmpl w:val="6EAC4EAE"/>
    <w:lvl w:ilvl="0" w:tplc="D6AC4754">
      <w:start w:val="1"/>
      <w:numFmt w:val="bullet"/>
      <w:lvlText w:val="o"/>
      <w:lvlJc w:val="left"/>
      <w:pPr>
        <w:ind w:left="1440" w:hanging="360"/>
      </w:pPr>
      <w:rPr>
        <w:rFonts w:ascii="Courier New" w:hAnsi="Courier New" w:hint="default"/>
      </w:rPr>
    </w:lvl>
    <w:lvl w:ilvl="1" w:tplc="F14A29CA">
      <w:start w:val="1"/>
      <w:numFmt w:val="bullet"/>
      <w:lvlText w:val="o"/>
      <w:lvlJc w:val="left"/>
      <w:pPr>
        <w:ind w:left="2160" w:hanging="360"/>
      </w:pPr>
      <w:rPr>
        <w:rFonts w:ascii="Courier New" w:hAnsi="Courier New" w:hint="default"/>
      </w:rPr>
    </w:lvl>
    <w:lvl w:ilvl="2" w:tplc="8E0012D0">
      <w:start w:val="1"/>
      <w:numFmt w:val="bullet"/>
      <w:lvlText w:val=""/>
      <w:lvlJc w:val="left"/>
      <w:pPr>
        <w:ind w:left="2880" w:hanging="360"/>
      </w:pPr>
      <w:rPr>
        <w:rFonts w:ascii="Wingdings" w:hAnsi="Wingdings" w:hint="default"/>
      </w:rPr>
    </w:lvl>
    <w:lvl w:ilvl="3" w:tplc="2EACC584">
      <w:start w:val="1"/>
      <w:numFmt w:val="bullet"/>
      <w:lvlText w:val=""/>
      <w:lvlJc w:val="left"/>
      <w:pPr>
        <w:ind w:left="3600" w:hanging="360"/>
      </w:pPr>
      <w:rPr>
        <w:rFonts w:ascii="Symbol" w:hAnsi="Symbol" w:hint="default"/>
      </w:rPr>
    </w:lvl>
    <w:lvl w:ilvl="4" w:tplc="07E42052">
      <w:start w:val="1"/>
      <w:numFmt w:val="bullet"/>
      <w:lvlText w:val="o"/>
      <w:lvlJc w:val="left"/>
      <w:pPr>
        <w:ind w:left="4320" w:hanging="360"/>
      </w:pPr>
      <w:rPr>
        <w:rFonts w:ascii="Courier New" w:hAnsi="Courier New" w:hint="default"/>
      </w:rPr>
    </w:lvl>
    <w:lvl w:ilvl="5" w:tplc="438A8124">
      <w:start w:val="1"/>
      <w:numFmt w:val="bullet"/>
      <w:lvlText w:val=""/>
      <w:lvlJc w:val="left"/>
      <w:pPr>
        <w:ind w:left="5040" w:hanging="360"/>
      </w:pPr>
      <w:rPr>
        <w:rFonts w:ascii="Wingdings" w:hAnsi="Wingdings" w:hint="default"/>
      </w:rPr>
    </w:lvl>
    <w:lvl w:ilvl="6" w:tplc="CA8A8D80">
      <w:start w:val="1"/>
      <w:numFmt w:val="bullet"/>
      <w:lvlText w:val=""/>
      <w:lvlJc w:val="left"/>
      <w:pPr>
        <w:ind w:left="5760" w:hanging="360"/>
      </w:pPr>
      <w:rPr>
        <w:rFonts w:ascii="Symbol" w:hAnsi="Symbol" w:hint="default"/>
      </w:rPr>
    </w:lvl>
    <w:lvl w:ilvl="7" w:tplc="EF74D420">
      <w:start w:val="1"/>
      <w:numFmt w:val="bullet"/>
      <w:lvlText w:val="o"/>
      <w:lvlJc w:val="left"/>
      <w:pPr>
        <w:ind w:left="6480" w:hanging="360"/>
      </w:pPr>
      <w:rPr>
        <w:rFonts w:ascii="Courier New" w:hAnsi="Courier New" w:hint="default"/>
      </w:rPr>
    </w:lvl>
    <w:lvl w:ilvl="8" w:tplc="65A854C8">
      <w:start w:val="1"/>
      <w:numFmt w:val="bullet"/>
      <w:lvlText w:val=""/>
      <w:lvlJc w:val="left"/>
      <w:pPr>
        <w:ind w:left="7200" w:hanging="360"/>
      </w:pPr>
      <w:rPr>
        <w:rFonts w:ascii="Wingdings" w:hAnsi="Wingdings" w:hint="default"/>
      </w:rPr>
    </w:lvl>
  </w:abstractNum>
  <w:abstractNum w:abstractNumId="21" w15:restartNumberingAfterBreak="0">
    <w:nsid w:val="725FB703"/>
    <w:multiLevelType w:val="hybridMultilevel"/>
    <w:tmpl w:val="19A42372"/>
    <w:lvl w:ilvl="0" w:tplc="48568AB6">
      <w:start w:val="1"/>
      <w:numFmt w:val="decimal"/>
      <w:lvlText w:val="%1."/>
      <w:lvlJc w:val="left"/>
      <w:pPr>
        <w:ind w:left="720" w:hanging="360"/>
      </w:pPr>
    </w:lvl>
    <w:lvl w:ilvl="1" w:tplc="EA56647E">
      <w:start w:val="1"/>
      <w:numFmt w:val="lowerLetter"/>
      <w:lvlText w:val="%2."/>
      <w:lvlJc w:val="left"/>
      <w:pPr>
        <w:ind w:left="1440" w:hanging="360"/>
      </w:pPr>
    </w:lvl>
    <w:lvl w:ilvl="2" w:tplc="9984CA18">
      <w:start w:val="1"/>
      <w:numFmt w:val="lowerRoman"/>
      <w:lvlText w:val="%3."/>
      <w:lvlJc w:val="right"/>
      <w:pPr>
        <w:ind w:left="2160" w:hanging="180"/>
      </w:pPr>
    </w:lvl>
    <w:lvl w:ilvl="3" w:tplc="AC54AE10">
      <w:start w:val="1"/>
      <w:numFmt w:val="decimal"/>
      <w:lvlText w:val="%4."/>
      <w:lvlJc w:val="left"/>
      <w:pPr>
        <w:ind w:left="2880" w:hanging="360"/>
      </w:pPr>
    </w:lvl>
    <w:lvl w:ilvl="4" w:tplc="373C87D6">
      <w:start w:val="1"/>
      <w:numFmt w:val="lowerLetter"/>
      <w:lvlText w:val="%5."/>
      <w:lvlJc w:val="left"/>
      <w:pPr>
        <w:ind w:left="3600" w:hanging="360"/>
      </w:pPr>
    </w:lvl>
    <w:lvl w:ilvl="5" w:tplc="AD46FD84">
      <w:start w:val="1"/>
      <w:numFmt w:val="lowerRoman"/>
      <w:lvlText w:val="%6."/>
      <w:lvlJc w:val="right"/>
      <w:pPr>
        <w:ind w:left="4320" w:hanging="180"/>
      </w:pPr>
    </w:lvl>
    <w:lvl w:ilvl="6" w:tplc="54665DF8">
      <w:start w:val="1"/>
      <w:numFmt w:val="decimal"/>
      <w:lvlText w:val="%7."/>
      <w:lvlJc w:val="left"/>
      <w:pPr>
        <w:ind w:left="5040" w:hanging="360"/>
      </w:pPr>
    </w:lvl>
    <w:lvl w:ilvl="7" w:tplc="78F6EC96">
      <w:start w:val="1"/>
      <w:numFmt w:val="lowerLetter"/>
      <w:lvlText w:val="%8."/>
      <w:lvlJc w:val="left"/>
      <w:pPr>
        <w:ind w:left="5760" w:hanging="360"/>
      </w:pPr>
    </w:lvl>
    <w:lvl w:ilvl="8" w:tplc="D4FC3E5C">
      <w:start w:val="1"/>
      <w:numFmt w:val="lowerRoman"/>
      <w:lvlText w:val="%9."/>
      <w:lvlJc w:val="right"/>
      <w:pPr>
        <w:ind w:left="6480" w:hanging="180"/>
      </w:pPr>
    </w:lvl>
  </w:abstractNum>
  <w:abstractNum w:abstractNumId="22" w15:restartNumberingAfterBreak="0">
    <w:nsid w:val="73962AC4"/>
    <w:multiLevelType w:val="hybridMultilevel"/>
    <w:tmpl w:val="16BEF7BC"/>
    <w:lvl w:ilvl="0" w:tplc="B31E1B18">
      <w:start w:val="1"/>
      <w:numFmt w:val="bullet"/>
      <w:lvlText w:val="♦"/>
      <w:lvlJc w:val="left"/>
      <w:pPr>
        <w:ind w:left="720" w:hanging="360"/>
      </w:pPr>
      <w:rPr>
        <w:rFonts w:ascii="Courier New" w:hAnsi="Courier New" w:hint="default"/>
      </w:rPr>
    </w:lvl>
    <w:lvl w:ilvl="1" w:tplc="BA8ACE96">
      <w:start w:val="1"/>
      <w:numFmt w:val="bullet"/>
      <w:lvlText w:val="o"/>
      <w:lvlJc w:val="left"/>
      <w:pPr>
        <w:ind w:left="1440" w:hanging="360"/>
      </w:pPr>
      <w:rPr>
        <w:rFonts w:ascii="Courier New" w:hAnsi="Courier New" w:hint="default"/>
      </w:rPr>
    </w:lvl>
    <w:lvl w:ilvl="2" w:tplc="F9026B82">
      <w:start w:val="1"/>
      <w:numFmt w:val="bullet"/>
      <w:lvlText w:val=""/>
      <w:lvlJc w:val="left"/>
      <w:pPr>
        <w:ind w:left="2160" w:hanging="360"/>
      </w:pPr>
      <w:rPr>
        <w:rFonts w:ascii="Wingdings" w:hAnsi="Wingdings" w:hint="default"/>
      </w:rPr>
    </w:lvl>
    <w:lvl w:ilvl="3" w:tplc="EB2A40CC">
      <w:start w:val="1"/>
      <w:numFmt w:val="bullet"/>
      <w:lvlText w:val=""/>
      <w:lvlJc w:val="left"/>
      <w:pPr>
        <w:ind w:left="2880" w:hanging="360"/>
      </w:pPr>
      <w:rPr>
        <w:rFonts w:ascii="Symbol" w:hAnsi="Symbol" w:hint="default"/>
      </w:rPr>
    </w:lvl>
    <w:lvl w:ilvl="4" w:tplc="1EE8304C">
      <w:start w:val="1"/>
      <w:numFmt w:val="bullet"/>
      <w:lvlText w:val="o"/>
      <w:lvlJc w:val="left"/>
      <w:pPr>
        <w:ind w:left="3600" w:hanging="360"/>
      </w:pPr>
      <w:rPr>
        <w:rFonts w:ascii="Courier New" w:hAnsi="Courier New" w:hint="default"/>
      </w:rPr>
    </w:lvl>
    <w:lvl w:ilvl="5" w:tplc="20A01E30">
      <w:start w:val="1"/>
      <w:numFmt w:val="bullet"/>
      <w:lvlText w:val=""/>
      <w:lvlJc w:val="left"/>
      <w:pPr>
        <w:ind w:left="4320" w:hanging="360"/>
      </w:pPr>
      <w:rPr>
        <w:rFonts w:ascii="Wingdings" w:hAnsi="Wingdings" w:hint="default"/>
      </w:rPr>
    </w:lvl>
    <w:lvl w:ilvl="6" w:tplc="8834D90E">
      <w:start w:val="1"/>
      <w:numFmt w:val="bullet"/>
      <w:lvlText w:val=""/>
      <w:lvlJc w:val="left"/>
      <w:pPr>
        <w:ind w:left="5040" w:hanging="360"/>
      </w:pPr>
      <w:rPr>
        <w:rFonts w:ascii="Symbol" w:hAnsi="Symbol" w:hint="default"/>
      </w:rPr>
    </w:lvl>
    <w:lvl w:ilvl="7" w:tplc="9E662370">
      <w:start w:val="1"/>
      <w:numFmt w:val="bullet"/>
      <w:lvlText w:val="o"/>
      <w:lvlJc w:val="left"/>
      <w:pPr>
        <w:ind w:left="5760" w:hanging="360"/>
      </w:pPr>
      <w:rPr>
        <w:rFonts w:ascii="Courier New" w:hAnsi="Courier New" w:hint="default"/>
      </w:rPr>
    </w:lvl>
    <w:lvl w:ilvl="8" w:tplc="C676146A">
      <w:start w:val="1"/>
      <w:numFmt w:val="bullet"/>
      <w:lvlText w:val=""/>
      <w:lvlJc w:val="left"/>
      <w:pPr>
        <w:ind w:left="6480" w:hanging="360"/>
      </w:pPr>
      <w:rPr>
        <w:rFonts w:ascii="Wingdings" w:hAnsi="Wingdings" w:hint="default"/>
      </w:rPr>
    </w:lvl>
  </w:abstractNum>
  <w:abstractNum w:abstractNumId="23" w15:restartNumberingAfterBreak="0">
    <w:nsid w:val="79527FBD"/>
    <w:multiLevelType w:val="hybridMultilevel"/>
    <w:tmpl w:val="94FADCD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AAB5DA"/>
    <w:multiLevelType w:val="hybridMultilevel"/>
    <w:tmpl w:val="C7245BFA"/>
    <w:lvl w:ilvl="0" w:tplc="E60E4556">
      <w:start w:val="1"/>
      <w:numFmt w:val="bullet"/>
      <w:lvlText w:val=""/>
      <w:lvlJc w:val="left"/>
      <w:pPr>
        <w:ind w:left="720" w:hanging="360"/>
      </w:pPr>
      <w:rPr>
        <w:rFonts w:ascii="Symbol" w:hAnsi="Symbol" w:hint="default"/>
      </w:rPr>
    </w:lvl>
    <w:lvl w:ilvl="1" w:tplc="6BB8ECE6">
      <w:start w:val="1"/>
      <w:numFmt w:val="bullet"/>
      <w:lvlText w:val="o"/>
      <w:lvlJc w:val="left"/>
      <w:pPr>
        <w:ind w:left="1440" w:hanging="360"/>
      </w:pPr>
      <w:rPr>
        <w:rFonts w:ascii="Courier New" w:hAnsi="Courier New" w:hint="default"/>
      </w:rPr>
    </w:lvl>
    <w:lvl w:ilvl="2" w:tplc="D792AF3A">
      <w:start w:val="1"/>
      <w:numFmt w:val="bullet"/>
      <w:lvlText w:val=""/>
      <w:lvlJc w:val="left"/>
      <w:pPr>
        <w:ind w:left="2160" w:hanging="360"/>
      </w:pPr>
      <w:rPr>
        <w:rFonts w:ascii="Wingdings" w:hAnsi="Wingdings" w:hint="default"/>
      </w:rPr>
    </w:lvl>
    <w:lvl w:ilvl="3" w:tplc="C8808E40">
      <w:start w:val="1"/>
      <w:numFmt w:val="bullet"/>
      <w:lvlText w:val=""/>
      <w:lvlJc w:val="left"/>
      <w:pPr>
        <w:ind w:left="2880" w:hanging="360"/>
      </w:pPr>
      <w:rPr>
        <w:rFonts w:ascii="Symbol" w:hAnsi="Symbol" w:hint="default"/>
      </w:rPr>
    </w:lvl>
    <w:lvl w:ilvl="4" w:tplc="B90E041E">
      <w:start w:val="1"/>
      <w:numFmt w:val="bullet"/>
      <w:lvlText w:val="o"/>
      <w:lvlJc w:val="left"/>
      <w:pPr>
        <w:ind w:left="3600" w:hanging="360"/>
      </w:pPr>
      <w:rPr>
        <w:rFonts w:ascii="Courier New" w:hAnsi="Courier New" w:hint="default"/>
      </w:rPr>
    </w:lvl>
    <w:lvl w:ilvl="5" w:tplc="547222EC">
      <w:start w:val="1"/>
      <w:numFmt w:val="bullet"/>
      <w:lvlText w:val=""/>
      <w:lvlJc w:val="left"/>
      <w:pPr>
        <w:ind w:left="4320" w:hanging="360"/>
      </w:pPr>
      <w:rPr>
        <w:rFonts w:ascii="Wingdings" w:hAnsi="Wingdings" w:hint="default"/>
      </w:rPr>
    </w:lvl>
    <w:lvl w:ilvl="6" w:tplc="FF368724">
      <w:start w:val="1"/>
      <w:numFmt w:val="bullet"/>
      <w:lvlText w:val=""/>
      <w:lvlJc w:val="left"/>
      <w:pPr>
        <w:ind w:left="5040" w:hanging="360"/>
      </w:pPr>
      <w:rPr>
        <w:rFonts w:ascii="Symbol" w:hAnsi="Symbol" w:hint="default"/>
      </w:rPr>
    </w:lvl>
    <w:lvl w:ilvl="7" w:tplc="DEFAB478">
      <w:start w:val="1"/>
      <w:numFmt w:val="bullet"/>
      <w:lvlText w:val="o"/>
      <w:lvlJc w:val="left"/>
      <w:pPr>
        <w:ind w:left="5760" w:hanging="360"/>
      </w:pPr>
      <w:rPr>
        <w:rFonts w:ascii="Courier New" w:hAnsi="Courier New" w:hint="default"/>
      </w:rPr>
    </w:lvl>
    <w:lvl w:ilvl="8" w:tplc="F068559E">
      <w:start w:val="1"/>
      <w:numFmt w:val="bullet"/>
      <w:lvlText w:val=""/>
      <w:lvlJc w:val="left"/>
      <w:pPr>
        <w:ind w:left="6480" w:hanging="360"/>
      </w:pPr>
      <w:rPr>
        <w:rFonts w:ascii="Wingdings" w:hAnsi="Wingdings" w:hint="default"/>
      </w:rPr>
    </w:lvl>
  </w:abstractNum>
  <w:abstractNum w:abstractNumId="25" w15:restartNumberingAfterBreak="0">
    <w:nsid w:val="7DC5CC24"/>
    <w:multiLevelType w:val="hybridMultilevel"/>
    <w:tmpl w:val="958ED5B4"/>
    <w:lvl w:ilvl="0" w:tplc="D45ECD0E">
      <w:start w:val="1"/>
      <w:numFmt w:val="bullet"/>
      <w:lvlText w:val=""/>
      <w:lvlJc w:val="left"/>
      <w:pPr>
        <w:ind w:left="720" w:hanging="360"/>
      </w:pPr>
      <w:rPr>
        <w:rFonts w:ascii="Symbol" w:hAnsi="Symbol" w:hint="default"/>
      </w:rPr>
    </w:lvl>
    <w:lvl w:ilvl="1" w:tplc="13A4E1CC">
      <w:start w:val="1"/>
      <w:numFmt w:val="bullet"/>
      <w:lvlText w:val="o"/>
      <w:lvlJc w:val="left"/>
      <w:pPr>
        <w:ind w:left="1440" w:hanging="360"/>
      </w:pPr>
      <w:rPr>
        <w:rFonts w:ascii="Courier New" w:hAnsi="Courier New" w:hint="default"/>
      </w:rPr>
    </w:lvl>
    <w:lvl w:ilvl="2" w:tplc="CFA2F1A0">
      <w:start w:val="1"/>
      <w:numFmt w:val="bullet"/>
      <w:lvlText w:val=""/>
      <w:lvlJc w:val="left"/>
      <w:pPr>
        <w:ind w:left="2160" w:hanging="360"/>
      </w:pPr>
      <w:rPr>
        <w:rFonts w:ascii="Wingdings" w:hAnsi="Wingdings" w:hint="default"/>
      </w:rPr>
    </w:lvl>
    <w:lvl w:ilvl="3" w:tplc="17AEE664">
      <w:start w:val="1"/>
      <w:numFmt w:val="bullet"/>
      <w:lvlText w:val=""/>
      <w:lvlJc w:val="left"/>
      <w:pPr>
        <w:ind w:left="2880" w:hanging="360"/>
      </w:pPr>
      <w:rPr>
        <w:rFonts w:ascii="Symbol" w:hAnsi="Symbol" w:hint="default"/>
      </w:rPr>
    </w:lvl>
    <w:lvl w:ilvl="4" w:tplc="1AD0028E">
      <w:start w:val="1"/>
      <w:numFmt w:val="bullet"/>
      <w:lvlText w:val="o"/>
      <w:lvlJc w:val="left"/>
      <w:pPr>
        <w:ind w:left="3600" w:hanging="360"/>
      </w:pPr>
      <w:rPr>
        <w:rFonts w:ascii="Courier New" w:hAnsi="Courier New" w:hint="default"/>
      </w:rPr>
    </w:lvl>
    <w:lvl w:ilvl="5" w:tplc="69126056">
      <w:start w:val="1"/>
      <w:numFmt w:val="bullet"/>
      <w:lvlText w:val=""/>
      <w:lvlJc w:val="left"/>
      <w:pPr>
        <w:ind w:left="4320" w:hanging="360"/>
      </w:pPr>
      <w:rPr>
        <w:rFonts w:ascii="Wingdings" w:hAnsi="Wingdings" w:hint="default"/>
      </w:rPr>
    </w:lvl>
    <w:lvl w:ilvl="6" w:tplc="61C4F0DC">
      <w:start w:val="1"/>
      <w:numFmt w:val="bullet"/>
      <w:lvlText w:val=""/>
      <w:lvlJc w:val="left"/>
      <w:pPr>
        <w:ind w:left="5040" w:hanging="360"/>
      </w:pPr>
      <w:rPr>
        <w:rFonts w:ascii="Symbol" w:hAnsi="Symbol" w:hint="default"/>
      </w:rPr>
    </w:lvl>
    <w:lvl w:ilvl="7" w:tplc="A7A2804E">
      <w:start w:val="1"/>
      <w:numFmt w:val="bullet"/>
      <w:lvlText w:val="o"/>
      <w:lvlJc w:val="left"/>
      <w:pPr>
        <w:ind w:left="5760" w:hanging="360"/>
      </w:pPr>
      <w:rPr>
        <w:rFonts w:ascii="Courier New" w:hAnsi="Courier New" w:hint="default"/>
      </w:rPr>
    </w:lvl>
    <w:lvl w:ilvl="8" w:tplc="C52E1B16">
      <w:start w:val="1"/>
      <w:numFmt w:val="bullet"/>
      <w:lvlText w:val=""/>
      <w:lvlJc w:val="left"/>
      <w:pPr>
        <w:ind w:left="6480" w:hanging="360"/>
      </w:pPr>
      <w:rPr>
        <w:rFonts w:ascii="Wingdings" w:hAnsi="Wingdings" w:hint="default"/>
      </w:rPr>
    </w:lvl>
  </w:abstractNum>
  <w:abstractNum w:abstractNumId="26" w15:restartNumberingAfterBreak="0">
    <w:nsid w:val="7FFCE8FA"/>
    <w:multiLevelType w:val="hybridMultilevel"/>
    <w:tmpl w:val="1A08EEC8"/>
    <w:lvl w:ilvl="0" w:tplc="08CE192C">
      <w:start w:val="1"/>
      <w:numFmt w:val="bullet"/>
      <w:lvlText w:val=""/>
      <w:lvlJc w:val="left"/>
      <w:pPr>
        <w:ind w:left="720" w:hanging="360"/>
      </w:pPr>
      <w:rPr>
        <w:rFonts w:ascii="Wingdings" w:hAnsi="Wingdings" w:hint="default"/>
      </w:rPr>
    </w:lvl>
    <w:lvl w:ilvl="1" w:tplc="305A794C">
      <w:start w:val="1"/>
      <w:numFmt w:val="bullet"/>
      <w:lvlText w:val="o"/>
      <w:lvlJc w:val="left"/>
      <w:pPr>
        <w:ind w:left="1440" w:hanging="360"/>
      </w:pPr>
      <w:rPr>
        <w:rFonts w:ascii="Courier New" w:hAnsi="Courier New" w:hint="default"/>
      </w:rPr>
    </w:lvl>
    <w:lvl w:ilvl="2" w:tplc="EAA2D168">
      <w:start w:val="1"/>
      <w:numFmt w:val="bullet"/>
      <w:lvlText w:val=""/>
      <w:lvlJc w:val="left"/>
      <w:pPr>
        <w:ind w:left="2160" w:hanging="360"/>
      </w:pPr>
      <w:rPr>
        <w:rFonts w:ascii="Wingdings" w:hAnsi="Wingdings" w:hint="default"/>
      </w:rPr>
    </w:lvl>
    <w:lvl w:ilvl="3" w:tplc="0B2255C2">
      <w:start w:val="1"/>
      <w:numFmt w:val="bullet"/>
      <w:lvlText w:val=""/>
      <w:lvlJc w:val="left"/>
      <w:pPr>
        <w:ind w:left="2880" w:hanging="360"/>
      </w:pPr>
      <w:rPr>
        <w:rFonts w:ascii="Symbol" w:hAnsi="Symbol" w:hint="default"/>
      </w:rPr>
    </w:lvl>
    <w:lvl w:ilvl="4" w:tplc="81980296">
      <w:start w:val="1"/>
      <w:numFmt w:val="bullet"/>
      <w:lvlText w:val="o"/>
      <w:lvlJc w:val="left"/>
      <w:pPr>
        <w:ind w:left="3600" w:hanging="360"/>
      </w:pPr>
      <w:rPr>
        <w:rFonts w:ascii="Courier New" w:hAnsi="Courier New" w:hint="default"/>
      </w:rPr>
    </w:lvl>
    <w:lvl w:ilvl="5" w:tplc="88CCA578">
      <w:start w:val="1"/>
      <w:numFmt w:val="bullet"/>
      <w:lvlText w:val=""/>
      <w:lvlJc w:val="left"/>
      <w:pPr>
        <w:ind w:left="4320" w:hanging="360"/>
      </w:pPr>
      <w:rPr>
        <w:rFonts w:ascii="Wingdings" w:hAnsi="Wingdings" w:hint="default"/>
      </w:rPr>
    </w:lvl>
    <w:lvl w:ilvl="6" w:tplc="5E50A42C">
      <w:start w:val="1"/>
      <w:numFmt w:val="bullet"/>
      <w:lvlText w:val=""/>
      <w:lvlJc w:val="left"/>
      <w:pPr>
        <w:ind w:left="5040" w:hanging="360"/>
      </w:pPr>
      <w:rPr>
        <w:rFonts w:ascii="Symbol" w:hAnsi="Symbol" w:hint="default"/>
      </w:rPr>
    </w:lvl>
    <w:lvl w:ilvl="7" w:tplc="AD481D8E">
      <w:start w:val="1"/>
      <w:numFmt w:val="bullet"/>
      <w:lvlText w:val="o"/>
      <w:lvlJc w:val="left"/>
      <w:pPr>
        <w:ind w:left="5760" w:hanging="360"/>
      </w:pPr>
      <w:rPr>
        <w:rFonts w:ascii="Courier New" w:hAnsi="Courier New" w:hint="default"/>
      </w:rPr>
    </w:lvl>
    <w:lvl w:ilvl="8" w:tplc="199A8830">
      <w:start w:val="1"/>
      <w:numFmt w:val="bullet"/>
      <w:lvlText w:val=""/>
      <w:lvlJc w:val="left"/>
      <w:pPr>
        <w:ind w:left="6480" w:hanging="360"/>
      </w:pPr>
      <w:rPr>
        <w:rFonts w:ascii="Wingdings" w:hAnsi="Wingdings" w:hint="default"/>
      </w:rPr>
    </w:lvl>
  </w:abstractNum>
  <w:num w:numId="1" w16cid:durableId="789325636">
    <w:abstractNumId w:val="22"/>
  </w:num>
  <w:num w:numId="2" w16cid:durableId="787819925">
    <w:abstractNumId w:val="20"/>
  </w:num>
  <w:num w:numId="3" w16cid:durableId="1530339024">
    <w:abstractNumId w:val="21"/>
  </w:num>
  <w:num w:numId="4" w16cid:durableId="1171213332">
    <w:abstractNumId w:val="11"/>
  </w:num>
  <w:num w:numId="5" w16cid:durableId="1168638911">
    <w:abstractNumId w:val="13"/>
  </w:num>
  <w:num w:numId="6" w16cid:durableId="733352259">
    <w:abstractNumId w:val="26"/>
  </w:num>
  <w:num w:numId="7" w16cid:durableId="903876437">
    <w:abstractNumId w:val="18"/>
  </w:num>
  <w:num w:numId="8" w16cid:durableId="1723676815">
    <w:abstractNumId w:val="2"/>
  </w:num>
  <w:num w:numId="9" w16cid:durableId="1965308674">
    <w:abstractNumId w:val="4"/>
  </w:num>
  <w:num w:numId="10" w16cid:durableId="1307972170">
    <w:abstractNumId w:val="19"/>
  </w:num>
  <w:num w:numId="11" w16cid:durableId="2039431380">
    <w:abstractNumId w:val="25"/>
  </w:num>
  <w:num w:numId="12" w16cid:durableId="23484610">
    <w:abstractNumId w:val="16"/>
  </w:num>
  <w:num w:numId="13" w16cid:durableId="1827820600">
    <w:abstractNumId w:val="10"/>
  </w:num>
  <w:num w:numId="14" w16cid:durableId="1736930016">
    <w:abstractNumId w:val="24"/>
  </w:num>
  <w:num w:numId="15" w16cid:durableId="1975063058">
    <w:abstractNumId w:val="0"/>
  </w:num>
  <w:num w:numId="16" w16cid:durableId="1921403517">
    <w:abstractNumId w:val="17"/>
  </w:num>
  <w:num w:numId="17" w16cid:durableId="1670252081">
    <w:abstractNumId w:val="1"/>
  </w:num>
  <w:num w:numId="18" w16cid:durableId="335545128">
    <w:abstractNumId w:val="12"/>
  </w:num>
  <w:num w:numId="19" w16cid:durableId="9570349">
    <w:abstractNumId w:val="6"/>
  </w:num>
  <w:num w:numId="20" w16cid:durableId="1556042619">
    <w:abstractNumId w:val="7"/>
  </w:num>
  <w:num w:numId="21" w16cid:durableId="524439420">
    <w:abstractNumId w:val="14"/>
  </w:num>
  <w:num w:numId="22" w16cid:durableId="2068796118">
    <w:abstractNumId w:val="9"/>
  </w:num>
  <w:num w:numId="23" w16cid:durableId="334185350">
    <w:abstractNumId w:val="3"/>
  </w:num>
  <w:num w:numId="24" w16cid:durableId="1314792771">
    <w:abstractNumId w:val="8"/>
  </w:num>
  <w:num w:numId="25" w16cid:durableId="1541823411">
    <w:abstractNumId w:val="5"/>
  </w:num>
  <w:num w:numId="26" w16cid:durableId="955675615">
    <w:abstractNumId w:val="23"/>
  </w:num>
  <w:num w:numId="27" w16cid:durableId="190285938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BF3844"/>
    <w:rsid w:val="00008254"/>
    <w:rsid w:val="0003AF5F"/>
    <w:rsid w:val="0005709B"/>
    <w:rsid w:val="000A5876"/>
    <w:rsid w:val="000D343F"/>
    <w:rsid w:val="000E261F"/>
    <w:rsid w:val="000EF08C"/>
    <w:rsid w:val="000F120D"/>
    <w:rsid w:val="000F4E4A"/>
    <w:rsid w:val="0012AE8B"/>
    <w:rsid w:val="00152810"/>
    <w:rsid w:val="001815D2"/>
    <w:rsid w:val="00185EAE"/>
    <w:rsid w:val="001B12EC"/>
    <w:rsid w:val="001EE4A5"/>
    <w:rsid w:val="001F605F"/>
    <w:rsid w:val="00222837"/>
    <w:rsid w:val="00232662"/>
    <w:rsid w:val="002378C7"/>
    <w:rsid w:val="00277834"/>
    <w:rsid w:val="002958C0"/>
    <w:rsid w:val="002BA6F6"/>
    <w:rsid w:val="002F2B12"/>
    <w:rsid w:val="003403BB"/>
    <w:rsid w:val="003810F7"/>
    <w:rsid w:val="003CCA34"/>
    <w:rsid w:val="004252DA"/>
    <w:rsid w:val="00480C70"/>
    <w:rsid w:val="004A0217"/>
    <w:rsid w:val="004A0F77"/>
    <w:rsid w:val="004C57B0"/>
    <w:rsid w:val="00549D8B"/>
    <w:rsid w:val="0055625F"/>
    <w:rsid w:val="00595235"/>
    <w:rsid w:val="006452DF"/>
    <w:rsid w:val="006876B4"/>
    <w:rsid w:val="006F7181"/>
    <w:rsid w:val="0070693B"/>
    <w:rsid w:val="007156B6"/>
    <w:rsid w:val="0073507F"/>
    <w:rsid w:val="0075BB70"/>
    <w:rsid w:val="0075C0F7"/>
    <w:rsid w:val="0078078E"/>
    <w:rsid w:val="00794DF2"/>
    <w:rsid w:val="00796534"/>
    <w:rsid w:val="007A60A1"/>
    <w:rsid w:val="007C74E3"/>
    <w:rsid w:val="007E48BA"/>
    <w:rsid w:val="00805094"/>
    <w:rsid w:val="008E4E20"/>
    <w:rsid w:val="008F6819"/>
    <w:rsid w:val="00966878"/>
    <w:rsid w:val="009A3D6B"/>
    <w:rsid w:val="009D245D"/>
    <w:rsid w:val="00A06D0E"/>
    <w:rsid w:val="00A361CF"/>
    <w:rsid w:val="00A715D9"/>
    <w:rsid w:val="00A7E4C0"/>
    <w:rsid w:val="00AB2C8D"/>
    <w:rsid w:val="00AB7BD2"/>
    <w:rsid w:val="00AC1C65"/>
    <w:rsid w:val="00B04F70"/>
    <w:rsid w:val="00B3EA00"/>
    <w:rsid w:val="00BE2E4C"/>
    <w:rsid w:val="00BE6392"/>
    <w:rsid w:val="00BF1EBC"/>
    <w:rsid w:val="00BFC4B1"/>
    <w:rsid w:val="00C070C5"/>
    <w:rsid w:val="00C24800"/>
    <w:rsid w:val="00C31CCD"/>
    <w:rsid w:val="00C57EEE"/>
    <w:rsid w:val="00C6CE2C"/>
    <w:rsid w:val="00C8A45B"/>
    <w:rsid w:val="00C923F0"/>
    <w:rsid w:val="00D12EFE"/>
    <w:rsid w:val="00D24177"/>
    <w:rsid w:val="00D413CE"/>
    <w:rsid w:val="00D4585B"/>
    <w:rsid w:val="00D90CBF"/>
    <w:rsid w:val="00D95426"/>
    <w:rsid w:val="00DB347B"/>
    <w:rsid w:val="00DE429C"/>
    <w:rsid w:val="00DF434F"/>
    <w:rsid w:val="00E4A8DF"/>
    <w:rsid w:val="00E4C4D6"/>
    <w:rsid w:val="00E5570A"/>
    <w:rsid w:val="00E63ED7"/>
    <w:rsid w:val="00EB4608"/>
    <w:rsid w:val="00F46F97"/>
    <w:rsid w:val="00F656FF"/>
    <w:rsid w:val="00FD1133"/>
    <w:rsid w:val="01091717"/>
    <w:rsid w:val="010DA52C"/>
    <w:rsid w:val="0116F631"/>
    <w:rsid w:val="012366BE"/>
    <w:rsid w:val="012EA9BF"/>
    <w:rsid w:val="012F2179"/>
    <w:rsid w:val="0130242C"/>
    <w:rsid w:val="013648EE"/>
    <w:rsid w:val="0145B1C4"/>
    <w:rsid w:val="0150728B"/>
    <w:rsid w:val="015B34F8"/>
    <w:rsid w:val="016C6C4E"/>
    <w:rsid w:val="01722D76"/>
    <w:rsid w:val="017961C9"/>
    <w:rsid w:val="01878E0B"/>
    <w:rsid w:val="018AF9A1"/>
    <w:rsid w:val="01B8566D"/>
    <w:rsid w:val="01BEFC7E"/>
    <w:rsid w:val="01CA70BB"/>
    <w:rsid w:val="01D8D1BF"/>
    <w:rsid w:val="01D9F9E7"/>
    <w:rsid w:val="01DA6E41"/>
    <w:rsid w:val="01DB0602"/>
    <w:rsid w:val="01DBB63A"/>
    <w:rsid w:val="01DE5E1E"/>
    <w:rsid w:val="01F051EE"/>
    <w:rsid w:val="01F6C349"/>
    <w:rsid w:val="01F91DD5"/>
    <w:rsid w:val="01FD2733"/>
    <w:rsid w:val="020C1A9B"/>
    <w:rsid w:val="0211AE04"/>
    <w:rsid w:val="021610EC"/>
    <w:rsid w:val="0216FEF0"/>
    <w:rsid w:val="0217D26C"/>
    <w:rsid w:val="021C0711"/>
    <w:rsid w:val="02231EF8"/>
    <w:rsid w:val="022D51C4"/>
    <w:rsid w:val="023CFCDF"/>
    <w:rsid w:val="024B5F04"/>
    <w:rsid w:val="024D49B5"/>
    <w:rsid w:val="025B9512"/>
    <w:rsid w:val="025CCD0F"/>
    <w:rsid w:val="026645A8"/>
    <w:rsid w:val="027332BC"/>
    <w:rsid w:val="0285E141"/>
    <w:rsid w:val="02876DE5"/>
    <w:rsid w:val="02890700"/>
    <w:rsid w:val="02AAC1C5"/>
    <w:rsid w:val="02BB717B"/>
    <w:rsid w:val="02C11FFB"/>
    <w:rsid w:val="02C6D9D1"/>
    <w:rsid w:val="02E18225"/>
    <w:rsid w:val="02E9D79E"/>
    <w:rsid w:val="02ED2AD7"/>
    <w:rsid w:val="02EDD356"/>
    <w:rsid w:val="03034974"/>
    <w:rsid w:val="030700C0"/>
    <w:rsid w:val="030B1FD8"/>
    <w:rsid w:val="034A4F4D"/>
    <w:rsid w:val="034E10FF"/>
    <w:rsid w:val="0358C1D5"/>
    <w:rsid w:val="036DAE1B"/>
    <w:rsid w:val="0384B7E5"/>
    <w:rsid w:val="0391FDFF"/>
    <w:rsid w:val="03B9CC5C"/>
    <w:rsid w:val="03C19A1D"/>
    <w:rsid w:val="03CA788B"/>
    <w:rsid w:val="03DC574C"/>
    <w:rsid w:val="03E9CBD0"/>
    <w:rsid w:val="04033385"/>
    <w:rsid w:val="04066709"/>
    <w:rsid w:val="041E400F"/>
    <w:rsid w:val="043AB2DB"/>
    <w:rsid w:val="043EA807"/>
    <w:rsid w:val="0453C975"/>
    <w:rsid w:val="0469A97D"/>
    <w:rsid w:val="046A5FA4"/>
    <w:rsid w:val="04710BEA"/>
    <w:rsid w:val="0471CA45"/>
    <w:rsid w:val="047FF790"/>
    <w:rsid w:val="04817B15"/>
    <w:rsid w:val="04862792"/>
    <w:rsid w:val="0486C585"/>
    <w:rsid w:val="04890DED"/>
    <w:rsid w:val="04972857"/>
    <w:rsid w:val="04AFF556"/>
    <w:rsid w:val="04BA79BA"/>
    <w:rsid w:val="04D20009"/>
    <w:rsid w:val="04D6DDAE"/>
    <w:rsid w:val="04EA5FF8"/>
    <w:rsid w:val="04F28C5D"/>
    <w:rsid w:val="04FCBF94"/>
    <w:rsid w:val="04FF621A"/>
    <w:rsid w:val="051BF2C0"/>
    <w:rsid w:val="0526FCB9"/>
    <w:rsid w:val="0534705E"/>
    <w:rsid w:val="0540E770"/>
    <w:rsid w:val="0541CABA"/>
    <w:rsid w:val="05577770"/>
    <w:rsid w:val="055999F9"/>
    <w:rsid w:val="05645DF6"/>
    <w:rsid w:val="05787712"/>
    <w:rsid w:val="058E3F2A"/>
    <w:rsid w:val="0592428E"/>
    <w:rsid w:val="0594CD91"/>
    <w:rsid w:val="059DE66A"/>
    <w:rsid w:val="059ECDAA"/>
    <w:rsid w:val="05A784F1"/>
    <w:rsid w:val="05A944EC"/>
    <w:rsid w:val="05B1FB67"/>
    <w:rsid w:val="05B29588"/>
    <w:rsid w:val="05B9AFFA"/>
    <w:rsid w:val="05D1D1DE"/>
    <w:rsid w:val="05DE7B8C"/>
    <w:rsid w:val="05F1D277"/>
    <w:rsid w:val="05FE7A93"/>
    <w:rsid w:val="060D9EF5"/>
    <w:rsid w:val="0636EFC5"/>
    <w:rsid w:val="063967C7"/>
    <w:rsid w:val="063B8B98"/>
    <w:rsid w:val="0646A82A"/>
    <w:rsid w:val="064FAB0F"/>
    <w:rsid w:val="064FF337"/>
    <w:rsid w:val="065311A8"/>
    <w:rsid w:val="0654BFBC"/>
    <w:rsid w:val="06559141"/>
    <w:rsid w:val="065AFF2E"/>
    <w:rsid w:val="06758258"/>
    <w:rsid w:val="067C1E22"/>
    <w:rsid w:val="0681F00F"/>
    <w:rsid w:val="068251C9"/>
    <w:rsid w:val="068326DE"/>
    <w:rsid w:val="068E5845"/>
    <w:rsid w:val="06962DB5"/>
    <w:rsid w:val="06995EAB"/>
    <w:rsid w:val="069C5EB5"/>
    <w:rsid w:val="069E6AF5"/>
    <w:rsid w:val="06B44CD8"/>
    <w:rsid w:val="06B6C94C"/>
    <w:rsid w:val="06C7D241"/>
    <w:rsid w:val="06D84CEE"/>
    <w:rsid w:val="06D9B5ED"/>
    <w:rsid w:val="06DED2DC"/>
    <w:rsid w:val="06E7F053"/>
    <w:rsid w:val="06EF7834"/>
    <w:rsid w:val="06F0E878"/>
    <w:rsid w:val="071139DC"/>
    <w:rsid w:val="071C6310"/>
    <w:rsid w:val="071D810B"/>
    <w:rsid w:val="072F0635"/>
    <w:rsid w:val="07402A07"/>
    <w:rsid w:val="0745CDE4"/>
    <w:rsid w:val="074E65E9"/>
    <w:rsid w:val="07615778"/>
    <w:rsid w:val="07652217"/>
    <w:rsid w:val="076DA23F"/>
    <w:rsid w:val="07723AFA"/>
    <w:rsid w:val="0775B935"/>
    <w:rsid w:val="078EAB6D"/>
    <w:rsid w:val="079A4AF4"/>
    <w:rsid w:val="079D86BB"/>
    <w:rsid w:val="07A91B21"/>
    <w:rsid w:val="07AD057E"/>
    <w:rsid w:val="07C1728A"/>
    <w:rsid w:val="07C5D8CC"/>
    <w:rsid w:val="07C7B493"/>
    <w:rsid w:val="07D3F065"/>
    <w:rsid w:val="07D58190"/>
    <w:rsid w:val="07DBADD2"/>
    <w:rsid w:val="07DC60A1"/>
    <w:rsid w:val="07E19BFD"/>
    <w:rsid w:val="07E2872C"/>
    <w:rsid w:val="07E79618"/>
    <w:rsid w:val="080F4F5C"/>
    <w:rsid w:val="081A0A44"/>
    <w:rsid w:val="08254D61"/>
    <w:rsid w:val="08382F16"/>
    <w:rsid w:val="084C7438"/>
    <w:rsid w:val="08501D39"/>
    <w:rsid w:val="0852E8C3"/>
    <w:rsid w:val="085E7724"/>
    <w:rsid w:val="0865312C"/>
    <w:rsid w:val="08795205"/>
    <w:rsid w:val="0886AC38"/>
    <w:rsid w:val="089116E8"/>
    <w:rsid w:val="08995368"/>
    <w:rsid w:val="08A39343"/>
    <w:rsid w:val="08A604E3"/>
    <w:rsid w:val="08A7B7F7"/>
    <w:rsid w:val="08A7D6E4"/>
    <w:rsid w:val="08C9A209"/>
    <w:rsid w:val="08CB295E"/>
    <w:rsid w:val="08CD41F2"/>
    <w:rsid w:val="08DBFA68"/>
    <w:rsid w:val="08EA364A"/>
    <w:rsid w:val="08EF0536"/>
    <w:rsid w:val="08F6848C"/>
    <w:rsid w:val="08FFB3F3"/>
    <w:rsid w:val="09027042"/>
    <w:rsid w:val="090972A0"/>
    <w:rsid w:val="0915C3AD"/>
    <w:rsid w:val="092902D8"/>
    <w:rsid w:val="0939571C"/>
    <w:rsid w:val="094DD625"/>
    <w:rsid w:val="094F2E71"/>
    <w:rsid w:val="09530A28"/>
    <w:rsid w:val="09569BAC"/>
    <w:rsid w:val="09625D32"/>
    <w:rsid w:val="096A23D4"/>
    <w:rsid w:val="096A997A"/>
    <w:rsid w:val="096FC0C6"/>
    <w:rsid w:val="0979F0AC"/>
    <w:rsid w:val="097BBDFB"/>
    <w:rsid w:val="098DEADD"/>
    <w:rsid w:val="09922C84"/>
    <w:rsid w:val="09927035"/>
    <w:rsid w:val="09952DA4"/>
    <w:rsid w:val="0998B437"/>
    <w:rsid w:val="09A84CC7"/>
    <w:rsid w:val="09B90F4F"/>
    <w:rsid w:val="09B9C049"/>
    <w:rsid w:val="09D030B7"/>
    <w:rsid w:val="09E053D2"/>
    <w:rsid w:val="09EC173E"/>
    <w:rsid w:val="09ECC61B"/>
    <w:rsid w:val="09F1BC7B"/>
    <w:rsid w:val="0A17027A"/>
    <w:rsid w:val="0A1B7814"/>
    <w:rsid w:val="0A1C7322"/>
    <w:rsid w:val="0A1E440C"/>
    <w:rsid w:val="0A227C99"/>
    <w:rsid w:val="0A23CF3A"/>
    <w:rsid w:val="0A32F943"/>
    <w:rsid w:val="0A49BCFF"/>
    <w:rsid w:val="0A4B054E"/>
    <w:rsid w:val="0A525E18"/>
    <w:rsid w:val="0A5D5B91"/>
    <w:rsid w:val="0A66A6F7"/>
    <w:rsid w:val="0A69AFAF"/>
    <w:rsid w:val="0A6CFD6D"/>
    <w:rsid w:val="0A8606AB"/>
    <w:rsid w:val="0A87B745"/>
    <w:rsid w:val="0A91119A"/>
    <w:rsid w:val="0A91E9B4"/>
    <w:rsid w:val="0A98F83A"/>
    <w:rsid w:val="0A9D273C"/>
    <w:rsid w:val="0AAD59F7"/>
    <w:rsid w:val="0AAFF95D"/>
    <w:rsid w:val="0AC1AD81"/>
    <w:rsid w:val="0AC2321F"/>
    <w:rsid w:val="0ACEA8F4"/>
    <w:rsid w:val="0AD0F608"/>
    <w:rsid w:val="0AD5277D"/>
    <w:rsid w:val="0AF7DA11"/>
    <w:rsid w:val="0B0669DB"/>
    <w:rsid w:val="0B0D2252"/>
    <w:rsid w:val="0B0E4593"/>
    <w:rsid w:val="0B2682CB"/>
    <w:rsid w:val="0B2CB103"/>
    <w:rsid w:val="0B2DECE9"/>
    <w:rsid w:val="0B30FE05"/>
    <w:rsid w:val="0B36F41B"/>
    <w:rsid w:val="0B39DBB2"/>
    <w:rsid w:val="0B41418D"/>
    <w:rsid w:val="0B444F15"/>
    <w:rsid w:val="0B456029"/>
    <w:rsid w:val="0B6394BD"/>
    <w:rsid w:val="0B63D3BA"/>
    <w:rsid w:val="0B735A3A"/>
    <w:rsid w:val="0B8AFF5D"/>
    <w:rsid w:val="0B9321CA"/>
    <w:rsid w:val="0B9BD87B"/>
    <w:rsid w:val="0BAAFE8C"/>
    <w:rsid w:val="0BB49ED6"/>
    <w:rsid w:val="0BBE4CFA"/>
    <w:rsid w:val="0BC26BE7"/>
    <w:rsid w:val="0BC2E167"/>
    <w:rsid w:val="0BD522A6"/>
    <w:rsid w:val="0BEF9218"/>
    <w:rsid w:val="0BF1F67B"/>
    <w:rsid w:val="0BF70778"/>
    <w:rsid w:val="0BF8614E"/>
    <w:rsid w:val="0C05640E"/>
    <w:rsid w:val="0C0D27EE"/>
    <w:rsid w:val="0C17A54C"/>
    <w:rsid w:val="0C21D70C"/>
    <w:rsid w:val="0C38F79D"/>
    <w:rsid w:val="0C59100D"/>
    <w:rsid w:val="0C6C48BA"/>
    <w:rsid w:val="0C7B5D16"/>
    <w:rsid w:val="0C86F930"/>
    <w:rsid w:val="0C8D007B"/>
    <w:rsid w:val="0C9F4CF6"/>
    <w:rsid w:val="0CA23A3C"/>
    <w:rsid w:val="0CA5F5B8"/>
    <w:rsid w:val="0CA8F2B3"/>
    <w:rsid w:val="0CB2724C"/>
    <w:rsid w:val="0CBB2355"/>
    <w:rsid w:val="0CBF3844"/>
    <w:rsid w:val="0CC84CC6"/>
    <w:rsid w:val="0CD9E1AC"/>
    <w:rsid w:val="0CDC41A0"/>
    <w:rsid w:val="0CDC4980"/>
    <w:rsid w:val="0CDEBC03"/>
    <w:rsid w:val="0CDF1C67"/>
    <w:rsid w:val="0CE89A06"/>
    <w:rsid w:val="0CF55A06"/>
    <w:rsid w:val="0D0B320F"/>
    <w:rsid w:val="0D2DCBE4"/>
    <w:rsid w:val="0D2EF22B"/>
    <w:rsid w:val="0D4A48E2"/>
    <w:rsid w:val="0D5569D8"/>
    <w:rsid w:val="0D6073C2"/>
    <w:rsid w:val="0D6426F3"/>
    <w:rsid w:val="0D668415"/>
    <w:rsid w:val="0D7BFC5D"/>
    <w:rsid w:val="0D8AD1FC"/>
    <w:rsid w:val="0D8C28D7"/>
    <w:rsid w:val="0D92BB73"/>
    <w:rsid w:val="0D9468D2"/>
    <w:rsid w:val="0D982DEF"/>
    <w:rsid w:val="0DA48A5B"/>
    <w:rsid w:val="0DAFC862"/>
    <w:rsid w:val="0DC21F04"/>
    <w:rsid w:val="0DE8B63E"/>
    <w:rsid w:val="0DFC6927"/>
    <w:rsid w:val="0E098C78"/>
    <w:rsid w:val="0E13283D"/>
    <w:rsid w:val="0E1BD53D"/>
    <w:rsid w:val="0E267B4B"/>
    <w:rsid w:val="0E2D09D8"/>
    <w:rsid w:val="0E316B83"/>
    <w:rsid w:val="0E414B0C"/>
    <w:rsid w:val="0E41D3F4"/>
    <w:rsid w:val="0E446BA6"/>
    <w:rsid w:val="0E4F81CE"/>
    <w:rsid w:val="0E5F69BA"/>
    <w:rsid w:val="0E658DAB"/>
    <w:rsid w:val="0E7BF790"/>
    <w:rsid w:val="0E7DDD1E"/>
    <w:rsid w:val="0E8994EA"/>
    <w:rsid w:val="0E9F88DF"/>
    <w:rsid w:val="0EA3A1DA"/>
    <w:rsid w:val="0EB8A94B"/>
    <w:rsid w:val="0EC22A47"/>
    <w:rsid w:val="0EC2D506"/>
    <w:rsid w:val="0ECE7D23"/>
    <w:rsid w:val="0ED16704"/>
    <w:rsid w:val="0EF127D0"/>
    <w:rsid w:val="0EF25479"/>
    <w:rsid w:val="0EF29965"/>
    <w:rsid w:val="0EF5EDBC"/>
    <w:rsid w:val="0EF783D8"/>
    <w:rsid w:val="0F06BCE8"/>
    <w:rsid w:val="0F181618"/>
    <w:rsid w:val="0F457215"/>
    <w:rsid w:val="0F588969"/>
    <w:rsid w:val="0F5B5F53"/>
    <w:rsid w:val="0F681956"/>
    <w:rsid w:val="0F7E4C1E"/>
    <w:rsid w:val="0F9AD371"/>
    <w:rsid w:val="0F9CC4B3"/>
    <w:rsid w:val="0FA21A17"/>
    <w:rsid w:val="0FA55CD9"/>
    <w:rsid w:val="0FA787E8"/>
    <w:rsid w:val="0FB150B0"/>
    <w:rsid w:val="0FB5C4D5"/>
    <w:rsid w:val="0FCAC592"/>
    <w:rsid w:val="0FCE7B80"/>
    <w:rsid w:val="0FE6BFB7"/>
    <w:rsid w:val="0FEB522F"/>
    <w:rsid w:val="0FF9F3EE"/>
    <w:rsid w:val="0FFA47B7"/>
    <w:rsid w:val="100CB17E"/>
    <w:rsid w:val="10203AC8"/>
    <w:rsid w:val="10349341"/>
    <w:rsid w:val="1042694F"/>
    <w:rsid w:val="104641F6"/>
    <w:rsid w:val="1068227A"/>
    <w:rsid w:val="108B00A8"/>
    <w:rsid w:val="109225D5"/>
    <w:rsid w:val="109A9FC3"/>
    <w:rsid w:val="10AA1410"/>
    <w:rsid w:val="10AE2B25"/>
    <w:rsid w:val="10B3BC2F"/>
    <w:rsid w:val="10BD2C36"/>
    <w:rsid w:val="10BFDFA5"/>
    <w:rsid w:val="10E70C4D"/>
    <w:rsid w:val="10EA5B21"/>
    <w:rsid w:val="10EA5F31"/>
    <w:rsid w:val="10F6D1B5"/>
    <w:rsid w:val="10FF3E5D"/>
    <w:rsid w:val="1104A483"/>
    <w:rsid w:val="11236828"/>
    <w:rsid w:val="112843E5"/>
    <w:rsid w:val="1133D4C4"/>
    <w:rsid w:val="11373FBA"/>
    <w:rsid w:val="11389514"/>
    <w:rsid w:val="114B823D"/>
    <w:rsid w:val="114D2111"/>
    <w:rsid w:val="11573EB6"/>
    <w:rsid w:val="1159B920"/>
    <w:rsid w:val="115A9A8F"/>
    <w:rsid w:val="115E1C0D"/>
    <w:rsid w:val="1169ECFD"/>
    <w:rsid w:val="117966DB"/>
    <w:rsid w:val="117CE378"/>
    <w:rsid w:val="11820264"/>
    <w:rsid w:val="11963D4C"/>
    <w:rsid w:val="119DB1D5"/>
    <w:rsid w:val="119E72C8"/>
    <w:rsid w:val="11AB2602"/>
    <w:rsid w:val="11AEBAD3"/>
    <w:rsid w:val="11B6D25C"/>
    <w:rsid w:val="11CD41C9"/>
    <w:rsid w:val="11DCC4C1"/>
    <w:rsid w:val="11EBB137"/>
    <w:rsid w:val="11FECFAD"/>
    <w:rsid w:val="1202634E"/>
    <w:rsid w:val="12178BE9"/>
    <w:rsid w:val="121D6A0B"/>
    <w:rsid w:val="1231E93F"/>
    <w:rsid w:val="1232949D"/>
    <w:rsid w:val="1233BECC"/>
    <w:rsid w:val="126019E7"/>
    <w:rsid w:val="1260B076"/>
    <w:rsid w:val="12655D83"/>
    <w:rsid w:val="12690A12"/>
    <w:rsid w:val="126D4892"/>
    <w:rsid w:val="127209D6"/>
    <w:rsid w:val="1284B11D"/>
    <w:rsid w:val="12912E42"/>
    <w:rsid w:val="12919536"/>
    <w:rsid w:val="1299AF22"/>
    <w:rsid w:val="12B311A6"/>
    <w:rsid w:val="12B764C2"/>
    <w:rsid w:val="12B86BDC"/>
    <w:rsid w:val="12C0CA60"/>
    <w:rsid w:val="12C12045"/>
    <w:rsid w:val="12D768F6"/>
    <w:rsid w:val="12DA7668"/>
    <w:rsid w:val="12DE406F"/>
    <w:rsid w:val="12E0A58E"/>
    <w:rsid w:val="12E73A44"/>
    <w:rsid w:val="12E85366"/>
    <w:rsid w:val="12F24E7C"/>
    <w:rsid w:val="12F455AF"/>
    <w:rsid w:val="12F9EC6E"/>
    <w:rsid w:val="1305BD5E"/>
    <w:rsid w:val="1322F2F1"/>
    <w:rsid w:val="13281090"/>
    <w:rsid w:val="132B9AE8"/>
    <w:rsid w:val="132D656D"/>
    <w:rsid w:val="13398236"/>
    <w:rsid w:val="13445240"/>
    <w:rsid w:val="134737A0"/>
    <w:rsid w:val="1359A1BD"/>
    <w:rsid w:val="13627025"/>
    <w:rsid w:val="1367CC04"/>
    <w:rsid w:val="136C0557"/>
    <w:rsid w:val="136EB083"/>
    <w:rsid w:val="1373EBCF"/>
    <w:rsid w:val="13977C9D"/>
    <w:rsid w:val="13998541"/>
    <w:rsid w:val="13B14C25"/>
    <w:rsid w:val="13BB9966"/>
    <w:rsid w:val="13D36877"/>
    <w:rsid w:val="13EBA75A"/>
    <w:rsid w:val="13F262BF"/>
    <w:rsid w:val="13F55948"/>
    <w:rsid w:val="1402E4C3"/>
    <w:rsid w:val="1411B8A6"/>
    <w:rsid w:val="1419503A"/>
    <w:rsid w:val="14224CE0"/>
    <w:rsid w:val="14263C36"/>
    <w:rsid w:val="1432A0D0"/>
    <w:rsid w:val="1442A04F"/>
    <w:rsid w:val="1454A865"/>
    <w:rsid w:val="1455F26C"/>
    <w:rsid w:val="146CDE48"/>
    <w:rsid w:val="14733957"/>
    <w:rsid w:val="1473CD68"/>
    <w:rsid w:val="14788B51"/>
    <w:rsid w:val="1478CDFC"/>
    <w:rsid w:val="14811FCA"/>
    <w:rsid w:val="1481ED21"/>
    <w:rsid w:val="148322FF"/>
    <w:rsid w:val="1487B269"/>
    <w:rsid w:val="149EC05A"/>
    <w:rsid w:val="14A3A10E"/>
    <w:rsid w:val="14AEE05D"/>
    <w:rsid w:val="14B5F04B"/>
    <w:rsid w:val="14C7CA8D"/>
    <w:rsid w:val="14D55297"/>
    <w:rsid w:val="14EB3914"/>
    <w:rsid w:val="14EFDBBA"/>
    <w:rsid w:val="14F95CD9"/>
    <w:rsid w:val="14FA91D2"/>
    <w:rsid w:val="14FEF5F3"/>
    <w:rsid w:val="150807DF"/>
    <w:rsid w:val="150B8CC6"/>
    <w:rsid w:val="1510F67E"/>
    <w:rsid w:val="151BE8C4"/>
    <w:rsid w:val="1528F038"/>
    <w:rsid w:val="15334CFE"/>
    <w:rsid w:val="1533869A"/>
    <w:rsid w:val="15380CEC"/>
    <w:rsid w:val="15398869"/>
    <w:rsid w:val="153A0410"/>
    <w:rsid w:val="153E852F"/>
    <w:rsid w:val="155025D0"/>
    <w:rsid w:val="15611756"/>
    <w:rsid w:val="157015EE"/>
    <w:rsid w:val="15796FE7"/>
    <w:rsid w:val="157F6E28"/>
    <w:rsid w:val="1582E5F0"/>
    <w:rsid w:val="158CDA3F"/>
    <w:rsid w:val="159F7F36"/>
    <w:rsid w:val="15A3B4AA"/>
    <w:rsid w:val="15B5F98F"/>
    <w:rsid w:val="15C5E5C6"/>
    <w:rsid w:val="15E1478B"/>
    <w:rsid w:val="15F07258"/>
    <w:rsid w:val="160F09B8"/>
    <w:rsid w:val="1615E131"/>
    <w:rsid w:val="162AD3CC"/>
    <w:rsid w:val="162EDD7B"/>
    <w:rsid w:val="16326DDF"/>
    <w:rsid w:val="163F66D6"/>
    <w:rsid w:val="1648DD3E"/>
    <w:rsid w:val="164F7D8B"/>
    <w:rsid w:val="1660638A"/>
    <w:rsid w:val="1669893B"/>
    <w:rsid w:val="167122F8"/>
    <w:rsid w:val="167D3FC3"/>
    <w:rsid w:val="167DCD45"/>
    <w:rsid w:val="167F1AF4"/>
    <w:rsid w:val="167F961F"/>
    <w:rsid w:val="1688ADF1"/>
    <w:rsid w:val="1690D608"/>
    <w:rsid w:val="1691904B"/>
    <w:rsid w:val="16A2A6F8"/>
    <w:rsid w:val="16A7A624"/>
    <w:rsid w:val="16ABBF62"/>
    <w:rsid w:val="16AE18DD"/>
    <w:rsid w:val="16BAA1CA"/>
    <w:rsid w:val="16BD6662"/>
    <w:rsid w:val="16C03E2F"/>
    <w:rsid w:val="16C607B2"/>
    <w:rsid w:val="16D320E7"/>
    <w:rsid w:val="16D5D471"/>
    <w:rsid w:val="16E17BEF"/>
    <w:rsid w:val="16E1F05F"/>
    <w:rsid w:val="16FE5EA2"/>
    <w:rsid w:val="170601A3"/>
    <w:rsid w:val="1706BA19"/>
    <w:rsid w:val="17175584"/>
    <w:rsid w:val="171B260D"/>
    <w:rsid w:val="1730C9B9"/>
    <w:rsid w:val="1738E9F7"/>
    <w:rsid w:val="174397EC"/>
    <w:rsid w:val="17501C29"/>
    <w:rsid w:val="17844F23"/>
    <w:rsid w:val="179173A3"/>
    <w:rsid w:val="179D687E"/>
    <w:rsid w:val="17A5CAC3"/>
    <w:rsid w:val="17B1B192"/>
    <w:rsid w:val="17BD26B1"/>
    <w:rsid w:val="17BE5227"/>
    <w:rsid w:val="17E35018"/>
    <w:rsid w:val="17E66777"/>
    <w:rsid w:val="17EECDA7"/>
    <w:rsid w:val="17F5A51E"/>
    <w:rsid w:val="1805599C"/>
    <w:rsid w:val="1814384F"/>
    <w:rsid w:val="18169DE9"/>
    <w:rsid w:val="181F08A6"/>
    <w:rsid w:val="18258B7E"/>
    <w:rsid w:val="183BA1CE"/>
    <w:rsid w:val="184C2224"/>
    <w:rsid w:val="184F2D73"/>
    <w:rsid w:val="184FACD4"/>
    <w:rsid w:val="184FC77E"/>
    <w:rsid w:val="1858636A"/>
    <w:rsid w:val="18600CA3"/>
    <w:rsid w:val="18690C8D"/>
    <w:rsid w:val="1869650D"/>
    <w:rsid w:val="186A8DBD"/>
    <w:rsid w:val="187AD4E3"/>
    <w:rsid w:val="188450D8"/>
    <w:rsid w:val="1888ADC4"/>
    <w:rsid w:val="1889CF6A"/>
    <w:rsid w:val="188C8FE2"/>
    <w:rsid w:val="18A1D204"/>
    <w:rsid w:val="18AFA484"/>
    <w:rsid w:val="18AFD991"/>
    <w:rsid w:val="18C72AAF"/>
    <w:rsid w:val="18D49F07"/>
    <w:rsid w:val="18DFB4BF"/>
    <w:rsid w:val="18E05CF3"/>
    <w:rsid w:val="18E48A51"/>
    <w:rsid w:val="18E65ABD"/>
    <w:rsid w:val="18EBF65E"/>
    <w:rsid w:val="18FA1375"/>
    <w:rsid w:val="1901B779"/>
    <w:rsid w:val="19177AA5"/>
    <w:rsid w:val="19201F84"/>
    <w:rsid w:val="192C238B"/>
    <w:rsid w:val="19300E97"/>
    <w:rsid w:val="1935A717"/>
    <w:rsid w:val="193A205C"/>
    <w:rsid w:val="194014D1"/>
    <w:rsid w:val="19460579"/>
    <w:rsid w:val="19473B4D"/>
    <w:rsid w:val="194751CE"/>
    <w:rsid w:val="194D81F3"/>
    <w:rsid w:val="1959D4C6"/>
    <w:rsid w:val="195EFF07"/>
    <w:rsid w:val="1961E576"/>
    <w:rsid w:val="1968F2CF"/>
    <w:rsid w:val="197C2E8F"/>
    <w:rsid w:val="197DE5DD"/>
    <w:rsid w:val="197E88EC"/>
    <w:rsid w:val="19A8C3BA"/>
    <w:rsid w:val="19AB4353"/>
    <w:rsid w:val="19B69E4C"/>
    <w:rsid w:val="19B6BBB6"/>
    <w:rsid w:val="19B6BD9D"/>
    <w:rsid w:val="19B736E1"/>
    <w:rsid w:val="19BDE52B"/>
    <w:rsid w:val="19BEAA37"/>
    <w:rsid w:val="19C5D28D"/>
    <w:rsid w:val="19D6C938"/>
    <w:rsid w:val="19DB2FC3"/>
    <w:rsid w:val="19DBFC6A"/>
    <w:rsid w:val="19DF46E6"/>
    <w:rsid w:val="19E30456"/>
    <w:rsid w:val="1A010912"/>
    <w:rsid w:val="1A021164"/>
    <w:rsid w:val="1A049FFC"/>
    <w:rsid w:val="1A1F09D0"/>
    <w:rsid w:val="1A285FE9"/>
    <w:rsid w:val="1A2D2644"/>
    <w:rsid w:val="1A3DA265"/>
    <w:rsid w:val="1A496F8F"/>
    <w:rsid w:val="1A4AF508"/>
    <w:rsid w:val="1A62CCE5"/>
    <w:rsid w:val="1A666964"/>
    <w:rsid w:val="1A7E2EC7"/>
    <w:rsid w:val="1A83C137"/>
    <w:rsid w:val="1A8B7766"/>
    <w:rsid w:val="1A8E287B"/>
    <w:rsid w:val="1A93AB5F"/>
    <w:rsid w:val="1A9AA739"/>
    <w:rsid w:val="1AA6771D"/>
    <w:rsid w:val="1AA930DD"/>
    <w:rsid w:val="1ADD3660"/>
    <w:rsid w:val="1ADF70DF"/>
    <w:rsid w:val="1AE36D52"/>
    <w:rsid w:val="1B2836A7"/>
    <w:rsid w:val="1B3293A4"/>
    <w:rsid w:val="1B366DF7"/>
    <w:rsid w:val="1B3826E5"/>
    <w:rsid w:val="1B3CA695"/>
    <w:rsid w:val="1B49CBB4"/>
    <w:rsid w:val="1B574901"/>
    <w:rsid w:val="1B582832"/>
    <w:rsid w:val="1B5A7A98"/>
    <w:rsid w:val="1B6358BF"/>
    <w:rsid w:val="1B6F8BA5"/>
    <w:rsid w:val="1B723008"/>
    <w:rsid w:val="1B734290"/>
    <w:rsid w:val="1B7B91D6"/>
    <w:rsid w:val="1B7D2A79"/>
    <w:rsid w:val="1B81D663"/>
    <w:rsid w:val="1B8EFF03"/>
    <w:rsid w:val="1B8F0D2F"/>
    <w:rsid w:val="1B9F61D7"/>
    <w:rsid w:val="1BA382D4"/>
    <w:rsid w:val="1BA94594"/>
    <w:rsid w:val="1BACBF05"/>
    <w:rsid w:val="1BB03061"/>
    <w:rsid w:val="1BBA8DF3"/>
    <w:rsid w:val="1BC04E86"/>
    <w:rsid w:val="1BC5EA68"/>
    <w:rsid w:val="1BC72669"/>
    <w:rsid w:val="1BC9B21F"/>
    <w:rsid w:val="1BF382BD"/>
    <w:rsid w:val="1C043ADC"/>
    <w:rsid w:val="1C1EB69C"/>
    <w:rsid w:val="1C1FF616"/>
    <w:rsid w:val="1C331FFB"/>
    <w:rsid w:val="1C361526"/>
    <w:rsid w:val="1C3AB652"/>
    <w:rsid w:val="1C4B7DE1"/>
    <w:rsid w:val="1C515BCB"/>
    <w:rsid w:val="1C548373"/>
    <w:rsid w:val="1C71D4A2"/>
    <w:rsid w:val="1C794B4D"/>
    <w:rsid w:val="1C871DA2"/>
    <w:rsid w:val="1C94EB18"/>
    <w:rsid w:val="1C982123"/>
    <w:rsid w:val="1CA8BC3A"/>
    <w:rsid w:val="1CA96D45"/>
    <w:rsid w:val="1CAF093D"/>
    <w:rsid w:val="1CB13BB8"/>
    <w:rsid w:val="1CC1E5C5"/>
    <w:rsid w:val="1CC40708"/>
    <w:rsid w:val="1CCDD516"/>
    <w:rsid w:val="1CD56586"/>
    <w:rsid w:val="1CD68C4D"/>
    <w:rsid w:val="1CE1A51E"/>
    <w:rsid w:val="1CE21290"/>
    <w:rsid w:val="1CF475C8"/>
    <w:rsid w:val="1CF585ED"/>
    <w:rsid w:val="1CF64AF9"/>
    <w:rsid w:val="1CFB233E"/>
    <w:rsid w:val="1D0CF39C"/>
    <w:rsid w:val="1D169E1D"/>
    <w:rsid w:val="1D1D2389"/>
    <w:rsid w:val="1D27EB21"/>
    <w:rsid w:val="1D2D6837"/>
    <w:rsid w:val="1D35C888"/>
    <w:rsid w:val="1D3957BD"/>
    <w:rsid w:val="1D3B3238"/>
    <w:rsid w:val="1D3E5EE3"/>
    <w:rsid w:val="1D40B34B"/>
    <w:rsid w:val="1D4B271D"/>
    <w:rsid w:val="1D582E6B"/>
    <w:rsid w:val="1D61C432"/>
    <w:rsid w:val="1D64C706"/>
    <w:rsid w:val="1D7197D1"/>
    <w:rsid w:val="1D754327"/>
    <w:rsid w:val="1D88EAE7"/>
    <w:rsid w:val="1D8DC3BC"/>
    <w:rsid w:val="1DA00B3D"/>
    <w:rsid w:val="1DA59B32"/>
    <w:rsid w:val="1DA8102A"/>
    <w:rsid w:val="1DB0ED2A"/>
    <w:rsid w:val="1DB1A4E2"/>
    <w:rsid w:val="1DB2065C"/>
    <w:rsid w:val="1DD60B1D"/>
    <w:rsid w:val="1DE814C1"/>
    <w:rsid w:val="1DEAEBC8"/>
    <w:rsid w:val="1DF390A7"/>
    <w:rsid w:val="1E13132F"/>
    <w:rsid w:val="1E2A2011"/>
    <w:rsid w:val="1E355654"/>
    <w:rsid w:val="1E393411"/>
    <w:rsid w:val="1E48F853"/>
    <w:rsid w:val="1E4BD618"/>
    <w:rsid w:val="1E4E974D"/>
    <w:rsid w:val="1E5AE3F7"/>
    <w:rsid w:val="1E5D82EB"/>
    <w:rsid w:val="1E6900A6"/>
    <w:rsid w:val="1E6A3466"/>
    <w:rsid w:val="1E8105E3"/>
    <w:rsid w:val="1E84762C"/>
    <w:rsid w:val="1E8B16D9"/>
    <w:rsid w:val="1E8CAFDC"/>
    <w:rsid w:val="1E921B5A"/>
    <w:rsid w:val="1E942F1C"/>
    <w:rsid w:val="1E9AD42B"/>
    <w:rsid w:val="1EA029EB"/>
    <w:rsid w:val="1EA79878"/>
    <w:rsid w:val="1EA9D0CA"/>
    <w:rsid w:val="1EAC2193"/>
    <w:rsid w:val="1EB33FAA"/>
    <w:rsid w:val="1EBD5C6A"/>
    <w:rsid w:val="1ED5281E"/>
    <w:rsid w:val="1EED5908"/>
    <w:rsid w:val="1EF2C5B7"/>
    <w:rsid w:val="1EF357A1"/>
    <w:rsid w:val="1EF97CE7"/>
    <w:rsid w:val="1EFB122E"/>
    <w:rsid w:val="1F02D922"/>
    <w:rsid w:val="1F05BFA2"/>
    <w:rsid w:val="1F2EC8FD"/>
    <w:rsid w:val="1F3BDB9E"/>
    <w:rsid w:val="1F43F55C"/>
    <w:rsid w:val="1F4D9024"/>
    <w:rsid w:val="1F5AC067"/>
    <w:rsid w:val="1F62B777"/>
    <w:rsid w:val="1F68B749"/>
    <w:rsid w:val="1F68F1EF"/>
    <w:rsid w:val="1F833761"/>
    <w:rsid w:val="1F86BC29"/>
    <w:rsid w:val="1F948460"/>
    <w:rsid w:val="1F95073D"/>
    <w:rsid w:val="1FB1F0D1"/>
    <w:rsid w:val="1FC7B7AB"/>
    <w:rsid w:val="1FD0BC9D"/>
    <w:rsid w:val="1FD338F9"/>
    <w:rsid w:val="1FE78C31"/>
    <w:rsid w:val="1FED034E"/>
    <w:rsid w:val="1FFBFE9C"/>
    <w:rsid w:val="2009637F"/>
    <w:rsid w:val="200B2902"/>
    <w:rsid w:val="200D0648"/>
    <w:rsid w:val="200FD903"/>
    <w:rsid w:val="202D26AF"/>
    <w:rsid w:val="20382426"/>
    <w:rsid w:val="2041F8D6"/>
    <w:rsid w:val="20611A51"/>
    <w:rsid w:val="206D7551"/>
    <w:rsid w:val="2072D2FA"/>
    <w:rsid w:val="2075FFA5"/>
    <w:rsid w:val="2076A6D0"/>
    <w:rsid w:val="207CB2C0"/>
    <w:rsid w:val="207CB6B7"/>
    <w:rsid w:val="2092358C"/>
    <w:rsid w:val="20977167"/>
    <w:rsid w:val="2097A16D"/>
    <w:rsid w:val="20ACE3E9"/>
    <w:rsid w:val="20AF6656"/>
    <w:rsid w:val="20B1D77E"/>
    <w:rsid w:val="20CA23B8"/>
    <w:rsid w:val="20D36F85"/>
    <w:rsid w:val="20D9F129"/>
    <w:rsid w:val="20EDEAC1"/>
    <w:rsid w:val="211F9115"/>
    <w:rsid w:val="21217E3B"/>
    <w:rsid w:val="21330C9E"/>
    <w:rsid w:val="21360B9B"/>
    <w:rsid w:val="21485B77"/>
    <w:rsid w:val="2151BC5F"/>
    <w:rsid w:val="2155E8DF"/>
    <w:rsid w:val="21681818"/>
    <w:rsid w:val="21696E4B"/>
    <w:rsid w:val="21785095"/>
    <w:rsid w:val="217CD8A4"/>
    <w:rsid w:val="217EA6A0"/>
    <w:rsid w:val="218718DA"/>
    <w:rsid w:val="21894D2F"/>
    <w:rsid w:val="218D6736"/>
    <w:rsid w:val="2198FEAB"/>
    <w:rsid w:val="219B25F9"/>
    <w:rsid w:val="21A9BCE3"/>
    <w:rsid w:val="21BA8B9B"/>
    <w:rsid w:val="21BE9637"/>
    <w:rsid w:val="21C848FA"/>
    <w:rsid w:val="21D3F487"/>
    <w:rsid w:val="21D3F8A4"/>
    <w:rsid w:val="21D86824"/>
    <w:rsid w:val="21DFC7F1"/>
    <w:rsid w:val="21F8F81E"/>
    <w:rsid w:val="21F9F4A5"/>
    <w:rsid w:val="2201B9A3"/>
    <w:rsid w:val="220FA2AF"/>
    <w:rsid w:val="220FF941"/>
    <w:rsid w:val="222740D3"/>
    <w:rsid w:val="222AF863"/>
    <w:rsid w:val="223371CE"/>
    <w:rsid w:val="22548174"/>
    <w:rsid w:val="2256B906"/>
    <w:rsid w:val="22621953"/>
    <w:rsid w:val="22655315"/>
    <w:rsid w:val="226CE99D"/>
    <w:rsid w:val="22717B49"/>
    <w:rsid w:val="227F36BE"/>
    <w:rsid w:val="2281AA97"/>
    <w:rsid w:val="228C764F"/>
    <w:rsid w:val="228DA368"/>
    <w:rsid w:val="22A81149"/>
    <w:rsid w:val="22B79257"/>
    <w:rsid w:val="22B8014F"/>
    <w:rsid w:val="22C1C2D1"/>
    <w:rsid w:val="22C7DA45"/>
    <w:rsid w:val="22CD21EA"/>
    <w:rsid w:val="22D67D2C"/>
    <w:rsid w:val="22EAFF41"/>
    <w:rsid w:val="22EEAC8C"/>
    <w:rsid w:val="230563EE"/>
    <w:rsid w:val="230E286B"/>
    <w:rsid w:val="2330F40E"/>
    <w:rsid w:val="23333ED4"/>
    <w:rsid w:val="2333488C"/>
    <w:rsid w:val="233C71C9"/>
    <w:rsid w:val="233D8926"/>
    <w:rsid w:val="233E6B29"/>
    <w:rsid w:val="2341331F"/>
    <w:rsid w:val="2347B87A"/>
    <w:rsid w:val="2356EAF6"/>
    <w:rsid w:val="23620915"/>
    <w:rsid w:val="23670C89"/>
    <w:rsid w:val="236B2180"/>
    <w:rsid w:val="236D56C8"/>
    <w:rsid w:val="237BFBF0"/>
    <w:rsid w:val="23AFB3ED"/>
    <w:rsid w:val="23BA4DDB"/>
    <w:rsid w:val="23C6C8C4"/>
    <w:rsid w:val="23CF1229"/>
    <w:rsid w:val="23D3F72F"/>
    <w:rsid w:val="23D445C5"/>
    <w:rsid w:val="23D9AFD2"/>
    <w:rsid w:val="23F58838"/>
    <w:rsid w:val="241191EB"/>
    <w:rsid w:val="24150D04"/>
    <w:rsid w:val="242846B0"/>
    <w:rsid w:val="2428751E"/>
    <w:rsid w:val="243353C9"/>
    <w:rsid w:val="2435E9C5"/>
    <w:rsid w:val="24655B1D"/>
    <w:rsid w:val="246B1157"/>
    <w:rsid w:val="2476B923"/>
    <w:rsid w:val="247AAEA7"/>
    <w:rsid w:val="247DA216"/>
    <w:rsid w:val="24802C5D"/>
    <w:rsid w:val="24823342"/>
    <w:rsid w:val="248D1301"/>
    <w:rsid w:val="248DCBC8"/>
    <w:rsid w:val="249F8227"/>
    <w:rsid w:val="24A9F8CC"/>
    <w:rsid w:val="24B1BF6E"/>
    <w:rsid w:val="24B930BC"/>
    <w:rsid w:val="24CF18ED"/>
    <w:rsid w:val="24CFA4B8"/>
    <w:rsid w:val="24D7A05D"/>
    <w:rsid w:val="24D8FAE8"/>
    <w:rsid w:val="24DD7670"/>
    <w:rsid w:val="24E15DA5"/>
    <w:rsid w:val="24E5E21B"/>
    <w:rsid w:val="24EC356E"/>
    <w:rsid w:val="25002B53"/>
    <w:rsid w:val="25015BE3"/>
    <w:rsid w:val="2505E7B1"/>
    <w:rsid w:val="25063523"/>
    <w:rsid w:val="2508CFF7"/>
    <w:rsid w:val="251382CF"/>
    <w:rsid w:val="2517316F"/>
    <w:rsid w:val="251C54AD"/>
    <w:rsid w:val="251F9359"/>
    <w:rsid w:val="25261F0B"/>
    <w:rsid w:val="25348B74"/>
    <w:rsid w:val="253A9FA2"/>
    <w:rsid w:val="254AD835"/>
    <w:rsid w:val="25521769"/>
    <w:rsid w:val="255C70B5"/>
    <w:rsid w:val="25617F3F"/>
    <w:rsid w:val="257977A4"/>
    <w:rsid w:val="258E125A"/>
    <w:rsid w:val="259FF7CA"/>
    <w:rsid w:val="25A3E9A3"/>
    <w:rsid w:val="25A45D48"/>
    <w:rsid w:val="25AB1D22"/>
    <w:rsid w:val="25C15BE4"/>
    <w:rsid w:val="25C5C86B"/>
    <w:rsid w:val="25C77F0D"/>
    <w:rsid w:val="25D1BA26"/>
    <w:rsid w:val="25D5BF51"/>
    <w:rsid w:val="25ECCA04"/>
    <w:rsid w:val="25F4EF5E"/>
    <w:rsid w:val="25FDEB33"/>
    <w:rsid w:val="26128984"/>
    <w:rsid w:val="2613509B"/>
    <w:rsid w:val="261A6240"/>
    <w:rsid w:val="2622A003"/>
    <w:rsid w:val="262BC6AA"/>
    <w:rsid w:val="263CFF1B"/>
    <w:rsid w:val="2655774D"/>
    <w:rsid w:val="266D2AF5"/>
    <w:rsid w:val="269D2C44"/>
    <w:rsid w:val="26A769C7"/>
    <w:rsid w:val="26B73378"/>
    <w:rsid w:val="26BC4BE6"/>
    <w:rsid w:val="26CE6C84"/>
    <w:rsid w:val="26E4B921"/>
    <w:rsid w:val="26EFF172"/>
    <w:rsid w:val="270B6B03"/>
    <w:rsid w:val="2717D226"/>
    <w:rsid w:val="27232C3F"/>
    <w:rsid w:val="2727F297"/>
    <w:rsid w:val="272B4B18"/>
    <w:rsid w:val="272FDF30"/>
    <w:rsid w:val="27365962"/>
    <w:rsid w:val="27409359"/>
    <w:rsid w:val="2744EC6C"/>
    <w:rsid w:val="274A65BA"/>
    <w:rsid w:val="274C35B1"/>
    <w:rsid w:val="274CADC6"/>
    <w:rsid w:val="27511C6D"/>
    <w:rsid w:val="2760220A"/>
    <w:rsid w:val="276456B3"/>
    <w:rsid w:val="27726592"/>
    <w:rsid w:val="27797BD0"/>
    <w:rsid w:val="277B826C"/>
    <w:rsid w:val="277BE23A"/>
    <w:rsid w:val="27845B48"/>
    <w:rsid w:val="2799BB94"/>
    <w:rsid w:val="27B7CD1F"/>
    <w:rsid w:val="27C21DAF"/>
    <w:rsid w:val="27D99001"/>
    <w:rsid w:val="27EB26A1"/>
    <w:rsid w:val="27ED80FB"/>
    <w:rsid w:val="27EDE824"/>
    <w:rsid w:val="27F6C420"/>
    <w:rsid w:val="2802BEEF"/>
    <w:rsid w:val="280FC6D4"/>
    <w:rsid w:val="2810FA49"/>
    <w:rsid w:val="2817F093"/>
    <w:rsid w:val="2838FCA5"/>
    <w:rsid w:val="28470C31"/>
    <w:rsid w:val="284F1615"/>
    <w:rsid w:val="284F4094"/>
    <w:rsid w:val="285342AB"/>
    <w:rsid w:val="28581C47"/>
    <w:rsid w:val="2865A00C"/>
    <w:rsid w:val="286BC386"/>
    <w:rsid w:val="286FEA2A"/>
    <w:rsid w:val="287385A7"/>
    <w:rsid w:val="2881946F"/>
    <w:rsid w:val="2889B82B"/>
    <w:rsid w:val="28932C14"/>
    <w:rsid w:val="28941177"/>
    <w:rsid w:val="28A5D7E2"/>
    <w:rsid w:val="28B0294E"/>
    <w:rsid w:val="28C6EB19"/>
    <w:rsid w:val="28CCE717"/>
    <w:rsid w:val="28E0BCCD"/>
    <w:rsid w:val="28E83388"/>
    <w:rsid w:val="28EE6DE3"/>
    <w:rsid w:val="28F714BF"/>
    <w:rsid w:val="2903A5DF"/>
    <w:rsid w:val="2916BB01"/>
    <w:rsid w:val="2928CB0D"/>
    <w:rsid w:val="29297B8A"/>
    <w:rsid w:val="292D9E6F"/>
    <w:rsid w:val="292E4BE5"/>
    <w:rsid w:val="293356FE"/>
    <w:rsid w:val="293E49F4"/>
    <w:rsid w:val="293F60E6"/>
    <w:rsid w:val="295AD749"/>
    <w:rsid w:val="295EEEFE"/>
    <w:rsid w:val="296B9343"/>
    <w:rsid w:val="2975304E"/>
    <w:rsid w:val="29760840"/>
    <w:rsid w:val="2979A915"/>
    <w:rsid w:val="29ACCAAA"/>
    <w:rsid w:val="29AF320B"/>
    <w:rsid w:val="29B045C5"/>
    <w:rsid w:val="29D9A646"/>
    <w:rsid w:val="29DC411A"/>
    <w:rsid w:val="29E08622"/>
    <w:rsid w:val="29E10597"/>
    <w:rsid w:val="29E9C299"/>
    <w:rsid w:val="29F0879A"/>
    <w:rsid w:val="29FA7F48"/>
    <w:rsid w:val="2A03574B"/>
    <w:rsid w:val="2A042913"/>
    <w:rsid w:val="2A270168"/>
    <w:rsid w:val="2A28C2F3"/>
    <w:rsid w:val="2A316D33"/>
    <w:rsid w:val="2A39BABD"/>
    <w:rsid w:val="2A3D1898"/>
    <w:rsid w:val="2A489047"/>
    <w:rsid w:val="2A63A084"/>
    <w:rsid w:val="2A7184A2"/>
    <w:rsid w:val="2A79F6B4"/>
    <w:rsid w:val="2A7C8D2E"/>
    <w:rsid w:val="2A7D79DA"/>
    <w:rsid w:val="2A7E8E45"/>
    <w:rsid w:val="2A841F10"/>
    <w:rsid w:val="2A893D1C"/>
    <w:rsid w:val="2A8DA9A0"/>
    <w:rsid w:val="2ABA4A7A"/>
    <w:rsid w:val="2AC96ED0"/>
    <w:rsid w:val="2AD15CA1"/>
    <w:rsid w:val="2AED40B2"/>
    <w:rsid w:val="2B04BC47"/>
    <w:rsid w:val="2B05DE25"/>
    <w:rsid w:val="2B0A4F81"/>
    <w:rsid w:val="2B0B1170"/>
    <w:rsid w:val="2B0B9E4A"/>
    <w:rsid w:val="2B11ECF0"/>
    <w:rsid w:val="2B12FBE7"/>
    <w:rsid w:val="2B210592"/>
    <w:rsid w:val="2B45A656"/>
    <w:rsid w:val="2B573278"/>
    <w:rsid w:val="2B57B1C2"/>
    <w:rsid w:val="2B6AB09E"/>
    <w:rsid w:val="2B6F3AE8"/>
    <w:rsid w:val="2B7ADAEA"/>
    <w:rsid w:val="2B7EACF3"/>
    <w:rsid w:val="2B91FD61"/>
    <w:rsid w:val="2B9A76CC"/>
    <w:rsid w:val="2B9A82C9"/>
    <w:rsid w:val="2BB448BD"/>
    <w:rsid w:val="2BBF4273"/>
    <w:rsid w:val="2BBFC596"/>
    <w:rsid w:val="2BC09FD2"/>
    <w:rsid w:val="2BC4DBBF"/>
    <w:rsid w:val="2BD02928"/>
    <w:rsid w:val="2BD035BA"/>
    <w:rsid w:val="2BD0D919"/>
    <w:rsid w:val="2BD3CA0E"/>
    <w:rsid w:val="2BD583DA"/>
    <w:rsid w:val="2BEC75AD"/>
    <w:rsid w:val="2BFB63BA"/>
    <w:rsid w:val="2BFD709B"/>
    <w:rsid w:val="2BFDFD85"/>
    <w:rsid w:val="2C178DD4"/>
    <w:rsid w:val="2C185D8F"/>
    <w:rsid w:val="2C1A60D7"/>
    <w:rsid w:val="2C208EDA"/>
    <w:rsid w:val="2C20E7A1"/>
    <w:rsid w:val="2C2BA1B9"/>
    <w:rsid w:val="2C31CD0E"/>
    <w:rsid w:val="2C36FC72"/>
    <w:rsid w:val="2C3AC594"/>
    <w:rsid w:val="2C617B84"/>
    <w:rsid w:val="2C6BE1D5"/>
    <w:rsid w:val="2C79D403"/>
    <w:rsid w:val="2C7B8F2B"/>
    <w:rsid w:val="2C97506A"/>
    <w:rsid w:val="2C9C5C8C"/>
    <w:rsid w:val="2C9D1F7F"/>
    <w:rsid w:val="2CA08CA8"/>
    <w:rsid w:val="2CA3BF16"/>
    <w:rsid w:val="2CAD46FC"/>
    <w:rsid w:val="2CB3D6D3"/>
    <w:rsid w:val="2CBC304F"/>
    <w:rsid w:val="2CBCD5F3"/>
    <w:rsid w:val="2CD48D7E"/>
    <w:rsid w:val="2CE46B6C"/>
    <w:rsid w:val="2CE4CA07"/>
    <w:rsid w:val="2D001747"/>
    <w:rsid w:val="2D1A7D54"/>
    <w:rsid w:val="2D224354"/>
    <w:rsid w:val="2D2A419F"/>
    <w:rsid w:val="2D34B757"/>
    <w:rsid w:val="2D36472D"/>
    <w:rsid w:val="2D3A8DE2"/>
    <w:rsid w:val="2D41476F"/>
    <w:rsid w:val="2D4A9FAD"/>
    <w:rsid w:val="2D520117"/>
    <w:rsid w:val="2D8133BE"/>
    <w:rsid w:val="2D91A5B1"/>
    <w:rsid w:val="2DABE48F"/>
    <w:rsid w:val="2DB42DF0"/>
    <w:rsid w:val="2DB63138"/>
    <w:rsid w:val="2DBDEEA5"/>
    <w:rsid w:val="2DBE1C8D"/>
    <w:rsid w:val="2DC54A62"/>
    <w:rsid w:val="2DC6C1BA"/>
    <w:rsid w:val="2DCD9D6F"/>
    <w:rsid w:val="2DF72CC6"/>
    <w:rsid w:val="2E034069"/>
    <w:rsid w:val="2E04418D"/>
    <w:rsid w:val="2E085F7F"/>
    <w:rsid w:val="2E0DE75F"/>
    <w:rsid w:val="2E0DEB5E"/>
    <w:rsid w:val="2E0ECCDF"/>
    <w:rsid w:val="2E192FD3"/>
    <w:rsid w:val="2E1CABF8"/>
    <w:rsid w:val="2E1EC677"/>
    <w:rsid w:val="2E24B4D2"/>
    <w:rsid w:val="2E2BF098"/>
    <w:rsid w:val="2E30E166"/>
    <w:rsid w:val="2E343C1F"/>
    <w:rsid w:val="2E382CED"/>
    <w:rsid w:val="2E471C7E"/>
    <w:rsid w:val="2E4C7385"/>
    <w:rsid w:val="2E4E6C85"/>
    <w:rsid w:val="2E60FF85"/>
    <w:rsid w:val="2E6954C3"/>
    <w:rsid w:val="2E802C05"/>
    <w:rsid w:val="2E803BCD"/>
    <w:rsid w:val="2E83E067"/>
    <w:rsid w:val="2E865A2B"/>
    <w:rsid w:val="2E8845B6"/>
    <w:rsid w:val="2E91830B"/>
    <w:rsid w:val="2E9CDF59"/>
    <w:rsid w:val="2EAADE5B"/>
    <w:rsid w:val="2EAE4F9F"/>
    <w:rsid w:val="2EB82031"/>
    <w:rsid w:val="2ECDC371"/>
    <w:rsid w:val="2ED71D3E"/>
    <w:rsid w:val="2EDF7408"/>
    <w:rsid w:val="2EEC6401"/>
    <w:rsid w:val="2EF030F9"/>
    <w:rsid w:val="2EFEE79C"/>
    <w:rsid w:val="2F0B40D8"/>
    <w:rsid w:val="2F0B6AD0"/>
    <w:rsid w:val="2F12C9B9"/>
    <w:rsid w:val="2F151966"/>
    <w:rsid w:val="2F1626CC"/>
    <w:rsid w:val="2F185C28"/>
    <w:rsid w:val="2F41AF1A"/>
    <w:rsid w:val="2F4C4C60"/>
    <w:rsid w:val="2F611AC3"/>
    <w:rsid w:val="2F696DD0"/>
    <w:rsid w:val="2F6B6558"/>
    <w:rsid w:val="2F6C843D"/>
    <w:rsid w:val="2F7397EB"/>
    <w:rsid w:val="2F743833"/>
    <w:rsid w:val="2F8BA51C"/>
    <w:rsid w:val="2F8CF955"/>
    <w:rsid w:val="2F9CDFF3"/>
    <w:rsid w:val="2F9D9630"/>
    <w:rsid w:val="2FA42FE0"/>
    <w:rsid w:val="2FA4CD79"/>
    <w:rsid w:val="2FA75CD6"/>
    <w:rsid w:val="2FAA3585"/>
    <w:rsid w:val="2FAD7258"/>
    <w:rsid w:val="2FB17CEF"/>
    <w:rsid w:val="2FB64CE4"/>
    <w:rsid w:val="2FBE4CE5"/>
    <w:rsid w:val="2FD3FD4E"/>
    <w:rsid w:val="2FD69EE3"/>
    <w:rsid w:val="2FE3B9AD"/>
    <w:rsid w:val="2FE843E6"/>
    <w:rsid w:val="2FFD36B0"/>
    <w:rsid w:val="300DD0D4"/>
    <w:rsid w:val="301C0C2E"/>
    <w:rsid w:val="30361B1F"/>
    <w:rsid w:val="303D7BEB"/>
    <w:rsid w:val="3045DC20"/>
    <w:rsid w:val="304A89E9"/>
    <w:rsid w:val="30612A5B"/>
    <w:rsid w:val="307C08E7"/>
    <w:rsid w:val="308C236F"/>
    <w:rsid w:val="309410F5"/>
    <w:rsid w:val="309A477E"/>
    <w:rsid w:val="309F113D"/>
    <w:rsid w:val="30A0CE03"/>
    <w:rsid w:val="30A54BCC"/>
    <w:rsid w:val="30B0780E"/>
    <w:rsid w:val="30B1287C"/>
    <w:rsid w:val="30B8222A"/>
    <w:rsid w:val="30B98447"/>
    <w:rsid w:val="30CABC26"/>
    <w:rsid w:val="30D46721"/>
    <w:rsid w:val="30D71644"/>
    <w:rsid w:val="30DDDE0E"/>
    <w:rsid w:val="30F6C327"/>
    <w:rsid w:val="30FCD893"/>
    <w:rsid w:val="30FCEB24"/>
    <w:rsid w:val="30FD6DD9"/>
    <w:rsid w:val="31026300"/>
    <w:rsid w:val="310587D0"/>
    <w:rsid w:val="310AE963"/>
    <w:rsid w:val="3113BACE"/>
    <w:rsid w:val="3128E286"/>
    <w:rsid w:val="3129915F"/>
    <w:rsid w:val="31319485"/>
    <w:rsid w:val="3138B054"/>
    <w:rsid w:val="313F46CA"/>
    <w:rsid w:val="31458AF1"/>
    <w:rsid w:val="314942B9"/>
    <w:rsid w:val="3151D505"/>
    <w:rsid w:val="31621148"/>
    <w:rsid w:val="316D7517"/>
    <w:rsid w:val="31822852"/>
    <w:rsid w:val="318396D7"/>
    <w:rsid w:val="318BCBF2"/>
    <w:rsid w:val="318D52DB"/>
    <w:rsid w:val="319C91C0"/>
    <w:rsid w:val="31A0F585"/>
    <w:rsid w:val="31B7DC8F"/>
    <w:rsid w:val="31C9F969"/>
    <w:rsid w:val="31CF7E85"/>
    <w:rsid w:val="31D08A9D"/>
    <w:rsid w:val="31E4B82B"/>
    <w:rsid w:val="31ED4D1A"/>
    <w:rsid w:val="3202CCB3"/>
    <w:rsid w:val="3209551F"/>
    <w:rsid w:val="320EDCD4"/>
    <w:rsid w:val="321714CA"/>
    <w:rsid w:val="321B2960"/>
    <w:rsid w:val="3229CD88"/>
    <w:rsid w:val="322E0A91"/>
    <w:rsid w:val="32308881"/>
    <w:rsid w:val="32383896"/>
    <w:rsid w:val="32480F64"/>
    <w:rsid w:val="324FFCEA"/>
    <w:rsid w:val="32547B05"/>
    <w:rsid w:val="32591759"/>
    <w:rsid w:val="3269AB35"/>
    <w:rsid w:val="326CEBBD"/>
    <w:rsid w:val="3276F66F"/>
    <w:rsid w:val="327ACF30"/>
    <w:rsid w:val="3289EC25"/>
    <w:rsid w:val="32A09E71"/>
    <w:rsid w:val="32C9141C"/>
    <w:rsid w:val="32D480B5"/>
    <w:rsid w:val="32D5ED1A"/>
    <w:rsid w:val="32DBFE2C"/>
    <w:rsid w:val="32E1D647"/>
    <w:rsid w:val="32F7D2E4"/>
    <w:rsid w:val="32FF61BB"/>
    <w:rsid w:val="3301B38B"/>
    <w:rsid w:val="331B7AAF"/>
    <w:rsid w:val="33208C86"/>
    <w:rsid w:val="333470A8"/>
    <w:rsid w:val="333CC5E6"/>
    <w:rsid w:val="3343BE75"/>
    <w:rsid w:val="33542269"/>
    <w:rsid w:val="336BA6AA"/>
    <w:rsid w:val="3374ADDB"/>
    <w:rsid w:val="3375DE0A"/>
    <w:rsid w:val="337A5CAA"/>
    <w:rsid w:val="338DD638"/>
    <w:rsid w:val="339184D8"/>
    <w:rsid w:val="339413AB"/>
    <w:rsid w:val="33A3868F"/>
    <w:rsid w:val="33B2E52B"/>
    <w:rsid w:val="33B5A5F0"/>
    <w:rsid w:val="33D3CAC0"/>
    <w:rsid w:val="33DAF2D4"/>
    <w:rsid w:val="33E7CA22"/>
    <w:rsid w:val="33E88A89"/>
    <w:rsid w:val="33F82107"/>
    <w:rsid w:val="3412E23A"/>
    <w:rsid w:val="341B9B3C"/>
    <w:rsid w:val="3429C9B7"/>
    <w:rsid w:val="342AFCFF"/>
    <w:rsid w:val="344C4914"/>
    <w:rsid w:val="34576FCA"/>
    <w:rsid w:val="3467443C"/>
    <w:rsid w:val="346882F1"/>
    <w:rsid w:val="347BA482"/>
    <w:rsid w:val="3481498D"/>
    <w:rsid w:val="34829E7A"/>
    <w:rsid w:val="34845CAC"/>
    <w:rsid w:val="348BED7C"/>
    <w:rsid w:val="348D783B"/>
    <w:rsid w:val="34A43024"/>
    <w:rsid w:val="34A8B5FE"/>
    <w:rsid w:val="34AC01A8"/>
    <w:rsid w:val="34B361A2"/>
    <w:rsid w:val="34B928B9"/>
    <w:rsid w:val="34DDC9AF"/>
    <w:rsid w:val="34E468B6"/>
    <w:rsid w:val="34E7CD4D"/>
    <w:rsid w:val="34EEE7B1"/>
    <w:rsid w:val="34F85DEB"/>
    <w:rsid w:val="351F2416"/>
    <w:rsid w:val="351F57BB"/>
    <w:rsid w:val="3523180C"/>
    <w:rsid w:val="352EB0A2"/>
    <w:rsid w:val="353186E1"/>
    <w:rsid w:val="3534E80B"/>
    <w:rsid w:val="3540502B"/>
    <w:rsid w:val="354AAF3E"/>
    <w:rsid w:val="354EB58C"/>
    <w:rsid w:val="3559A653"/>
    <w:rsid w:val="356292B1"/>
    <w:rsid w:val="35679EA5"/>
    <w:rsid w:val="3581FC08"/>
    <w:rsid w:val="35845AEA"/>
    <w:rsid w:val="359A11E4"/>
    <w:rsid w:val="35A96CFB"/>
    <w:rsid w:val="35AD8C07"/>
    <w:rsid w:val="35AE9731"/>
    <w:rsid w:val="35B5C658"/>
    <w:rsid w:val="35C012DE"/>
    <w:rsid w:val="35C208AE"/>
    <w:rsid w:val="35C4B65B"/>
    <w:rsid w:val="35C92E72"/>
    <w:rsid w:val="35CA344A"/>
    <w:rsid w:val="35CEC1B2"/>
    <w:rsid w:val="35D6B13C"/>
    <w:rsid w:val="35DC34C1"/>
    <w:rsid w:val="35DCADBE"/>
    <w:rsid w:val="35E11401"/>
    <w:rsid w:val="35E479FF"/>
    <w:rsid w:val="35F62B15"/>
    <w:rsid w:val="35F6F713"/>
    <w:rsid w:val="3606AF1C"/>
    <w:rsid w:val="361774E3"/>
    <w:rsid w:val="361CE348"/>
    <w:rsid w:val="3640E63A"/>
    <w:rsid w:val="364D3CF1"/>
    <w:rsid w:val="367213D8"/>
    <w:rsid w:val="36792368"/>
    <w:rsid w:val="36833245"/>
    <w:rsid w:val="36839DAE"/>
    <w:rsid w:val="36A2B089"/>
    <w:rsid w:val="36B3500E"/>
    <w:rsid w:val="36B8294E"/>
    <w:rsid w:val="36BC4448"/>
    <w:rsid w:val="36C04250"/>
    <w:rsid w:val="36E34E28"/>
    <w:rsid w:val="36E67F9F"/>
    <w:rsid w:val="36FE6686"/>
    <w:rsid w:val="37049DFB"/>
    <w:rsid w:val="370B3E5F"/>
    <w:rsid w:val="370B9BDE"/>
    <w:rsid w:val="371C2518"/>
    <w:rsid w:val="37202B4B"/>
    <w:rsid w:val="37236E0D"/>
    <w:rsid w:val="3724C43B"/>
    <w:rsid w:val="3745C163"/>
    <w:rsid w:val="3747EC35"/>
    <w:rsid w:val="37485400"/>
    <w:rsid w:val="374D3D47"/>
    <w:rsid w:val="375C0F6C"/>
    <w:rsid w:val="3764FED3"/>
    <w:rsid w:val="3769DEFE"/>
    <w:rsid w:val="3770A389"/>
    <w:rsid w:val="37721091"/>
    <w:rsid w:val="37747FB5"/>
    <w:rsid w:val="3796B701"/>
    <w:rsid w:val="37A6B397"/>
    <w:rsid w:val="37B4FB07"/>
    <w:rsid w:val="37C19094"/>
    <w:rsid w:val="37CB38D0"/>
    <w:rsid w:val="37CB4407"/>
    <w:rsid w:val="37DCB69B"/>
    <w:rsid w:val="37DD1B06"/>
    <w:rsid w:val="37FF889A"/>
    <w:rsid w:val="381F6E0F"/>
    <w:rsid w:val="38208B8D"/>
    <w:rsid w:val="38262E0A"/>
    <w:rsid w:val="38268873"/>
    <w:rsid w:val="3855F909"/>
    <w:rsid w:val="38619CE1"/>
    <w:rsid w:val="3863A440"/>
    <w:rsid w:val="387DD0E3"/>
    <w:rsid w:val="388302B3"/>
    <w:rsid w:val="3898590D"/>
    <w:rsid w:val="38A0B0E6"/>
    <w:rsid w:val="38A7C97B"/>
    <w:rsid w:val="38D1242E"/>
    <w:rsid w:val="38D257EE"/>
    <w:rsid w:val="38DF1169"/>
    <w:rsid w:val="38ED671A"/>
    <w:rsid w:val="38F7780F"/>
    <w:rsid w:val="38FC571D"/>
    <w:rsid w:val="39050857"/>
    <w:rsid w:val="39383C5F"/>
    <w:rsid w:val="39420931"/>
    <w:rsid w:val="394AE050"/>
    <w:rsid w:val="3950CB68"/>
    <w:rsid w:val="3955AE1F"/>
    <w:rsid w:val="3961B58B"/>
    <w:rsid w:val="3962627F"/>
    <w:rsid w:val="3967634E"/>
    <w:rsid w:val="397510B3"/>
    <w:rsid w:val="3979BD70"/>
    <w:rsid w:val="397BFF60"/>
    <w:rsid w:val="398AF847"/>
    <w:rsid w:val="399A79C8"/>
    <w:rsid w:val="399B58FB"/>
    <w:rsid w:val="39CADBFA"/>
    <w:rsid w:val="39D25AB5"/>
    <w:rsid w:val="39D7099D"/>
    <w:rsid w:val="39D803CE"/>
    <w:rsid w:val="39DCFEE2"/>
    <w:rsid w:val="39E45E31"/>
    <w:rsid w:val="39E515E9"/>
    <w:rsid w:val="3A048A8B"/>
    <w:rsid w:val="3A14CD91"/>
    <w:rsid w:val="3A25EEF4"/>
    <w:rsid w:val="3A31E3D4"/>
    <w:rsid w:val="3A3AF33B"/>
    <w:rsid w:val="3A3F73B6"/>
    <w:rsid w:val="3A5724DD"/>
    <w:rsid w:val="3A57CC0D"/>
    <w:rsid w:val="3A851789"/>
    <w:rsid w:val="3A885763"/>
    <w:rsid w:val="3A958A17"/>
    <w:rsid w:val="3AAC6404"/>
    <w:rsid w:val="3AAFA5E4"/>
    <w:rsid w:val="3AB13C49"/>
    <w:rsid w:val="3AC58B66"/>
    <w:rsid w:val="3ACB38BB"/>
    <w:rsid w:val="3AD2135E"/>
    <w:rsid w:val="3AFC8E44"/>
    <w:rsid w:val="3B13AC9E"/>
    <w:rsid w:val="3B14575D"/>
    <w:rsid w:val="3B158DD1"/>
    <w:rsid w:val="3B19FD33"/>
    <w:rsid w:val="3B23E447"/>
    <w:rsid w:val="3B3E1554"/>
    <w:rsid w:val="3B44848F"/>
    <w:rsid w:val="3B54BEFD"/>
    <w:rsid w:val="3B658D42"/>
    <w:rsid w:val="3B73B6B2"/>
    <w:rsid w:val="3B86C131"/>
    <w:rsid w:val="3BA25DA7"/>
    <w:rsid w:val="3BA63705"/>
    <w:rsid w:val="3BC1BF55"/>
    <w:rsid w:val="3BC21AB6"/>
    <w:rsid w:val="3BC3885E"/>
    <w:rsid w:val="3BCAAD44"/>
    <w:rsid w:val="3BCD8F7E"/>
    <w:rsid w:val="3BD7B9F6"/>
    <w:rsid w:val="3BF483A0"/>
    <w:rsid w:val="3C041A8E"/>
    <w:rsid w:val="3C2427C4"/>
    <w:rsid w:val="3C2873E8"/>
    <w:rsid w:val="3C2AE2B2"/>
    <w:rsid w:val="3C371141"/>
    <w:rsid w:val="3C3C9A96"/>
    <w:rsid w:val="3C3E4D69"/>
    <w:rsid w:val="3C47F0D8"/>
    <w:rsid w:val="3C5B87AA"/>
    <w:rsid w:val="3C5D543B"/>
    <w:rsid w:val="3C5E56AD"/>
    <w:rsid w:val="3C6663B2"/>
    <w:rsid w:val="3C683F80"/>
    <w:rsid w:val="3C773153"/>
    <w:rsid w:val="3C7F7448"/>
    <w:rsid w:val="3CA11C3A"/>
    <w:rsid w:val="3CA72074"/>
    <w:rsid w:val="3CAA1052"/>
    <w:rsid w:val="3CB1CD1A"/>
    <w:rsid w:val="3CBC7099"/>
    <w:rsid w:val="3CD2F9BD"/>
    <w:rsid w:val="3CD49A6B"/>
    <w:rsid w:val="3CDE0328"/>
    <w:rsid w:val="3CE9AFD3"/>
    <w:rsid w:val="3CEF5258"/>
    <w:rsid w:val="3CFE455A"/>
    <w:rsid w:val="3D02B62F"/>
    <w:rsid w:val="3D107DBD"/>
    <w:rsid w:val="3D2FA7D2"/>
    <w:rsid w:val="3D344B34"/>
    <w:rsid w:val="3D34AB09"/>
    <w:rsid w:val="3D34BC9B"/>
    <w:rsid w:val="3D3C98C6"/>
    <w:rsid w:val="3D521831"/>
    <w:rsid w:val="3D5AFDD0"/>
    <w:rsid w:val="3D5D010B"/>
    <w:rsid w:val="3D64C290"/>
    <w:rsid w:val="3D686300"/>
    <w:rsid w:val="3D761D54"/>
    <w:rsid w:val="3D7ADD62"/>
    <w:rsid w:val="3D7B6440"/>
    <w:rsid w:val="3DAD1AC2"/>
    <w:rsid w:val="3DADC1B5"/>
    <w:rsid w:val="3DB2BB7F"/>
    <w:rsid w:val="3DC32AA1"/>
    <w:rsid w:val="3DCC5502"/>
    <w:rsid w:val="3DCDE62D"/>
    <w:rsid w:val="3DCF15E1"/>
    <w:rsid w:val="3DCF2F73"/>
    <w:rsid w:val="3DD472FF"/>
    <w:rsid w:val="3DD60BCF"/>
    <w:rsid w:val="3DF031EB"/>
    <w:rsid w:val="3DFE507E"/>
    <w:rsid w:val="3DFEA1AF"/>
    <w:rsid w:val="3E040FE1"/>
    <w:rsid w:val="3E08EA1A"/>
    <w:rsid w:val="3E0C34E2"/>
    <w:rsid w:val="3E0CEC74"/>
    <w:rsid w:val="3E17335C"/>
    <w:rsid w:val="3E1F01CD"/>
    <w:rsid w:val="3E1F2538"/>
    <w:rsid w:val="3E23DB4E"/>
    <w:rsid w:val="3E24EFC4"/>
    <w:rsid w:val="3E312D2D"/>
    <w:rsid w:val="3E3BFFD3"/>
    <w:rsid w:val="3E476792"/>
    <w:rsid w:val="3E51EE81"/>
    <w:rsid w:val="3E6A0765"/>
    <w:rsid w:val="3E8606C3"/>
    <w:rsid w:val="3E95C9F7"/>
    <w:rsid w:val="3EB8B5A7"/>
    <w:rsid w:val="3EBB2B91"/>
    <w:rsid w:val="3EC015C4"/>
    <w:rsid w:val="3EC7D562"/>
    <w:rsid w:val="3ED1AB33"/>
    <w:rsid w:val="3EDBDA6B"/>
    <w:rsid w:val="3EE1AC82"/>
    <w:rsid w:val="3EE23944"/>
    <w:rsid w:val="3EECE78F"/>
    <w:rsid w:val="3F1E3323"/>
    <w:rsid w:val="3F2A9DC1"/>
    <w:rsid w:val="3F2B2035"/>
    <w:rsid w:val="3F2E7FF2"/>
    <w:rsid w:val="3F2E9519"/>
    <w:rsid w:val="3F324668"/>
    <w:rsid w:val="3F391FAE"/>
    <w:rsid w:val="3F415965"/>
    <w:rsid w:val="3F43C94F"/>
    <w:rsid w:val="3F556F97"/>
    <w:rsid w:val="3F63779A"/>
    <w:rsid w:val="3F664EAF"/>
    <w:rsid w:val="3F6FE2D0"/>
    <w:rsid w:val="3F72499C"/>
    <w:rsid w:val="3F78FE4B"/>
    <w:rsid w:val="3F831707"/>
    <w:rsid w:val="3FA325B8"/>
    <w:rsid w:val="3FA57BA2"/>
    <w:rsid w:val="3FD36D11"/>
    <w:rsid w:val="3FD792A8"/>
    <w:rsid w:val="3FD7D034"/>
    <w:rsid w:val="3FD8BCFC"/>
    <w:rsid w:val="3FE31630"/>
    <w:rsid w:val="3FE45237"/>
    <w:rsid w:val="3FE71DC1"/>
    <w:rsid w:val="3FECAF69"/>
    <w:rsid w:val="3FEE5134"/>
    <w:rsid w:val="3FEF5909"/>
    <w:rsid w:val="3FF59BEE"/>
    <w:rsid w:val="400D3049"/>
    <w:rsid w:val="40150CAC"/>
    <w:rsid w:val="402DFAB1"/>
    <w:rsid w:val="403199DD"/>
    <w:rsid w:val="40384994"/>
    <w:rsid w:val="403A7483"/>
    <w:rsid w:val="4042BDC8"/>
    <w:rsid w:val="4044BB34"/>
    <w:rsid w:val="404EC79D"/>
    <w:rsid w:val="406079D9"/>
    <w:rsid w:val="40695ACC"/>
    <w:rsid w:val="406BF2E4"/>
    <w:rsid w:val="40B9F607"/>
    <w:rsid w:val="40C70D91"/>
    <w:rsid w:val="40CC7B62"/>
    <w:rsid w:val="40D4A556"/>
    <w:rsid w:val="40D53032"/>
    <w:rsid w:val="40DF55EA"/>
    <w:rsid w:val="40E2DC39"/>
    <w:rsid w:val="40EC148C"/>
    <w:rsid w:val="40EEB100"/>
    <w:rsid w:val="40EF858B"/>
    <w:rsid w:val="40F69E65"/>
    <w:rsid w:val="41025872"/>
    <w:rsid w:val="4102FF2E"/>
    <w:rsid w:val="410BE119"/>
    <w:rsid w:val="41103A45"/>
    <w:rsid w:val="411EE768"/>
    <w:rsid w:val="415AA503"/>
    <w:rsid w:val="416D6B1B"/>
    <w:rsid w:val="416D76A6"/>
    <w:rsid w:val="417B38B4"/>
    <w:rsid w:val="417E68E2"/>
    <w:rsid w:val="41830715"/>
    <w:rsid w:val="4191E32F"/>
    <w:rsid w:val="419E694F"/>
    <w:rsid w:val="41A41A81"/>
    <w:rsid w:val="41A66AE0"/>
    <w:rsid w:val="41B4AECF"/>
    <w:rsid w:val="41B58949"/>
    <w:rsid w:val="41B8F6AB"/>
    <w:rsid w:val="41D419F5"/>
    <w:rsid w:val="41EA97FE"/>
    <w:rsid w:val="41EAFC45"/>
    <w:rsid w:val="41EDA984"/>
    <w:rsid w:val="41F4CCEB"/>
    <w:rsid w:val="420AD82A"/>
    <w:rsid w:val="4219A5A3"/>
    <w:rsid w:val="421A4A5E"/>
    <w:rsid w:val="4226B149"/>
    <w:rsid w:val="422B27D0"/>
    <w:rsid w:val="422EE567"/>
    <w:rsid w:val="423100D9"/>
    <w:rsid w:val="42334DBD"/>
    <w:rsid w:val="4233BE75"/>
    <w:rsid w:val="4235261A"/>
    <w:rsid w:val="4245E30B"/>
    <w:rsid w:val="424704C5"/>
    <w:rsid w:val="425CB56C"/>
    <w:rsid w:val="4264D7EF"/>
    <w:rsid w:val="4266D533"/>
    <w:rsid w:val="42684BC3"/>
    <w:rsid w:val="4271D672"/>
    <w:rsid w:val="427EAC9A"/>
    <w:rsid w:val="4283F036"/>
    <w:rsid w:val="42A7B17A"/>
    <w:rsid w:val="42B8E0F6"/>
    <w:rsid w:val="42BAB7C9"/>
    <w:rsid w:val="42BB30C6"/>
    <w:rsid w:val="42BC4E2E"/>
    <w:rsid w:val="42C1C34C"/>
    <w:rsid w:val="42C74445"/>
    <w:rsid w:val="42C9EA45"/>
    <w:rsid w:val="42D0649B"/>
    <w:rsid w:val="42E2C437"/>
    <w:rsid w:val="42F153C4"/>
    <w:rsid w:val="42F29205"/>
    <w:rsid w:val="42F476F3"/>
    <w:rsid w:val="42FA2857"/>
    <w:rsid w:val="42FD0EE8"/>
    <w:rsid w:val="4300354F"/>
    <w:rsid w:val="43014969"/>
    <w:rsid w:val="431340B5"/>
    <w:rsid w:val="431448A1"/>
    <w:rsid w:val="431BF2F9"/>
    <w:rsid w:val="431DB168"/>
    <w:rsid w:val="43231E8B"/>
    <w:rsid w:val="4325F1F6"/>
    <w:rsid w:val="434C56B0"/>
    <w:rsid w:val="434C7C86"/>
    <w:rsid w:val="436B9374"/>
    <w:rsid w:val="436FC9F1"/>
    <w:rsid w:val="43844318"/>
    <w:rsid w:val="438C07DC"/>
    <w:rsid w:val="4391A39E"/>
    <w:rsid w:val="439566B5"/>
    <w:rsid w:val="43A9ABCB"/>
    <w:rsid w:val="43B1A907"/>
    <w:rsid w:val="43B929E5"/>
    <w:rsid w:val="43BC72B8"/>
    <w:rsid w:val="43D5EA9A"/>
    <w:rsid w:val="43E2F5FA"/>
    <w:rsid w:val="43E8C8B8"/>
    <w:rsid w:val="43FBC4B7"/>
    <w:rsid w:val="43FEAE53"/>
    <w:rsid w:val="4401F115"/>
    <w:rsid w:val="44041C24"/>
    <w:rsid w:val="4408035A"/>
    <w:rsid w:val="4411AE1A"/>
    <w:rsid w:val="4413F136"/>
    <w:rsid w:val="441ADFA5"/>
    <w:rsid w:val="441E426B"/>
    <w:rsid w:val="44209A1B"/>
    <w:rsid w:val="4434BADD"/>
    <w:rsid w:val="443F7B7A"/>
    <w:rsid w:val="4459C3C9"/>
    <w:rsid w:val="445B33D0"/>
    <w:rsid w:val="4464E6E2"/>
    <w:rsid w:val="446CA9C8"/>
    <w:rsid w:val="447CCC2E"/>
    <w:rsid w:val="44B82590"/>
    <w:rsid w:val="44B9ABE3"/>
    <w:rsid w:val="44D0261F"/>
    <w:rsid w:val="44DDAB75"/>
    <w:rsid w:val="44DE2DE6"/>
    <w:rsid w:val="44F22BE1"/>
    <w:rsid w:val="44F2C8DB"/>
    <w:rsid w:val="45164950"/>
    <w:rsid w:val="451789AE"/>
    <w:rsid w:val="451A6789"/>
    <w:rsid w:val="451AF679"/>
    <w:rsid w:val="4527D83D"/>
    <w:rsid w:val="45301C09"/>
    <w:rsid w:val="4534A124"/>
    <w:rsid w:val="453AE96D"/>
    <w:rsid w:val="453DDE05"/>
    <w:rsid w:val="45584319"/>
    <w:rsid w:val="4560075A"/>
    <w:rsid w:val="4568A19B"/>
    <w:rsid w:val="45792FB7"/>
    <w:rsid w:val="457A741F"/>
    <w:rsid w:val="45836AFD"/>
    <w:rsid w:val="459FEE65"/>
    <w:rsid w:val="45A187EC"/>
    <w:rsid w:val="45A20B2F"/>
    <w:rsid w:val="45AF29B0"/>
    <w:rsid w:val="45AFC197"/>
    <w:rsid w:val="45B0DAF6"/>
    <w:rsid w:val="45C6016B"/>
    <w:rsid w:val="45CBEA22"/>
    <w:rsid w:val="45CCE513"/>
    <w:rsid w:val="45EED31E"/>
    <w:rsid w:val="45F6C0A4"/>
    <w:rsid w:val="45F70431"/>
    <w:rsid w:val="460DDA28"/>
    <w:rsid w:val="46112F9A"/>
    <w:rsid w:val="46171B91"/>
    <w:rsid w:val="46182015"/>
    <w:rsid w:val="4627050B"/>
    <w:rsid w:val="462B7885"/>
    <w:rsid w:val="462BCA5B"/>
    <w:rsid w:val="462E4FD4"/>
    <w:rsid w:val="4640DC3E"/>
    <w:rsid w:val="464BEA66"/>
    <w:rsid w:val="4651770A"/>
    <w:rsid w:val="4663DDC5"/>
    <w:rsid w:val="4665803E"/>
    <w:rsid w:val="466D2BC4"/>
    <w:rsid w:val="46700FE1"/>
    <w:rsid w:val="46965CE1"/>
    <w:rsid w:val="469A65F9"/>
    <w:rsid w:val="46A889A5"/>
    <w:rsid w:val="46B7EBBB"/>
    <w:rsid w:val="46CE3DF6"/>
    <w:rsid w:val="46D02B94"/>
    <w:rsid w:val="46DA1415"/>
    <w:rsid w:val="46E2A92B"/>
    <w:rsid w:val="46F3689D"/>
    <w:rsid w:val="46F4FD7A"/>
    <w:rsid w:val="4712F97E"/>
    <w:rsid w:val="47158085"/>
    <w:rsid w:val="4719542E"/>
    <w:rsid w:val="471D0DE0"/>
    <w:rsid w:val="471E3736"/>
    <w:rsid w:val="4723B518"/>
    <w:rsid w:val="4735B165"/>
    <w:rsid w:val="4738F560"/>
    <w:rsid w:val="4744E7A2"/>
    <w:rsid w:val="47554764"/>
    <w:rsid w:val="47554860"/>
    <w:rsid w:val="47647186"/>
    <w:rsid w:val="47677751"/>
    <w:rsid w:val="477C0656"/>
    <w:rsid w:val="477F7BC9"/>
    <w:rsid w:val="477F872D"/>
    <w:rsid w:val="4784C2BC"/>
    <w:rsid w:val="479D7BCF"/>
    <w:rsid w:val="479EBF58"/>
    <w:rsid w:val="47ADE770"/>
    <w:rsid w:val="47D18AAB"/>
    <w:rsid w:val="47DEB90E"/>
    <w:rsid w:val="47E48C37"/>
    <w:rsid w:val="47F24899"/>
    <w:rsid w:val="47F410D9"/>
    <w:rsid w:val="47F5052B"/>
    <w:rsid w:val="4801509F"/>
    <w:rsid w:val="4808C417"/>
    <w:rsid w:val="480D494A"/>
    <w:rsid w:val="481EE0B5"/>
    <w:rsid w:val="4830925B"/>
    <w:rsid w:val="483B25F2"/>
    <w:rsid w:val="483ED63A"/>
    <w:rsid w:val="4855BD33"/>
    <w:rsid w:val="485ED761"/>
    <w:rsid w:val="48669F20"/>
    <w:rsid w:val="4868DC6C"/>
    <w:rsid w:val="486E9F74"/>
    <w:rsid w:val="486F3495"/>
    <w:rsid w:val="487E798C"/>
    <w:rsid w:val="489DF1CF"/>
    <w:rsid w:val="48ACA13F"/>
    <w:rsid w:val="48B5248F"/>
    <w:rsid w:val="48C27F31"/>
    <w:rsid w:val="48C66561"/>
    <w:rsid w:val="48D20A81"/>
    <w:rsid w:val="48D56238"/>
    <w:rsid w:val="48D928AE"/>
    <w:rsid w:val="48DD3AA8"/>
    <w:rsid w:val="48E08D71"/>
    <w:rsid w:val="490BA9BA"/>
    <w:rsid w:val="491A1DC6"/>
    <w:rsid w:val="491E8995"/>
    <w:rsid w:val="492116E4"/>
    <w:rsid w:val="4929E430"/>
    <w:rsid w:val="492EA4F3"/>
    <w:rsid w:val="4935F6CB"/>
    <w:rsid w:val="4939B23F"/>
    <w:rsid w:val="4961D389"/>
    <w:rsid w:val="496AEB41"/>
    <w:rsid w:val="497E1954"/>
    <w:rsid w:val="498B7325"/>
    <w:rsid w:val="49908865"/>
    <w:rsid w:val="4992988A"/>
    <w:rsid w:val="499D2100"/>
    <w:rsid w:val="49A42ED6"/>
    <w:rsid w:val="49A4D883"/>
    <w:rsid w:val="49AE218D"/>
    <w:rsid w:val="49B90009"/>
    <w:rsid w:val="49C780F2"/>
    <w:rsid w:val="49D2A3A2"/>
    <w:rsid w:val="49E1B714"/>
    <w:rsid w:val="49EF8C7D"/>
    <w:rsid w:val="49F12ADF"/>
    <w:rsid w:val="4A026F81"/>
    <w:rsid w:val="4A02B88E"/>
    <w:rsid w:val="4A06AEBE"/>
    <w:rsid w:val="4A32DDB1"/>
    <w:rsid w:val="4A33787D"/>
    <w:rsid w:val="4A3C6E1F"/>
    <w:rsid w:val="4A4A2004"/>
    <w:rsid w:val="4A50396F"/>
    <w:rsid w:val="4A519F5A"/>
    <w:rsid w:val="4A596515"/>
    <w:rsid w:val="4A5A4276"/>
    <w:rsid w:val="4A5B4F0B"/>
    <w:rsid w:val="4A5EED45"/>
    <w:rsid w:val="4A6B9DF4"/>
    <w:rsid w:val="4A94708C"/>
    <w:rsid w:val="4A988835"/>
    <w:rsid w:val="4AA80CAF"/>
    <w:rsid w:val="4AC76013"/>
    <w:rsid w:val="4ACB16C2"/>
    <w:rsid w:val="4AD4ADBF"/>
    <w:rsid w:val="4AD51C91"/>
    <w:rsid w:val="4AEA341C"/>
    <w:rsid w:val="4AEB3906"/>
    <w:rsid w:val="4AED3E7D"/>
    <w:rsid w:val="4AF76F11"/>
    <w:rsid w:val="4B12E868"/>
    <w:rsid w:val="4B2BDE61"/>
    <w:rsid w:val="4B2F6210"/>
    <w:rsid w:val="4B32A47C"/>
    <w:rsid w:val="4B38F161"/>
    <w:rsid w:val="4B488A6D"/>
    <w:rsid w:val="4B629941"/>
    <w:rsid w:val="4B6722E3"/>
    <w:rsid w:val="4B788B88"/>
    <w:rsid w:val="4B78B2B9"/>
    <w:rsid w:val="4B79609D"/>
    <w:rsid w:val="4B85706F"/>
    <w:rsid w:val="4B9B8C2C"/>
    <w:rsid w:val="4BA34845"/>
    <w:rsid w:val="4BA4DA40"/>
    <w:rsid w:val="4BBFCBD6"/>
    <w:rsid w:val="4BCA2F7E"/>
    <w:rsid w:val="4BCAF011"/>
    <w:rsid w:val="4BCCC1F2"/>
    <w:rsid w:val="4BDACDDD"/>
    <w:rsid w:val="4BDBA466"/>
    <w:rsid w:val="4BE28AED"/>
    <w:rsid w:val="4BE6BEF6"/>
    <w:rsid w:val="4BEC2C68"/>
    <w:rsid w:val="4C066D65"/>
    <w:rsid w:val="4C076E55"/>
    <w:rsid w:val="4C2764B8"/>
    <w:rsid w:val="4C2D2AE2"/>
    <w:rsid w:val="4C3A7D69"/>
    <w:rsid w:val="4C52ECEC"/>
    <w:rsid w:val="4C7DB68F"/>
    <w:rsid w:val="4CA28C03"/>
    <w:rsid w:val="4CAB880A"/>
    <w:rsid w:val="4CAEB8C9"/>
    <w:rsid w:val="4CB3896E"/>
    <w:rsid w:val="4CCE7508"/>
    <w:rsid w:val="4CD4C1C2"/>
    <w:rsid w:val="4CE4373D"/>
    <w:rsid w:val="4CEA4682"/>
    <w:rsid w:val="4D01A391"/>
    <w:rsid w:val="4D0ACD81"/>
    <w:rsid w:val="4D0C1BB8"/>
    <w:rsid w:val="4D0D8BEB"/>
    <w:rsid w:val="4D0FB9A4"/>
    <w:rsid w:val="4D116CCA"/>
    <w:rsid w:val="4D196F3C"/>
    <w:rsid w:val="4D1DFC35"/>
    <w:rsid w:val="4D214301"/>
    <w:rsid w:val="4D272D3F"/>
    <w:rsid w:val="4D3CADA2"/>
    <w:rsid w:val="4D43F97D"/>
    <w:rsid w:val="4D4FCB5A"/>
    <w:rsid w:val="4D51D173"/>
    <w:rsid w:val="4D529EEA"/>
    <w:rsid w:val="4D5AE684"/>
    <w:rsid w:val="4D5E424C"/>
    <w:rsid w:val="4D607EDC"/>
    <w:rsid w:val="4D769E3E"/>
    <w:rsid w:val="4D8E6D8C"/>
    <w:rsid w:val="4D98EEB2"/>
    <w:rsid w:val="4DA33EB6"/>
    <w:rsid w:val="4DAC99D1"/>
    <w:rsid w:val="4DADA4AE"/>
    <w:rsid w:val="4DB0E57C"/>
    <w:rsid w:val="4DB50BC3"/>
    <w:rsid w:val="4DC964FC"/>
    <w:rsid w:val="4DCC114E"/>
    <w:rsid w:val="4DD028F7"/>
    <w:rsid w:val="4DDDCE03"/>
    <w:rsid w:val="4DDE086C"/>
    <w:rsid w:val="4DE213FE"/>
    <w:rsid w:val="4DFD6A70"/>
    <w:rsid w:val="4E048D0F"/>
    <w:rsid w:val="4E0A4BC2"/>
    <w:rsid w:val="4E0C9CEC"/>
    <w:rsid w:val="4E134FF2"/>
    <w:rsid w:val="4E29257E"/>
    <w:rsid w:val="4E3156E8"/>
    <w:rsid w:val="4E3F1234"/>
    <w:rsid w:val="4E4A892A"/>
    <w:rsid w:val="4E5C251D"/>
    <w:rsid w:val="4E65018E"/>
    <w:rsid w:val="4E6C42A7"/>
    <w:rsid w:val="4E6CC964"/>
    <w:rsid w:val="4E7360B1"/>
    <w:rsid w:val="4E811261"/>
    <w:rsid w:val="4E926225"/>
    <w:rsid w:val="4E932B06"/>
    <w:rsid w:val="4EA7CFD8"/>
    <w:rsid w:val="4EAA8F59"/>
    <w:rsid w:val="4EAB4841"/>
    <w:rsid w:val="4EAF79F4"/>
    <w:rsid w:val="4EC04A7C"/>
    <w:rsid w:val="4EC2151C"/>
    <w:rsid w:val="4EC2FDA0"/>
    <w:rsid w:val="4EC96347"/>
    <w:rsid w:val="4ED535D8"/>
    <w:rsid w:val="4EE3607F"/>
    <w:rsid w:val="4EF0F922"/>
    <w:rsid w:val="4EFE4F14"/>
    <w:rsid w:val="4F05A0F3"/>
    <w:rsid w:val="4F06E9A0"/>
    <w:rsid w:val="4F0D07AB"/>
    <w:rsid w:val="4F0FDF42"/>
    <w:rsid w:val="4F18EA33"/>
    <w:rsid w:val="4F267ACB"/>
    <w:rsid w:val="4F26E8B6"/>
    <w:rsid w:val="4F2EDB5B"/>
    <w:rsid w:val="4F3B13EA"/>
    <w:rsid w:val="4F4121B6"/>
    <w:rsid w:val="4F45E690"/>
    <w:rsid w:val="4F52E93B"/>
    <w:rsid w:val="4F5558B1"/>
    <w:rsid w:val="4F6EB6B0"/>
    <w:rsid w:val="4F8521B5"/>
    <w:rsid w:val="4F9DA2EA"/>
    <w:rsid w:val="4F9FCC05"/>
    <w:rsid w:val="4FA989B4"/>
    <w:rsid w:val="4FBEAA29"/>
    <w:rsid w:val="4FC4DBAA"/>
    <w:rsid w:val="4FCFD6CC"/>
    <w:rsid w:val="4FD8AC93"/>
    <w:rsid w:val="4FDA2CC5"/>
    <w:rsid w:val="4FE2731F"/>
    <w:rsid w:val="4FEBC7D1"/>
    <w:rsid w:val="5007C95F"/>
    <w:rsid w:val="500EF65B"/>
    <w:rsid w:val="501CE2C2"/>
    <w:rsid w:val="5021BA47"/>
    <w:rsid w:val="502387D4"/>
    <w:rsid w:val="502A3148"/>
    <w:rsid w:val="503525A9"/>
    <w:rsid w:val="50378E64"/>
    <w:rsid w:val="504357F9"/>
    <w:rsid w:val="50452CAD"/>
    <w:rsid w:val="504FABA8"/>
    <w:rsid w:val="5053A004"/>
    <w:rsid w:val="5057B384"/>
    <w:rsid w:val="505DE57D"/>
    <w:rsid w:val="5061D91E"/>
    <w:rsid w:val="50744E64"/>
    <w:rsid w:val="507A039F"/>
    <w:rsid w:val="507D7B22"/>
    <w:rsid w:val="5088A005"/>
    <w:rsid w:val="50ABAFA3"/>
    <w:rsid w:val="50B67A21"/>
    <w:rsid w:val="50B835BE"/>
    <w:rsid w:val="50C01A6B"/>
    <w:rsid w:val="50C39BF1"/>
    <w:rsid w:val="50D51097"/>
    <w:rsid w:val="50D97D59"/>
    <w:rsid w:val="50DF3A8F"/>
    <w:rsid w:val="50E53FF5"/>
    <w:rsid w:val="50E65391"/>
    <w:rsid w:val="50F21ED2"/>
    <w:rsid w:val="50F69626"/>
    <w:rsid w:val="5103B210"/>
    <w:rsid w:val="510A94A3"/>
    <w:rsid w:val="5119F82C"/>
    <w:rsid w:val="5120F216"/>
    <w:rsid w:val="5123D05B"/>
    <w:rsid w:val="5129E2BC"/>
    <w:rsid w:val="51307AA8"/>
    <w:rsid w:val="51324382"/>
    <w:rsid w:val="5136A197"/>
    <w:rsid w:val="513C6D9D"/>
    <w:rsid w:val="514F5896"/>
    <w:rsid w:val="51516C13"/>
    <w:rsid w:val="5160EDC6"/>
    <w:rsid w:val="5165D90C"/>
    <w:rsid w:val="51669A4D"/>
    <w:rsid w:val="516D21BA"/>
    <w:rsid w:val="5185EED8"/>
    <w:rsid w:val="518C21F9"/>
    <w:rsid w:val="51930599"/>
    <w:rsid w:val="519AF31F"/>
    <w:rsid w:val="51A38891"/>
    <w:rsid w:val="51A832E5"/>
    <w:rsid w:val="51AAFB40"/>
    <w:rsid w:val="51ABDC86"/>
    <w:rsid w:val="51B13F89"/>
    <w:rsid w:val="51B4C299"/>
    <w:rsid w:val="51D025DF"/>
    <w:rsid w:val="51D96716"/>
    <w:rsid w:val="51E4DDED"/>
    <w:rsid w:val="5206BC7A"/>
    <w:rsid w:val="520F5613"/>
    <w:rsid w:val="520F8F24"/>
    <w:rsid w:val="521BA81C"/>
    <w:rsid w:val="521F7FCE"/>
    <w:rsid w:val="522E3F31"/>
    <w:rsid w:val="5231C0FE"/>
    <w:rsid w:val="524255DC"/>
    <w:rsid w:val="5242FB10"/>
    <w:rsid w:val="52478004"/>
    <w:rsid w:val="52552415"/>
    <w:rsid w:val="52579362"/>
    <w:rsid w:val="5258074C"/>
    <w:rsid w:val="525FBF51"/>
    <w:rsid w:val="52640C01"/>
    <w:rsid w:val="528E400C"/>
    <w:rsid w:val="52926687"/>
    <w:rsid w:val="529F8271"/>
    <w:rsid w:val="52A29D02"/>
    <w:rsid w:val="52ABFA53"/>
    <w:rsid w:val="52B25AB0"/>
    <w:rsid w:val="52B4511A"/>
    <w:rsid w:val="52B8E441"/>
    <w:rsid w:val="52E00E0F"/>
    <w:rsid w:val="52ED3CA9"/>
    <w:rsid w:val="52F98D96"/>
    <w:rsid w:val="52F993BC"/>
    <w:rsid w:val="52FCBE27"/>
    <w:rsid w:val="530085E9"/>
    <w:rsid w:val="530636E9"/>
    <w:rsid w:val="531FA3C7"/>
    <w:rsid w:val="532ED5FA"/>
    <w:rsid w:val="5342393C"/>
    <w:rsid w:val="5355AFB7"/>
    <w:rsid w:val="5359EA7B"/>
    <w:rsid w:val="5368C4D4"/>
    <w:rsid w:val="53768F5A"/>
    <w:rsid w:val="53879422"/>
    <w:rsid w:val="539CD46A"/>
    <w:rsid w:val="53A5EB1C"/>
    <w:rsid w:val="53ABEF26"/>
    <w:rsid w:val="53C5F368"/>
    <w:rsid w:val="53DFCBEB"/>
    <w:rsid w:val="53E35065"/>
    <w:rsid w:val="53E63250"/>
    <w:rsid w:val="53ECCDBF"/>
    <w:rsid w:val="53F9EBEE"/>
    <w:rsid w:val="54076866"/>
    <w:rsid w:val="540CB159"/>
    <w:rsid w:val="540D061A"/>
    <w:rsid w:val="541997CC"/>
    <w:rsid w:val="5436C348"/>
    <w:rsid w:val="543C2569"/>
    <w:rsid w:val="543F6A7B"/>
    <w:rsid w:val="54434058"/>
    <w:rsid w:val="544C1093"/>
    <w:rsid w:val="545892D8"/>
    <w:rsid w:val="54696919"/>
    <w:rsid w:val="5470928E"/>
    <w:rsid w:val="5471140D"/>
    <w:rsid w:val="54726A47"/>
    <w:rsid w:val="54745D20"/>
    <w:rsid w:val="547A106B"/>
    <w:rsid w:val="547B9005"/>
    <w:rsid w:val="54865B7C"/>
    <w:rsid w:val="548D8BDA"/>
    <w:rsid w:val="54962C9E"/>
    <w:rsid w:val="54986702"/>
    <w:rsid w:val="54994EAA"/>
    <w:rsid w:val="549C98AA"/>
    <w:rsid w:val="54C5C4C1"/>
    <w:rsid w:val="54F16AF4"/>
    <w:rsid w:val="54F7B329"/>
    <w:rsid w:val="54FDA26B"/>
    <w:rsid w:val="55069F25"/>
    <w:rsid w:val="5511AF11"/>
    <w:rsid w:val="55137CE2"/>
    <w:rsid w:val="5520AB1E"/>
    <w:rsid w:val="5532C495"/>
    <w:rsid w:val="553907C9"/>
    <w:rsid w:val="5547BF87"/>
    <w:rsid w:val="55608542"/>
    <w:rsid w:val="5562FC2C"/>
    <w:rsid w:val="55652360"/>
    <w:rsid w:val="556587FE"/>
    <w:rsid w:val="557F20C6"/>
    <w:rsid w:val="55981DFC"/>
    <w:rsid w:val="55A79B7D"/>
    <w:rsid w:val="55AD2E77"/>
    <w:rsid w:val="55AF2CC0"/>
    <w:rsid w:val="55CFF1F4"/>
    <w:rsid w:val="55D72333"/>
    <w:rsid w:val="55DC3E09"/>
    <w:rsid w:val="55E91B5A"/>
    <w:rsid w:val="55F46339"/>
    <w:rsid w:val="5609E977"/>
    <w:rsid w:val="56176066"/>
    <w:rsid w:val="561E61D7"/>
    <w:rsid w:val="56405691"/>
    <w:rsid w:val="564BCD6B"/>
    <w:rsid w:val="5666295C"/>
    <w:rsid w:val="566D270A"/>
    <w:rsid w:val="566E6442"/>
    <w:rsid w:val="567BFEB6"/>
    <w:rsid w:val="567DE5C3"/>
    <w:rsid w:val="568D3D10"/>
    <w:rsid w:val="569B45D4"/>
    <w:rsid w:val="569CA075"/>
    <w:rsid w:val="56A251AA"/>
    <w:rsid w:val="56A9EE5D"/>
    <w:rsid w:val="56BFC2E5"/>
    <w:rsid w:val="56D0109C"/>
    <w:rsid w:val="56DA88F6"/>
    <w:rsid w:val="56E38FE8"/>
    <w:rsid w:val="56E96C6E"/>
    <w:rsid w:val="56E980F4"/>
    <w:rsid w:val="56EDAB2E"/>
    <w:rsid w:val="56F343E5"/>
    <w:rsid w:val="56F7D6AF"/>
    <w:rsid w:val="5719E90B"/>
    <w:rsid w:val="571C2868"/>
    <w:rsid w:val="5744521B"/>
    <w:rsid w:val="576BC255"/>
    <w:rsid w:val="5788F923"/>
    <w:rsid w:val="5790339A"/>
    <w:rsid w:val="57A44CB6"/>
    <w:rsid w:val="57A5220D"/>
    <w:rsid w:val="57CBE53E"/>
    <w:rsid w:val="57D65062"/>
    <w:rsid w:val="57DC26F2"/>
    <w:rsid w:val="57E701BE"/>
    <w:rsid w:val="57E7DEAC"/>
    <w:rsid w:val="57F6F965"/>
    <w:rsid w:val="5802471D"/>
    <w:rsid w:val="5812AE0E"/>
    <w:rsid w:val="58247FB9"/>
    <w:rsid w:val="582C7B46"/>
    <w:rsid w:val="583E01C4"/>
    <w:rsid w:val="583E0D64"/>
    <w:rsid w:val="583FAB87"/>
    <w:rsid w:val="58467043"/>
    <w:rsid w:val="584A9612"/>
    <w:rsid w:val="584C5E76"/>
    <w:rsid w:val="585E72FE"/>
    <w:rsid w:val="5868F762"/>
    <w:rsid w:val="58703A29"/>
    <w:rsid w:val="587D4997"/>
    <w:rsid w:val="587D4D6F"/>
    <w:rsid w:val="587FD03D"/>
    <w:rsid w:val="58834F65"/>
    <w:rsid w:val="58A86296"/>
    <w:rsid w:val="58B383EF"/>
    <w:rsid w:val="58B4644A"/>
    <w:rsid w:val="58C2CC3A"/>
    <w:rsid w:val="58C47ED5"/>
    <w:rsid w:val="58C655B5"/>
    <w:rsid w:val="58F5084C"/>
    <w:rsid w:val="590364D1"/>
    <w:rsid w:val="590F42D3"/>
    <w:rsid w:val="591716E7"/>
    <w:rsid w:val="5924C984"/>
    <w:rsid w:val="5929875E"/>
    <w:rsid w:val="5935EDC3"/>
    <w:rsid w:val="593C4EBD"/>
    <w:rsid w:val="595B0D0E"/>
    <w:rsid w:val="595CBA55"/>
    <w:rsid w:val="595EEFD2"/>
    <w:rsid w:val="595F0B42"/>
    <w:rsid w:val="597774C1"/>
    <w:rsid w:val="5989FC23"/>
    <w:rsid w:val="599525FE"/>
    <w:rsid w:val="59991455"/>
    <w:rsid w:val="59CAC7BD"/>
    <w:rsid w:val="59D2706F"/>
    <w:rsid w:val="59D51416"/>
    <w:rsid w:val="59E5A0A2"/>
    <w:rsid w:val="59EBBDFA"/>
    <w:rsid w:val="59EC0EF3"/>
    <w:rsid w:val="59F9D596"/>
    <w:rsid w:val="59FF1EE7"/>
    <w:rsid w:val="5A0297D8"/>
    <w:rsid w:val="5A097CD6"/>
    <w:rsid w:val="5A0A08AA"/>
    <w:rsid w:val="5A0F70FC"/>
    <w:rsid w:val="5A10FF91"/>
    <w:rsid w:val="5A1B30AA"/>
    <w:rsid w:val="5A1CFC98"/>
    <w:rsid w:val="5A306DB7"/>
    <w:rsid w:val="5A3FA51F"/>
    <w:rsid w:val="5A5291E9"/>
    <w:rsid w:val="5A59E1D6"/>
    <w:rsid w:val="5A61494D"/>
    <w:rsid w:val="5A7BF2DD"/>
    <w:rsid w:val="5A7EBE67"/>
    <w:rsid w:val="5A827B92"/>
    <w:rsid w:val="5AA8EB76"/>
    <w:rsid w:val="5AA9BA5F"/>
    <w:rsid w:val="5AACEB69"/>
    <w:rsid w:val="5AB2E00B"/>
    <w:rsid w:val="5AC7D45C"/>
    <w:rsid w:val="5ACAC791"/>
    <w:rsid w:val="5AF44B8C"/>
    <w:rsid w:val="5AF88AB6"/>
    <w:rsid w:val="5AFAC033"/>
    <w:rsid w:val="5B0CECBB"/>
    <w:rsid w:val="5B13C7B4"/>
    <w:rsid w:val="5B2203C0"/>
    <w:rsid w:val="5B304926"/>
    <w:rsid w:val="5B3DDC44"/>
    <w:rsid w:val="5B42F5DE"/>
    <w:rsid w:val="5B5FBACA"/>
    <w:rsid w:val="5B66981E"/>
    <w:rsid w:val="5B68C35A"/>
    <w:rsid w:val="5B6DCA77"/>
    <w:rsid w:val="5B6EA91E"/>
    <w:rsid w:val="5B798807"/>
    <w:rsid w:val="5B7DC044"/>
    <w:rsid w:val="5B7E6F4B"/>
    <w:rsid w:val="5B883437"/>
    <w:rsid w:val="5B962FDA"/>
    <w:rsid w:val="5BB62E25"/>
    <w:rsid w:val="5BBB2BFB"/>
    <w:rsid w:val="5BBB33B4"/>
    <w:rsid w:val="5BC3FBDD"/>
    <w:rsid w:val="5BCC0A12"/>
    <w:rsid w:val="5BD12F11"/>
    <w:rsid w:val="5BF31CB6"/>
    <w:rsid w:val="5BF3A3E1"/>
    <w:rsid w:val="5BF5F46F"/>
    <w:rsid w:val="5BF91556"/>
    <w:rsid w:val="5C1623BC"/>
    <w:rsid w:val="5C26A1A2"/>
    <w:rsid w:val="5C2F4490"/>
    <w:rsid w:val="5C3DF5BA"/>
    <w:rsid w:val="5C45F90C"/>
    <w:rsid w:val="5C4A5A1E"/>
    <w:rsid w:val="5C593189"/>
    <w:rsid w:val="5C60139E"/>
    <w:rsid w:val="5C6093BD"/>
    <w:rsid w:val="5C7D17A8"/>
    <w:rsid w:val="5C7FD829"/>
    <w:rsid w:val="5C84E2EF"/>
    <w:rsid w:val="5C8B9AC2"/>
    <w:rsid w:val="5C951635"/>
    <w:rsid w:val="5CA1EAC7"/>
    <w:rsid w:val="5CB8CD75"/>
    <w:rsid w:val="5CC09D53"/>
    <w:rsid w:val="5CCD7347"/>
    <w:rsid w:val="5CD50656"/>
    <w:rsid w:val="5CD9D4BB"/>
    <w:rsid w:val="5CEA27FD"/>
    <w:rsid w:val="5CEAE58C"/>
    <w:rsid w:val="5CF708B9"/>
    <w:rsid w:val="5CF77F89"/>
    <w:rsid w:val="5D08165D"/>
    <w:rsid w:val="5D091725"/>
    <w:rsid w:val="5D187527"/>
    <w:rsid w:val="5D2AF151"/>
    <w:rsid w:val="5D460698"/>
    <w:rsid w:val="5D49AAB1"/>
    <w:rsid w:val="5D50BE92"/>
    <w:rsid w:val="5D5755E4"/>
    <w:rsid w:val="5D7A64DD"/>
    <w:rsid w:val="5D7A657C"/>
    <w:rsid w:val="5D82A702"/>
    <w:rsid w:val="5D88F554"/>
    <w:rsid w:val="5D9DBCE5"/>
    <w:rsid w:val="5D9FCE0C"/>
    <w:rsid w:val="5DAA21C7"/>
    <w:rsid w:val="5DB3939F"/>
    <w:rsid w:val="5DB4CF42"/>
    <w:rsid w:val="5DC58022"/>
    <w:rsid w:val="5DCEB580"/>
    <w:rsid w:val="5DD39E3C"/>
    <w:rsid w:val="5DD60060"/>
    <w:rsid w:val="5DDF0EB0"/>
    <w:rsid w:val="5DE1C96D"/>
    <w:rsid w:val="5DE64CC1"/>
    <w:rsid w:val="5DFEDEE0"/>
    <w:rsid w:val="5E1F189A"/>
    <w:rsid w:val="5E461573"/>
    <w:rsid w:val="5E57D1A3"/>
    <w:rsid w:val="5E5AD776"/>
    <w:rsid w:val="5E683B50"/>
    <w:rsid w:val="5E6D0E26"/>
    <w:rsid w:val="5E7F1794"/>
    <w:rsid w:val="5E86B5ED"/>
    <w:rsid w:val="5E8C5D35"/>
    <w:rsid w:val="5E8EE300"/>
    <w:rsid w:val="5E92D91A"/>
    <w:rsid w:val="5EA657B9"/>
    <w:rsid w:val="5EA8D561"/>
    <w:rsid w:val="5EB563A7"/>
    <w:rsid w:val="5EBA0ECF"/>
    <w:rsid w:val="5EC014BE"/>
    <w:rsid w:val="5EC524EC"/>
    <w:rsid w:val="5EC69B81"/>
    <w:rsid w:val="5EC78D64"/>
    <w:rsid w:val="5ECC290E"/>
    <w:rsid w:val="5EDF5CCE"/>
    <w:rsid w:val="5EE7BE03"/>
    <w:rsid w:val="5F01C918"/>
    <w:rsid w:val="5F101B91"/>
    <w:rsid w:val="5F175BC8"/>
    <w:rsid w:val="5F1A7EC0"/>
    <w:rsid w:val="5F2B44A3"/>
    <w:rsid w:val="5F307FEF"/>
    <w:rsid w:val="5F30FFBD"/>
    <w:rsid w:val="5F5410BD"/>
    <w:rsid w:val="5F5FC1FC"/>
    <w:rsid w:val="5F6DE045"/>
    <w:rsid w:val="5F8967D2"/>
    <w:rsid w:val="5F8BAD77"/>
    <w:rsid w:val="5F8BDE1A"/>
    <w:rsid w:val="5FA9FD7D"/>
    <w:rsid w:val="5FAA901D"/>
    <w:rsid w:val="5FC339D1"/>
    <w:rsid w:val="5FDE8015"/>
    <w:rsid w:val="5FE1D9E5"/>
    <w:rsid w:val="5FF114B5"/>
    <w:rsid w:val="5FFC1E2B"/>
    <w:rsid w:val="6000A704"/>
    <w:rsid w:val="600D2006"/>
    <w:rsid w:val="601D509B"/>
    <w:rsid w:val="60246394"/>
    <w:rsid w:val="60282D96"/>
    <w:rsid w:val="6028FB46"/>
    <w:rsid w:val="602EEC89"/>
    <w:rsid w:val="6060F6CE"/>
    <w:rsid w:val="6062085E"/>
    <w:rsid w:val="60624C5E"/>
    <w:rsid w:val="60671EDC"/>
    <w:rsid w:val="606BA99E"/>
    <w:rsid w:val="6071249D"/>
    <w:rsid w:val="6075C4D4"/>
    <w:rsid w:val="607EB280"/>
    <w:rsid w:val="608673C4"/>
    <w:rsid w:val="6086E7C1"/>
    <w:rsid w:val="608E614A"/>
    <w:rsid w:val="60964433"/>
    <w:rsid w:val="609717AE"/>
    <w:rsid w:val="60992BAD"/>
    <w:rsid w:val="60AA2B83"/>
    <w:rsid w:val="60B2059F"/>
    <w:rsid w:val="60BA8C73"/>
    <w:rsid w:val="60C1176F"/>
    <w:rsid w:val="60C97321"/>
    <w:rsid w:val="60DC498C"/>
    <w:rsid w:val="60F3E4A6"/>
    <w:rsid w:val="60F5ED71"/>
    <w:rsid w:val="60FB2DB6"/>
    <w:rsid w:val="60FB9E37"/>
    <w:rsid w:val="6109B0A6"/>
    <w:rsid w:val="61328899"/>
    <w:rsid w:val="6134CCEF"/>
    <w:rsid w:val="6140FFA8"/>
    <w:rsid w:val="615CE680"/>
    <w:rsid w:val="617A9151"/>
    <w:rsid w:val="61989267"/>
    <w:rsid w:val="61B116E9"/>
    <w:rsid w:val="61B23762"/>
    <w:rsid w:val="61BDF70C"/>
    <w:rsid w:val="61BE4F60"/>
    <w:rsid w:val="61C2213D"/>
    <w:rsid w:val="61C95A98"/>
    <w:rsid w:val="61CC2EAB"/>
    <w:rsid w:val="61CE29FD"/>
    <w:rsid w:val="61DB8780"/>
    <w:rsid w:val="61DE3B6D"/>
    <w:rsid w:val="61EB943B"/>
    <w:rsid w:val="61F2E94E"/>
    <w:rsid w:val="61F5732C"/>
    <w:rsid w:val="61F887FE"/>
    <w:rsid w:val="620678E5"/>
    <w:rsid w:val="620B4828"/>
    <w:rsid w:val="6212C343"/>
    <w:rsid w:val="6212CF6D"/>
    <w:rsid w:val="6217E834"/>
    <w:rsid w:val="621F1559"/>
    <w:rsid w:val="62224425"/>
    <w:rsid w:val="622A31AB"/>
    <w:rsid w:val="6234FC0E"/>
    <w:rsid w:val="623F950E"/>
    <w:rsid w:val="624EF854"/>
    <w:rsid w:val="625619F0"/>
    <w:rsid w:val="625D9270"/>
    <w:rsid w:val="626A7A82"/>
    <w:rsid w:val="626C7796"/>
    <w:rsid w:val="6271DDC3"/>
    <w:rsid w:val="6272E84C"/>
    <w:rsid w:val="6280F5FD"/>
    <w:rsid w:val="628704C2"/>
    <w:rsid w:val="6291BDD2"/>
    <w:rsid w:val="629CFE9C"/>
    <w:rsid w:val="629D4C33"/>
    <w:rsid w:val="629E6992"/>
    <w:rsid w:val="629EDBBB"/>
    <w:rsid w:val="62AADAC3"/>
    <w:rsid w:val="62B103AD"/>
    <w:rsid w:val="62D09D50"/>
    <w:rsid w:val="62EE930C"/>
    <w:rsid w:val="62EED864"/>
    <w:rsid w:val="62FD28D2"/>
    <w:rsid w:val="62FF58F8"/>
    <w:rsid w:val="63039C9B"/>
    <w:rsid w:val="6340D1E9"/>
    <w:rsid w:val="6352BCE2"/>
    <w:rsid w:val="6374A27B"/>
    <w:rsid w:val="6376B15E"/>
    <w:rsid w:val="637AC7B5"/>
    <w:rsid w:val="63825BA1"/>
    <w:rsid w:val="6385BF7A"/>
    <w:rsid w:val="6396008F"/>
    <w:rsid w:val="63A8C55F"/>
    <w:rsid w:val="63BB2F26"/>
    <w:rsid w:val="63BE1486"/>
    <w:rsid w:val="63C6020C"/>
    <w:rsid w:val="63CC0712"/>
    <w:rsid w:val="63D26A28"/>
    <w:rsid w:val="63D7620B"/>
    <w:rsid w:val="63D94D0B"/>
    <w:rsid w:val="63E6EC55"/>
    <w:rsid w:val="63E83958"/>
    <w:rsid w:val="63EAC8B5"/>
    <w:rsid w:val="63F835EE"/>
    <w:rsid w:val="63F9742F"/>
    <w:rsid w:val="64066470"/>
    <w:rsid w:val="640E9205"/>
    <w:rsid w:val="64101DA6"/>
    <w:rsid w:val="64107435"/>
    <w:rsid w:val="641CC65E"/>
    <w:rsid w:val="64425E97"/>
    <w:rsid w:val="6445A514"/>
    <w:rsid w:val="64605A10"/>
    <w:rsid w:val="64617BD6"/>
    <w:rsid w:val="6461B960"/>
    <w:rsid w:val="6478761B"/>
    <w:rsid w:val="64BDBAA7"/>
    <w:rsid w:val="64C31465"/>
    <w:rsid w:val="64D7DBFE"/>
    <w:rsid w:val="64DF583D"/>
    <w:rsid w:val="64E15140"/>
    <w:rsid w:val="64EFAAE2"/>
    <w:rsid w:val="64F0C1BE"/>
    <w:rsid w:val="6503CF6D"/>
    <w:rsid w:val="65064267"/>
    <w:rsid w:val="650D7A64"/>
    <w:rsid w:val="652274AA"/>
    <w:rsid w:val="6524A28A"/>
    <w:rsid w:val="653DD116"/>
    <w:rsid w:val="6548F476"/>
    <w:rsid w:val="6556B61B"/>
    <w:rsid w:val="656215FA"/>
    <w:rsid w:val="6563FB88"/>
    <w:rsid w:val="656878DB"/>
    <w:rsid w:val="656B892D"/>
    <w:rsid w:val="656C9CD0"/>
    <w:rsid w:val="65799B7F"/>
    <w:rsid w:val="657ADDF2"/>
    <w:rsid w:val="657B0DE4"/>
    <w:rsid w:val="659AA634"/>
    <w:rsid w:val="65A63D07"/>
    <w:rsid w:val="65C02596"/>
    <w:rsid w:val="65C3253E"/>
    <w:rsid w:val="65C7F4F0"/>
    <w:rsid w:val="65C95E94"/>
    <w:rsid w:val="65CA4252"/>
    <w:rsid w:val="65F057F9"/>
    <w:rsid w:val="65F2ACAC"/>
    <w:rsid w:val="65FB874F"/>
    <w:rsid w:val="65FD89C1"/>
    <w:rsid w:val="660A9202"/>
    <w:rsid w:val="660D6548"/>
    <w:rsid w:val="6642B715"/>
    <w:rsid w:val="66482CCA"/>
    <w:rsid w:val="66559E1D"/>
    <w:rsid w:val="66708D0D"/>
    <w:rsid w:val="668DC1EF"/>
    <w:rsid w:val="669EF3D3"/>
    <w:rsid w:val="669FBC85"/>
    <w:rsid w:val="66B3DED7"/>
    <w:rsid w:val="66BAAB59"/>
    <w:rsid w:val="66BE450B"/>
    <w:rsid w:val="66C248FE"/>
    <w:rsid w:val="66D9D9BA"/>
    <w:rsid w:val="66E06621"/>
    <w:rsid w:val="66E92D28"/>
    <w:rsid w:val="66E96F8B"/>
    <w:rsid w:val="66EDF404"/>
    <w:rsid w:val="66F169A5"/>
    <w:rsid w:val="66F5B548"/>
    <w:rsid w:val="66FDA2CE"/>
    <w:rsid w:val="66FFCBE9"/>
    <w:rsid w:val="6702BEA0"/>
    <w:rsid w:val="6710C1E7"/>
    <w:rsid w:val="671135E4"/>
    <w:rsid w:val="67156C0B"/>
    <w:rsid w:val="672F257E"/>
    <w:rsid w:val="673114F1"/>
    <w:rsid w:val="67402665"/>
    <w:rsid w:val="67420D68"/>
    <w:rsid w:val="6747E4D2"/>
    <w:rsid w:val="6749FDCD"/>
    <w:rsid w:val="674F9E00"/>
    <w:rsid w:val="67598AF4"/>
    <w:rsid w:val="675D380E"/>
    <w:rsid w:val="675E2057"/>
    <w:rsid w:val="676C6268"/>
    <w:rsid w:val="67751BA8"/>
    <w:rsid w:val="677CDE89"/>
    <w:rsid w:val="677EA2A9"/>
    <w:rsid w:val="6781E61F"/>
    <w:rsid w:val="67830C4A"/>
    <w:rsid w:val="678387B8"/>
    <w:rsid w:val="67843F6D"/>
    <w:rsid w:val="6790D296"/>
    <w:rsid w:val="67927648"/>
    <w:rsid w:val="679EA86A"/>
    <w:rsid w:val="67ABA023"/>
    <w:rsid w:val="67ABAB1F"/>
    <w:rsid w:val="67BB87CB"/>
    <w:rsid w:val="67C7CDE2"/>
    <w:rsid w:val="67CBCFDD"/>
    <w:rsid w:val="67D33116"/>
    <w:rsid w:val="67D40252"/>
    <w:rsid w:val="67E6E799"/>
    <w:rsid w:val="67F35D49"/>
    <w:rsid w:val="67F92F9B"/>
    <w:rsid w:val="680E5A8B"/>
    <w:rsid w:val="680F7CC0"/>
    <w:rsid w:val="681A7486"/>
    <w:rsid w:val="6828B7A1"/>
    <w:rsid w:val="68308F58"/>
    <w:rsid w:val="6868DE9B"/>
    <w:rsid w:val="68694B1E"/>
    <w:rsid w:val="686A3EBF"/>
    <w:rsid w:val="687C7B7E"/>
    <w:rsid w:val="687E2A8D"/>
    <w:rsid w:val="687E84B0"/>
    <w:rsid w:val="689185A9"/>
    <w:rsid w:val="68950B16"/>
    <w:rsid w:val="68956CCB"/>
    <w:rsid w:val="6896BD39"/>
    <w:rsid w:val="68976456"/>
    <w:rsid w:val="689CE0E4"/>
    <w:rsid w:val="68B1B4B0"/>
    <w:rsid w:val="68B27EB4"/>
    <w:rsid w:val="68B2AEA6"/>
    <w:rsid w:val="68C0BC93"/>
    <w:rsid w:val="68C3675C"/>
    <w:rsid w:val="68C9CF7E"/>
    <w:rsid w:val="68C9FE1E"/>
    <w:rsid w:val="68CA666C"/>
    <w:rsid w:val="68DCA6C4"/>
    <w:rsid w:val="68E06524"/>
    <w:rsid w:val="68FEFEE9"/>
    <w:rsid w:val="690832C9"/>
    <w:rsid w:val="6922887B"/>
    <w:rsid w:val="69247C14"/>
    <w:rsid w:val="6925A406"/>
    <w:rsid w:val="69639E43"/>
    <w:rsid w:val="6964A6B6"/>
    <w:rsid w:val="6970C118"/>
    <w:rsid w:val="697641D2"/>
    <w:rsid w:val="69A2DE5C"/>
    <w:rsid w:val="69ACF69B"/>
    <w:rsid w:val="69C247DB"/>
    <w:rsid w:val="69CA1ABF"/>
    <w:rsid w:val="69CC5FB9"/>
    <w:rsid w:val="69D752AF"/>
    <w:rsid w:val="69D8C25C"/>
    <w:rsid w:val="69D969E3"/>
    <w:rsid w:val="69E0EB87"/>
    <w:rsid w:val="69F7EF15"/>
    <w:rsid w:val="6A0399FE"/>
    <w:rsid w:val="6A04AEFC"/>
    <w:rsid w:val="6A0905F7"/>
    <w:rsid w:val="6A201957"/>
    <w:rsid w:val="6A35871D"/>
    <w:rsid w:val="6A376CAB"/>
    <w:rsid w:val="6A3A5F62"/>
    <w:rsid w:val="6A43903C"/>
    <w:rsid w:val="6A46C0F9"/>
    <w:rsid w:val="6A4EAE7F"/>
    <w:rsid w:val="6A4FB533"/>
    <w:rsid w:val="6A503468"/>
    <w:rsid w:val="6A52BF51"/>
    <w:rsid w:val="6A64C7EF"/>
    <w:rsid w:val="6A68B5B3"/>
    <w:rsid w:val="6A691412"/>
    <w:rsid w:val="6A7A6E5C"/>
    <w:rsid w:val="6A819E8F"/>
    <w:rsid w:val="6A81A686"/>
    <w:rsid w:val="6A8C3F56"/>
    <w:rsid w:val="6AAC3B78"/>
    <w:rsid w:val="6AAFD8DD"/>
    <w:rsid w:val="6AB6FF0B"/>
    <w:rsid w:val="6ABC7305"/>
    <w:rsid w:val="6ACF2F0A"/>
    <w:rsid w:val="6AD2FF27"/>
    <w:rsid w:val="6AE7732E"/>
    <w:rsid w:val="6AF86FBE"/>
    <w:rsid w:val="6AFD7124"/>
    <w:rsid w:val="6B050CBE"/>
    <w:rsid w:val="6B0FC368"/>
    <w:rsid w:val="6B193D02"/>
    <w:rsid w:val="6B1B635C"/>
    <w:rsid w:val="6B263192"/>
    <w:rsid w:val="6B3911FA"/>
    <w:rsid w:val="6B4204B0"/>
    <w:rsid w:val="6B471A29"/>
    <w:rsid w:val="6B6372C0"/>
    <w:rsid w:val="6B9BD194"/>
    <w:rsid w:val="6B9F1C9D"/>
    <w:rsid w:val="6BADFDF2"/>
    <w:rsid w:val="6BB3D744"/>
    <w:rsid w:val="6BCD4EF7"/>
    <w:rsid w:val="6BD113F1"/>
    <w:rsid w:val="6BD33D0C"/>
    <w:rsid w:val="6BDA29B2"/>
    <w:rsid w:val="6BEA4F68"/>
    <w:rsid w:val="6BECE3EE"/>
    <w:rsid w:val="6BF6AFCC"/>
    <w:rsid w:val="6C15C0EB"/>
    <w:rsid w:val="6C1DCBC7"/>
    <w:rsid w:val="6C3DD134"/>
    <w:rsid w:val="6C5053C9"/>
    <w:rsid w:val="6C58EA8D"/>
    <w:rsid w:val="6C5D045C"/>
    <w:rsid w:val="6C5DA4A7"/>
    <w:rsid w:val="6C6E2F94"/>
    <w:rsid w:val="6C794A2C"/>
    <w:rsid w:val="6C892F8D"/>
    <w:rsid w:val="6C8F5556"/>
    <w:rsid w:val="6C923F08"/>
    <w:rsid w:val="6C9B3F05"/>
    <w:rsid w:val="6CE0B7F4"/>
    <w:rsid w:val="6CE4F414"/>
    <w:rsid w:val="6CE6B2CF"/>
    <w:rsid w:val="6CEFCC2F"/>
    <w:rsid w:val="6D091FDF"/>
    <w:rsid w:val="6D0F704B"/>
    <w:rsid w:val="6D10C851"/>
    <w:rsid w:val="6D1FEA7C"/>
    <w:rsid w:val="6D2132D6"/>
    <w:rsid w:val="6D290E08"/>
    <w:rsid w:val="6D2EEC2A"/>
    <w:rsid w:val="6D30D2F9"/>
    <w:rsid w:val="6D362D3F"/>
    <w:rsid w:val="6D3C624F"/>
    <w:rsid w:val="6D3EB64B"/>
    <w:rsid w:val="6D44BFFA"/>
    <w:rsid w:val="6D50B151"/>
    <w:rsid w:val="6D5FCC12"/>
    <w:rsid w:val="6D61C800"/>
    <w:rsid w:val="6D651BF4"/>
    <w:rsid w:val="6D6EA351"/>
    <w:rsid w:val="6D720024"/>
    <w:rsid w:val="6D9CBFAF"/>
    <w:rsid w:val="6DB668BE"/>
    <w:rsid w:val="6DCF0B51"/>
    <w:rsid w:val="6DD70AC7"/>
    <w:rsid w:val="6DF4BAEE"/>
    <w:rsid w:val="6DF6D99F"/>
    <w:rsid w:val="6DF7ED37"/>
    <w:rsid w:val="6DF83A4D"/>
    <w:rsid w:val="6E06CFCC"/>
    <w:rsid w:val="6E089BA6"/>
    <w:rsid w:val="6E09CA0A"/>
    <w:rsid w:val="6E09D4E2"/>
    <w:rsid w:val="6E0BCFB3"/>
    <w:rsid w:val="6E1EED10"/>
    <w:rsid w:val="6E24FFEE"/>
    <w:rsid w:val="6E305424"/>
    <w:rsid w:val="6E464F42"/>
    <w:rsid w:val="6E7C8855"/>
    <w:rsid w:val="6E823F55"/>
    <w:rsid w:val="6E84D014"/>
    <w:rsid w:val="6E9C94E2"/>
    <w:rsid w:val="6E9CF2B4"/>
    <w:rsid w:val="6EADD1EB"/>
    <w:rsid w:val="6EB1F557"/>
    <w:rsid w:val="6ECABC8B"/>
    <w:rsid w:val="6EDDF1E5"/>
    <w:rsid w:val="6EF21E53"/>
    <w:rsid w:val="6EF27129"/>
    <w:rsid w:val="6F044C9A"/>
    <w:rsid w:val="6F0EB51E"/>
    <w:rsid w:val="6F2484B0"/>
    <w:rsid w:val="6F2EB315"/>
    <w:rsid w:val="6F389010"/>
    <w:rsid w:val="6F3A1235"/>
    <w:rsid w:val="6F48CEC8"/>
    <w:rsid w:val="6F75D282"/>
    <w:rsid w:val="6F76E1FB"/>
    <w:rsid w:val="6F9133E2"/>
    <w:rsid w:val="6FA2530A"/>
    <w:rsid w:val="6FA4031D"/>
    <w:rsid w:val="6FA56BC6"/>
    <w:rsid w:val="6FB03E76"/>
    <w:rsid w:val="6FB0B76D"/>
    <w:rsid w:val="6FB86184"/>
    <w:rsid w:val="6FB8FA09"/>
    <w:rsid w:val="6FC0D04F"/>
    <w:rsid w:val="6FD5C56F"/>
    <w:rsid w:val="6FD62019"/>
    <w:rsid w:val="6FE5AEC3"/>
    <w:rsid w:val="6FE6E90C"/>
    <w:rsid w:val="6FEC21CA"/>
    <w:rsid w:val="7006E6EE"/>
    <w:rsid w:val="701CB051"/>
    <w:rsid w:val="7028DE3F"/>
    <w:rsid w:val="70325D89"/>
    <w:rsid w:val="704090F4"/>
    <w:rsid w:val="704A5FE8"/>
    <w:rsid w:val="7062255F"/>
    <w:rsid w:val="7071DA80"/>
    <w:rsid w:val="707284B0"/>
    <w:rsid w:val="7073CAAB"/>
    <w:rsid w:val="707892AE"/>
    <w:rsid w:val="707AD04C"/>
    <w:rsid w:val="708C71BB"/>
    <w:rsid w:val="708EE224"/>
    <w:rsid w:val="70A48514"/>
    <w:rsid w:val="70B1722D"/>
    <w:rsid w:val="70B8033A"/>
    <w:rsid w:val="70B87B0F"/>
    <w:rsid w:val="70C02CA4"/>
    <w:rsid w:val="70CB2F03"/>
    <w:rsid w:val="70CBF408"/>
    <w:rsid w:val="70D82F31"/>
    <w:rsid w:val="70DC10EE"/>
    <w:rsid w:val="70E6872E"/>
    <w:rsid w:val="710C113B"/>
    <w:rsid w:val="711F2D45"/>
    <w:rsid w:val="71211CAA"/>
    <w:rsid w:val="712F8DF9"/>
    <w:rsid w:val="7131D0B9"/>
    <w:rsid w:val="7143EFFE"/>
    <w:rsid w:val="71514245"/>
    <w:rsid w:val="715D3D0E"/>
    <w:rsid w:val="715EDBFD"/>
    <w:rsid w:val="7167B373"/>
    <w:rsid w:val="7170FF75"/>
    <w:rsid w:val="717D45BE"/>
    <w:rsid w:val="71847906"/>
    <w:rsid w:val="71870AC0"/>
    <w:rsid w:val="7193593E"/>
    <w:rsid w:val="7196CF65"/>
    <w:rsid w:val="71A5323C"/>
    <w:rsid w:val="71AFAFB5"/>
    <w:rsid w:val="71B45906"/>
    <w:rsid w:val="71B80880"/>
    <w:rsid w:val="71BC70D6"/>
    <w:rsid w:val="71C92A18"/>
    <w:rsid w:val="71D48ED8"/>
    <w:rsid w:val="71E6BA93"/>
    <w:rsid w:val="71EDBD48"/>
    <w:rsid w:val="71F30A43"/>
    <w:rsid w:val="71F3EAF2"/>
    <w:rsid w:val="71FE7B6A"/>
    <w:rsid w:val="720F8096"/>
    <w:rsid w:val="720FC0E1"/>
    <w:rsid w:val="721C8C61"/>
    <w:rsid w:val="721D3F76"/>
    <w:rsid w:val="722B2B82"/>
    <w:rsid w:val="72388D17"/>
    <w:rsid w:val="7243DAE2"/>
    <w:rsid w:val="72483457"/>
    <w:rsid w:val="72514EE9"/>
    <w:rsid w:val="72521EEB"/>
    <w:rsid w:val="7253697F"/>
    <w:rsid w:val="7257DAAB"/>
    <w:rsid w:val="7284308E"/>
    <w:rsid w:val="72926A20"/>
    <w:rsid w:val="729530D2"/>
    <w:rsid w:val="72A0A5BF"/>
    <w:rsid w:val="72A7FA8F"/>
    <w:rsid w:val="72AFBF59"/>
    <w:rsid w:val="72CB5E5A"/>
    <w:rsid w:val="72CC8755"/>
    <w:rsid w:val="72D2BFF3"/>
    <w:rsid w:val="730AF575"/>
    <w:rsid w:val="7310F64A"/>
    <w:rsid w:val="73131CE3"/>
    <w:rsid w:val="7316DBBB"/>
    <w:rsid w:val="73188902"/>
    <w:rsid w:val="731E89CE"/>
    <w:rsid w:val="73251861"/>
    <w:rsid w:val="7325BA6E"/>
    <w:rsid w:val="734FF978"/>
    <w:rsid w:val="7369FE94"/>
    <w:rsid w:val="737341FF"/>
    <w:rsid w:val="7389F964"/>
    <w:rsid w:val="738FBB53"/>
    <w:rsid w:val="73956931"/>
    <w:rsid w:val="73AA1BBA"/>
    <w:rsid w:val="73AE5221"/>
    <w:rsid w:val="73B34EAF"/>
    <w:rsid w:val="73D10984"/>
    <w:rsid w:val="73D395D3"/>
    <w:rsid w:val="73D45D78"/>
    <w:rsid w:val="73DAE3DD"/>
    <w:rsid w:val="73E141A8"/>
    <w:rsid w:val="73FB880A"/>
    <w:rsid w:val="74011F5C"/>
    <w:rsid w:val="74083F71"/>
    <w:rsid w:val="7414A4B1"/>
    <w:rsid w:val="7414BF43"/>
    <w:rsid w:val="7419C4FE"/>
    <w:rsid w:val="744943A5"/>
    <w:rsid w:val="744AE570"/>
    <w:rsid w:val="7458BD6C"/>
    <w:rsid w:val="74590881"/>
    <w:rsid w:val="746CDA4C"/>
    <w:rsid w:val="74805718"/>
    <w:rsid w:val="7483EFC0"/>
    <w:rsid w:val="74871879"/>
    <w:rsid w:val="7491F1CA"/>
    <w:rsid w:val="74A11D7C"/>
    <w:rsid w:val="74ACC6AB"/>
    <w:rsid w:val="74B0BE76"/>
    <w:rsid w:val="74ED9609"/>
    <w:rsid w:val="74F53658"/>
    <w:rsid w:val="7500A08B"/>
    <w:rsid w:val="7539FE0F"/>
    <w:rsid w:val="753B03BD"/>
    <w:rsid w:val="7541040B"/>
    <w:rsid w:val="7548377A"/>
    <w:rsid w:val="75542D23"/>
    <w:rsid w:val="755B2370"/>
    <w:rsid w:val="757BF4A1"/>
    <w:rsid w:val="757FD519"/>
    <w:rsid w:val="7584B74C"/>
    <w:rsid w:val="7587B8BF"/>
    <w:rsid w:val="758BEC32"/>
    <w:rsid w:val="7597586B"/>
    <w:rsid w:val="759D8D61"/>
    <w:rsid w:val="75A6B1CD"/>
    <w:rsid w:val="75AB685A"/>
    <w:rsid w:val="75C89A5E"/>
    <w:rsid w:val="75C8C719"/>
    <w:rsid w:val="75CFDB69"/>
    <w:rsid w:val="75D88805"/>
    <w:rsid w:val="75E51406"/>
    <w:rsid w:val="75F632AE"/>
    <w:rsid w:val="75F731F2"/>
    <w:rsid w:val="75FF4AF2"/>
    <w:rsid w:val="7602FF1C"/>
    <w:rsid w:val="7604DEB6"/>
    <w:rsid w:val="76086AAB"/>
    <w:rsid w:val="7616990F"/>
    <w:rsid w:val="761FF8F1"/>
    <w:rsid w:val="76200E64"/>
    <w:rsid w:val="7640F82A"/>
    <w:rsid w:val="766D98A5"/>
    <w:rsid w:val="76763532"/>
    <w:rsid w:val="7684FAD4"/>
    <w:rsid w:val="7689CB70"/>
    <w:rsid w:val="76AA4837"/>
    <w:rsid w:val="76BCB407"/>
    <w:rsid w:val="76C54B78"/>
    <w:rsid w:val="76C75C15"/>
    <w:rsid w:val="76CA09A7"/>
    <w:rsid w:val="76D245B7"/>
    <w:rsid w:val="76E407DB"/>
    <w:rsid w:val="76EFFD84"/>
    <w:rsid w:val="7721BE64"/>
    <w:rsid w:val="77298C1D"/>
    <w:rsid w:val="77329EE6"/>
    <w:rsid w:val="773328CC"/>
    <w:rsid w:val="7739E69A"/>
    <w:rsid w:val="773EC0D4"/>
    <w:rsid w:val="774D6419"/>
    <w:rsid w:val="776243D3"/>
    <w:rsid w:val="77662647"/>
    <w:rsid w:val="776F2572"/>
    <w:rsid w:val="77717561"/>
    <w:rsid w:val="7783E88E"/>
    <w:rsid w:val="77921F3E"/>
    <w:rsid w:val="77A456C8"/>
    <w:rsid w:val="77C32B20"/>
    <w:rsid w:val="77D0412E"/>
    <w:rsid w:val="77D14C80"/>
    <w:rsid w:val="77D6BCEF"/>
    <w:rsid w:val="77D8BE3E"/>
    <w:rsid w:val="77E51C17"/>
    <w:rsid w:val="77FD5587"/>
    <w:rsid w:val="78236A9B"/>
    <w:rsid w:val="7837AC60"/>
    <w:rsid w:val="783E68F6"/>
    <w:rsid w:val="783E961D"/>
    <w:rsid w:val="783F8A36"/>
    <w:rsid w:val="78419D84"/>
    <w:rsid w:val="78452580"/>
    <w:rsid w:val="784C2653"/>
    <w:rsid w:val="7850D554"/>
    <w:rsid w:val="78575D15"/>
    <w:rsid w:val="787385A0"/>
    <w:rsid w:val="78773FE6"/>
    <w:rsid w:val="78796A13"/>
    <w:rsid w:val="787F0265"/>
    <w:rsid w:val="78803C22"/>
    <w:rsid w:val="78876310"/>
    <w:rsid w:val="7887F596"/>
    <w:rsid w:val="789EC8A6"/>
    <w:rsid w:val="78BB6567"/>
    <w:rsid w:val="78C349FF"/>
    <w:rsid w:val="78E3091C"/>
    <w:rsid w:val="78F7CD56"/>
    <w:rsid w:val="78F987BF"/>
    <w:rsid w:val="78FAB8F4"/>
    <w:rsid w:val="78FFDBF6"/>
    <w:rsid w:val="790067DB"/>
    <w:rsid w:val="79049BE4"/>
    <w:rsid w:val="79235A9D"/>
    <w:rsid w:val="7923CE42"/>
    <w:rsid w:val="792C6ACF"/>
    <w:rsid w:val="793744A6"/>
    <w:rsid w:val="79571294"/>
    <w:rsid w:val="795C68F1"/>
    <w:rsid w:val="79674893"/>
    <w:rsid w:val="796B630A"/>
    <w:rsid w:val="796CBE1C"/>
    <w:rsid w:val="7971DA08"/>
    <w:rsid w:val="79748E9F"/>
    <w:rsid w:val="7974A2F5"/>
    <w:rsid w:val="797B6739"/>
    <w:rsid w:val="797F5EA9"/>
    <w:rsid w:val="799265C1"/>
    <w:rsid w:val="799459E5"/>
    <w:rsid w:val="79AB502F"/>
    <w:rsid w:val="79ADD683"/>
    <w:rsid w:val="79B53F7D"/>
    <w:rsid w:val="79B9514B"/>
    <w:rsid w:val="79C2323A"/>
    <w:rsid w:val="79C70BE6"/>
    <w:rsid w:val="79D94018"/>
    <w:rsid w:val="79DFC19B"/>
    <w:rsid w:val="79E68D81"/>
    <w:rsid w:val="79EF70C4"/>
    <w:rsid w:val="7A02E036"/>
    <w:rsid w:val="7A1C0C83"/>
    <w:rsid w:val="7A1D1DCA"/>
    <w:rsid w:val="7A1DF96C"/>
    <w:rsid w:val="7A21AB4E"/>
    <w:rsid w:val="7A27B0DB"/>
    <w:rsid w:val="7A2C0F93"/>
    <w:rsid w:val="7A323EFD"/>
    <w:rsid w:val="7A50832C"/>
    <w:rsid w:val="7A6B4DA8"/>
    <w:rsid w:val="7A70316F"/>
    <w:rsid w:val="7A7955D7"/>
    <w:rsid w:val="7A7ED97D"/>
    <w:rsid w:val="7A84BB37"/>
    <w:rsid w:val="7ABA1599"/>
    <w:rsid w:val="7AC1D68D"/>
    <w:rsid w:val="7AC6E38A"/>
    <w:rsid w:val="7ACAC4F5"/>
    <w:rsid w:val="7ACB8491"/>
    <w:rsid w:val="7AD294B8"/>
    <w:rsid w:val="7AD6703F"/>
    <w:rsid w:val="7AE3E47C"/>
    <w:rsid w:val="7AF56D5C"/>
    <w:rsid w:val="7AFBE9CD"/>
    <w:rsid w:val="7B001A02"/>
    <w:rsid w:val="7B08F8C7"/>
    <w:rsid w:val="7B0CB03F"/>
    <w:rsid w:val="7B105F00"/>
    <w:rsid w:val="7B1E8867"/>
    <w:rsid w:val="7B20F978"/>
    <w:rsid w:val="7B3092E0"/>
    <w:rsid w:val="7B3F3D67"/>
    <w:rsid w:val="7B555729"/>
    <w:rsid w:val="7B56E26E"/>
    <w:rsid w:val="7B586BF7"/>
    <w:rsid w:val="7B7854F8"/>
    <w:rsid w:val="7B859293"/>
    <w:rsid w:val="7B8EFDD7"/>
    <w:rsid w:val="7B974F29"/>
    <w:rsid w:val="7BA03BA9"/>
    <w:rsid w:val="7BAB2662"/>
    <w:rsid w:val="7BB7DCE4"/>
    <w:rsid w:val="7BC1B944"/>
    <w:rsid w:val="7BC2B63E"/>
    <w:rsid w:val="7C27F816"/>
    <w:rsid w:val="7C3A5947"/>
    <w:rsid w:val="7C428F1F"/>
    <w:rsid w:val="7C55E5FA"/>
    <w:rsid w:val="7C5DF3F1"/>
    <w:rsid w:val="7C63CF51"/>
    <w:rsid w:val="7C7240A0"/>
    <w:rsid w:val="7C79E6F7"/>
    <w:rsid w:val="7C9513C7"/>
    <w:rsid w:val="7CA02D2B"/>
    <w:rsid w:val="7CC215DE"/>
    <w:rsid w:val="7CCC4EE8"/>
    <w:rsid w:val="7CCED180"/>
    <w:rsid w:val="7CD155F1"/>
    <w:rsid w:val="7CDB0DC8"/>
    <w:rsid w:val="7CE2F0F1"/>
    <w:rsid w:val="7CE3AE3C"/>
    <w:rsid w:val="7CF1C6EA"/>
    <w:rsid w:val="7CF9FF8C"/>
    <w:rsid w:val="7D178552"/>
    <w:rsid w:val="7D2F01BA"/>
    <w:rsid w:val="7D4CDB36"/>
    <w:rsid w:val="7D515E8A"/>
    <w:rsid w:val="7D553467"/>
    <w:rsid w:val="7D6B7A83"/>
    <w:rsid w:val="7D735487"/>
    <w:rsid w:val="7D7470AF"/>
    <w:rsid w:val="7D7F195F"/>
    <w:rsid w:val="7D8823EE"/>
    <w:rsid w:val="7D8872C5"/>
    <w:rsid w:val="7D8D12F4"/>
    <w:rsid w:val="7D92FAE0"/>
    <w:rsid w:val="7D9CC290"/>
    <w:rsid w:val="7DA693B0"/>
    <w:rsid w:val="7DABBD79"/>
    <w:rsid w:val="7DB67A3F"/>
    <w:rsid w:val="7DC57A06"/>
    <w:rsid w:val="7DD3A8EA"/>
    <w:rsid w:val="7DD57F10"/>
    <w:rsid w:val="7DD5B81A"/>
    <w:rsid w:val="7DDB2077"/>
    <w:rsid w:val="7DDCF792"/>
    <w:rsid w:val="7DE63E96"/>
    <w:rsid w:val="7DF1B65B"/>
    <w:rsid w:val="7DF78046"/>
    <w:rsid w:val="7E30315C"/>
    <w:rsid w:val="7E37BAC4"/>
    <w:rsid w:val="7E3C2748"/>
    <w:rsid w:val="7E4109D4"/>
    <w:rsid w:val="7E445101"/>
    <w:rsid w:val="7E551366"/>
    <w:rsid w:val="7E78EBDB"/>
    <w:rsid w:val="7E9310C6"/>
    <w:rsid w:val="7E981D1B"/>
    <w:rsid w:val="7E998E7C"/>
    <w:rsid w:val="7EA1834D"/>
    <w:rsid w:val="7EAC6C47"/>
    <w:rsid w:val="7EACB13B"/>
    <w:rsid w:val="7EAF9DE4"/>
    <w:rsid w:val="7EB355B3"/>
    <w:rsid w:val="7EB49E78"/>
    <w:rsid w:val="7EBF2286"/>
    <w:rsid w:val="7ED889B9"/>
    <w:rsid w:val="7EDC372C"/>
    <w:rsid w:val="7EDF59B4"/>
    <w:rsid w:val="7EE2DFDA"/>
    <w:rsid w:val="7EEC4D5C"/>
    <w:rsid w:val="7EEF896C"/>
    <w:rsid w:val="7EF55406"/>
    <w:rsid w:val="7F19B730"/>
    <w:rsid w:val="7F1AF862"/>
    <w:rsid w:val="7F1F1B0F"/>
    <w:rsid w:val="7F31B0CD"/>
    <w:rsid w:val="7F355AB0"/>
    <w:rsid w:val="7F4A56EE"/>
    <w:rsid w:val="7F4A6E75"/>
    <w:rsid w:val="7F524AA0"/>
    <w:rsid w:val="7F5662C8"/>
    <w:rsid w:val="7F5752CF"/>
    <w:rsid w:val="7F6E0093"/>
    <w:rsid w:val="7F6F794B"/>
    <w:rsid w:val="7F6F7CA4"/>
    <w:rsid w:val="7FA534CD"/>
    <w:rsid w:val="7FA537E8"/>
    <w:rsid w:val="7FA605DB"/>
    <w:rsid w:val="7FB35461"/>
    <w:rsid w:val="7FB7559F"/>
    <w:rsid w:val="7FB97907"/>
    <w:rsid w:val="7FC3FF9C"/>
    <w:rsid w:val="7FD2D162"/>
    <w:rsid w:val="7FD38B25"/>
    <w:rsid w:val="7FE4C7BB"/>
    <w:rsid w:val="7FE56054"/>
    <w:rsid w:val="7FEBBDA9"/>
    <w:rsid w:val="7FEEA02D"/>
    <w:rsid w:val="7FF07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BF3844"/>
  <w15:chartTrackingRefBased/>
  <w15:docId w15:val="{AE13BC79-C856-47D9-AD14-B267CFCB9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D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7069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693B"/>
    <w:rPr>
      <w:rFonts w:eastAsiaTheme="minorEastAsia"/>
      <w:lang w:val="en-US"/>
    </w:rPr>
  </w:style>
  <w:style w:type="character" w:customStyle="1" w:styleId="Heading1Char">
    <w:name w:val="Heading 1 Char"/>
    <w:basedOn w:val="DefaultParagraphFont"/>
    <w:link w:val="Heading1"/>
    <w:uiPriority w:val="9"/>
    <w:rsid w:val="009A3D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3D6B"/>
    <w:pPr>
      <w:outlineLvl w:val="9"/>
    </w:pPr>
    <w:rPr>
      <w:lang w:val="en-US"/>
    </w:rPr>
  </w:style>
  <w:style w:type="character" w:styleId="FollowedHyperlink">
    <w:name w:val="FollowedHyperlink"/>
    <w:basedOn w:val="DefaultParagraphFont"/>
    <w:uiPriority w:val="99"/>
    <w:semiHidden/>
    <w:unhideWhenUsed/>
    <w:rsid w:val="00DF434F"/>
    <w:rPr>
      <w:color w:val="954F72" w:themeColor="followedHyperlink"/>
      <w:u w:val="single"/>
    </w:rPr>
  </w:style>
  <w:style w:type="paragraph" w:styleId="Bibliography">
    <w:name w:val="Bibliography"/>
    <w:basedOn w:val="Normal"/>
    <w:next w:val="Normal"/>
    <w:uiPriority w:val="37"/>
    <w:unhideWhenUsed/>
    <w:rsid w:val="000D343F"/>
  </w:style>
  <w:style w:type="character" w:styleId="UnresolvedMention">
    <w:name w:val="Unresolved Mention"/>
    <w:basedOn w:val="DefaultParagraphFont"/>
    <w:uiPriority w:val="99"/>
    <w:semiHidden/>
    <w:unhideWhenUsed/>
    <w:rsid w:val="000D34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04235">
      <w:bodyDiv w:val="1"/>
      <w:marLeft w:val="0"/>
      <w:marRight w:val="0"/>
      <w:marTop w:val="0"/>
      <w:marBottom w:val="0"/>
      <w:divBdr>
        <w:top w:val="none" w:sz="0" w:space="0" w:color="auto"/>
        <w:left w:val="none" w:sz="0" w:space="0" w:color="auto"/>
        <w:bottom w:val="none" w:sz="0" w:space="0" w:color="auto"/>
        <w:right w:val="none" w:sz="0" w:space="0" w:color="auto"/>
      </w:divBdr>
    </w:div>
    <w:div w:id="244926612">
      <w:bodyDiv w:val="1"/>
      <w:marLeft w:val="0"/>
      <w:marRight w:val="0"/>
      <w:marTop w:val="0"/>
      <w:marBottom w:val="0"/>
      <w:divBdr>
        <w:top w:val="none" w:sz="0" w:space="0" w:color="auto"/>
        <w:left w:val="none" w:sz="0" w:space="0" w:color="auto"/>
        <w:bottom w:val="none" w:sz="0" w:space="0" w:color="auto"/>
        <w:right w:val="none" w:sz="0" w:space="0" w:color="auto"/>
      </w:divBdr>
    </w:div>
    <w:div w:id="416905059">
      <w:bodyDiv w:val="1"/>
      <w:marLeft w:val="0"/>
      <w:marRight w:val="0"/>
      <w:marTop w:val="0"/>
      <w:marBottom w:val="0"/>
      <w:divBdr>
        <w:top w:val="none" w:sz="0" w:space="0" w:color="auto"/>
        <w:left w:val="none" w:sz="0" w:space="0" w:color="auto"/>
        <w:bottom w:val="none" w:sz="0" w:space="0" w:color="auto"/>
        <w:right w:val="none" w:sz="0" w:space="0" w:color="auto"/>
      </w:divBdr>
    </w:div>
    <w:div w:id="474495861">
      <w:bodyDiv w:val="1"/>
      <w:marLeft w:val="0"/>
      <w:marRight w:val="0"/>
      <w:marTop w:val="0"/>
      <w:marBottom w:val="0"/>
      <w:divBdr>
        <w:top w:val="none" w:sz="0" w:space="0" w:color="auto"/>
        <w:left w:val="none" w:sz="0" w:space="0" w:color="auto"/>
        <w:bottom w:val="none" w:sz="0" w:space="0" w:color="auto"/>
        <w:right w:val="none" w:sz="0" w:space="0" w:color="auto"/>
      </w:divBdr>
    </w:div>
    <w:div w:id="694042740">
      <w:bodyDiv w:val="1"/>
      <w:marLeft w:val="0"/>
      <w:marRight w:val="0"/>
      <w:marTop w:val="0"/>
      <w:marBottom w:val="0"/>
      <w:divBdr>
        <w:top w:val="none" w:sz="0" w:space="0" w:color="auto"/>
        <w:left w:val="none" w:sz="0" w:space="0" w:color="auto"/>
        <w:bottom w:val="none" w:sz="0" w:space="0" w:color="auto"/>
        <w:right w:val="none" w:sz="0" w:space="0" w:color="auto"/>
      </w:divBdr>
    </w:div>
    <w:div w:id="815144741">
      <w:bodyDiv w:val="1"/>
      <w:marLeft w:val="0"/>
      <w:marRight w:val="0"/>
      <w:marTop w:val="0"/>
      <w:marBottom w:val="0"/>
      <w:divBdr>
        <w:top w:val="none" w:sz="0" w:space="0" w:color="auto"/>
        <w:left w:val="none" w:sz="0" w:space="0" w:color="auto"/>
        <w:bottom w:val="none" w:sz="0" w:space="0" w:color="auto"/>
        <w:right w:val="none" w:sz="0" w:space="0" w:color="auto"/>
      </w:divBdr>
    </w:div>
    <w:div w:id="843127578">
      <w:bodyDiv w:val="1"/>
      <w:marLeft w:val="0"/>
      <w:marRight w:val="0"/>
      <w:marTop w:val="0"/>
      <w:marBottom w:val="0"/>
      <w:divBdr>
        <w:top w:val="none" w:sz="0" w:space="0" w:color="auto"/>
        <w:left w:val="none" w:sz="0" w:space="0" w:color="auto"/>
        <w:bottom w:val="none" w:sz="0" w:space="0" w:color="auto"/>
        <w:right w:val="none" w:sz="0" w:space="0" w:color="auto"/>
      </w:divBdr>
    </w:div>
    <w:div w:id="895430861">
      <w:bodyDiv w:val="1"/>
      <w:marLeft w:val="0"/>
      <w:marRight w:val="0"/>
      <w:marTop w:val="0"/>
      <w:marBottom w:val="0"/>
      <w:divBdr>
        <w:top w:val="none" w:sz="0" w:space="0" w:color="auto"/>
        <w:left w:val="none" w:sz="0" w:space="0" w:color="auto"/>
        <w:bottom w:val="none" w:sz="0" w:space="0" w:color="auto"/>
        <w:right w:val="none" w:sz="0" w:space="0" w:color="auto"/>
      </w:divBdr>
    </w:div>
    <w:div w:id="902832020">
      <w:bodyDiv w:val="1"/>
      <w:marLeft w:val="0"/>
      <w:marRight w:val="0"/>
      <w:marTop w:val="0"/>
      <w:marBottom w:val="0"/>
      <w:divBdr>
        <w:top w:val="none" w:sz="0" w:space="0" w:color="auto"/>
        <w:left w:val="none" w:sz="0" w:space="0" w:color="auto"/>
        <w:bottom w:val="none" w:sz="0" w:space="0" w:color="auto"/>
        <w:right w:val="none" w:sz="0" w:space="0" w:color="auto"/>
      </w:divBdr>
    </w:div>
    <w:div w:id="923998430">
      <w:bodyDiv w:val="1"/>
      <w:marLeft w:val="0"/>
      <w:marRight w:val="0"/>
      <w:marTop w:val="0"/>
      <w:marBottom w:val="0"/>
      <w:divBdr>
        <w:top w:val="none" w:sz="0" w:space="0" w:color="auto"/>
        <w:left w:val="none" w:sz="0" w:space="0" w:color="auto"/>
        <w:bottom w:val="none" w:sz="0" w:space="0" w:color="auto"/>
        <w:right w:val="none" w:sz="0" w:space="0" w:color="auto"/>
      </w:divBdr>
    </w:div>
    <w:div w:id="1007707665">
      <w:bodyDiv w:val="1"/>
      <w:marLeft w:val="0"/>
      <w:marRight w:val="0"/>
      <w:marTop w:val="0"/>
      <w:marBottom w:val="0"/>
      <w:divBdr>
        <w:top w:val="none" w:sz="0" w:space="0" w:color="auto"/>
        <w:left w:val="none" w:sz="0" w:space="0" w:color="auto"/>
        <w:bottom w:val="none" w:sz="0" w:space="0" w:color="auto"/>
        <w:right w:val="none" w:sz="0" w:space="0" w:color="auto"/>
      </w:divBdr>
    </w:div>
    <w:div w:id="1039549948">
      <w:bodyDiv w:val="1"/>
      <w:marLeft w:val="0"/>
      <w:marRight w:val="0"/>
      <w:marTop w:val="0"/>
      <w:marBottom w:val="0"/>
      <w:divBdr>
        <w:top w:val="none" w:sz="0" w:space="0" w:color="auto"/>
        <w:left w:val="none" w:sz="0" w:space="0" w:color="auto"/>
        <w:bottom w:val="none" w:sz="0" w:space="0" w:color="auto"/>
        <w:right w:val="none" w:sz="0" w:space="0" w:color="auto"/>
      </w:divBdr>
    </w:div>
    <w:div w:id="1093667006">
      <w:bodyDiv w:val="1"/>
      <w:marLeft w:val="0"/>
      <w:marRight w:val="0"/>
      <w:marTop w:val="0"/>
      <w:marBottom w:val="0"/>
      <w:divBdr>
        <w:top w:val="none" w:sz="0" w:space="0" w:color="auto"/>
        <w:left w:val="none" w:sz="0" w:space="0" w:color="auto"/>
        <w:bottom w:val="none" w:sz="0" w:space="0" w:color="auto"/>
        <w:right w:val="none" w:sz="0" w:space="0" w:color="auto"/>
      </w:divBdr>
    </w:div>
    <w:div w:id="1128470086">
      <w:bodyDiv w:val="1"/>
      <w:marLeft w:val="0"/>
      <w:marRight w:val="0"/>
      <w:marTop w:val="0"/>
      <w:marBottom w:val="0"/>
      <w:divBdr>
        <w:top w:val="none" w:sz="0" w:space="0" w:color="auto"/>
        <w:left w:val="none" w:sz="0" w:space="0" w:color="auto"/>
        <w:bottom w:val="none" w:sz="0" w:space="0" w:color="auto"/>
        <w:right w:val="none" w:sz="0" w:space="0" w:color="auto"/>
      </w:divBdr>
    </w:div>
    <w:div w:id="1146120202">
      <w:bodyDiv w:val="1"/>
      <w:marLeft w:val="0"/>
      <w:marRight w:val="0"/>
      <w:marTop w:val="0"/>
      <w:marBottom w:val="0"/>
      <w:divBdr>
        <w:top w:val="none" w:sz="0" w:space="0" w:color="auto"/>
        <w:left w:val="none" w:sz="0" w:space="0" w:color="auto"/>
        <w:bottom w:val="none" w:sz="0" w:space="0" w:color="auto"/>
        <w:right w:val="none" w:sz="0" w:space="0" w:color="auto"/>
      </w:divBdr>
    </w:div>
    <w:div w:id="1209411477">
      <w:bodyDiv w:val="1"/>
      <w:marLeft w:val="0"/>
      <w:marRight w:val="0"/>
      <w:marTop w:val="0"/>
      <w:marBottom w:val="0"/>
      <w:divBdr>
        <w:top w:val="none" w:sz="0" w:space="0" w:color="auto"/>
        <w:left w:val="none" w:sz="0" w:space="0" w:color="auto"/>
        <w:bottom w:val="none" w:sz="0" w:space="0" w:color="auto"/>
        <w:right w:val="none" w:sz="0" w:space="0" w:color="auto"/>
      </w:divBdr>
    </w:div>
    <w:div w:id="1322613740">
      <w:bodyDiv w:val="1"/>
      <w:marLeft w:val="0"/>
      <w:marRight w:val="0"/>
      <w:marTop w:val="0"/>
      <w:marBottom w:val="0"/>
      <w:divBdr>
        <w:top w:val="none" w:sz="0" w:space="0" w:color="auto"/>
        <w:left w:val="none" w:sz="0" w:space="0" w:color="auto"/>
        <w:bottom w:val="none" w:sz="0" w:space="0" w:color="auto"/>
        <w:right w:val="none" w:sz="0" w:space="0" w:color="auto"/>
      </w:divBdr>
    </w:div>
    <w:div w:id="1482694007">
      <w:bodyDiv w:val="1"/>
      <w:marLeft w:val="0"/>
      <w:marRight w:val="0"/>
      <w:marTop w:val="0"/>
      <w:marBottom w:val="0"/>
      <w:divBdr>
        <w:top w:val="none" w:sz="0" w:space="0" w:color="auto"/>
        <w:left w:val="none" w:sz="0" w:space="0" w:color="auto"/>
        <w:bottom w:val="none" w:sz="0" w:space="0" w:color="auto"/>
        <w:right w:val="none" w:sz="0" w:space="0" w:color="auto"/>
      </w:divBdr>
    </w:div>
    <w:div w:id="1490049893">
      <w:bodyDiv w:val="1"/>
      <w:marLeft w:val="0"/>
      <w:marRight w:val="0"/>
      <w:marTop w:val="0"/>
      <w:marBottom w:val="0"/>
      <w:divBdr>
        <w:top w:val="none" w:sz="0" w:space="0" w:color="auto"/>
        <w:left w:val="none" w:sz="0" w:space="0" w:color="auto"/>
        <w:bottom w:val="none" w:sz="0" w:space="0" w:color="auto"/>
        <w:right w:val="none" w:sz="0" w:space="0" w:color="auto"/>
      </w:divBdr>
    </w:div>
    <w:div w:id="1682507061">
      <w:bodyDiv w:val="1"/>
      <w:marLeft w:val="0"/>
      <w:marRight w:val="0"/>
      <w:marTop w:val="0"/>
      <w:marBottom w:val="0"/>
      <w:divBdr>
        <w:top w:val="none" w:sz="0" w:space="0" w:color="auto"/>
        <w:left w:val="none" w:sz="0" w:space="0" w:color="auto"/>
        <w:bottom w:val="none" w:sz="0" w:space="0" w:color="auto"/>
        <w:right w:val="none" w:sz="0" w:space="0" w:color="auto"/>
      </w:divBdr>
    </w:div>
    <w:div w:id="1691254438">
      <w:bodyDiv w:val="1"/>
      <w:marLeft w:val="0"/>
      <w:marRight w:val="0"/>
      <w:marTop w:val="0"/>
      <w:marBottom w:val="0"/>
      <w:divBdr>
        <w:top w:val="none" w:sz="0" w:space="0" w:color="auto"/>
        <w:left w:val="none" w:sz="0" w:space="0" w:color="auto"/>
        <w:bottom w:val="none" w:sz="0" w:space="0" w:color="auto"/>
        <w:right w:val="none" w:sz="0" w:space="0" w:color="auto"/>
      </w:divBdr>
    </w:div>
    <w:div w:id="1748962807">
      <w:bodyDiv w:val="1"/>
      <w:marLeft w:val="0"/>
      <w:marRight w:val="0"/>
      <w:marTop w:val="0"/>
      <w:marBottom w:val="0"/>
      <w:divBdr>
        <w:top w:val="none" w:sz="0" w:space="0" w:color="auto"/>
        <w:left w:val="none" w:sz="0" w:space="0" w:color="auto"/>
        <w:bottom w:val="none" w:sz="0" w:space="0" w:color="auto"/>
        <w:right w:val="none" w:sz="0" w:space="0" w:color="auto"/>
      </w:divBdr>
    </w:div>
    <w:div w:id="1762868650">
      <w:bodyDiv w:val="1"/>
      <w:marLeft w:val="0"/>
      <w:marRight w:val="0"/>
      <w:marTop w:val="0"/>
      <w:marBottom w:val="0"/>
      <w:divBdr>
        <w:top w:val="none" w:sz="0" w:space="0" w:color="auto"/>
        <w:left w:val="none" w:sz="0" w:space="0" w:color="auto"/>
        <w:bottom w:val="none" w:sz="0" w:space="0" w:color="auto"/>
        <w:right w:val="none" w:sz="0" w:space="0" w:color="auto"/>
      </w:divBdr>
    </w:div>
    <w:div w:id="2106876891">
      <w:bodyDiv w:val="1"/>
      <w:marLeft w:val="0"/>
      <w:marRight w:val="0"/>
      <w:marTop w:val="0"/>
      <w:marBottom w:val="0"/>
      <w:divBdr>
        <w:top w:val="none" w:sz="0" w:space="0" w:color="auto"/>
        <w:left w:val="none" w:sz="0" w:space="0" w:color="auto"/>
        <w:bottom w:val="none" w:sz="0" w:space="0" w:color="auto"/>
        <w:right w:val="none" w:sz="0" w:space="0" w:color="auto"/>
      </w:divBdr>
    </w:div>
    <w:div w:id="2139253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oleObject" Target="embeddings/oleObject3.bin"/><Relationship Id="rId39" Type="http://schemas.openxmlformats.org/officeDocument/2006/relationships/hyperlink" Target="https://www.genequityco.com/insights/ebitda" TargetMode="External"/><Relationship Id="rId21" Type="http://schemas.openxmlformats.org/officeDocument/2006/relationships/image" Target="media/image11.emf"/><Relationship Id="rId34" Type="http://schemas.openxmlformats.org/officeDocument/2006/relationships/image" Target="media/image15.emf"/><Relationship Id="rId42" Type="http://schemas.openxmlformats.org/officeDocument/2006/relationships/hyperlink" Target="https://www.luxuo.com/cars/automobile/ferrari-california-t-online-configurator.html" TargetMode="External"/><Relationship Id="rId47" Type="http://schemas.openxmlformats.org/officeDocument/2006/relationships/hyperlink" Target="https://teachrock.org/wp-content/uploads/Lean-on-Me-Lyrics.pdf"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divergent3d.com/" TargetMode="External"/><Relationship Id="rId11" Type="http://schemas.openxmlformats.org/officeDocument/2006/relationships/image" Target="media/image3.jpeg"/><Relationship Id="rId24" Type="http://schemas.openxmlformats.org/officeDocument/2006/relationships/oleObject" Target="embeddings/oleObject2.bin"/><Relationship Id="rId32" Type="http://schemas.openxmlformats.org/officeDocument/2006/relationships/image" Target="media/image14.emf"/><Relationship Id="rId37" Type="http://schemas.openxmlformats.org/officeDocument/2006/relationships/hyperlink" Target="https://www.datarails.com/5-key-financial-ratios/" TargetMode="External"/><Relationship Id="rId40" Type="http://schemas.openxmlformats.org/officeDocument/2006/relationships/hyperlink" Target="https://www.autocar.co.uk/car-news/business-finance-and-corporate/aston-martin-stroll-ups-stake-block-possible-geely-takeover." TargetMode="External"/><Relationship Id="rId45" Type="http://schemas.openxmlformats.org/officeDocument/2006/relationships/hyperlink" Target="https://www.reuters.com/article/aston-martin-divestiture-idUSKBN27D11D" TargetMode="External"/><Relationship Id="rId53" Type="http://schemas.microsoft.com/office/2020/10/relationships/intelligence" Target="intelligence2.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3dprint.com/293410/aston-martins-dbr22-features-fully-3d-printed-rear-assembly/" TargetMode="External"/><Relationship Id="rId31" Type="http://schemas.openxmlformats.org/officeDocument/2006/relationships/hyperlink" Target="https://www.forbes.com/sites/neilwinton/2022/11/13/ferrari-finances-trump-aston-martins-but-powerful-backers-can-sponsor-electric-fightback/?sh=78e342926733" TargetMode="External"/><Relationship Id="rId44" Type="http://schemas.openxmlformats.org/officeDocument/2006/relationships/hyperlink" Target="https://www.cips.org/supply-management/news/2022/november/aston-martin-locates-staff-at-suppliers-to-deal-with-component-hold-ups/"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corporatefinanceinstitute.com/resources/accounting/limitations-ratio-analysis/" TargetMode="External"/><Relationship Id="rId22" Type="http://schemas.openxmlformats.org/officeDocument/2006/relationships/oleObject" Target="embeddings/oleObject1.bin"/><Relationship Id="rId27" Type="http://schemas.openxmlformats.org/officeDocument/2006/relationships/hyperlink" Target="https://www.pesmedia.com/aston-martin-lagonda-19102022" TargetMode="External"/><Relationship Id="rId30" Type="http://schemas.openxmlformats.org/officeDocument/2006/relationships/hyperlink" Target="https://www.engineering.com/story/aston-martin-goes-additive-to-develop-new-suspension-system-in-six-months" TargetMode="External"/><Relationship Id="rId35" Type="http://schemas.openxmlformats.org/officeDocument/2006/relationships/oleObject" Target="embeddings/oleObject5.bin"/><Relationship Id="rId43" Type="http://schemas.openxmlformats.org/officeDocument/2006/relationships/hyperlink" Target="https://www.investopedia.com/articles/active-trading/082015/key-financial-ratios-analyze-automotive-industry.asp" TargetMode="External"/><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image" Target="media/image13.emf"/><Relationship Id="rId33" Type="http://schemas.openxmlformats.org/officeDocument/2006/relationships/oleObject" Target="embeddings/oleObject4.bin"/><Relationship Id="rId38" Type="http://schemas.openxmlformats.org/officeDocument/2006/relationships/hyperlink" Target="http://zgh.com/overview/" TargetMode="External"/><Relationship Id="rId46" Type="http://schemas.openxmlformats.org/officeDocument/2006/relationships/hyperlink" Target="https://www.wallstreetmojo.com/cash-ratio/" TargetMode="External"/><Relationship Id="rId20" Type="http://schemas.openxmlformats.org/officeDocument/2006/relationships/image" Target="media/image10.png"/><Relationship Id="rId41" Type="http://schemas.openxmlformats.org/officeDocument/2006/relationships/hyperlink" Target="https://www.investopedia.com/terms/q/quickratio.asp"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emf"/><Relationship Id="rId28" Type="http://schemas.openxmlformats.org/officeDocument/2006/relationships/hyperlink" Target="https://3dprint.com/293410/aston-martins-dbr22-features-fully-3d-printed-rear-assembly/" TargetMode="External"/><Relationship Id="rId36" Type="http://schemas.openxmlformats.org/officeDocument/2006/relationships/hyperlink" Target="https://corporatefinanceinstitute.com/resources/accounting/limitations-ratio-analysis/" TargetMode="External"/><Relationship Id="rId4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D479B062-4606-4441-96C2-2B42684F523B}"/>
      </w:docPartPr>
      <w:docPartBody>
        <w:p w:rsidR="00712E59" w:rsidRDefault="00000000">
          <w:r>
            <w:t>Click here to enter text.</w:t>
          </w:r>
        </w:p>
      </w:docPartBody>
    </w:docPart>
    <w:docPart>
      <w:docPartPr>
        <w:name w:val="9EBF72606C5743788FE519F3275AA85C"/>
        <w:category>
          <w:name w:val="General"/>
          <w:gallery w:val="placeholder"/>
        </w:category>
        <w:types>
          <w:type w:val="bbPlcHdr"/>
        </w:types>
        <w:behaviors>
          <w:behavior w:val="content"/>
        </w:behaviors>
        <w:guid w:val="{3C634CD7-EA05-46F8-A22E-E8DED5E05FD3}"/>
      </w:docPartPr>
      <w:docPartBody>
        <w:p w:rsidR="004D03DE" w:rsidRDefault="00712E59" w:rsidP="00712E59">
          <w:pPr>
            <w:pStyle w:val="9EBF72606C5743788FE519F3275AA85C"/>
          </w:pPr>
          <w:r>
            <w:rPr>
              <w:rStyle w:val="PlaceholderText"/>
            </w:rPr>
            <w:t>[Author]</w:t>
          </w:r>
        </w:p>
      </w:docPartBody>
    </w:docPart>
    <w:docPart>
      <w:docPartPr>
        <w:name w:val="763444E9D6D740DA84E085B80B820F0D"/>
        <w:category>
          <w:name w:val="General"/>
          <w:gallery w:val="placeholder"/>
        </w:category>
        <w:types>
          <w:type w:val="bbPlcHdr"/>
        </w:types>
        <w:behaviors>
          <w:behavior w:val="content"/>
        </w:behaviors>
        <w:guid w:val="{920EFD52-95B3-4469-B5BD-C1E4C0FC4328}"/>
      </w:docPartPr>
      <w:docPartBody>
        <w:p w:rsidR="007324FB" w:rsidRDefault="00C86BEE" w:rsidP="00C86BEE">
          <w:pPr>
            <w:pStyle w:val="763444E9D6D740DA84E085B80B820F0D"/>
          </w:pPr>
          <w:r>
            <w:t>Click here to enter text.</w:t>
          </w:r>
        </w:p>
      </w:docPartBody>
    </w:docPart>
    <w:docPart>
      <w:docPartPr>
        <w:name w:val="EF5C32DE25DC46488889F2F4DE0557DF"/>
        <w:category>
          <w:name w:val="General"/>
          <w:gallery w:val="placeholder"/>
        </w:category>
        <w:types>
          <w:type w:val="bbPlcHdr"/>
        </w:types>
        <w:behaviors>
          <w:behavior w:val="content"/>
        </w:behaviors>
        <w:guid w:val="{EB087612-30E5-41B3-9014-39391F1D0208}"/>
      </w:docPartPr>
      <w:docPartBody>
        <w:p w:rsidR="007324FB" w:rsidRDefault="00C86BEE" w:rsidP="00C86BEE">
          <w:pPr>
            <w:pStyle w:val="EF5C32DE25DC46488889F2F4DE0557DF"/>
          </w:pPr>
          <w:r>
            <w:t>Click here to enter text.</w:t>
          </w:r>
        </w:p>
      </w:docPartBody>
    </w:docPart>
    <w:docPart>
      <w:docPartPr>
        <w:name w:val="21E6DF8E84184B0694CA5BB82D86F498"/>
        <w:category>
          <w:name w:val="General"/>
          <w:gallery w:val="placeholder"/>
        </w:category>
        <w:types>
          <w:type w:val="bbPlcHdr"/>
        </w:types>
        <w:behaviors>
          <w:behavior w:val="content"/>
        </w:behaviors>
        <w:guid w:val="{E3A42B3D-3FDB-4686-9FCB-7EA93A0B8DCB}"/>
      </w:docPartPr>
      <w:docPartBody>
        <w:p w:rsidR="007324FB" w:rsidRDefault="00C86BEE" w:rsidP="00C86BEE">
          <w:pPr>
            <w:pStyle w:val="21E6DF8E84184B0694CA5BB82D86F498"/>
          </w:pPr>
          <w:r>
            <w:t>Click here to enter text.</w:t>
          </w:r>
        </w:p>
      </w:docPartBody>
    </w:docPart>
    <w:docPart>
      <w:docPartPr>
        <w:name w:val="A690526351254A72A4F19E1DDDB93ED4"/>
        <w:category>
          <w:name w:val="General"/>
          <w:gallery w:val="placeholder"/>
        </w:category>
        <w:types>
          <w:type w:val="bbPlcHdr"/>
        </w:types>
        <w:behaviors>
          <w:behavior w:val="content"/>
        </w:behaviors>
        <w:guid w:val="{BF767E56-65D1-4D2A-BBEF-D132C2299341}"/>
      </w:docPartPr>
      <w:docPartBody>
        <w:p w:rsidR="007324FB" w:rsidRDefault="00C86BEE" w:rsidP="00C86BEE">
          <w:pPr>
            <w:pStyle w:val="A690526351254A72A4F19E1DDDB93ED4"/>
          </w:pPr>
          <w:r>
            <w:t>Click here to enter text.</w:t>
          </w:r>
        </w:p>
      </w:docPartBody>
    </w:docPart>
    <w:docPart>
      <w:docPartPr>
        <w:name w:val="819D46EF333B4A97BB7944E662C8818C"/>
        <w:category>
          <w:name w:val="General"/>
          <w:gallery w:val="placeholder"/>
        </w:category>
        <w:types>
          <w:type w:val="bbPlcHdr"/>
        </w:types>
        <w:behaviors>
          <w:behavior w:val="content"/>
        </w:behaviors>
        <w:guid w:val="{CC9839D0-CDE3-496C-92AC-09C129754300}"/>
      </w:docPartPr>
      <w:docPartBody>
        <w:p w:rsidR="007324FB" w:rsidRDefault="00C86BEE" w:rsidP="00C86BEE">
          <w:pPr>
            <w:pStyle w:val="819D46EF333B4A97BB7944E662C8818C"/>
          </w:pPr>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Light">
    <w:altName w:val="Amasis MT Pro Light"/>
    <w:charset w:val="00"/>
    <w:family w:val="roman"/>
    <w:pitch w:val="variable"/>
    <w:sig w:usb0="A00000AF" w:usb1="4000205B" w:usb2="00000000" w:usb3="00000000" w:csb0="00000093"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12E59"/>
    <w:rsid w:val="004D03DE"/>
    <w:rsid w:val="00712E59"/>
    <w:rsid w:val="007324FB"/>
    <w:rsid w:val="009D0BFC"/>
    <w:rsid w:val="00B10F29"/>
    <w:rsid w:val="00C86BEE"/>
    <w:rsid w:val="00EC1275"/>
    <w:rsid w:val="00F36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12E59"/>
    <w:rPr>
      <w:color w:val="808080"/>
    </w:rPr>
  </w:style>
  <w:style w:type="paragraph" w:customStyle="1" w:styleId="9EBF72606C5743788FE519F3275AA85C">
    <w:name w:val="9EBF72606C5743788FE519F3275AA85C"/>
    <w:rsid w:val="00712E59"/>
  </w:style>
  <w:style w:type="paragraph" w:customStyle="1" w:styleId="763444E9D6D740DA84E085B80B820F0D">
    <w:name w:val="763444E9D6D740DA84E085B80B820F0D"/>
    <w:rsid w:val="00C86BEE"/>
  </w:style>
  <w:style w:type="paragraph" w:customStyle="1" w:styleId="EF5C32DE25DC46488889F2F4DE0557DF">
    <w:name w:val="EF5C32DE25DC46488889F2F4DE0557DF"/>
    <w:rsid w:val="00C86BEE"/>
  </w:style>
  <w:style w:type="paragraph" w:customStyle="1" w:styleId="21E6DF8E84184B0694CA5BB82D86F498">
    <w:name w:val="21E6DF8E84184B0694CA5BB82D86F498"/>
    <w:rsid w:val="00C86BEE"/>
  </w:style>
  <w:style w:type="paragraph" w:customStyle="1" w:styleId="A690526351254A72A4F19E1DDDB93ED4">
    <w:name w:val="A690526351254A72A4F19E1DDDB93ED4"/>
    <w:rsid w:val="00C86BEE"/>
  </w:style>
  <w:style w:type="paragraph" w:customStyle="1" w:styleId="819D46EF333B4A97BB7944E662C8818C">
    <w:name w:val="819D46EF333B4A97BB7944E662C8818C"/>
    <w:rsid w:val="00C86B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bb57c2-36b1-4c17-a820-9b23d2e62776">
  <we:reference id="8c1c3d44-57e9-40d7-86e4-4adf61fea1dd" version="2.1.0.1" store="excatalog" storeType="excatalog"/>
  <we:alternateReferences/>
  <we:properties>
    <we:property name="rcm.version" value="2"/>
    <we:property name="citations" value="{&quot;94386287&quot;:{&quot;referencesIds&quot;:[&quot;doc:63cb98c0d3e8d8054ff64993&quot;],&quot;referencesOptions&quot;:{&quot;doc:63cb98c0d3e8d8054ff64993&quot;:{&quot;author&quot;:true,&quot;year&quot;:true,&quot;pageReplace&quot;:&quot;&quot;,&quot;prefix&quot;:&quot;&quot;,&quot;suffix&quot;:&quot;&quot;}},&quot;hasBrokenReferences&quot;:false,&quot;hasManualEdits&quot;:false,&quot;citationType&quot;:&quot;inline&quot;,&quot;id&quot;:94386287,&quot;citationText&quot;:&quot;&lt;span style=\&quot;font-family:Calibri;font-size:14.666666666666666px;color:#000000\&quot;&gt;(Maverick 2021)&lt;/span&gt;&quot;},&quot;445758178&quot;:{&quot;referencesIds&quot;:[&quot;doc:63ad599c75fbb60552fb6777&quot;],&quot;referencesOptions&quot;:{&quot;doc:63ad599c75fbb60552fb6777&quot;:{&quot;author&quot;:true,&quot;year&quot;:true,&quot;pageReplace&quot;:&quot;&quot;,&quot;prefix&quot;:&quot;&quot;,&quot;suffix&quot;:&quot;&quot;}},&quot;hasBrokenReferences&quot;:false,&quot;hasManualEdits&quot;:false,&quot;citationType&quot;:&quot;inline&quot;,&quot;id&quot;:445758178,&quot;citationText&quot;:&quot;&lt;span style=\&quot;font-family:Calibri;font-size:14.666666666666666px;color:#000000\&quot;&gt;(Holder 2022)&lt;/span&gt;&quot;},&quot;507158697&quot;:{&quot;referencesIds&quot;:[&quot;doc:63af1dde42c21905506cd803&quot;],&quot;referencesOptions&quot;:{&quot;doc:63af1dde42c21905506cd803&quot;:{&quot;author&quot;:true,&quot;year&quot;:true,&quot;pageReplace&quot;:&quot;&quot;,&quot;prefix&quot;:&quot;&quot;,&quot;suffix&quot;:&quot;&quot;}},&quot;hasBrokenReferences&quot;:false,&quot;hasManualEdits&quot;:false,&quot;citationType&quot;:&quot;inline&quot;,&quot;id&quot;:507158697,&quot;citationText&quot;:&quot;&lt;span style=\&quot;font-family:Calibri;font-size:14.666666666666666px;color:#000000\&quot;&gt;(Atrill, McLaney 2015)&lt;/span&gt;&quot;},&quot;602810279&quot;:{&quot;referencesIds&quot;:[&quot;doc:63cc226a537ade054e10517e&quot;],&quot;referencesOptions&quot;:{&quot;doc:63cc226a537ade054e10517e&quot;:{&quot;author&quot;:true,&quot;year&quot;:true,&quot;pageReplace&quot;:&quot;&quot;,&quot;prefix&quot;:&quot;&quot;,&quot;suffix&quot;:&quot;&quot;}},&quot;hasBrokenReferences&quot;:false,&quot;hasManualEdits&quot;:false,&quot;citationType&quot;:&quot;inline&quot;,&quot;id&quot;:602810279,&quot;citationText&quot;:&quot;&lt;span style=\&quot;font-family:Calibri;font-size:14.666666666666666px;color:#000000\&quot;&gt;(Phillips 2022)&lt;/span&gt;&quot;},&quot;699472994&quot;:{&quot;referencesIds&quot;:[&quot;doc:63a93e3af3b36405559c7d36&quot;],&quot;referencesOptions&quot;:{&quot;doc:63a93e3af3b36405559c7d36&quot;:{&quot;author&quot;:true,&quot;year&quot;:true,&quot;pageReplace&quot;:&quot;&quot;,&quot;prefix&quot;:&quot;&quot;,&quot;suffix&quot;:&quot;&quot;}},&quot;hasBrokenReferences&quot;:false,&quot;hasManualEdits&quot;:false,&quot;citationType&quot;:&quot;inline&quot;,&quot;id&quot;:699472994,&quot;citationText&quot;:&quot;&lt;span style=\&quot;font-family:Calibri;font-size:14.666666666666666px;color:#000000\&quot;&gt;(Qamar, Collinson et al. 2022)&lt;/span&gt;&quot;},&quot;952192238&quot;:{&quot;referencesIds&quot;:[&quot;doc:638b67af8f080049921a7572&quot;],&quot;referencesOptions&quot;:{&quot;doc:638b67af8f080049921a7572&quot;:{&quot;author&quot;:true,&quot;year&quot;:true,&quot;pageReplace&quot;:&quot;&quot;,&quot;prefix&quot;:&quot;&quot;,&quot;suffix&quot;:&quot;&quot;}},&quot;hasBrokenReferences&quot;:false,&quot;hasManualEdits&quot;:false,&quot;citationType&quot;:&quot;inline&quot;,&quot;id&quot;:952192238,&quot;citationText&quot;:&quot;&lt;span style=\&quot;font-family:Calibri;font-size:14.666666666666666px;color:#000000\&quot;&gt;(Fields 2016)&lt;/span&gt;&quot;},&quot;1087191474&quot;:{&quot;referencesIds&quot;:[&quot;doc:63ccf9e43bc673054e8dbbfe&quot;],&quot;referencesOptions&quot;:{&quot;doc:63ccf9e43bc673054e8dbbfe&quot;:{&quot;author&quot;:true,&quot;year&quot;:true,&quot;pageReplace&quot;:&quot;&quot;,&quot;prefix&quot;:&quot;&quot;,&quot;suffix&quot;:&quot;&quot;}},&quot;hasBrokenReferences&quot;:false,&quot;hasManualEdits&quot;:false,&quot;citationType&quot;:&quot;inline&quot;,&quot;id&quot;:1087191474,&quot;citationText&quot;:&quot;&lt;span style=\&quot;font-family:Calibri;font-size:14.666666666666666px;color:#000000\&quot;&gt;(Shabong 2020)&lt;/span&gt;&quot;},&quot;1123447058&quot;:{&quot;referencesIds&quot;:[&quot;doc:63ad4f47175cdf0549417d30&quot;],&quot;referencesOptions&quot;:{&quot;doc:63ad4f47175cdf0549417d30&quot;:{&quot;author&quot;:true,&quot;year&quot;:true,&quot;pageReplace&quot;:&quot;&quot;,&quot;prefix&quot;:&quot;&quot;,&quot;suffix&quot;:&quot;&quot;}},&quot;hasBrokenReferences&quot;:false,&quot;hasManualEdits&quot;:false,&quot;citationType&quot;:&quot;inline&quot;,&quot;id&quot;:1123447058,&quot;citationText&quot;:&quot;&lt;span style=\&quot;font-family:Calibri;font-size:14.666666666666666px;color:#000000\&quot;&gt;(Geely 2022)&lt;/span&gt;&quot;},&quot;1218985291&quot;:{&quot;referencesIds&quot;:[&quot;doc:63cb8ef4cbb653054f26548c&quot;],&quot;referencesOptions&quot;:{&quot;doc:63cb8ef4cbb653054f26548c&quot;:{&quot;author&quot;:true,&quot;year&quot;:true,&quot;pageReplace&quot;:&quot;&quot;,&quot;prefix&quot;:&quot;&quot;,&quot;suffix&quot;:&quot;&quot;}},&quot;hasBrokenReferences&quot;:false,&quot;hasManualEdits&quot;:false,&quot;citationType&quot;:&quot;inline&quot;,&quot;id&quot;:1218985291,&quot;citationText&quot;:&quot;&lt;span style=\&quot;font-family:Calibri;font-size:14.666666666666666px;color:#000000\&quot;&gt;(Trudell, Morison 2023)&lt;/span&gt;&quot;},&quot;1403557860&quot;:{&quot;referencesIds&quot;:[&quot;doc:63c4001f4e31ba054ee60c2e&quot;],&quot;referencesOptions&quot;:{&quot;doc:63c4001f4e31ba054ee60c2e&quot;:{&quot;author&quot;:true,&quot;year&quot;:true,&quot;pageReplace&quot;:&quot;&quot;,&quot;prefix&quot;:&quot;&quot;,&quot;suffix&quot;:&quot;&quot;}},&quot;hasBrokenReferences&quot;:false,&quot;hasManualEdits&quot;:false,&quot;citationType&quot;:&quot;inline&quot;,&quot;id&quot;:1403557860,&quot;citationText&quot;:&quot;&lt;span style=\&quot;font-family:Calibri;font-size:14.666666666666666px;color:#000000\&quot;&gt;(Walsh 2009)&lt;/span&gt;&quot;},&quot;1572969015&quot;:{&quot;referencesIds&quot;:[&quot;doc:63c4001f4e31ba054ee60c2e&quot;],&quot;referencesOptions&quot;:{&quot;doc:63c4001f4e31ba054ee60c2e&quot;:{&quot;author&quot;:true,&quot;year&quot;:true,&quot;pageReplace&quot;:&quot;&quot;,&quot;prefix&quot;:&quot;&quot;,&quot;suffix&quot;:&quot;&quot;}},&quot;hasBrokenReferences&quot;:false,&quot;hasManualEdits&quot;:false,&quot;citationType&quot;:&quot;inline&quot;,&quot;id&quot;:1572969015,&quot;citationText&quot;:&quot;&lt;span style=\&quot;font-family:Calibri;font-size:14.666666666666666px;color:#000000\&quot;&gt;(Walsh 2009)&lt;/span&gt;&quot;},&quot;1635442143&quot;:{&quot;referencesIds&quot;:[&quot;doc:63c0313ec07f07054f338410&quot;],&quot;referencesOptions&quot;:{&quot;doc:63c0313ec07f07054f338410&quot;:{&quot;author&quot;:true,&quot;year&quot;:true,&quot;pageReplace&quot;:&quot;&quot;,&quot;prefix&quot;:&quot;&quot;,&quot;suffix&quot;:&quot;&quot;}},&quot;hasBrokenReferences&quot;:false,&quot;hasManualEdits&quot;:false,&quot;citationType&quot;:&quot;inline&quot;,&quot;id&quot;:1635442143,&quot;citationText&quot;:&quot;&lt;span style=\&quot;font-family:Calibri;font-size:14.666666666666666px;color:#000000\&quot;&gt;(LUXUO 2014)&lt;/span&gt;&quot;},&quot;1822713897&quot;:{&quot;referencesIds&quot;:[&quot;doc:637e09fd8f08434b457eefce&quot;],&quot;referencesOptions&quot;:{&quot;doc:637e09fd8f08434b457eefce&quot;:{&quot;author&quot;:true,&quot;year&quot;:true,&quot;pageReplace&quot;:&quot;&quot;,&quot;prefix&quot;:&quot;&quot;,&quot;suffix&quot;:&quot;&quot;}},&quot;hasBrokenReferences&quot;:false,&quot;hasManualEdits&quot;:false,&quot;citationType&quot;:&quot;inline&quot;,&quot;id&quot;:1822713897,&quot;citationText&quot;:&quot;&lt;span style=\&quot;font-family:Calibri;font-size:14.666666666666666px;color:#000000\&quot;&gt;(Truett 2022)&lt;/span&gt;&quot;},&quot;1844345500&quot;:{&quot;referencesIds&quot;:[&quot;doc:63ccf733733daa0555b04d5b&quot;],&quot;referencesOptions&quot;:{&quot;doc:63ccf733733daa0555b04d5b&quot;:{&quot;author&quot;:true,&quot;year&quot;:true,&quot;pageReplace&quot;:&quot;&quot;,&quot;prefix&quot;:&quot;&quot;,&quot;suffix&quot;:&quot;&quot;}},&quot;hasBrokenReferences&quot;:false,&quot;hasManualEdits&quot;:false,&quot;citationType&quot;:&quot;inline&quot;,&quot;id&quot;:1844345500,&quot;citationText&quot;:&quot;&lt;span style=\&quot;font-family:Calibri;font-size:14.666666666666666px;color:#000000\&quot;&gt;(Withers 2023)&lt;/span&gt;&quot;},&quot;2009963567&quot;:{&quot;referencesIds&quot;:[&quot;doc:63ad4e44a73b2805988e3d8f&quot;],&quot;referencesOptions&quot;:{&quot;doc:63ad4e44a73b2805988e3d8f&quot;:{&quot;author&quot;:true,&quot;year&quot;:true,&quot;pageReplace&quot;:&quot;&quot;,&quot;prefix&quot;:&quot;&quot;,&quot;suffix&quot;:&quot;&quot;}},&quot;hasBrokenReferences&quot;:false,&quot;hasManualEdits&quot;:false,&quot;citationType&quot;:&quot;inline&quot;,&quot;id&quot;:2009963567,&quot;citationText&quot;:&quot;&lt;span style=\&quot;font-family:Calibri;font-size:14.666666666666666px;color:#000000\&quot;&gt;(Holmes, Sugden et al. 2008)&lt;/span&gt;&quot;}}"/>
    <we:property name="rw.control.unlocked" value="true"/>
    <we:property name="rw.officeVersion" value="&quot;1.3&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userId" value="&quot;user:620f90728f08f85e55258ca3&quot;"/>
    <we:property name="rw.subscriberId" value="&quot;0&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Digital transformation has delivered a 30% increase in workflow efficiency for luxury car manufacturer Aston Martin Lagonda (see Appendix 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GEN23</b:Tag>
    <b:SourceType>InternetSite</b:SourceType>
    <b:Guid>{B34CA3BD-F0C9-46F1-A535-D67075DAE262}</b:Guid>
    <b:Author>
      <b:Author>
        <b:Corporate>GENERATIONAL EQUITY</b:Corporate>
      </b:Author>
    </b:Author>
    <b:Title>GENERATIONAL EQUITY</b:Title>
    <b:Year>2023</b:Year>
    <b:YearAccessed>2023</b:YearAccessed>
    <b:MonthAccessed>Jan</b:MonthAccessed>
    <b:DayAccessed>25</b:DayAccessed>
    <b:URL>https://www.genequityco.com/insights/ebitda#:~:text=As%20discussed%20earlier%2C%20EBITDA%20helps</b:URL>
    <b:RefOrder>5</b:RefOrder>
  </b:Source>
  <b:Source>
    <b:Tag>COR23</b:Tag>
    <b:SourceType>InternetSite</b:SourceType>
    <b:Guid>{4557B725-5F8B-4DEE-ABB0-0771B7D0CF6B}</b:Guid>
    <b:Author>
      <b:Author>
        <b:Corporate>CORPORATE FINANCE INSTITUTE</b:Corporate>
      </b:Author>
    </b:Author>
    <b:Title>Limitations of Ratio Analysis</b:Title>
    <b:Year>2023</b:Year>
    <b:YearAccessed>2023</b:YearAccessed>
    <b:MonthAccessed>Jan</b:MonthAccessed>
    <b:DayAccessed>25</b:DayAccessed>
    <b:URL>https://corporatefinanceinstitute.com/resources/accounting/limitations-ratio-analysis/</b:URL>
    <b:RefOrder>2</b:RefOrder>
  </b:Source>
  <b:Source>
    <b:Tag>Dat22</b:Tag>
    <b:SourceType>InternetSite</b:SourceType>
    <b:Guid>{268BE7EB-EB18-42F1-950E-97A2A0ABA8E2}</b:Guid>
    <b:Author>
      <b:Author>
        <b:Corporate>Datarails</b:Corporate>
      </b:Author>
    </b:Author>
    <b:Title>Datarails</b:Title>
    <b:Year>2022</b:Year>
    <b:YearAccessed>2023</b:YearAccessed>
    <b:MonthAccessed>Jan</b:MonthAccessed>
    <b:DayAccessed>25</b:DayAccessed>
    <b:URL>https://www.datarails.com/5-key-financial-ratios/</b:URL>
    <b:RefOrder>1</b:RefOrder>
  </b:Source>
  <b:Source>
    <b:Tag>Inv23</b:Tag>
    <b:SourceType>InternetSite</b:SourceType>
    <b:Guid>{A5CA5F7D-A405-4FD5-B488-235279F46BA7}</b:Guid>
    <b:Author>
      <b:Author>
        <b:Corporate>Investopedia</b:Corporate>
      </b:Author>
    </b:Author>
    <b:Title>Quick Ratio Formula With Examples, Pros and Cons</b:Title>
    <b:Year>2023</b:Year>
    <b:YearAccessed>2023</b:YearAccessed>
    <b:MonthAccessed>Jan</b:MonthAccessed>
    <b:DayAccessed>26</b:DayAccessed>
    <b:URL>https://www.investopedia.com/terms/q/quickratio.asp</b:URL>
    <b:RefOrder>3</b:RefOrder>
  </b:Source>
  <b:Source>
    <b:Tag>Wal23</b:Tag>
    <b:SourceType>InternetSite</b:SourceType>
    <b:Guid>{E3732CD2-89F5-44B4-B919-A240544EB058}</b:Guid>
    <b:Author>
      <b:Author>
        <b:Corporate>WallStreetMojo</b:Corporate>
      </b:Author>
    </b:Author>
    <b:Title>Cash Ratio Formula</b:Title>
    <b:Year>2023</b:Year>
    <b:YearAccessed>2023</b:YearAccessed>
    <b:MonthAccessed>Jan</b:MonthAccessed>
    <b:DayAccessed>26</b:DayAccessed>
    <b:URL>https://www.wallstreetmojo.com/cash-ratio/</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39C66C-3976-4AA5-8F76-69C6C5BD2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30</Pages>
  <Words>7142</Words>
  <Characters>40715</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Business Review: Aston Martin Lagonda Recommendations on a £5M Joint venture opportunity                                                            ACPA7002 - Student 2126255 C J Davies</vt:lpstr>
    </vt:vector>
  </TitlesOfParts>
  <Company/>
  <LinksUpToDate>false</LinksUpToDate>
  <CharactersWithSpaces>47762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Review: Aston Martin Lagonda Recommendations on a £5M Joint venture opportunity                                                            ACPA7002 - Student 2126255 C J Davies</dc:title>
  <dc:subject/>
  <dc:creator>Christopher Davies (2126255)</dc:creator>
  <cp:keywords/>
  <dc:description/>
  <cp:lastModifiedBy>Christopher</cp:lastModifiedBy>
  <cp:revision>52</cp:revision>
  <dcterms:created xsi:type="dcterms:W3CDTF">2023-01-26T06:45:00Z</dcterms:created>
  <dcterms:modified xsi:type="dcterms:W3CDTF">2023-01-26T09:33:00Z</dcterms:modified>
  <cp:category>Financial Management</cp:category>
</cp:coreProperties>
</file>