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D73AA2" w14:textId="77777777" w:rsidR="001F14B2" w:rsidRPr="001F14B2" w:rsidRDefault="001F14B2" w:rsidP="001F14B2">
      <w:pPr>
        <w:spacing w:after="0" w:line="240" w:lineRule="auto"/>
        <w:textAlignment w:val="baseline"/>
        <w:outlineLvl w:val="1"/>
        <w:rPr>
          <w:rFonts w:ascii="Arial Unicode MS" w:eastAsia="Times New Roman" w:hAnsi="Arial Unicode MS" w:cs="Times New Roman"/>
          <w:b/>
          <w:bCs/>
          <w:color w:val="333333"/>
          <w:sz w:val="34"/>
          <w:szCs w:val="34"/>
          <w:lang w:eastAsia="en-GB"/>
        </w:rPr>
      </w:pPr>
      <w:r w:rsidRPr="001F14B2">
        <w:rPr>
          <w:rFonts w:ascii="inherit" w:eastAsia="Times New Roman" w:hAnsi="inherit" w:cs="Times New Roman"/>
          <w:b/>
          <w:bCs/>
          <w:color w:val="333333"/>
          <w:sz w:val="34"/>
          <w:szCs w:val="34"/>
          <w:bdr w:val="none" w:sz="0" w:space="0" w:color="auto" w:frame="1"/>
          <w:lang w:eastAsia="en-GB"/>
        </w:rPr>
        <w:t>Instructions</w:t>
      </w:r>
    </w:p>
    <w:p w14:paraId="5AF10342" w14:textId="6C67A70C" w:rsidR="001F14B2" w:rsidRPr="001F14B2" w:rsidRDefault="001F14B2" w:rsidP="001F14B2">
      <w:pPr>
        <w:spacing w:after="240" w:line="348" w:lineRule="atLeast"/>
        <w:textAlignment w:val="baseline"/>
        <w:rPr>
          <w:rFonts w:ascii="Arial Unicode MS" w:eastAsia="Times New Roman" w:hAnsi="Arial Unicode MS" w:cs="Times New Roman"/>
          <w:color w:val="000000"/>
          <w:sz w:val="23"/>
          <w:szCs w:val="23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3"/>
          <w:szCs w:val="23"/>
          <w:lang w:eastAsia="en-GB"/>
        </w:rPr>
        <w:t>Answer the following questions</w:t>
      </w:r>
    </w:p>
    <w:p w14:paraId="6B16F3D5" w14:textId="77777777" w:rsidR="001F14B2" w:rsidRPr="001F14B2" w:rsidRDefault="001F14B2" w:rsidP="001F14B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1F14B2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14:paraId="6A95320E" w14:textId="77777777" w:rsidR="001F14B2" w:rsidRPr="001F14B2" w:rsidRDefault="001F14B2" w:rsidP="001F14B2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0" w:name="1"/>
      <w:bookmarkEnd w:id="0"/>
      <w:r w:rsidRPr="001F14B2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1</w:t>
      </w:r>
    </w:p>
    <w:p w14:paraId="78AE30B4" w14:textId="77777777" w:rsidR="001F14B2" w:rsidRPr="001F14B2" w:rsidRDefault="001F14B2" w:rsidP="001F14B2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1F14B2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The meaning of 'worker' in EU law is to be found in the following</w:t>
      </w:r>
      <w:r w:rsidRPr="001F14B2">
        <w:rPr>
          <w:rFonts w:ascii="Cambria" w:eastAsia="Times New Roman" w:hAnsi="Cambria" w:cs="Cambria"/>
          <w:color w:val="000000"/>
          <w:sz w:val="25"/>
          <w:szCs w:val="25"/>
          <w:lang w:eastAsia="en-GB"/>
        </w:rPr>
        <w:t></w:t>
      </w:r>
    </w:p>
    <w:p w14:paraId="4D8F5FA1" w14:textId="29CEFD25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63DE11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2" type="#_x0000_t75" style="width:20.25pt;height:17.25pt" o:ole="">
            <v:imagedata r:id="rId4" o:title=""/>
          </v:shape>
          <w:control r:id="rId5" w:name="DefaultOcxName" w:shapeid="_x0000_i1102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The TFEU.</w:t>
      </w:r>
    </w:p>
    <w:p w14:paraId="10546F3E" w14:textId="5B02BB37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594D7028">
          <v:shape id="_x0000_i1105" type="#_x0000_t75" style="width:20.25pt;height:17.25pt" o:ole="">
            <v:imagedata r:id="rId4" o:title=""/>
          </v:shape>
          <w:control r:id="rId6" w:name="DefaultOcxName1" w:shapeid="_x0000_i1105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National legislation.</w:t>
      </w:r>
    </w:p>
    <w:p w14:paraId="123C6981" w14:textId="0A659D86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0AD49809">
          <v:shape id="_x0000_i1108" type="#_x0000_t75" style="width:20.25pt;height:17.25pt" o:ole="">
            <v:imagedata r:id="rId4" o:title=""/>
          </v:shape>
          <w:control r:id="rId7" w:name="DefaultOcxName2" w:shapeid="_x0000_i1108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Case law of the Court of Justice.</w:t>
      </w:r>
    </w:p>
    <w:p w14:paraId="32A83462" w14:textId="364644D0" w:rsidR="001F14B2" w:rsidRPr="001F14B2" w:rsidRDefault="001F14B2" w:rsidP="001F14B2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18D93B28">
          <v:shape id="_x0000_i1111" type="#_x0000_t75" style="width:20.25pt;height:17.25pt" o:ole="">
            <v:imagedata r:id="rId4" o:title=""/>
          </v:shape>
          <w:control r:id="rId8" w:name="DefaultOcxName3" w:shapeid="_x0000_i1111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d)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Directive 2004/38.</w:t>
      </w:r>
    </w:p>
    <w:p w14:paraId="79EE681E" w14:textId="77777777" w:rsidR="001F14B2" w:rsidRPr="001F14B2" w:rsidRDefault="001F14B2" w:rsidP="001F14B2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1" w:name="2"/>
      <w:bookmarkEnd w:id="1"/>
      <w:r w:rsidRPr="001F14B2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2</w:t>
      </w:r>
    </w:p>
    <w:p w14:paraId="4A1D42E8" w14:textId="77777777" w:rsidR="001F14B2" w:rsidRPr="001F14B2" w:rsidRDefault="001F14B2" w:rsidP="001F14B2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1F14B2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What principle is enshrined in Article 45(2) and re-iterated in Regulation 492/2011 in relation to workers?</w:t>
      </w:r>
    </w:p>
    <w:p w14:paraId="5F9C896F" w14:textId="21985AC2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60BF359C">
          <v:shape id="_x0000_i1114" type="#_x0000_t75" style="width:20.25pt;height:17.25pt" o:ole="">
            <v:imagedata r:id="rId4" o:title=""/>
          </v:shape>
          <w:control r:id="rId9" w:name="DefaultOcxName4" w:shapeid="_x0000_i1114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Proportionality.</w:t>
      </w:r>
    </w:p>
    <w:p w14:paraId="13514849" w14:textId="5969F750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227897D6">
          <v:shape id="_x0000_i1117" type="#_x0000_t75" style="width:20.25pt;height:17.25pt" o:ole="">
            <v:imagedata r:id="rId4" o:title=""/>
          </v:shape>
          <w:control r:id="rId10" w:name="DefaultOcxName5" w:shapeid="_x0000_i1117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Supremacy.</w:t>
      </w:r>
    </w:p>
    <w:p w14:paraId="304ECDA5" w14:textId="5531B8BC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0765B161">
          <v:shape id="_x0000_i1120" type="#_x0000_t75" style="width:20.25pt;height:17.25pt" o:ole="">
            <v:imagedata r:id="rId4" o:title=""/>
          </v:shape>
          <w:control r:id="rId11" w:name="DefaultOcxName6" w:shapeid="_x0000_i1120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Non-discrimination.</w:t>
      </w:r>
    </w:p>
    <w:p w14:paraId="5A340476" w14:textId="17B04381" w:rsidR="001F14B2" w:rsidRPr="001F14B2" w:rsidRDefault="001F14B2" w:rsidP="001F14B2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63529866">
          <v:shape id="_x0000_i1123" type="#_x0000_t75" style="width:20.25pt;height:17.25pt" o:ole="">
            <v:imagedata r:id="rId4" o:title=""/>
          </v:shape>
          <w:control r:id="rId12" w:name="DefaultOcxName7" w:shapeid="_x0000_i1123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d)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Mutual recognition.</w:t>
      </w:r>
    </w:p>
    <w:p w14:paraId="189C14B0" w14:textId="77777777" w:rsidR="001F14B2" w:rsidRPr="001F14B2" w:rsidRDefault="001F14B2" w:rsidP="001F14B2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2" w:name="3"/>
      <w:bookmarkEnd w:id="2"/>
      <w:r w:rsidRPr="001F14B2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3</w:t>
      </w:r>
    </w:p>
    <w:p w14:paraId="36D2540B" w14:textId="77777777" w:rsidR="001F14B2" w:rsidRPr="001F14B2" w:rsidRDefault="001F14B2" w:rsidP="001F14B2">
      <w:pPr>
        <w:spacing w:after="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1F14B2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Which principle was established in the </w:t>
      </w:r>
      <w:r w:rsidRPr="001F14B2">
        <w:rPr>
          <w:rFonts w:ascii="Arial" w:eastAsia="Times New Roman" w:hAnsi="Arial" w:cs="Arial"/>
          <w:i/>
          <w:iCs/>
          <w:color w:val="000000"/>
          <w:sz w:val="25"/>
          <w:szCs w:val="25"/>
          <w:bdr w:val="none" w:sz="0" w:space="0" w:color="auto" w:frame="1"/>
          <w:lang w:eastAsia="en-GB"/>
        </w:rPr>
        <w:t>Bosman</w:t>
      </w:r>
      <w:r w:rsidRPr="001F14B2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 case?</w:t>
      </w:r>
    </w:p>
    <w:p w14:paraId="3DEEF500" w14:textId="2BF8CD0A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72AD69CD">
          <v:shape id="_x0000_i1126" type="#_x0000_t75" style="width:20.25pt;height:17.25pt" o:ole="">
            <v:imagedata r:id="rId4" o:title=""/>
          </v:shape>
          <w:control r:id="rId13" w:name="DefaultOcxName8" w:shapeid="_x0000_i1126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Direct discrimination based on nationality is prohibited under Article 45 TFEU.</w:t>
      </w:r>
    </w:p>
    <w:p w14:paraId="1339D406" w14:textId="5B570CDC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01C0DB22">
          <v:shape id="_x0000_i1129" type="#_x0000_t75" style="width:20.25pt;height:17.25pt" o:ole="">
            <v:imagedata r:id="rId4" o:title=""/>
          </v:shape>
          <w:control r:id="rId14" w:name="DefaultOcxName9" w:shapeid="_x0000_i1129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Indirect discrimination based on nationality is prohibited under Article 45 TFEU.</w:t>
      </w:r>
    </w:p>
    <w:p w14:paraId="2C87A78C" w14:textId="6C840E63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5EA34BFD">
          <v:shape id="_x0000_i1132" type="#_x0000_t75" style="width:20.25pt;height:17.25pt" o:ole="">
            <v:imagedata r:id="rId4" o:title=""/>
          </v:shape>
          <w:control r:id="rId15" w:name="DefaultOcxName10" w:shapeid="_x0000_i1132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Discrimination based on nationality may be objectively justified under Article 45 TFEU for reasons of safeguarding fair competition in professional sports.</w:t>
      </w:r>
    </w:p>
    <w:p w14:paraId="6B3376A1" w14:textId="1EACD3A0" w:rsidR="001F14B2" w:rsidRPr="001F14B2" w:rsidRDefault="001F14B2" w:rsidP="001F14B2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39A7224C">
          <v:shape id="_x0000_i1135" type="#_x0000_t75" style="width:20.25pt;height:17.25pt" o:ole="">
            <v:imagedata r:id="rId4" o:title=""/>
          </v:shape>
          <w:control r:id="rId16" w:name="DefaultOcxName11" w:shapeid="_x0000_i1135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d)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Provisions which impede access to the employment market for workers may be prohibited under Article 45 TFEU, even if they do not directly or indirectly discriminate based on nationality.</w:t>
      </w:r>
    </w:p>
    <w:p w14:paraId="305AF759" w14:textId="77777777" w:rsidR="001F14B2" w:rsidRPr="001F14B2" w:rsidRDefault="001F14B2" w:rsidP="001F14B2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3" w:name="4"/>
      <w:bookmarkEnd w:id="3"/>
      <w:r w:rsidRPr="001F14B2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4</w:t>
      </w:r>
    </w:p>
    <w:p w14:paraId="2CCFEAB9" w14:textId="77777777" w:rsidR="001F14B2" w:rsidRPr="001F14B2" w:rsidRDefault="001F14B2" w:rsidP="001F14B2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1F14B2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The public service exception in Article 45 (4) entails that</w:t>
      </w:r>
      <w:r w:rsidRPr="001F14B2">
        <w:rPr>
          <w:rFonts w:ascii="Cambria" w:eastAsia="Times New Roman" w:hAnsi="Cambria" w:cs="Cambria"/>
          <w:color w:val="000000"/>
          <w:sz w:val="25"/>
          <w:szCs w:val="25"/>
          <w:lang w:eastAsia="en-GB"/>
        </w:rPr>
        <w:t></w:t>
      </w:r>
      <w:r w:rsidRPr="001F14B2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 xml:space="preserve"> Please select all that apply.</w:t>
      </w:r>
    </w:p>
    <w:p w14:paraId="3F6C896F" w14:textId="1EAAAB0A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5BDB91FA">
          <v:shape id="_x0000_i1138" type="#_x0000_t75" style="width:20.25pt;height:17.25pt" o:ole="">
            <v:imagedata r:id="rId17" o:title=""/>
          </v:shape>
          <w:control r:id="rId18" w:name="DefaultOcxName12" w:shapeid="_x0000_i1138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Direct discrimination based on nationality towards employees in the public sector may be allowed.</w:t>
      </w:r>
    </w:p>
    <w:p w14:paraId="41E13314" w14:textId="57FF8EEB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lastRenderedPageBreak/>
        <w:object w:dxaOrig="1440" w:dyaOrig="1440" w14:anchorId="117C11E5">
          <v:shape id="_x0000_i1141" type="#_x0000_t75" style="width:20.25pt;height:17.25pt" o:ole="">
            <v:imagedata r:id="rId17" o:title=""/>
          </v:shape>
          <w:control r:id="rId19" w:name="DefaultOcxName13" w:shapeid="_x0000_i1141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Nationality quota are compulsory in the public service because it should be reflective of society.</w:t>
      </w:r>
    </w:p>
    <w:p w14:paraId="7771523D" w14:textId="7FB84552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5FC72B26">
          <v:shape id="_x0000_i1144" type="#_x0000_t75" style="width:20.25pt;height:17.25pt" o:ole="">
            <v:imagedata r:id="rId17" o:title=""/>
          </v:shape>
          <w:control r:id="rId20" w:name="DefaultOcxName14" w:shapeid="_x0000_i1144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Indirect discrimination based on nationality towards employees in the public sector may be allowed.</w:t>
      </w:r>
    </w:p>
    <w:p w14:paraId="516CF568" w14:textId="017E448B" w:rsidR="001F14B2" w:rsidRPr="001F14B2" w:rsidRDefault="001F14B2" w:rsidP="001F14B2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76CF2A0B">
          <v:shape id="_x0000_i1147" type="#_x0000_t75" style="width:20.25pt;height:17.25pt" o:ole="">
            <v:imagedata r:id="rId17" o:title=""/>
          </v:shape>
          <w:control r:id="rId21" w:name="DefaultOcxName15" w:shapeid="_x0000_i1147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d)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Nationality quota are prohibited in the public sector because it is part of the exercise of the Member State's sovereignty and therefore reserved for its own nationals solely.</w:t>
      </w:r>
    </w:p>
    <w:p w14:paraId="5C0F6B60" w14:textId="77777777" w:rsidR="001F14B2" w:rsidRPr="001F14B2" w:rsidRDefault="001F14B2" w:rsidP="001F14B2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4" w:name="5"/>
      <w:bookmarkEnd w:id="4"/>
      <w:r w:rsidRPr="001F14B2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5</w:t>
      </w:r>
    </w:p>
    <w:p w14:paraId="56971E7C" w14:textId="77777777" w:rsidR="001F14B2" w:rsidRPr="001F14B2" w:rsidRDefault="001F14B2" w:rsidP="001F14B2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1F14B2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What status is established by Article 20 TFEU?</w:t>
      </w:r>
    </w:p>
    <w:p w14:paraId="7E79685D" w14:textId="5B3A57AF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048CCEA7">
          <v:shape id="_x0000_i1150" type="#_x0000_t75" style="width:20.25pt;height:17.25pt" o:ole="">
            <v:imagedata r:id="rId4" o:title=""/>
          </v:shape>
          <w:control r:id="rId22" w:name="DefaultOcxName16" w:shapeid="_x0000_i1150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Citizenship of the Member States.</w:t>
      </w:r>
    </w:p>
    <w:p w14:paraId="12A5B884" w14:textId="53D09898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28E08A73">
          <v:shape id="_x0000_i1153" type="#_x0000_t75" style="width:20.25pt;height:17.25pt" o:ole="">
            <v:imagedata r:id="rId4" o:title=""/>
          </v:shape>
          <w:control r:id="rId23" w:name="DefaultOcxName17" w:shapeid="_x0000_i1153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European Union citizenship.</w:t>
      </w:r>
    </w:p>
    <w:p w14:paraId="7AA455D3" w14:textId="09C92AC0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492C36F1">
          <v:shape id="_x0000_i1156" type="#_x0000_t75" style="width:20.25pt;height:17.25pt" o:ole="">
            <v:imagedata r:id="rId4" o:title=""/>
          </v:shape>
          <w:control r:id="rId24" w:name="DefaultOcxName18" w:shapeid="_x0000_i1156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Worker status.</w:t>
      </w:r>
    </w:p>
    <w:p w14:paraId="0D7D707F" w14:textId="79942F9D" w:rsidR="001F14B2" w:rsidRPr="001F14B2" w:rsidRDefault="001F14B2" w:rsidP="001F14B2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40449B3C">
          <v:shape id="_x0000_i1159" type="#_x0000_t75" style="width:20.25pt;height:17.25pt" o:ole="">
            <v:imagedata r:id="rId4" o:title=""/>
          </v:shape>
          <w:control r:id="rId25" w:name="DefaultOcxName19" w:shapeid="_x0000_i1159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d)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Minor status.</w:t>
      </w:r>
    </w:p>
    <w:p w14:paraId="205180E5" w14:textId="77777777" w:rsidR="001F14B2" w:rsidRPr="001F14B2" w:rsidRDefault="001F14B2" w:rsidP="001F14B2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5" w:name="6"/>
      <w:bookmarkEnd w:id="5"/>
      <w:r w:rsidRPr="001F14B2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6</w:t>
      </w:r>
    </w:p>
    <w:p w14:paraId="71CA92FA" w14:textId="77777777" w:rsidR="001F14B2" w:rsidRPr="001F14B2" w:rsidRDefault="001F14B2" w:rsidP="001F14B2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1F14B2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Who are family members for the purposes of Directive 2004/38? Please select all that apply.</w:t>
      </w:r>
    </w:p>
    <w:p w14:paraId="03756D19" w14:textId="599237E5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230424EA">
          <v:shape id="_x0000_i1162" type="#_x0000_t75" style="width:20.25pt;height:17.25pt" o:ole="">
            <v:imagedata r:id="rId17" o:title=""/>
          </v:shape>
          <w:control r:id="rId26" w:name="DefaultOcxName20" w:shapeid="_x0000_i1162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Parents who are dependants.</w:t>
      </w:r>
    </w:p>
    <w:p w14:paraId="4AE6F754" w14:textId="4865E41D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7108EFDC">
          <v:shape id="_x0000_i1165" type="#_x0000_t75" style="width:20.25pt;height:17.25pt" o:ole="">
            <v:imagedata r:id="rId17" o:title=""/>
          </v:shape>
          <w:control r:id="rId27" w:name="DefaultOcxName21" w:shapeid="_x0000_i1165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Children who are dependants.</w:t>
      </w:r>
    </w:p>
    <w:p w14:paraId="19AB218B" w14:textId="6E1EC949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7EE6B65E">
          <v:shape id="_x0000_i1168" type="#_x0000_t75" style="width:20.25pt;height:17.25pt" o:ole="">
            <v:imagedata r:id="rId17" o:title=""/>
          </v:shape>
          <w:control r:id="rId28" w:name="DefaultOcxName22" w:shapeid="_x0000_i1168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Siblings who are dependants.</w:t>
      </w:r>
    </w:p>
    <w:p w14:paraId="553284AC" w14:textId="53905318" w:rsidR="001F14B2" w:rsidRPr="001F14B2" w:rsidRDefault="001F14B2" w:rsidP="001F14B2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73EF2044">
          <v:shape id="_x0000_i1171" type="#_x0000_t75" style="width:20.25pt;height:17.25pt" o:ole="">
            <v:imagedata r:id="rId17" o:title=""/>
          </v:shape>
          <w:control r:id="rId29" w:name="DefaultOcxName23" w:shapeid="_x0000_i1171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d)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Uncles or aunts who are dependants.</w:t>
      </w:r>
    </w:p>
    <w:p w14:paraId="0E1896A6" w14:textId="77777777" w:rsidR="001F14B2" w:rsidRPr="001F14B2" w:rsidRDefault="001F14B2" w:rsidP="001F14B2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6" w:name="7"/>
      <w:bookmarkEnd w:id="6"/>
      <w:r w:rsidRPr="001F14B2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7</w:t>
      </w:r>
    </w:p>
    <w:p w14:paraId="605821D0" w14:textId="77777777" w:rsidR="001F14B2" w:rsidRPr="001F14B2" w:rsidRDefault="001F14B2" w:rsidP="001F14B2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1F14B2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All EU citizens have a right of residence for up to three months in another Member State. It is irrelevant whether they are economically active and whether they have sufficient resources and health insurance.</w:t>
      </w:r>
    </w:p>
    <w:p w14:paraId="30161BA7" w14:textId="6100F08E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37B5D51A">
          <v:shape id="_x0000_i1174" type="#_x0000_t75" style="width:20.25pt;height:17.25pt" o:ole="">
            <v:imagedata r:id="rId4" o:title=""/>
          </v:shape>
          <w:control r:id="rId30" w:name="DefaultOcxName24" w:shapeid="_x0000_i1174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True</w:t>
      </w:r>
    </w:p>
    <w:p w14:paraId="5B2FAF81" w14:textId="46624E55" w:rsidR="001F14B2" w:rsidRPr="001F14B2" w:rsidRDefault="001F14B2" w:rsidP="001F14B2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55BD1EC9">
          <v:shape id="_x0000_i1177" type="#_x0000_t75" style="width:20.25pt;height:17.25pt" o:ole="">
            <v:imagedata r:id="rId4" o:title=""/>
          </v:shape>
          <w:control r:id="rId31" w:name="DefaultOcxName25" w:shapeid="_x0000_i1177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False</w:t>
      </w:r>
    </w:p>
    <w:p w14:paraId="4F6CDFE6" w14:textId="77777777" w:rsidR="001F14B2" w:rsidRPr="001F14B2" w:rsidRDefault="001F14B2" w:rsidP="001F14B2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7" w:name="8"/>
      <w:bookmarkEnd w:id="7"/>
      <w:r w:rsidRPr="001F14B2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8</w:t>
      </w:r>
    </w:p>
    <w:p w14:paraId="1ED653F2" w14:textId="77777777" w:rsidR="001F14B2" w:rsidRPr="001F14B2" w:rsidRDefault="001F14B2" w:rsidP="001F14B2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1F14B2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On what grounds may Member States restrict rights of free movement of persons?</w:t>
      </w:r>
    </w:p>
    <w:p w14:paraId="1F5F3924" w14:textId="7795BEDA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5352E4C7">
          <v:shape id="_x0000_i1180" type="#_x0000_t75" style="width:20.25pt;height:17.25pt" o:ole="">
            <v:imagedata r:id="rId4" o:title=""/>
          </v:shape>
          <w:control r:id="rId32" w:name="DefaultOcxName26" w:shapeid="_x0000_i1180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Economic grounds.</w:t>
      </w:r>
    </w:p>
    <w:p w14:paraId="231FE5D5" w14:textId="5B1B0E81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2E1F8561">
          <v:shape id="_x0000_i1183" type="#_x0000_t75" style="width:20.25pt;height:17.25pt" o:ole="">
            <v:imagedata r:id="rId4" o:title=""/>
          </v:shape>
          <w:control r:id="rId33" w:name="DefaultOcxName27" w:shapeid="_x0000_i1183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Environmental grounds.</w:t>
      </w:r>
    </w:p>
    <w:p w14:paraId="19C0E85C" w14:textId="54F0715B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0A4CA0F9">
          <v:shape id="_x0000_i1186" type="#_x0000_t75" style="width:20.25pt;height:17.25pt" o:ole="">
            <v:imagedata r:id="rId4" o:title=""/>
          </v:shape>
          <w:control r:id="rId34" w:name="DefaultOcxName28" w:shapeid="_x0000_i1186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Public policy, public security or public health.</w:t>
      </w:r>
    </w:p>
    <w:p w14:paraId="189ECBF2" w14:textId="058004F3" w:rsidR="001F14B2" w:rsidRPr="001F14B2" w:rsidRDefault="001F14B2" w:rsidP="001F14B2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lastRenderedPageBreak/>
        <w:object w:dxaOrig="1440" w:dyaOrig="1440" w14:anchorId="38C835EB">
          <v:shape id="_x0000_i1189" type="#_x0000_t75" style="width:20.25pt;height:17.25pt" o:ole="">
            <v:imagedata r:id="rId4" o:title=""/>
          </v:shape>
          <w:control r:id="rId35" w:name="DefaultOcxName29" w:shapeid="_x0000_i1189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d)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Educational grounds.</w:t>
      </w:r>
    </w:p>
    <w:p w14:paraId="1F02B112" w14:textId="77777777" w:rsidR="001F14B2" w:rsidRPr="001F14B2" w:rsidRDefault="001F14B2" w:rsidP="001F14B2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8" w:name="9"/>
      <w:bookmarkEnd w:id="8"/>
      <w:r w:rsidRPr="001F14B2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9</w:t>
      </w:r>
    </w:p>
    <w:p w14:paraId="454FD52F" w14:textId="77777777" w:rsidR="001F14B2" w:rsidRPr="001F14B2" w:rsidRDefault="001F14B2" w:rsidP="001F14B2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1F14B2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Which secondary legislation elucidates the scope of 'public policy, public security or public health'?</w:t>
      </w:r>
    </w:p>
    <w:p w14:paraId="22B23728" w14:textId="5A95C072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73C93A74">
          <v:shape id="_x0000_i1192" type="#_x0000_t75" style="width:20.25pt;height:17.25pt" o:ole="">
            <v:imagedata r:id="rId4" o:title=""/>
          </v:shape>
          <w:control r:id="rId36" w:name="DefaultOcxName30" w:shapeid="_x0000_i1192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a)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Regulation 492/2011.</w:t>
      </w:r>
    </w:p>
    <w:p w14:paraId="29FAAD29" w14:textId="4A93B49F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09D47C4A">
          <v:shape id="_x0000_i1195" type="#_x0000_t75" style="width:20.25pt;height:17.25pt" o:ole="">
            <v:imagedata r:id="rId4" o:title=""/>
          </v:shape>
          <w:control r:id="rId37" w:name="DefaultOcxName31" w:shapeid="_x0000_i1195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b)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Directive 70/50.</w:t>
      </w:r>
    </w:p>
    <w:p w14:paraId="10D1B725" w14:textId="4ACF97CD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37B0D802">
          <v:shape id="_x0000_i1198" type="#_x0000_t75" style="width:20.25pt;height:17.25pt" o:ole="">
            <v:imagedata r:id="rId4" o:title=""/>
          </v:shape>
          <w:control r:id="rId38" w:name="DefaultOcxName32" w:shapeid="_x0000_i1198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c)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Regulation 2790/99.</w:t>
      </w:r>
    </w:p>
    <w:p w14:paraId="586BB139" w14:textId="2D4DB007" w:rsidR="001F14B2" w:rsidRPr="001F14B2" w:rsidRDefault="001F14B2" w:rsidP="001F14B2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165B9640">
          <v:shape id="_x0000_i1201" type="#_x0000_t75" style="width:20.25pt;height:17.25pt" o:ole="">
            <v:imagedata r:id="rId4" o:title=""/>
          </v:shape>
          <w:control r:id="rId39" w:name="DefaultOcxName33" w:shapeid="_x0000_i1201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eastAsia="en-GB"/>
        </w:rPr>
        <w:t>d)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eastAsia="en-GB"/>
        </w:rPr>
        <w:t>Directive 2004/38.</w:t>
      </w:r>
    </w:p>
    <w:p w14:paraId="367ACD0C" w14:textId="77777777" w:rsidR="001F14B2" w:rsidRPr="001F14B2" w:rsidRDefault="001F14B2" w:rsidP="001F14B2">
      <w:pPr>
        <w:pBdr>
          <w:bottom w:val="single" w:sz="6" w:space="4" w:color="B5DA23"/>
        </w:pBdr>
        <w:shd w:val="clear" w:color="auto" w:fill="FFFFFF"/>
        <w:spacing w:after="150" w:line="240" w:lineRule="auto"/>
        <w:ind w:left="-150"/>
        <w:textAlignment w:val="baseline"/>
        <w:outlineLvl w:val="2"/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</w:pPr>
      <w:bookmarkStart w:id="9" w:name="10"/>
      <w:bookmarkEnd w:id="9"/>
      <w:r w:rsidRPr="001F14B2">
        <w:rPr>
          <w:rFonts w:ascii="inherit" w:eastAsia="Times New Roman" w:hAnsi="inherit" w:cs="Times New Roman"/>
          <w:b/>
          <w:bCs/>
          <w:color w:val="86A600"/>
          <w:sz w:val="25"/>
          <w:szCs w:val="25"/>
          <w:lang w:eastAsia="en-GB"/>
        </w:rPr>
        <w:t>Question 10</w:t>
      </w:r>
    </w:p>
    <w:p w14:paraId="20190A12" w14:textId="77777777" w:rsidR="001F14B2" w:rsidRPr="001F14B2" w:rsidRDefault="001F14B2" w:rsidP="001F14B2">
      <w:pPr>
        <w:spacing w:after="240" w:line="348" w:lineRule="atLeast"/>
        <w:textAlignment w:val="baseline"/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</w:pPr>
      <w:r w:rsidRPr="001F14B2">
        <w:rPr>
          <w:rFonts w:ascii="inherit" w:eastAsia="Times New Roman" w:hAnsi="inherit" w:cs="Times New Roman"/>
          <w:color w:val="000000"/>
          <w:sz w:val="25"/>
          <w:szCs w:val="25"/>
          <w:lang w:eastAsia="en-GB"/>
        </w:rPr>
        <w:t>Which provision of Directive 2004/38 sets out the scope of the public policy and public security grounds?</w:t>
      </w:r>
    </w:p>
    <w:p w14:paraId="7BA41DAA" w14:textId="00C5DB50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val="fr-FR"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529FE0B4">
          <v:shape id="_x0000_i1204" type="#_x0000_t75" style="width:20.25pt;height:17.25pt" o:ole="">
            <v:imagedata r:id="rId4" o:title=""/>
          </v:shape>
          <w:control r:id="rId40" w:name="DefaultOcxName34" w:shapeid="_x0000_i1204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val="fr-FR" w:eastAsia="en-GB"/>
        </w:rPr>
        <w:t>a)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val="fr-FR" w:eastAsia="en-GB"/>
        </w:rPr>
        <w:t>Article 2.</w:t>
      </w:r>
    </w:p>
    <w:p w14:paraId="62130DBF" w14:textId="7E313C51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val="fr-FR"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5A7C2FDB">
          <v:shape id="_x0000_i1207" type="#_x0000_t75" style="width:20.25pt;height:17.25pt" o:ole="">
            <v:imagedata r:id="rId4" o:title=""/>
          </v:shape>
          <w:control r:id="rId41" w:name="DefaultOcxName35" w:shapeid="_x0000_i1207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val="fr-FR" w:eastAsia="en-GB"/>
        </w:rPr>
        <w:t>b)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val="fr-FR" w:eastAsia="en-GB"/>
        </w:rPr>
        <w:t>Article 27.</w:t>
      </w:r>
    </w:p>
    <w:p w14:paraId="1003567F" w14:textId="2C6336BC" w:rsidR="001F14B2" w:rsidRPr="001F14B2" w:rsidRDefault="001F14B2" w:rsidP="001F14B2">
      <w:pPr>
        <w:spacing w:after="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val="fr-FR"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6944D5EC">
          <v:shape id="_x0000_i1210" type="#_x0000_t75" style="width:20.25pt;height:17.25pt" o:ole="">
            <v:imagedata r:id="rId4" o:title=""/>
          </v:shape>
          <w:control r:id="rId42" w:name="DefaultOcxName36" w:shapeid="_x0000_i1210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val="fr-FR" w:eastAsia="en-GB"/>
        </w:rPr>
        <w:t>c)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val="fr-FR" w:eastAsia="en-GB"/>
        </w:rPr>
        <w:t>Article 39.</w:t>
      </w:r>
    </w:p>
    <w:p w14:paraId="6B19EE25" w14:textId="302C68E7" w:rsidR="001F14B2" w:rsidRPr="001F14B2" w:rsidRDefault="001F14B2" w:rsidP="001F14B2">
      <w:pPr>
        <w:spacing w:after="150" w:line="240" w:lineRule="auto"/>
        <w:textAlignment w:val="baseline"/>
        <w:rPr>
          <w:rFonts w:ascii="Arial Unicode MS" w:eastAsia="Times New Roman" w:hAnsi="Arial Unicode MS" w:cs="Times New Roman"/>
          <w:color w:val="000000"/>
          <w:sz w:val="27"/>
          <w:szCs w:val="27"/>
          <w:lang w:val="fr-FR" w:eastAsia="en-GB"/>
        </w:rPr>
      </w:pP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</w:rPr>
        <w:object w:dxaOrig="1440" w:dyaOrig="1440" w14:anchorId="10CFB81F">
          <v:shape id="_x0000_i1213" type="#_x0000_t75" style="width:20.25pt;height:17.25pt" o:ole="">
            <v:imagedata r:id="rId4" o:title=""/>
          </v:shape>
          <w:control r:id="rId43" w:name="DefaultOcxName37" w:shapeid="_x0000_i1213"/>
        </w:object>
      </w:r>
      <w:r w:rsidRPr="001F14B2">
        <w:rPr>
          <w:rFonts w:ascii="inherit" w:eastAsia="Times New Roman" w:hAnsi="inherit" w:cs="Times New Roman"/>
          <w:b/>
          <w:bCs/>
          <w:color w:val="86A600"/>
          <w:sz w:val="27"/>
          <w:szCs w:val="27"/>
          <w:bdr w:val="none" w:sz="0" w:space="0" w:color="auto" w:frame="1"/>
          <w:lang w:val="fr-FR" w:eastAsia="en-GB"/>
        </w:rPr>
        <w:t>d) </w:t>
      </w:r>
      <w:r w:rsidRPr="001F14B2">
        <w:rPr>
          <w:rFonts w:ascii="Arial Unicode MS" w:eastAsia="Times New Roman" w:hAnsi="Arial Unicode MS" w:cs="Times New Roman"/>
          <w:color w:val="000000"/>
          <w:sz w:val="27"/>
          <w:szCs w:val="27"/>
          <w:bdr w:val="none" w:sz="0" w:space="0" w:color="auto" w:frame="1"/>
          <w:lang w:val="fr-FR" w:eastAsia="en-GB"/>
        </w:rPr>
        <w:t>Article 43.</w:t>
      </w:r>
    </w:p>
    <w:p w14:paraId="5CD2017E" w14:textId="77777777" w:rsidR="001F14B2" w:rsidRPr="001F14B2" w:rsidRDefault="001F14B2" w:rsidP="001F14B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1F14B2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14:paraId="1ACF5F71" w14:textId="1EA6CC85" w:rsidR="009257EB" w:rsidRDefault="009257EB"/>
    <w:p w14:paraId="0000DA92" w14:textId="3BCDB4C2" w:rsidR="001F14B2" w:rsidRDefault="001F14B2"/>
    <w:p w14:paraId="5D9C4646" w14:textId="4F40E437" w:rsidR="001F14B2" w:rsidRDefault="001F14B2"/>
    <w:p w14:paraId="077FE455" w14:textId="77777777" w:rsidR="001F14B2" w:rsidRDefault="001F14B2"/>
    <w:sectPr w:rsidR="001F14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4B2"/>
    <w:rsid w:val="001F14B2"/>
    <w:rsid w:val="004D285A"/>
    <w:rsid w:val="009257EB"/>
    <w:rsid w:val="00E43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."/>
  <w:listSeparator w:val=","/>
  <w14:docId w14:val="63EDC64E"/>
  <w15:chartTrackingRefBased/>
  <w15:docId w15:val="{7A599C2A-C9DD-480B-A77F-C228274B6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F14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1F14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F14B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F14B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1F14B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F1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F14B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F14B2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mcqscol1a">
    <w:name w:val="mcqscol1a"/>
    <w:basedOn w:val="DefaultParagraphFont"/>
    <w:rsid w:val="001F14B2"/>
  </w:style>
  <w:style w:type="character" w:customStyle="1" w:styleId="mcqscol2a">
    <w:name w:val="mcqscol2a"/>
    <w:basedOn w:val="DefaultParagraphFont"/>
    <w:rsid w:val="001F14B2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F14B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F14B2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nospace">
    <w:name w:val="nospace"/>
    <w:basedOn w:val="Normal"/>
    <w:rsid w:val="001F1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topspace">
    <w:name w:val="notopspace"/>
    <w:basedOn w:val="Normal"/>
    <w:rsid w:val="001F1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9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000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55201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8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2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8316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206413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63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28154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58395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1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5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9706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114439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3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48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19878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9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84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69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5974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67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6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623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15721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92934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13968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2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80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191496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9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0395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125948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0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62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4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462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147942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524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7059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0163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191623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485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197147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1689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34898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9657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159681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8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45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20134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4612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86568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5399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21452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62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8" w:color="auto"/>
            <w:bottom w:val="single" w:sz="6" w:space="8" w:color="B5DA23"/>
            <w:right w:val="none" w:sz="0" w:space="0" w:color="auto"/>
          </w:divBdr>
          <w:divsChild>
            <w:div w:id="93147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9.xml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39" Type="http://schemas.openxmlformats.org/officeDocument/2006/relationships/control" Target="activeX/activeX34.xml"/><Relationship Id="rId21" Type="http://schemas.openxmlformats.org/officeDocument/2006/relationships/control" Target="activeX/activeX16.xml"/><Relationship Id="rId34" Type="http://schemas.openxmlformats.org/officeDocument/2006/relationships/control" Target="activeX/activeX29.xml"/><Relationship Id="rId42" Type="http://schemas.openxmlformats.org/officeDocument/2006/relationships/control" Target="activeX/activeX37.xml"/><Relationship Id="rId7" Type="http://schemas.openxmlformats.org/officeDocument/2006/relationships/control" Target="activeX/activeX3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9" Type="http://schemas.openxmlformats.org/officeDocument/2006/relationships/control" Target="activeX/activeX24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40" Type="http://schemas.openxmlformats.org/officeDocument/2006/relationships/control" Target="activeX/activeX35.xml"/><Relationship Id="rId45" Type="http://schemas.openxmlformats.org/officeDocument/2006/relationships/theme" Target="theme/theme1.xml"/><Relationship Id="rId5" Type="http://schemas.openxmlformats.org/officeDocument/2006/relationships/control" Target="activeX/activeX1.xml"/><Relationship Id="rId15" Type="http://schemas.openxmlformats.org/officeDocument/2006/relationships/control" Target="activeX/activeX11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10" Type="http://schemas.openxmlformats.org/officeDocument/2006/relationships/control" Target="activeX/activeX6.xml"/><Relationship Id="rId19" Type="http://schemas.openxmlformats.org/officeDocument/2006/relationships/control" Target="activeX/activeX14.xml"/><Relationship Id="rId31" Type="http://schemas.openxmlformats.org/officeDocument/2006/relationships/control" Target="activeX/activeX26.xml"/><Relationship Id="rId44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8.xml"/><Relationship Id="rId8" Type="http://schemas.openxmlformats.org/officeDocument/2006/relationships/control" Target="activeX/activeX4.xml"/><Relationship Id="rId3" Type="http://schemas.openxmlformats.org/officeDocument/2006/relationships/webSettings" Target="webSettings.xml"/><Relationship Id="rId12" Type="http://schemas.openxmlformats.org/officeDocument/2006/relationships/control" Target="activeX/activeX8.xml"/><Relationship Id="rId17" Type="http://schemas.openxmlformats.org/officeDocument/2006/relationships/image" Target="media/image2.wmf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3630</Characters>
  <Application>Microsoft Office Word</Application>
  <DocSecurity>0</DocSecurity>
  <Lines>30</Lines>
  <Paragraphs>8</Paragraphs>
  <ScaleCrop>false</ScaleCrop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2021-03-18T14:38:00Z</dcterms:created>
  <dcterms:modified xsi:type="dcterms:W3CDTF">2021-03-18T14:38:00Z</dcterms:modified>
</cp:coreProperties>
</file>