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rPr>
      </w:pPr>
      <w:r w:rsidDel="00000000" w:rsidR="00000000" w:rsidRPr="00000000">
        <w:rPr/>
        <w:drawing>
          <wp:inline distB="0" distT="0" distL="0" distR="0">
            <wp:extent cx="1880634" cy="66904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880634" cy="66904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color w:val="156082"/>
          <w:sz w:val="28"/>
          <w:szCs w:val="28"/>
        </w:rPr>
      </w:pPr>
      <w:r w:rsidDel="00000000" w:rsidR="00000000" w:rsidRPr="00000000">
        <w:rPr>
          <w:rFonts w:ascii="Arial" w:cs="Arial" w:eastAsia="Arial" w:hAnsi="Arial"/>
          <w:b w:val="1"/>
          <w:bCs w:val="1"/>
          <w:color w:val="156082"/>
          <w:sz w:val="28"/>
          <w:szCs w:val="28"/>
          <w:rtl w:val="0"/>
        </w:rPr>
        <w:t xml:space="preserve">Programme:</w:t>
      </w:r>
    </w:p>
    <w:p w:rsidR="00000000" w:rsidDel="00000000" w:rsidP="00000000" w:rsidRDefault="00000000" w:rsidRPr="00000000" w14:paraId="0000000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Master of Business Administration (MBA)</w:t>
      </w:r>
    </w:p>
    <w:p w:rsidR="00000000" w:rsidDel="00000000" w:rsidP="00000000" w:rsidRDefault="00000000" w:rsidRPr="00000000" w14:paraId="00000005">
      <w:pPr>
        <w:jc w:val="center"/>
        <w:rPr>
          <w:rFonts w:ascii="Arial" w:cs="Arial" w:eastAsia="Arial" w:hAnsi="Arial"/>
          <w:b w:val="1"/>
          <w:bCs w:val="1"/>
          <w:color w:val="156082"/>
          <w:sz w:val="28"/>
          <w:szCs w:val="28"/>
        </w:rPr>
      </w:pPr>
      <w:r w:rsidDel="00000000" w:rsidR="00000000" w:rsidRPr="00000000">
        <w:rPr>
          <w:rFonts w:ascii="Arial" w:cs="Arial" w:eastAsia="Arial" w:hAnsi="Arial"/>
          <w:b w:val="1"/>
          <w:bCs w:val="1"/>
          <w:color w:val="156082"/>
          <w:sz w:val="28"/>
          <w:szCs w:val="28"/>
          <w:rtl w:val="0"/>
        </w:rPr>
        <w:t xml:space="preserve">Module Code and Name:</w:t>
      </w:r>
    </w:p>
    <w:p w:rsidR="00000000" w:rsidDel="00000000" w:rsidP="00000000" w:rsidRDefault="00000000" w:rsidRPr="00000000" w14:paraId="0000000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LCMB7002 Financial Management </w:t>
      </w:r>
    </w:p>
    <w:p w:rsidR="00000000" w:rsidDel="00000000" w:rsidP="00000000" w:rsidRDefault="00000000" w:rsidRPr="00000000" w14:paraId="00000007">
      <w:pPr>
        <w:jc w:val="center"/>
        <w:rPr>
          <w:rFonts w:ascii="Arial" w:cs="Arial" w:eastAsia="Arial" w:hAnsi="Arial"/>
          <w:b w:val="1"/>
          <w:bCs w:val="1"/>
          <w:color w:val="156082"/>
          <w:sz w:val="28"/>
          <w:szCs w:val="28"/>
        </w:rPr>
      </w:pPr>
      <w:r w:rsidDel="00000000" w:rsidR="00000000" w:rsidRPr="00000000">
        <w:rPr>
          <w:rFonts w:ascii="Arial" w:cs="Arial" w:eastAsia="Arial" w:hAnsi="Arial"/>
          <w:b w:val="1"/>
          <w:bCs w:val="1"/>
          <w:color w:val="156082"/>
          <w:sz w:val="28"/>
          <w:szCs w:val="28"/>
          <w:rtl w:val="0"/>
        </w:rPr>
        <w:t xml:space="preserve">Assessment:</w:t>
      </w:r>
    </w:p>
    <w:p w:rsidR="00000000" w:rsidDel="00000000" w:rsidP="00000000" w:rsidRDefault="00000000" w:rsidRPr="00000000" w14:paraId="00000008">
      <w:pPr>
        <w:jc w:val="cente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[Individual Report - Financial Analysis and Strategic Evaluation of General Electric (GE)]</w:t>
      </w:r>
    </w:p>
    <w:p w:rsidR="00000000" w:rsidDel="00000000" w:rsidP="00000000" w:rsidRDefault="00000000" w:rsidRPr="00000000" w14:paraId="00000009">
      <w:pPr>
        <w:jc w:val="center"/>
        <w:rPr>
          <w:rFonts w:ascii="Arial" w:cs="Arial" w:eastAsia="Arial" w:hAnsi="Arial"/>
          <w:b w:val="1"/>
          <w:bCs w:val="1"/>
          <w:color w:val="156082"/>
          <w:sz w:val="28"/>
          <w:szCs w:val="28"/>
        </w:rPr>
      </w:pPr>
      <w:r w:rsidDel="00000000" w:rsidR="00000000" w:rsidRPr="00000000">
        <w:rPr>
          <w:rFonts w:ascii="Arial" w:cs="Arial" w:eastAsia="Arial" w:hAnsi="Arial"/>
          <w:b w:val="1"/>
          <w:bCs w:val="1"/>
          <w:color w:val="156082"/>
          <w:sz w:val="28"/>
          <w:szCs w:val="28"/>
          <w:rtl w:val="0"/>
        </w:rPr>
        <w:t xml:space="preserve">Lecturer:</w:t>
      </w:r>
    </w:p>
    <w:p w:rsidR="00000000" w:rsidDel="00000000" w:rsidP="00000000" w:rsidRDefault="00000000" w:rsidRPr="00000000" w14:paraId="000000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Patrick Yeboah (Birmingham)</w:t>
      </w:r>
    </w:p>
    <w:p w:rsidR="00000000" w:rsidDel="00000000" w:rsidP="00000000" w:rsidRDefault="00000000" w:rsidRPr="00000000" w14:paraId="0000000B">
      <w:pPr>
        <w:jc w:val="center"/>
        <w:rPr>
          <w:rFonts w:ascii="Arial" w:cs="Arial" w:eastAsia="Arial" w:hAnsi="Arial"/>
          <w:b w:val="1"/>
          <w:bCs w:val="1"/>
          <w:color w:val="156082"/>
          <w:sz w:val="28"/>
          <w:szCs w:val="28"/>
        </w:rPr>
      </w:pPr>
      <w:r w:rsidDel="00000000" w:rsidR="00000000" w:rsidRPr="00000000">
        <w:rPr>
          <w:rFonts w:ascii="Arial" w:cs="Arial" w:eastAsia="Arial" w:hAnsi="Arial"/>
          <w:b w:val="1"/>
          <w:bCs w:val="1"/>
          <w:color w:val="156082"/>
          <w:sz w:val="28"/>
          <w:szCs w:val="28"/>
          <w:rtl w:val="0"/>
        </w:rPr>
        <w:t xml:space="preserve">Words Count:</w:t>
      </w:r>
    </w:p>
    <w:p w:rsidR="00000000" w:rsidDel="00000000" w:rsidP="00000000" w:rsidRDefault="00000000" w:rsidRPr="00000000" w14:paraId="0000000C">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5463</w:t>
      </w:r>
    </w:p>
    <w:p w:rsidR="00000000" w:rsidDel="00000000" w:rsidP="00000000" w:rsidRDefault="00000000" w:rsidRPr="00000000" w14:paraId="0000000D">
      <w:pPr>
        <w:jc w:val="center"/>
        <w:rPr>
          <w:rFonts w:ascii="Arial" w:cs="Arial" w:eastAsia="Arial" w:hAnsi="Arial"/>
          <w:b w:val="1"/>
          <w:bCs w:val="1"/>
          <w:color w:val="156082"/>
          <w:sz w:val="28"/>
          <w:szCs w:val="28"/>
        </w:rPr>
      </w:pPr>
      <w:r w:rsidDel="00000000" w:rsidR="00000000" w:rsidRPr="00000000">
        <w:rPr>
          <w:rFonts w:ascii="Arial" w:cs="Arial" w:eastAsia="Arial" w:hAnsi="Arial"/>
          <w:b w:val="1"/>
          <w:bCs w:val="1"/>
          <w:color w:val="156082"/>
          <w:sz w:val="28"/>
          <w:szCs w:val="28"/>
          <w:rtl w:val="0"/>
        </w:rPr>
        <w:t xml:space="preserve">Student Name: Hafez Hossen Bishal</w:t>
      </w:r>
    </w:p>
    <w:p w:rsidR="00000000" w:rsidDel="00000000" w:rsidP="00000000" w:rsidRDefault="00000000" w:rsidRPr="00000000" w14:paraId="0000000E">
      <w:pPr>
        <w:jc w:val="cente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bCs w:val="1"/>
          <w:color w:val="156082"/>
          <w:sz w:val="28"/>
          <w:szCs w:val="28"/>
        </w:rPr>
      </w:pPr>
      <w:r w:rsidDel="00000000" w:rsidR="00000000" w:rsidRPr="00000000">
        <w:rPr>
          <w:rFonts w:ascii="Arial" w:cs="Arial" w:eastAsia="Arial" w:hAnsi="Arial"/>
          <w:b w:val="1"/>
          <w:bCs w:val="1"/>
          <w:color w:val="156082"/>
          <w:sz w:val="28"/>
          <w:szCs w:val="28"/>
          <w:rtl w:val="0"/>
        </w:rPr>
        <w:t xml:space="preserve">Student ID: 2439638</w:t>
      </w:r>
    </w:p>
    <w:p w:rsidR="00000000" w:rsidDel="00000000" w:rsidP="00000000" w:rsidRDefault="00000000" w:rsidRPr="00000000" w14:paraId="00000010">
      <w:pPr>
        <w:jc w:val="cente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4">
      <w:pP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5">
      <w:pP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6">
      <w:pP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7">
      <w:pP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8">
      <w:pPr>
        <w:rPr>
          <w:rFonts w:ascii="Arial" w:cs="Arial" w:eastAsia="Arial" w:hAnsi="Arial"/>
          <w:b w:val="1"/>
          <w:bCs w:val="1"/>
          <w:color w:val="156082"/>
          <w:sz w:val="28"/>
          <w:szCs w:val="28"/>
        </w:rPr>
      </w:pPr>
      <w:r w:rsidDel="00000000" w:rsidR="00000000" w:rsidRPr="00000000">
        <w:rPr>
          <w:rtl w:val="0"/>
        </w:rPr>
      </w:r>
    </w:p>
    <w:p w:rsidR="00000000" w:rsidDel="00000000" w:rsidP="00000000" w:rsidRDefault="00000000" w:rsidRPr="00000000" w14:paraId="00000019">
      <w:pPr>
        <w:rPr>
          <w:rFonts w:ascii="Arial" w:cs="Arial" w:eastAsia="Arial" w:hAnsi="Arial"/>
          <w:b w:val="1"/>
          <w:bCs w:val="1"/>
        </w:rPr>
      </w:pPr>
      <w:r w:rsidDel="00000000" w:rsidR="00000000" w:rsidRPr="00000000">
        <w:rPr>
          <w:rFonts w:ascii="Arial" w:cs="Arial" w:eastAsia="Arial" w:hAnsi="Arial"/>
          <w:b w:val="1"/>
          <w:bCs w:val="1"/>
          <w:rtl w:val="0"/>
        </w:rPr>
        <w:t xml:space="preserve">Submission Date: 24th November, 2025</w:t>
      </w:r>
    </w:p>
    <w:p w:rsidR="00000000" w:rsidDel="00000000" w:rsidP="00000000" w:rsidRDefault="00000000" w:rsidRPr="00000000" w14:paraId="0000001A">
      <w:pPr>
        <w:jc w:val="center"/>
        <w:rPr>
          <w:rFonts w:ascii="Arial" w:cs="Arial" w:eastAsia="Arial" w:hAnsi="Arial"/>
        </w:rPr>
      </w:pPr>
      <w:r w:rsidDel="00000000" w:rsidR="00000000" w:rsidRPr="00000000">
        <w:rPr>
          <w:rtl w:val="0"/>
        </w:rPr>
      </w:r>
    </w:p>
    <w:p w:rsidR="00000000" w:rsidDel="00000000" w:rsidP="00000000" w:rsidRDefault="00000000" w:rsidRPr="00000000" w14:paraId="0000001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0"/>
          <w:bCs w:val="0"/>
          <w:i w:val="0"/>
          <w:iCs w:val="0"/>
          <w:smallCaps w:val="0"/>
          <w:strike w:val="0"/>
          <w:color w:val="0f4761"/>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0f4761"/>
          <w:sz w:val="32"/>
          <w:szCs w:val="32"/>
          <w:u w:val="none"/>
          <w:shd w:fill="auto" w:val="clear"/>
          <w:vertAlign w:val="baseline"/>
          <w:rtl w:val="0"/>
        </w:rPr>
        <w:t xml:space="preserve">Table of Contents</w:t>
      </w:r>
    </w:p>
    <w:sdt>
      <w:sdtPr>
        <w:id w:val="1883608725"/>
        <w:docPartObj>
          <w:docPartGallery w:val="Table of Contents"/>
          <w:docPartUnique w:val="1"/>
        </w:docPartObj>
      </w:sdtPr>
      <w:sdtConten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ew7oi34ebcro">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1. Financial Health Check</w:t>
              <w:tab/>
              <w:t xml:space="preserve">4</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x5dic9jomnr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1.1 Overview of financial performance</w:t>
              <w:tab/>
              <w:t xml:space="preserve">4</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9tcv6gyk0bb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 Profitability Analysis</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q2mxriuhevx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1.2.1 Gross Profit Margin</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xbbq301qt4s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1.2.2 Operating Profit Margin</w:t>
              <w:tab/>
              <w:t xml:space="preserve">6</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0jfy2e0ypx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1.2.3 Net Profit Margin</w:t>
              <w:tab/>
              <w:t xml:space="preserve">6</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v7z77nx1w4a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1.2.4 Return on Assets (ROA)</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zh5yucaet375">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1.2.5 Return on Equity (ROE)</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2spfeyjyrgh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 Liquidity Analysis</w:t>
              <w:tab/>
              <w:t xml:space="preserve">8</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ywrs77pynkp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1.3.1 Current Ratio</w:t>
              <w:tab/>
              <w:t xml:space="preserve">8</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4ac5nq4p7o7">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1.3.2 Quick Ratio</w:t>
              <w:tab/>
              <w:t xml:space="preserve">9</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uqgrrzhvaa0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 Efficiency (Working Capital) Ratios</w:t>
              <w:tab/>
              <w:t xml:space="preserve">9</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giu53nnpj8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1.4.1 Receivables Days (DSO)</w:t>
              <w:tab/>
              <w:t xml:space="preserve">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pl56yqkpluq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1.4.2 Inventory Days (DIO)</w:t>
              <w:tab/>
              <w:t xml:space="preserve">10</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224pe3f72k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1.4.3 Payables Days (DPO)</w:t>
              <w:tab/>
              <w:t xml:space="preserve">11</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k3xlj7okzfj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1.4.4 Cash Conversion Cycle (CCC)</w:t>
              <w:tab/>
              <w:t xml:space="preserve">11</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xjy4htheqxs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 Gearing (Solvency) Ratios</w:t>
              <w:tab/>
              <w:t xml:space="preserve">12</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i1xtripypggp">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1.5.1 Debt-to-Assets</w:t>
              <w:tab/>
              <w:t xml:space="preserve">12</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902xy321z1z">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1.5.2 Debt-to-Equity</w:t>
              <w:tab/>
              <w:t xml:space="preserve">12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lydvsgtz4ih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1.5.3 Interest Coverage</w:t>
              <w:tab/>
              <w:t xml:space="preserve">13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x25gdcxdqaw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1.6 Investment Ratios</w:t>
              <w:tab/>
              <w:t xml:space="preserve">13</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e32iv1mlhfk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1.7 Cash-Flow Ratios</w:t>
              <w:tab/>
              <w:t xml:space="preserve">14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7v6vlddz9k7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1.7.1 Operating Cash Flow Ratio</w:t>
              <w:tab/>
              <w:t xml:space="preserve">14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7wo1qgl6pyn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1.8 Corporate Failure Prediction (Altman Z-Score)</w:t>
              <w:tab/>
              <w:t xml:space="preserve">14</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l4dmuklpvah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1.9 Overall Strengths &amp; Threats</w:t>
              <w:tab/>
              <w:t xml:space="preserve">15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jzfq5pra2zd">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2. Working Capital Management</w:t>
              <w:tab/>
              <w:t xml:space="preserve">16</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6gs1kn1rj9x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Overview of Working Capital Position</w:t>
              <w:tab/>
              <w:t xml:space="preserve">16</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fxxiw416jb5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Receivables Management (DSO)</w:t>
              <w:tab/>
              <w:t xml:space="preserve">17</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c36w2w42hkyx">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Inventory Management (DIO)</w:t>
              <w:tab/>
              <w:t xml:space="preserve">18</w:t>
            </w:r>
          </w:hyperlink>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fu08lg6saiw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2.4 Payables Management (DPO)</w:t>
              <w:tab/>
              <w:t xml:space="preserve">19</w:t>
            </w:r>
          </w:hyperlink>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r78hrm4np6jk">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2.5 Cash Conversion Cycle (CCC)</w:t>
              <w:tab/>
              <w:t xml:space="preserve">20</w:t>
            </w:r>
          </w:hyperlink>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ctobuz8vkc9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2.6 Linking Working Capital to Distress &amp; Turnaround Theory</w:t>
              <w:tab/>
              <w:t xml:space="preserve">20</w:t>
            </w:r>
          </w:hyperlink>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3v2bb7de3u0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2.7 Diagnosis of Working Capital Inefficiencies</w:t>
              <w:tab/>
              <w:t xml:space="preserve">21</w:t>
            </w:r>
          </w:hyperlink>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798wch44yiq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2.8 Recommendations for Improving Working Capital</w:t>
              <w:tab/>
              <w:t xml:space="preserve">22</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giw571nlpdhb">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 Corporate Failure, Turnaround and Restructuring</w:t>
              <w:tab/>
              <w:t xml:space="preserve">23</w:t>
            </w:r>
          </w:hyperlink>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hpr9zv7ydht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Evidence of Financial Distress</w:t>
              <w:tab/>
              <w:t xml:space="preserve">23</w:t>
            </w:r>
          </w:hyperlink>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v3xf0qw7xfx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3.2 Causes of Corporate Distress</w:t>
              <w:tab/>
              <w:t xml:space="preserve">24</w:t>
            </w:r>
          </w:hyperlink>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venlcbf76nd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Turnaround Strategy Framework</w:t>
              <w:tab/>
              <w:t xml:space="preserve">26</w:t>
            </w:r>
          </w:hyperlink>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7jwd2mi6vg">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3.3.1 Stage 1: Rapid Financial Stabilisation (0–12 months)</w:t>
              <w:tab/>
              <w:t xml:space="preserve">26</w:t>
            </w:r>
          </w:hyperlink>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6m4dcj9k4o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3.3.2 Stage 2: Strategic Recovery and Repositioning (1–3 years)</w:t>
              <w:tab/>
              <w:t xml:space="preserve">27</w:t>
            </w:r>
          </w:hyperlink>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d3w0sy9k3pci">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3.4 Expected Impact of the Turnaround Plan</w:t>
              <w:tab/>
              <w:t xml:space="preserve">28</w:t>
            </w:r>
          </w:hyperlink>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88acgjk0civl">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4. Investment Appraisal and Capital Budgeting</w:t>
              <w:tab/>
              <w:t xml:space="preserve">29</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3h4rwqubmr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 Project Cash Flow Summary</w:t>
              <w:tab/>
              <w:t xml:space="preserve">29</w:t>
            </w:r>
          </w:hyperlink>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v2ylo4ajjow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4.2 Payback Period (PBP)</w:t>
              <w:tab/>
              <w:t xml:space="preserve">30</w:t>
            </w:r>
          </w:hyperlink>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gswdn745bij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4.3 Accounting Rate of Return (ARR)</w:t>
              <w:tab/>
              <w:t xml:space="preserve">32</w:t>
            </w:r>
          </w:hyperlink>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oobbkxheiu">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4.4 Net Present Value (NPV)</w:t>
              <w:tab/>
              <w:t xml:space="preserve">34</w:t>
            </w:r>
          </w:hyperlink>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v73db93a4n7f">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4.5 Profitability Index (PI)</w:t>
              <w:tab/>
              <w:t xml:space="preserve">35</w:t>
            </w:r>
          </w:hyperlink>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sblru5yx44f0">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4.6 Internal Rate of Return (IRR)</w:t>
              <w:tab/>
              <w:t xml:space="preserve">36</w:t>
            </w:r>
          </w:hyperlink>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1sb7fkv40su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4.7 Overall Quantitative Comparison</w:t>
              <w:tab/>
              <w:t xml:space="preserve">37</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pz01jjp2vhe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4.8 Qualitative Factors and Risk Considerations</w:t>
              <w:tab/>
              <w:t xml:space="preserve">38</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tdzdtsibrmy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4.8.1 Liquidity Constraints</w:t>
              <w:tab/>
              <w:t xml:space="preserve">38</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st0nijn2xmnn">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4.8.2 Cash Flow Volatility</w:t>
              <w:tab/>
              <w:t xml:space="preserve">38</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8.00000000000006" w:lineRule="auto"/>
            <w:ind w:left="48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56dtu1k3eh0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4.8.3 Strategic Fit</w:t>
              <w:tab/>
              <w:t xml:space="preserve">38</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ej4kqndaeoz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4.9 Capital Rationing Decision (Maximum Available = £60m)</w:t>
              <w:tab/>
              <w:t xml:space="preserve">39</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278.00000000000006" w:lineRule="auto"/>
            <w:ind w:left="24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z3fh5ahhv8ym">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4.10 Final Recommendation</w:t>
              <w:tab/>
              <w:t xml:space="preserve">39</w:t>
            </w:r>
          </w:hyperlink>
          <w:r w:rsidDel="00000000" w:rsidR="00000000" w:rsidRPr="00000000">
            <w:rPr>
              <w:rtl w:val="0"/>
            </w:rPr>
          </w:r>
        </w:p>
        <w:p w:rsidR="00000000" w:rsidDel="00000000" w:rsidP="00000000" w:rsidRDefault="00000000" w:rsidRPr="00000000" w14:paraId="0000005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4">
      <w:pPr>
        <w:pStyle w:val="Heading1"/>
        <w:rPr/>
      </w:pPr>
      <w:bookmarkStart w:colFirst="0" w:colLast="0" w:name="_ew7oi34ebcro" w:id="0"/>
      <w:bookmarkEnd w:id="0"/>
      <w:r w:rsidDel="00000000" w:rsidR="00000000" w:rsidRPr="00000000">
        <w:br w:type="page"/>
      </w:r>
      <w:r w:rsidDel="00000000" w:rsidR="00000000" w:rsidRPr="00000000">
        <w:rPr>
          <w:rtl w:val="0"/>
        </w:rPr>
        <w:t xml:space="preserve">1. Financial Health Check </w:t>
      </w:r>
    </w:p>
    <w:p w:rsidR="00000000" w:rsidDel="00000000" w:rsidP="00000000" w:rsidRDefault="00000000" w:rsidRPr="00000000" w14:paraId="00000055">
      <w:pPr>
        <w:pStyle w:val="Heading2"/>
        <w:rPr/>
      </w:pPr>
      <w:bookmarkStart w:colFirst="0" w:colLast="0" w:name="_x5dic9jomnrk" w:id="1"/>
      <w:bookmarkEnd w:id="1"/>
      <w:r w:rsidDel="00000000" w:rsidR="00000000" w:rsidRPr="00000000">
        <w:rPr>
          <w:rtl w:val="0"/>
        </w:rPr>
        <w:t xml:space="preserve">1.1 Overview of financial performance</w:t>
      </w:r>
    </w:p>
    <w:p w:rsidR="00000000" w:rsidDel="00000000" w:rsidP="00000000" w:rsidRDefault="00000000" w:rsidRPr="00000000" w14:paraId="00000056">
      <w:pPr>
        <w:spacing w:line="360" w:lineRule="auto"/>
        <w:jc w:val="both"/>
        <w:rPr>
          <w:rFonts w:ascii="Arial" w:cs="Arial" w:eastAsia="Arial" w:hAnsi="Arial"/>
        </w:rPr>
      </w:pPr>
      <w:r w:rsidDel="00000000" w:rsidR="00000000" w:rsidRPr="00000000">
        <w:rPr>
          <w:rFonts w:ascii="Arial" w:cs="Arial" w:eastAsia="Arial" w:hAnsi="Arial"/>
          <w:rtl w:val="0"/>
        </w:rPr>
        <w:t xml:space="preserve">General Electronics (GE) has moved from being a profitable global electronics player in 2020–2022 to a loss-making group in 2023–2024. Revenue fell sharply from </w:t>
      </w:r>
      <w:r w:rsidDel="00000000" w:rsidR="00000000" w:rsidRPr="00000000">
        <w:rPr>
          <w:rFonts w:ascii="Arial" w:cs="Arial" w:eastAsia="Arial" w:hAnsi="Arial"/>
          <w:b w:val="1"/>
          <w:bCs w:val="1"/>
          <w:rtl w:val="0"/>
        </w:rPr>
        <w:t xml:space="preserve">£614.7bn in 2020</w:t>
      </w:r>
      <w:r w:rsidDel="00000000" w:rsidR="00000000" w:rsidRPr="00000000">
        <w:rPr>
          <w:rFonts w:ascii="Arial" w:cs="Arial" w:eastAsia="Arial" w:hAnsi="Arial"/>
          <w:rtl w:val="0"/>
        </w:rPr>
        <w:t xml:space="preserve"> to </w:t>
      </w:r>
      <w:r w:rsidDel="00000000" w:rsidR="00000000" w:rsidRPr="00000000">
        <w:rPr>
          <w:rFonts w:ascii="Arial" w:cs="Arial" w:eastAsia="Arial" w:hAnsi="Arial"/>
          <w:b w:val="1"/>
          <w:bCs w:val="1"/>
          <w:rtl w:val="0"/>
        </w:rPr>
        <w:t xml:space="preserve">£394.9bn in 2024</w:t>
      </w:r>
      <w:r w:rsidDel="00000000" w:rsidR="00000000" w:rsidRPr="00000000">
        <w:rPr>
          <w:rFonts w:ascii="Arial" w:cs="Arial" w:eastAsia="Arial" w:hAnsi="Arial"/>
          <w:rtl w:val="0"/>
        </w:rPr>
        <w:t xml:space="preserve">, a cumulative decline of around 36%. The business still generates a broadly stable </w:t>
      </w:r>
      <w:r w:rsidDel="00000000" w:rsidR="00000000" w:rsidRPr="00000000">
        <w:rPr>
          <w:rFonts w:ascii="Arial" w:cs="Arial" w:eastAsia="Arial" w:hAnsi="Arial"/>
          <w:b w:val="1"/>
          <w:bCs w:val="1"/>
          <w:rtl w:val="0"/>
        </w:rPr>
        <w:t xml:space="preserve">gross margin of c. 28–29%</w:t>
      </w:r>
      <w:r w:rsidDel="00000000" w:rsidR="00000000" w:rsidRPr="00000000">
        <w:rPr>
          <w:rFonts w:ascii="Arial" w:cs="Arial" w:eastAsia="Arial" w:hAnsi="Arial"/>
          <w:rtl w:val="0"/>
        </w:rPr>
        <w:t xml:space="preserve">, which suggests that product-level pricing and direct cost control remain reasonably robust. However, operating expenses have grown disproportionately relative to sales. This caused operating income to fall from </w:t>
      </w:r>
      <w:r w:rsidDel="00000000" w:rsidR="00000000" w:rsidRPr="00000000">
        <w:rPr>
          <w:rFonts w:ascii="Arial" w:cs="Arial" w:eastAsia="Arial" w:hAnsi="Arial"/>
          <w:b w:val="1"/>
          <w:bCs w:val="1"/>
          <w:rtl w:val="0"/>
        </w:rPr>
        <w:t xml:space="preserve">£37.3bn in 2020</w:t>
      </w:r>
      <w:r w:rsidDel="00000000" w:rsidR="00000000" w:rsidRPr="00000000">
        <w:rPr>
          <w:rFonts w:ascii="Arial" w:cs="Arial" w:eastAsia="Arial" w:hAnsi="Arial"/>
          <w:rtl w:val="0"/>
        </w:rPr>
        <w:t xml:space="preserve"> to modest profits in 2021–2022, then swing to substantial operating losses in 2023–2024.</w:t>
      </w:r>
    </w:p>
    <w:p w:rsidR="00000000" w:rsidDel="00000000" w:rsidP="00000000" w:rsidRDefault="00000000" w:rsidRPr="00000000" w14:paraId="00000057">
      <w:pPr>
        <w:spacing w:line="360" w:lineRule="auto"/>
        <w:jc w:val="both"/>
        <w:rPr>
          <w:rFonts w:ascii="Arial" w:cs="Arial" w:eastAsia="Arial" w:hAnsi="Arial"/>
        </w:rPr>
      </w:pPr>
      <w:r w:rsidDel="00000000" w:rsidR="00000000" w:rsidRPr="00000000">
        <w:rPr>
          <w:rFonts w:ascii="Arial" w:cs="Arial" w:eastAsia="Arial" w:hAnsi="Arial"/>
          <w:rtl w:val="0"/>
        </w:rPr>
        <w:t xml:space="preserve">At the bottom line, net profit of </w:t>
      </w:r>
      <w:r w:rsidDel="00000000" w:rsidR="00000000" w:rsidRPr="00000000">
        <w:rPr>
          <w:rFonts w:ascii="Arial" w:cs="Arial" w:eastAsia="Arial" w:hAnsi="Arial"/>
          <w:b w:val="1"/>
          <w:bCs w:val="1"/>
          <w:rtl w:val="0"/>
        </w:rPr>
        <w:t xml:space="preserve">£38.6bn in 2020</w:t>
      </w:r>
      <w:r w:rsidDel="00000000" w:rsidR="00000000" w:rsidRPr="00000000">
        <w:rPr>
          <w:rFonts w:ascii="Arial" w:cs="Arial" w:eastAsia="Arial" w:hAnsi="Arial"/>
          <w:rtl w:val="0"/>
        </w:rPr>
        <w:t xml:space="preserve"> deteriorated to </w:t>
      </w:r>
      <w:r w:rsidDel="00000000" w:rsidR="00000000" w:rsidRPr="00000000">
        <w:rPr>
          <w:rFonts w:ascii="Arial" w:cs="Arial" w:eastAsia="Arial" w:hAnsi="Arial"/>
          <w:b w:val="1"/>
          <w:bCs w:val="1"/>
          <w:rtl w:val="0"/>
        </w:rPr>
        <w:t xml:space="preserve">£0.4bn in 2022</w:t>
      </w:r>
      <w:r w:rsidDel="00000000" w:rsidR="00000000" w:rsidRPr="00000000">
        <w:rPr>
          <w:rFonts w:ascii="Arial" w:cs="Arial" w:eastAsia="Arial" w:hAnsi="Arial"/>
          <w:rtl w:val="0"/>
        </w:rPr>
        <w:t xml:space="preserve"> and then to losses of </w:t>
      </w:r>
      <w:r w:rsidDel="00000000" w:rsidR="00000000" w:rsidRPr="00000000">
        <w:rPr>
          <w:rFonts w:ascii="Arial" w:cs="Arial" w:eastAsia="Arial" w:hAnsi="Arial"/>
          <w:b w:val="1"/>
          <w:bCs w:val="1"/>
          <w:rtl w:val="0"/>
        </w:rPr>
        <w:t xml:space="preserve">£98.2bn and £24.0bn</w:t>
      </w:r>
      <w:r w:rsidDel="00000000" w:rsidR="00000000" w:rsidRPr="00000000">
        <w:rPr>
          <w:rFonts w:ascii="Arial" w:cs="Arial" w:eastAsia="Arial" w:hAnsi="Arial"/>
          <w:rtl w:val="0"/>
        </w:rPr>
        <w:t xml:space="preserve"> in 2023 and 2024 respectively. The balance sheet still shows a sizeable equity base (£153.1bn in 2024), but leverage has increased, short-term borrowings are high, and cash flows from operations have weakened compared with earlier years. The cash flow statement indicates positive CFO in every year, however, decreasing between the years, 2020 (</w:t>
      </w:r>
      <w:r w:rsidDel="00000000" w:rsidR="00000000" w:rsidRPr="00000000">
        <w:rPr>
          <w:rFonts w:ascii="Arial" w:cs="Arial" w:eastAsia="Arial" w:hAnsi="Arial"/>
          <w:b w:val="1"/>
          <w:bCs w:val="1"/>
          <w:rtl w:val="0"/>
        </w:rPr>
        <w:t xml:space="preserve">£73.4bn</w:t>
      </w:r>
      <w:r w:rsidDel="00000000" w:rsidR="00000000" w:rsidRPr="00000000">
        <w:rPr>
          <w:rFonts w:ascii="Arial" w:cs="Arial" w:eastAsia="Arial" w:hAnsi="Arial"/>
          <w:rtl w:val="0"/>
        </w:rPr>
        <w:t xml:space="preserve">) and 2024 (</w:t>
      </w:r>
      <w:r w:rsidDel="00000000" w:rsidR="00000000" w:rsidRPr="00000000">
        <w:rPr>
          <w:rFonts w:ascii="Arial" w:cs="Arial" w:eastAsia="Arial" w:hAnsi="Arial"/>
          <w:b w:val="1"/>
          <w:bCs w:val="1"/>
          <w:rtl w:val="0"/>
        </w:rPr>
        <w:t xml:space="preserve">£14.8bn</w:t>
      </w:r>
      <w:r w:rsidDel="00000000" w:rsidR="00000000" w:rsidRPr="00000000">
        <w:rPr>
          <w:rFonts w:ascii="Arial" w:cs="Arial" w:eastAsia="Arial" w:hAnsi="Arial"/>
          <w:rtl w:val="0"/>
        </w:rPr>
        <w:t xml:space="preserve">), and financing cash flows are more dependent on the lines of credit and share buybacks in previous years.</w:t>
      </w:r>
    </w:p>
    <w:p w:rsidR="00000000" w:rsidDel="00000000" w:rsidP="00000000" w:rsidRDefault="00000000" w:rsidRPr="00000000" w14:paraId="00000058">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2"/>
        <w:rPr/>
      </w:pPr>
      <w:bookmarkStart w:colFirst="0" w:colLast="0" w:name="_9tcv6gyk0bbh" w:id="2"/>
      <w:bookmarkEnd w:id="2"/>
      <w:r w:rsidDel="00000000" w:rsidR="00000000" w:rsidRPr="00000000">
        <w:rPr>
          <w:rtl w:val="0"/>
        </w:rPr>
        <w:t xml:space="preserve">1.2 Profitability Analysis</w:t>
      </w:r>
    </w:p>
    <w:p w:rsidR="00000000" w:rsidDel="00000000" w:rsidP="00000000" w:rsidRDefault="00000000" w:rsidRPr="00000000" w14:paraId="0000005A">
      <w:pPr>
        <w:spacing w:line="360" w:lineRule="auto"/>
        <w:jc w:val="both"/>
        <w:rPr>
          <w:rFonts w:ascii="Arial" w:cs="Arial" w:eastAsia="Arial" w:hAnsi="Arial"/>
        </w:rPr>
      </w:pPr>
      <w:r w:rsidDel="00000000" w:rsidR="00000000" w:rsidRPr="00000000">
        <w:rPr>
          <w:rFonts w:ascii="Arial" w:cs="Arial" w:eastAsia="Arial" w:hAnsi="Arial"/>
          <w:rtl w:val="0"/>
        </w:rPr>
        <w:t xml:space="preserve">Profitability ratios indicate whether the firm can make returns on its sales and assets. GE experiences a significant drop in profitability within the five-year analysis, as the performance shifts to the stable profitability (2020-2021) into the serious losses (2023-2024).</w:t>
      </w:r>
    </w:p>
    <w:p w:rsidR="00000000" w:rsidDel="00000000" w:rsidP="00000000" w:rsidRDefault="00000000" w:rsidRPr="00000000" w14:paraId="0000005B">
      <w:pPr>
        <w:pStyle w:val="Heading3"/>
        <w:rPr/>
      </w:pPr>
      <w:bookmarkStart w:colFirst="0" w:colLast="0" w:name="_q2mxriuhevxa" w:id="3"/>
      <w:bookmarkEnd w:id="3"/>
      <w:r w:rsidDel="00000000" w:rsidR="00000000" w:rsidRPr="00000000">
        <w:rPr>
          <w:rtl w:val="0"/>
        </w:rPr>
        <w:t xml:space="preserve">1.2.1 Gross Profit Margin</w:t>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05D">
      <w:pPr>
        <w:rPr>
          <w:rFonts w:ascii="Arial" w:cs="Arial" w:eastAsia="Arial" w:hAnsi="Arial"/>
          <w:sz w:val="32"/>
          <w:szCs w:val="32"/>
        </w:rPr>
      </w:pPr>
      <w:r w:rsidDel="00000000" w:rsidR="00000000" w:rsidRPr="00000000">
        <w:rPr>
          <w:rFonts w:ascii="Arial" w:cs="Arial" w:eastAsia="Arial" w:hAnsi="Arial"/>
          <w:rtl w:val="0"/>
        </w:rPr>
        <w:t xml:space="preserve">Gross Profit Margin</w:t>
      </w:r>
      <w:r w:rsidDel="00000000" w:rsidR="00000000" w:rsidRPr="00000000">
        <w:rPr>
          <w:rFonts w:ascii="Arial" w:cs="Arial" w:eastAsia="Arial" w:hAnsi="Arial"/>
          <w:sz w:val="32"/>
          <w:szCs w:val="32"/>
          <w:rtl w:val="0"/>
        </w:rPr>
        <w:t xml:space="preserve">=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Gross Profit</m:t>
            </m:r>
          </m:num>
          <m:den>
            <m:r>
              <w:rPr>
                <w:rFonts w:ascii="Cambria Math" w:cs="Cambria Math" w:eastAsia="Cambria Math" w:hAnsi="Cambria Math"/>
                <w:sz w:val="32"/>
                <w:szCs w:val="32"/>
              </w:rPr>
              <m:t xml:space="preserve">Net Sales</m:t>
            </m:r>
          </m:den>
        </m:f>
      </m:oMath>
      <w:r w:rsidDel="00000000" w:rsidR="00000000" w:rsidRPr="00000000">
        <w:rPr>
          <w:rtl w:val="0"/>
        </w:rPr>
      </w:r>
    </w:p>
    <w:p w:rsidR="00000000" w:rsidDel="00000000" w:rsidP="00000000" w:rsidRDefault="00000000" w:rsidRPr="00000000" w14:paraId="0000005E">
      <w:pPr>
        <w:rPr>
          <w:rFonts w:ascii="Arial" w:cs="Arial" w:eastAsia="Arial" w:hAnsi="Arial"/>
          <w:b w:val="1"/>
          <w:bCs w:val="1"/>
        </w:rPr>
      </w:pPr>
      <w:r w:rsidDel="00000000" w:rsidR="00000000" w:rsidRPr="00000000">
        <w:rPr>
          <w:rFonts w:ascii="Arial" w:cs="Arial" w:eastAsia="Arial" w:hAnsi="Arial"/>
          <w:b w:val="1"/>
          <w:bCs w:val="1"/>
          <w:rtl w:val="0"/>
        </w:rPr>
        <w:t xml:space="preserve">Gross Profit Margin Table</w:t>
      </w:r>
    </w:p>
    <w:tbl>
      <w:tblPr>
        <w:tblStyle w:val="Table1"/>
        <w:tblW w:w="799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043"/>
        <w:gridCol w:w="3025"/>
        <w:gridCol w:w="1969"/>
        <w:gridCol w:w="1960"/>
        <w:tblGridChange w:id="0">
          <w:tblGrid>
            <w:gridCol w:w="1043"/>
            <w:gridCol w:w="3025"/>
            <w:gridCol w:w="1969"/>
            <w:gridCol w:w="1960"/>
          </w:tblGrid>
        </w:tblGridChange>
      </w:tblGrid>
      <w:tr>
        <w:trPr>
          <w:cantSplit w:val="0"/>
          <w:trHeight w:val="8" w:hRule="atLeast"/>
          <w:tblHeader w:val="0"/>
        </w:trPr>
        <w:tc>
          <w:tcPr/>
          <w:p w:rsidR="00000000" w:rsidDel="00000000" w:rsidP="00000000" w:rsidRDefault="00000000" w:rsidRPr="00000000" w14:paraId="0000005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06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Gross Profit (£m)</w:t>
            </w:r>
          </w:p>
        </w:tc>
        <w:tc>
          <w:tcPr/>
          <w:p w:rsidR="00000000" w:rsidDel="00000000" w:rsidP="00000000" w:rsidRDefault="00000000" w:rsidRPr="00000000" w14:paraId="0000006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Sales (£m)</w:t>
            </w:r>
          </w:p>
        </w:tc>
        <w:tc>
          <w:tcPr/>
          <w:p w:rsidR="00000000" w:rsidDel="00000000" w:rsidP="00000000" w:rsidRDefault="00000000" w:rsidRPr="00000000" w14:paraId="0000006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GPM (%)</w:t>
            </w:r>
          </w:p>
        </w:tc>
      </w:tr>
      <w:tr>
        <w:trPr>
          <w:cantSplit w:val="0"/>
          <w:trHeight w:val="8" w:hRule="atLeast"/>
          <w:tblHeader w:val="0"/>
        </w:trPr>
        <w:tc>
          <w:tcPr/>
          <w:p w:rsidR="00000000" w:rsidDel="00000000" w:rsidP="00000000" w:rsidRDefault="00000000" w:rsidRPr="00000000" w14:paraId="0000006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06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113,994</w:t>
            </w:r>
          </w:p>
        </w:tc>
        <w:tc>
          <w:tcPr/>
          <w:p w:rsidR="00000000" w:rsidDel="00000000" w:rsidP="00000000" w:rsidRDefault="00000000" w:rsidRPr="00000000" w14:paraId="0000006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394,879</w:t>
            </w:r>
          </w:p>
        </w:tc>
        <w:tc>
          <w:tcPr/>
          <w:p w:rsidR="00000000" w:rsidDel="00000000" w:rsidP="00000000" w:rsidRDefault="00000000" w:rsidRPr="00000000" w14:paraId="0000006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28.9%</w:t>
            </w:r>
          </w:p>
        </w:tc>
      </w:tr>
      <w:tr>
        <w:trPr>
          <w:cantSplit w:val="0"/>
          <w:trHeight w:val="8" w:hRule="atLeast"/>
          <w:tblHeader w:val="0"/>
        </w:trPr>
        <w:tc>
          <w:tcPr/>
          <w:p w:rsidR="00000000" w:rsidDel="00000000" w:rsidP="00000000" w:rsidRDefault="00000000" w:rsidRPr="00000000" w14:paraId="0000006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06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97,560</w:t>
            </w:r>
          </w:p>
        </w:tc>
        <w:tc>
          <w:tcPr/>
          <w:p w:rsidR="00000000" w:rsidDel="00000000" w:rsidP="00000000" w:rsidRDefault="00000000" w:rsidRPr="00000000" w14:paraId="0000006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420,457</w:t>
            </w:r>
          </w:p>
        </w:tc>
        <w:tc>
          <w:tcPr/>
          <w:p w:rsidR="00000000" w:rsidDel="00000000" w:rsidP="00000000" w:rsidRDefault="00000000" w:rsidRPr="00000000" w14:paraId="0000006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23.2%</w:t>
            </w:r>
          </w:p>
        </w:tc>
      </w:tr>
      <w:tr>
        <w:trPr>
          <w:cantSplit w:val="0"/>
          <w:trHeight w:val="8" w:hRule="atLeast"/>
          <w:tblHeader w:val="0"/>
        </w:trPr>
        <w:tc>
          <w:tcPr/>
          <w:p w:rsidR="00000000" w:rsidDel="00000000" w:rsidP="00000000" w:rsidRDefault="00000000" w:rsidRPr="00000000" w14:paraId="0000006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06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152,292</w:t>
            </w:r>
          </w:p>
        </w:tc>
        <w:tc>
          <w:tcPr/>
          <w:p w:rsidR="00000000" w:rsidDel="00000000" w:rsidP="00000000" w:rsidRDefault="00000000" w:rsidRPr="00000000" w14:paraId="0000006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542,751</w:t>
            </w:r>
          </w:p>
        </w:tc>
        <w:tc>
          <w:tcPr/>
          <w:p w:rsidR="00000000" w:rsidDel="00000000" w:rsidP="00000000" w:rsidRDefault="00000000" w:rsidRPr="00000000" w14:paraId="0000006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28.1%</w:t>
            </w:r>
          </w:p>
        </w:tc>
      </w:tr>
      <w:tr>
        <w:trPr>
          <w:cantSplit w:val="0"/>
          <w:trHeight w:val="8" w:hRule="atLeast"/>
          <w:tblHeader w:val="0"/>
        </w:trPr>
        <w:tc>
          <w:tcPr/>
          <w:p w:rsidR="00000000" w:rsidDel="00000000" w:rsidP="00000000" w:rsidRDefault="00000000" w:rsidRPr="00000000" w14:paraId="0000006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7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173,016</w:t>
            </w:r>
          </w:p>
        </w:tc>
        <w:tc>
          <w:tcPr/>
          <w:p w:rsidR="00000000" w:rsidDel="00000000" w:rsidP="00000000" w:rsidRDefault="00000000" w:rsidRPr="00000000" w14:paraId="0000007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601,602</w:t>
            </w:r>
          </w:p>
        </w:tc>
        <w:tc>
          <w:tcPr/>
          <w:p w:rsidR="00000000" w:rsidDel="00000000" w:rsidP="00000000" w:rsidRDefault="00000000" w:rsidRPr="00000000" w14:paraId="0000007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28.7%</w:t>
            </w:r>
          </w:p>
        </w:tc>
      </w:tr>
      <w:tr>
        <w:trPr>
          <w:cantSplit w:val="0"/>
          <w:trHeight w:val="8" w:hRule="atLeast"/>
          <w:tblHeader w:val="0"/>
        </w:trPr>
        <w:tc>
          <w:tcPr/>
          <w:p w:rsidR="00000000" w:rsidDel="00000000" w:rsidP="00000000" w:rsidRDefault="00000000" w:rsidRPr="00000000" w14:paraId="0000007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07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176,256</w:t>
            </w:r>
          </w:p>
        </w:tc>
        <w:tc>
          <w:tcPr/>
          <w:p w:rsidR="00000000" w:rsidDel="00000000" w:rsidP="00000000" w:rsidRDefault="00000000" w:rsidRPr="00000000" w14:paraId="0000007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614,680</w:t>
            </w:r>
          </w:p>
        </w:tc>
        <w:tc>
          <w:tcPr/>
          <w:p w:rsidR="00000000" w:rsidDel="00000000" w:rsidP="00000000" w:rsidRDefault="00000000" w:rsidRPr="00000000" w14:paraId="0000007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28.7%</w:t>
            </w:r>
          </w:p>
        </w:tc>
      </w:tr>
    </w:tbl>
    <w:p w:rsidR="00000000" w:rsidDel="00000000" w:rsidP="00000000" w:rsidRDefault="00000000" w:rsidRPr="00000000" w14:paraId="0000007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8">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079">
      <w:pPr>
        <w:spacing w:line="360" w:lineRule="auto"/>
        <w:jc w:val="both"/>
        <w:rPr>
          <w:rFonts w:ascii="Arial" w:cs="Arial" w:eastAsia="Arial" w:hAnsi="Arial"/>
        </w:rPr>
      </w:pPr>
      <w:r w:rsidDel="00000000" w:rsidR="00000000" w:rsidRPr="00000000">
        <w:rPr>
          <w:rFonts w:ascii="Arial" w:cs="Arial" w:eastAsia="Arial" w:hAnsi="Arial"/>
          <w:rtl w:val="0"/>
        </w:rPr>
        <w:t xml:space="preserve">GE continuously registered a gross margin of around </w:t>
      </w:r>
      <w:r w:rsidDel="00000000" w:rsidR="00000000" w:rsidRPr="00000000">
        <w:rPr>
          <w:rFonts w:ascii="Arial" w:cs="Arial" w:eastAsia="Arial" w:hAnsi="Arial"/>
          <w:b w:val="1"/>
          <w:bCs w:val="1"/>
          <w:rtl w:val="0"/>
        </w:rPr>
        <w:t xml:space="preserve">28%-29%,</w:t>
      </w:r>
      <w:r w:rsidDel="00000000" w:rsidR="00000000" w:rsidRPr="00000000">
        <w:rPr>
          <w:rFonts w:ascii="Arial" w:cs="Arial" w:eastAsia="Arial" w:hAnsi="Arial"/>
          <w:rtl w:val="0"/>
        </w:rPr>
        <w:t xml:space="preserve"> which showed stabilized cost management in the manufacturing processes. The sole significant deviation was in 2023 (</w:t>
      </w:r>
      <w:r w:rsidDel="00000000" w:rsidR="00000000" w:rsidRPr="00000000">
        <w:rPr>
          <w:rFonts w:ascii="Arial" w:cs="Arial" w:eastAsia="Arial" w:hAnsi="Arial"/>
          <w:b w:val="1"/>
          <w:bCs w:val="1"/>
          <w:rtl w:val="0"/>
        </w:rPr>
        <w:t xml:space="preserve">23.2%</w:t>
      </w:r>
      <w:r w:rsidDel="00000000" w:rsidR="00000000" w:rsidRPr="00000000">
        <w:rPr>
          <w:rFonts w:ascii="Arial" w:cs="Arial" w:eastAsia="Arial" w:hAnsi="Arial"/>
          <w:rtl w:val="0"/>
        </w:rPr>
        <w:t xml:space="preserve">), as sales fell and could have increased the input costs. This is an indication that the core manufacturing efficiency of GE is unaffected and the problems of profitability lie in the increases of operating expenses, rather than COGS inefficiency.</w:t>
      </w:r>
    </w:p>
    <w:p w:rsidR="00000000" w:rsidDel="00000000" w:rsidP="00000000" w:rsidRDefault="00000000" w:rsidRPr="00000000" w14:paraId="0000007A">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7B">
      <w:pPr>
        <w:pStyle w:val="Heading3"/>
        <w:rPr/>
      </w:pPr>
      <w:bookmarkStart w:colFirst="0" w:colLast="0" w:name="_xbbq301qt4sj" w:id="4"/>
      <w:bookmarkEnd w:id="4"/>
      <w:r w:rsidDel="00000000" w:rsidR="00000000" w:rsidRPr="00000000">
        <w:rPr>
          <w:rtl w:val="0"/>
        </w:rPr>
        <w:t xml:space="preserve">1.2.2 Operating Profit Margin</w:t>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07D">
      <w:pPr>
        <w:rPr>
          <w:rFonts w:ascii="Arial" w:cs="Arial" w:eastAsia="Arial" w:hAnsi="Arial"/>
          <w:sz w:val="32"/>
          <w:szCs w:val="32"/>
        </w:rPr>
      </w:pPr>
      <w:r w:rsidDel="00000000" w:rsidR="00000000" w:rsidRPr="00000000">
        <w:rPr>
          <w:rFonts w:ascii="Arial" w:cs="Arial" w:eastAsia="Arial" w:hAnsi="Arial"/>
          <w:rtl w:val="0"/>
        </w:rPr>
        <w:t xml:space="preserve">Operating Margin=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Operating Income</m:t>
            </m:r>
          </m:num>
          <m:den>
            <m:r>
              <w:rPr>
                <w:rFonts w:ascii="Cambria Math" w:cs="Cambria Math" w:eastAsia="Cambria Math" w:hAnsi="Cambria Math"/>
                <w:sz w:val="32"/>
                <w:szCs w:val="32"/>
              </w:rPr>
              <m:t xml:space="preserve">Net Sales</m:t>
            </m:r>
          </m:den>
        </m:f>
      </m:oMath>
      <w:r w:rsidDel="00000000" w:rsidR="00000000" w:rsidRPr="00000000">
        <w:rPr>
          <w:rtl w:val="0"/>
        </w:rPr>
      </w:r>
    </w:p>
    <w:p w:rsidR="00000000" w:rsidDel="00000000" w:rsidP="00000000" w:rsidRDefault="00000000" w:rsidRPr="00000000" w14:paraId="0000007E">
      <w:pPr>
        <w:rPr>
          <w:rFonts w:ascii="Arial" w:cs="Arial" w:eastAsia="Arial" w:hAnsi="Arial"/>
          <w:b w:val="1"/>
          <w:bCs w:val="1"/>
        </w:rPr>
      </w:pPr>
      <w:r w:rsidDel="00000000" w:rsidR="00000000" w:rsidRPr="00000000">
        <w:rPr>
          <w:rFonts w:ascii="Arial" w:cs="Arial" w:eastAsia="Arial" w:hAnsi="Arial"/>
          <w:b w:val="1"/>
          <w:bCs w:val="1"/>
          <w:rtl w:val="0"/>
        </w:rPr>
        <w:t xml:space="preserve">Operating Margin Table</w:t>
      </w:r>
    </w:p>
    <w:tbl>
      <w:tblPr>
        <w:tblStyle w:val="Table2"/>
        <w:tblW w:w="8983.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087"/>
        <w:gridCol w:w="4100"/>
        <w:gridCol w:w="2053"/>
        <w:gridCol w:w="1743"/>
        <w:tblGridChange w:id="0">
          <w:tblGrid>
            <w:gridCol w:w="1087"/>
            <w:gridCol w:w="4100"/>
            <w:gridCol w:w="2053"/>
            <w:gridCol w:w="1743"/>
          </w:tblGrid>
        </w:tblGridChange>
      </w:tblGrid>
      <w:tr>
        <w:trPr>
          <w:cantSplit w:val="0"/>
          <w:trHeight w:val="525" w:hRule="atLeast"/>
          <w:tblHeader w:val="0"/>
        </w:trPr>
        <w:tc>
          <w:tcPr/>
          <w:p w:rsidR="00000000" w:rsidDel="00000000" w:rsidP="00000000" w:rsidRDefault="00000000" w:rsidRPr="00000000" w14:paraId="0000007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08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Operating Income (£m)</w:t>
            </w:r>
          </w:p>
        </w:tc>
        <w:tc>
          <w:tcPr/>
          <w:p w:rsidR="00000000" w:rsidDel="00000000" w:rsidP="00000000" w:rsidRDefault="00000000" w:rsidRPr="00000000" w14:paraId="0000008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Sales (£m)</w:t>
            </w:r>
          </w:p>
        </w:tc>
        <w:tc>
          <w:tcPr/>
          <w:p w:rsidR="00000000" w:rsidDel="00000000" w:rsidP="00000000" w:rsidRDefault="00000000" w:rsidRPr="00000000" w14:paraId="0000008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OPM (%)</w:t>
            </w:r>
          </w:p>
        </w:tc>
      </w:tr>
      <w:tr>
        <w:trPr>
          <w:cantSplit w:val="0"/>
          <w:trHeight w:val="511" w:hRule="atLeast"/>
          <w:tblHeader w:val="0"/>
        </w:trPr>
        <w:tc>
          <w:tcPr/>
          <w:p w:rsidR="00000000" w:rsidDel="00000000" w:rsidP="00000000" w:rsidRDefault="00000000" w:rsidRPr="00000000" w14:paraId="0000008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08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−15,297</w:t>
            </w:r>
          </w:p>
        </w:tc>
        <w:tc>
          <w:tcPr/>
          <w:p w:rsidR="00000000" w:rsidDel="00000000" w:rsidP="00000000" w:rsidRDefault="00000000" w:rsidRPr="00000000" w14:paraId="0000008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394,879</w:t>
            </w:r>
          </w:p>
        </w:tc>
        <w:tc>
          <w:tcPr/>
          <w:p w:rsidR="00000000" w:rsidDel="00000000" w:rsidP="00000000" w:rsidRDefault="00000000" w:rsidRPr="00000000" w14:paraId="0000008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−3.9%</w:t>
            </w:r>
          </w:p>
        </w:tc>
      </w:tr>
      <w:tr>
        <w:trPr>
          <w:cantSplit w:val="0"/>
          <w:trHeight w:val="525" w:hRule="atLeast"/>
          <w:tblHeader w:val="0"/>
        </w:trPr>
        <w:tc>
          <w:tcPr/>
          <w:p w:rsidR="00000000" w:rsidDel="00000000" w:rsidP="00000000" w:rsidRDefault="00000000" w:rsidRPr="00000000" w14:paraId="0000008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08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−85,301</w:t>
            </w:r>
          </w:p>
        </w:tc>
        <w:tc>
          <w:tcPr/>
          <w:p w:rsidR="00000000" w:rsidDel="00000000" w:rsidP="00000000" w:rsidRDefault="00000000" w:rsidRPr="00000000" w14:paraId="0000008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420,457</w:t>
            </w:r>
          </w:p>
        </w:tc>
        <w:tc>
          <w:tcPr/>
          <w:p w:rsidR="00000000" w:rsidDel="00000000" w:rsidP="00000000" w:rsidRDefault="00000000" w:rsidRPr="00000000" w14:paraId="0000008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−20.3%</w:t>
            </w:r>
          </w:p>
        </w:tc>
      </w:tr>
      <w:tr>
        <w:trPr>
          <w:cantSplit w:val="0"/>
          <w:trHeight w:val="525" w:hRule="atLeast"/>
          <w:tblHeader w:val="0"/>
        </w:trPr>
        <w:tc>
          <w:tcPr/>
          <w:p w:rsidR="00000000" w:rsidDel="00000000" w:rsidP="00000000" w:rsidRDefault="00000000" w:rsidRPr="00000000" w14:paraId="0000008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08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14,548</w:t>
            </w:r>
          </w:p>
        </w:tc>
        <w:tc>
          <w:tcPr/>
          <w:p w:rsidR="00000000" w:rsidDel="00000000" w:rsidP="00000000" w:rsidRDefault="00000000" w:rsidRPr="00000000" w14:paraId="0000008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542,751</w:t>
            </w:r>
          </w:p>
        </w:tc>
        <w:tc>
          <w:tcPr/>
          <w:p w:rsidR="00000000" w:rsidDel="00000000" w:rsidP="00000000" w:rsidRDefault="00000000" w:rsidRPr="00000000" w14:paraId="0000008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2.7%</w:t>
            </w:r>
          </w:p>
        </w:tc>
      </w:tr>
      <w:tr>
        <w:trPr>
          <w:cantSplit w:val="0"/>
          <w:trHeight w:val="525" w:hRule="atLeast"/>
          <w:tblHeader w:val="0"/>
        </w:trPr>
        <w:tc>
          <w:tcPr/>
          <w:p w:rsidR="00000000" w:rsidDel="00000000" w:rsidP="00000000" w:rsidRDefault="00000000" w:rsidRPr="00000000" w14:paraId="0000008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9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23,253</w:t>
            </w:r>
          </w:p>
        </w:tc>
        <w:tc>
          <w:tcPr/>
          <w:p w:rsidR="00000000" w:rsidDel="00000000" w:rsidP="00000000" w:rsidRDefault="00000000" w:rsidRPr="00000000" w14:paraId="0000009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601,602</w:t>
            </w:r>
          </w:p>
        </w:tc>
        <w:tc>
          <w:tcPr/>
          <w:p w:rsidR="00000000" w:rsidDel="00000000" w:rsidP="00000000" w:rsidRDefault="00000000" w:rsidRPr="00000000" w14:paraId="0000009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3.9%</w:t>
            </w:r>
          </w:p>
        </w:tc>
      </w:tr>
      <w:tr>
        <w:trPr>
          <w:cantSplit w:val="0"/>
          <w:trHeight w:val="511" w:hRule="atLeast"/>
          <w:tblHeader w:val="0"/>
        </w:trPr>
        <w:tc>
          <w:tcPr/>
          <w:p w:rsidR="00000000" w:rsidDel="00000000" w:rsidP="00000000" w:rsidRDefault="00000000" w:rsidRPr="00000000" w14:paraId="0000009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09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37,267</w:t>
            </w:r>
          </w:p>
        </w:tc>
        <w:tc>
          <w:tcPr/>
          <w:p w:rsidR="00000000" w:rsidDel="00000000" w:rsidP="00000000" w:rsidRDefault="00000000" w:rsidRPr="00000000" w14:paraId="0000009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614,680</w:t>
            </w:r>
          </w:p>
        </w:tc>
        <w:tc>
          <w:tcPr/>
          <w:p w:rsidR="00000000" w:rsidDel="00000000" w:rsidP="00000000" w:rsidRDefault="00000000" w:rsidRPr="00000000" w14:paraId="0000009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6.1%</w:t>
            </w:r>
          </w:p>
        </w:tc>
      </w:tr>
    </w:tbl>
    <w:p w:rsidR="00000000" w:rsidDel="00000000" w:rsidP="00000000" w:rsidRDefault="00000000" w:rsidRPr="00000000" w14:paraId="0000009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98">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099">
      <w:pPr>
        <w:spacing w:line="360" w:lineRule="auto"/>
        <w:jc w:val="both"/>
        <w:rPr>
          <w:rFonts w:ascii="Arial" w:cs="Arial" w:eastAsia="Arial" w:hAnsi="Arial"/>
        </w:rPr>
      </w:pPr>
      <w:r w:rsidDel="00000000" w:rsidR="00000000" w:rsidRPr="00000000">
        <w:rPr>
          <w:rFonts w:ascii="Arial" w:cs="Arial" w:eastAsia="Arial" w:hAnsi="Arial"/>
          <w:rtl w:val="0"/>
        </w:rPr>
        <w:t xml:space="preserve">The operating margin has gone down catastrophically, at </w:t>
      </w:r>
      <w:r w:rsidDel="00000000" w:rsidR="00000000" w:rsidRPr="00000000">
        <w:rPr>
          <w:rFonts w:ascii="Arial" w:cs="Arial" w:eastAsia="Arial" w:hAnsi="Arial"/>
          <w:b w:val="1"/>
          <w:bCs w:val="1"/>
          <w:rtl w:val="0"/>
        </w:rPr>
        <w:t xml:space="preserve">+6.1%</w:t>
      </w:r>
      <w:r w:rsidDel="00000000" w:rsidR="00000000" w:rsidRPr="00000000">
        <w:rPr>
          <w:rFonts w:ascii="Arial" w:cs="Arial" w:eastAsia="Arial" w:hAnsi="Arial"/>
          <w:rtl w:val="0"/>
        </w:rPr>
        <w:t xml:space="preserve"> (2020) to </w:t>
      </w:r>
      <w:r w:rsidDel="00000000" w:rsidR="00000000" w:rsidRPr="00000000">
        <w:rPr>
          <w:rFonts w:ascii="Arial" w:cs="Arial" w:eastAsia="Arial" w:hAnsi="Arial"/>
          <w:b w:val="1"/>
          <w:bCs w:val="1"/>
          <w:rtl w:val="0"/>
        </w:rPr>
        <w:t xml:space="preserve">-3.9%</w:t>
      </w:r>
      <w:r w:rsidDel="00000000" w:rsidR="00000000" w:rsidRPr="00000000">
        <w:rPr>
          <w:rFonts w:ascii="Arial" w:cs="Arial" w:eastAsia="Arial" w:hAnsi="Arial"/>
          <w:rtl w:val="0"/>
        </w:rPr>
        <w:t xml:space="preserve"> (2024). The worst reduction was in 2023 when OPEX soared to </w:t>
      </w:r>
      <w:r w:rsidDel="00000000" w:rsidR="00000000" w:rsidRPr="00000000">
        <w:rPr>
          <w:rFonts w:ascii="Arial" w:cs="Arial" w:eastAsia="Arial" w:hAnsi="Arial"/>
          <w:b w:val="1"/>
          <w:bCs w:val="1"/>
          <w:rtl w:val="0"/>
        </w:rPr>
        <w:t xml:space="preserve">£182bn</w:t>
      </w:r>
      <w:r w:rsidDel="00000000" w:rsidR="00000000" w:rsidRPr="00000000">
        <w:rPr>
          <w:rFonts w:ascii="Arial" w:cs="Arial" w:eastAsia="Arial" w:hAnsi="Arial"/>
          <w:rtl w:val="0"/>
        </w:rPr>
        <w:t xml:space="preserve"> yielding a negative operating margin of </w:t>
      </w:r>
      <w:r w:rsidDel="00000000" w:rsidR="00000000" w:rsidRPr="00000000">
        <w:rPr>
          <w:rFonts w:ascii="Arial" w:cs="Arial" w:eastAsia="Arial" w:hAnsi="Arial"/>
          <w:b w:val="1"/>
          <w:bCs w:val="1"/>
          <w:rtl w:val="0"/>
        </w:rPr>
        <w:t xml:space="preserve">-20%.</w:t>
      </w:r>
      <w:r w:rsidDel="00000000" w:rsidR="00000000" w:rsidRPr="00000000">
        <w:rPr>
          <w:rFonts w:ascii="Arial" w:cs="Arial" w:eastAsia="Arial" w:hAnsi="Arial"/>
          <w:rtl w:val="0"/>
        </w:rPr>
        <w:t xml:space="preserve"> This is an indicator of inefficiency, restructuring costs, cost inflation and erosion of revenues.</w:t>
      </w:r>
    </w:p>
    <w:p w:rsidR="00000000" w:rsidDel="00000000" w:rsidP="00000000" w:rsidRDefault="00000000" w:rsidRPr="00000000" w14:paraId="0000009A">
      <w:pPr>
        <w:pStyle w:val="Heading3"/>
        <w:rPr/>
      </w:pPr>
      <w:bookmarkStart w:colFirst="0" w:colLast="0" w:name="_s0jfy2e0ypxd" w:id="5"/>
      <w:bookmarkEnd w:id="5"/>
      <w:r w:rsidDel="00000000" w:rsidR="00000000" w:rsidRPr="00000000">
        <w:rPr>
          <w:rtl w:val="0"/>
        </w:rPr>
        <w:t xml:space="preserve">1.2.3 Net Profit Margin</w:t>
      </w:r>
    </w:p>
    <w:p w:rsidR="00000000" w:rsidDel="00000000" w:rsidP="00000000" w:rsidRDefault="00000000" w:rsidRPr="00000000" w14:paraId="0000009B">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Fonts w:ascii="Arial" w:cs="Arial" w:eastAsia="Arial" w:hAnsi="Arial"/>
          <w:rtl w:val="0"/>
        </w:rPr>
        <w:t xml:space="preserve">Net Margin=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Net Income</m:t>
            </m:r>
          </m:num>
          <m:den>
            <m:r>
              <w:rPr>
                <w:rFonts w:ascii="Cambria Math" w:cs="Cambria Math" w:eastAsia="Cambria Math" w:hAnsi="Cambria Math"/>
                <w:sz w:val="32"/>
                <w:szCs w:val="32"/>
              </w:rPr>
              <m:t xml:space="preserve">Sales</m:t>
            </m:r>
          </m:den>
        </m:f>
      </m:oMath>
      <w:r w:rsidDel="00000000" w:rsidR="00000000" w:rsidRPr="00000000">
        <w:rPr>
          <w:rtl w:val="0"/>
        </w:rPr>
      </w:r>
    </w:p>
    <w:tbl>
      <w:tblPr>
        <w:tblStyle w:val="Table3"/>
        <w:tblW w:w="913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114"/>
        <w:gridCol w:w="3096"/>
        <w:gridCol w:w="2105"/>
        <w:gridCol w:w="2817"/>
        <w:tblGridChange w:id="0">
          <w:tblGrid>
            <w:gridCol w:w="1114"/>
            <w:gridCol w:w="3096"/>
            <w:gridCol w:w="2105"/>
            <w:gridCol w:w="2817"/>
          </w:tblGrid>
        </w:tblGridChange>
      </w:tblGrid>
      <w:tr>
        <w:trPr>
          <w:cantSplit w:val="0"/>
          <w:trHeight w:val="519" w:hRule="atLeast"/>
          <w:tblHeader w:val="0"/>
        </w:trPr>
        <w:tc>
          <w:tcPr/>
          <w:p w:rsidR="00000000" w:rsidDel="00000000" w:rsidP="00000000" w:rsidRDefault="00000000" w:rsidRPr="00000000" w14:paraId="0000009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09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Net Income (£m)</w:t>
            </w:r>
          </w:p>
        </w:tc>
        <w:tc>
          <w:tcPr/>
          <w:p w:rsidR="00000000" w:rsidDel="00000000" w:rsidP="00000000" w:rsidRDefault="00000000" w:rsidRPr="00000000" w14:paraId="0000009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Sales (£m)</w:t>
            </w:r>
          </w:p>
        </w:tc>
        <w:tc>
          <w:tcPr/>
          <w:p w:rsidR="00000000" w:rsidDel="00000000" w:rsidP="00000000" w:rsidRDefault="00000000" w:rsidRPr="00000000" w14:paraId="000000A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Net Margin (%)</w:t>
            </w:r>
          </w:p>
        </w:tc>
      </w:tr>
      <w:tr>
        <w:trPr>
          <w:cantSplit w:val="0"/>
          <w:trHeight w:val="505" w:hRule="atLeast"/>
          <w:tblHeader w:val="0"/>
        </w:trPr>
        <w:tc>
          <w:tcPr/>
          <w:p w:rsidR="00000000" w:rsidDel="00000000" w:rsidP="00000000" w:rsidRDefault="00000000" w:rsidRPr="00000000" w14:paraId="000000A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0A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−24,029</w:t>
            </w:r>
          </w:p>
        </w:tc>
        <w:tc>
          <w:tcPr/>
          <w:p w:rsidR="00000000" w:rsidDel="00000000" w:rsidP="00000000" w:rsidRDefault="00000000" w:rsidRPr="00000000" w14:paraId="000000A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394,879</w:t>
            </w:r>
          </w:p>
        </w:tc>
        <w:tc>
          <w:tcPr/>
          <w:p w:rsidR="00000000" w:rsidDel="00000000" w:rsidP="00000000" w:rsidRDefault="00000000" w:rsidRPr="00000000" w14:paraId="000000A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−6.1%</w:t>
            </w:r>
          </w:p>
        </w:tc>
      </w:tr>
      <w:tr>
        <w:trPr>
          <w:cantSplit w:val="0"/>
          <w:trHeight w:val="519" w:hRule="atLeast"/>
          <w:tblHeader w:val="0"/>
        </w:trPr>
        <w:tc>
          <w:tcPr/>
          <w:p w:rsidR="00000000" w:rsidDel="00000000" w:rsidP="00000000" w:rsidRDefault="00000000" w:rsidRPr="00000000" w14:paraId="000000A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0A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−98,238</w:t>
            </w:r>
          </w:p>
        </w:tc>
        <w:tc>
          <w:tcPr/>
          <w:p w:rsidR="00000000" w:rsidDel="00000000" w:rsidP="00000000" w:rsidRDefault="00000000" w:rsidRPr="00000000" w14:paraId="000000A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420,457</w:t>
            </w:r>
          </w:p>
        </w:tc>
        <w:tc>
          <w:tcPr/>
          <w:p w:rsidR="00000000" w:rsidDel="00000000" w:rsidP="00000000" w:rsidRDefault="00000000" w:rsidRPr="00000000" w14:paraId="000000A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−23.4%</w:t>
            </w:r>
          </w:p>
        </w:tc>
      </w:tr>
      <w:tr>
        <w:trPr>
          <w:cantSplit w:val="0"/>
          <w:trHeight w:val="519" w:hRule="atLeast"/>
          <w:tblHeader w:val="0"/>
        </w:trPr>
        <w:tc>
          <w:tcPr/>
          <w:p w:rsidR="00000000" w:rsidDel="00000000" w:rsidP="00000000" w:rsidRDefault="00000000" w:rsidRPr="00000000" w14:paraId="000000A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0A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407</w:t>
            </w:r>
          </w:p>
        </w:tc>
        <w:tc>
          <w:tcPr/>
          <w:p w:rsidR="00000000" w:rsidDel="00000000" w:rsidP="00000000" w:rsidRDefault="00000000" w:rsidRPr="00000000" w14:paraId="000000A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542,751</w:t>
            </w:r>
          </w:p>
        </w:tc>
        <w:tc>
          <w:tcPr/>
          <w:p w:rsidR="00000000" w:rsidDel="00000000" w:rsidP="00000000" w:rsidRDefault="00000000" w:rsidRPr="00000000" w14:paraId="000000A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0.07%</w:t>
            </w:r>
          </w:p>
        </w:tc>
      </w:tr>
      <w:tr>
        <w:trPr>
          <w:cantSplit w:val="0"/>
          <w:trHeight w:val="519" w:hRule="atLeast"/>
          <w:tblHeader w:val="0"/>
        </w:trPr>
        <w:tc>
          <w:tcPr/>
          <w:p w:rsidR="00000000" w:rsidDel="00000000" w:rsidP="00000000" w:rsidRDefault="00000000" w:rsidRPr="00000000" w14:paraId="000000A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A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5,301</w:t>
            </w:r>
          </w:p>
        </w:tc>
        <w:tc>
          <w:tcPr/>
          <w:p w:rsidR="00000000" w:rsidDel="00000000" w:rsidP="00000000" w:rsidRDefault="00000000" w:rsidRPr="00000000" w14:paraId="000000A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601,602</w:t>
            </w:r>
          </w:p>
        </w:tc>
        <w:tc>
          <w:tcPr/>
          <w:p w:rsidR="00000000" w:rsidDel="00000000" w:rsidP="00000000" w:rsidRDefault="00000000" w:rsidRPr="00000000" w14:paraId="000000B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0.88%</w:t>
            </w:r>
          </w:p>
        </w:tc>
      </w:tr>
      <w:tr>
        <w:trPr>
          <w:cantSplit w:val="0"/>
          <w:trHeight w:val="505" w:hRule="atLeast"/>
          <w:tblHeader w:val="0"/>
        </w:trPr>
        <w:tc>
          <w:tcPr/>
          <w:p w:rsidR="00000000" w:rsidDel="00000000" w:rsidP="00000000" w:rsidRDefault="00000000" w:rsidRPr="00000000" w14:paraId="000000B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0B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38,572</w:t>
            </w:r>
          </w:p>
        </w:tc>
        <w:tc>
          <w:tcPr/>
          <w:p w:rsidR="00000000" w:rsidDel="00000000" w:rsidP="00000000" w:rsidRDefault="00000000" w:rsidRPr="00000000" w14:paraId="000000B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614,680</w:t>
            </w:r>
          </w:p>
        </w:tc>
        <w:tc>
          <w:tcPr/>
          <w:p w:rsidR="00000000" w:rsidDel="00000000" w:rsidP="00000000" w:rsidRDefault="00000000" w:rsidRPr="00000000" w14:paraId="000000B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6.3%</w:t>
            </w:r>
          </w:p>
        </w:tc>
      </w:tr>
    </w:tbl>
    <w:p w:rsidR="00000000" w:rsidDel="00000000" w:rsidP="00000000" w:rsidRDefault="00000000" w:rsidRPr="00000000" w14:paraId="000000B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B6">
      <w:pPr>
        <w:rPr>
          <w:rFonts w:ascii="Arial" w:cs="Arial" w:eastAsia="Arial" w:hAnsi="Arial"/>
          <w:b w:val="1"/>
          <w:bCs w:val="1"/>
        </w:rPr>
      </w:pPr>
      <w:r w:rsidDel="00000000" w:rsidR="00000000" w:rsidRPr="00000000">
        <w:br w:type="page"/>
      </w: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0B7">
      <w:pPr>
        <w:spacing w:line="360" w:lineRule="auto"/>
        <w:jc w:val="both"/>
        <w:rPr>
          <w:rFonts w:ascii="Arial" w:cs="Arial" w:eastAsia="Arial" w:hAnsi="Arial"/>
        </w:rPr>
      </w:pPr>
      <w:r w:rsidDel="00000000" w:rsidR="00000000" w:rsidRPr="00000000">
        <w:rPr>
          <w:rFonts w:ascii="Arial" w:cs="Arial" w:eastAsia="Arial" w:hAnsi="Arial"/>
          <w:rtl w:val="0"/>
        </w:rPr>
        <w:t xml:space="preserve">The net profitability has crossed the floor, with the declining revenues, increasing financing expenses, and high restructuring expenses. Back-to-back losses strain retained earnings, cash flow and long-term viability.</w:t>
      </w:r>
    </w:p>
    <w:p w:rsidR="00000000" w:rsidDel="00000000" w:rsidP="00000000" w:rsidRDefault="00000000" w:rsidRPr="00000000" w14:paraId="000000B8">
      <w:pPr>
        <w:pStyle w:val="Heading3"/>
        <w:rPr/>
      </w:pPr>
      <w:bookmarkStart w:colFirst="0" w:colLast="0" w:name="_v7z77nx1w4ar" w:id="6"/>
      <w:bookmarkEnd w:id="6"/>
      <w:r w:rsidDel="00000000" w:rsidR="00000000" w:rsidRPr="00000000">
        <w:rPr>
          <w:rtl w:val="0"/>
        </w:rPr>
        <w:t xml:space="preserve">1.2.4 Return on Assets (ROA)</w:t>
      </w:r>
    </w:p>
    <w:p w:rsidR="00000000" w:rsidDel="00000000" w:rsidP="00000000" w:rsidRDefault="00000000" w:rsidRPr="00000000" w14:paraId="000000B9">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0BA">
      <w:pPr>
        <w:rPr>
          <w:rFonts w:ascii="Arial" w:cs="Arial" w:eastAsia="Arial" w:hAnsi="Arial"/>
        </w:rPr>
      </w:pPr>
      <w:r w:rsidDel="00000000" w:rsidR="00000000" w:rsidRPr="00000000">
        <w:rPr>
          <w:rFonts w:ascii="Arial" w:cs="Arial" w:eastAsia="Arial" w:hAnsi="Arial"/>
          <w:rtl w:val="0"/>
        </w:rPr>
        <w:t xml:space="preserve">ROA=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Net Income</m:t>
            </m:r>
          </m:num>
          <m:den>
            <m:r>
              <w:rPr>
                <w:rFonts w:ascii="Cambria Math" w:cs="Cambria Math" w:eastAsia="Cambria Math" w:hAnsi="Cambria Math"/>
                <w:sz w:val="32"/>
                <w:szCs w:val="32"/>
              </w:rPr>
              <m:t xml:space="preserve">Total Assets</m:t>
            </m:r>
          </m:den>
        </m:f>
      </m:oMath>
      <w:r w:rsidDel="00000000" w:rsidR="00000000" w:rsidRPr="00000000">
        <w:rPr>
          <w:rtl w:val="0"/>
        </w:rPr>
      </w:r>
    </w:p>
    <w:tbl>
      <w:tblPr>
        <w:tblStyle w:val="Table4"/>
        <w:tblW w:w="943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141"/>
        <w:gridCol w:w="3170"/>
        <w:gridCol w:w="3331"/>
        <w:gridCol w:w="1796"/>
        <w:tblGridChange w:id="0">
          <w:tblGrid>
            <w:gridCol w:w="1141"/>
            <w:gridCol w:w="3170"/>
            <w:gridCol w:w="3331"/>
            <w:gridCol w:w="1796"/>
          </w:tblGrid>
        </w:tblGridChange>
      </w:tblGrid>
      <w:tr>
        <w:trPr>
          <w:cantSplit w:val="0"/>
          <w:trHeight w:val="525" w:hRule="atLeast"/>
          <w:tblHeader w:val="0"/>
        </w:trPr>
        <w:tc>
          <w:tcPr/>
          <w:p w:rsidR="00000000" w:rsidDel="00000000" w:rsidP="00000000" w:rsidRDefault="00000000" w:rsidRPr="00000000" w14:paraId="000000B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0B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Net Income (£m)</w:t>
            </w:r>
          </w:p>
        </w:tc>
        <w:tc>
          <w:tcPr/>
          <w:p w:rsidR="00000000" w:rsidDel="00000000" w:rsidP="00000000" w:rsidRDefault="00000000" w:rsidRPr="00000000" w14:paraId="000000B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Total Assets (£m)</w:t>
            </w:r>
          </w:p>
        </w:tc>
        <w:tc>
          <w:tcPr/>
          <w:p w:rsidR="00000000" w:rsidDel="00000000" w:rsidP="00000000" w:rsidRDefault="00000000" w:rsidRPr="00000000" w14:paraId="000000B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ROA (%)</w:t>
            </w:r>
          </w:p>
        </w:tc>
      </w:tr>
      <w:tr>
        <w:trPr>
          <w:cantSplit w:val="0"/>
          <w:trHeight w:val="511" w:hRule="atLeast"/>
          <w:tblHeader w:val="0"/>
        </w:trPr>
        <w:tc>
          <w:tcPr/>
          <w:p w:rsidR="00000000" w:rsidDel="00000000" w:rsidP="00000000" w:rsidRDefault="00000000" w:rsidRPr="00000000" w14:paraId="000000B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0C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−24,029</w:t>
            </w:r>
          </w:p>
        </w:tc>
        <w:tc>
          <w:tcPr/>
          <w:p w:rsidR="00000000" w:rsidDel="00000000" w:rsidP="00000000" w:rsidRDefault="00000000" w:rsidRPr="00000000" w14:paraId="000000C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323,354</w:t>
            </w:r>
          </w:p>
        </w:tc>
        <w:tc>
          <w:tcPr/>
          <w:p w:rsidR="00000000" w:rsidDel="00000000" w:rsidP="00000000" w:rsidRDefault="00000000" w:rsidRPr="00000000" w14:paraId="000000C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−7.4%</w:t>
            </w:r>
          </w:p>
        </w:tc>
      </w:tr>
      <w:tr>
        <w:trPr>
          <w:cantSplit w:val="0"/>
          <w:trHeight w:val="525" w:hRule="atLeast"/>
          <w:tblHeader w:val="0"/>
        </w:trPr>
        <w:tc>
          <w:tcPr/>
          <w:p w:rsidR="00000000" w:rsidDel="00000000" w:rsidP="00000000" w:rsidRDefault="00000000" w:rsidRPr="00000000" w14:paraId="000000C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0C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−98,238</w:t>
            </w:r>
          </w:p>
        </w:tc>
        <w:tc>
          <w:tcPr/>
          <w:p w:rsidR="00000000" w:rsidDel="00000000" w:rsidP="00000000" w:rsidRDefault="00000000" w:rsidRPr="00000000" w14:paraId="000000C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355,872</w:t>
            </w:r>
          </w:p>
        </w:tc>
        <w:tc>
          <w:tcPr/>
          <w:p w:rsidR="00000000" w:rsidDel="00000000" w:rsidP="00000000" w:rsidRDefault="00000000" w:rsidRPr="00000000" w14:paraId="000000C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−27.6%</w:t>
            </w:r>
          </w:p>
        </w:tc>
      </w:tr>
      <w:tr>
        <w:trPr>
          <w:cantSplit w:val="0"/>
          <w:trHeight w:val="525" w:hRule="atLeast"/>
          <w:tblHeader w:val="0"/>
        </w:trPr>
        <w:tc>
          <w:tcPr/>
          <w:p w:rsidR="00000000" w:rsidDel="00000000" w:rsidP="00000000" w:rsidRDefault="00000000" w:rsidRPr="00000000" w14:paraId="000000C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0C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407</w:t>
            </w:r>
          </w:p>
        </w:tc>
        <w:tc>
          <w:tcPr/>
          <w:p w:rsidR="00000000" w:rsidDel="00000000" w:rsidP="00000000" w:rsidRDefault="00000000" w:rsidRPr="00000000" w14:paraId="000000C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504,163</w:t>
            </w:r>
          </w:p>
        </w:tc>
        <w:tc>
          <w:tcPr/>
          <w:p w:rsidR="00000000" w:rsidDel="00000000" w:rsidP="00000000" w:rsidRDefault="00000000" w:rsidRPr="00000000" w14:paraId="000000C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0.1%</w:t>
            </w:r>
          </w:p>
        </w:tc>
      </w:tr>
      <w:tr>
        <w:trPr>
          <w:cantSplit w:val="0"/>
          <w:trHeight w:val="525" w:hRule="atLeast"/>
          <w:tblHeader w:val="0"/>
        </w:trPr>
        <w:tc>
          <w:tcPr/>
          <w:p w:rsidR="00000000" w:rsidDel="00000000" w:rsidP="00000000" w:rsidRDefault="00000000" w:rsidRPr="00000000" w14:paraId="000000C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C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5,301</w:t>
            </w:r>
          </w:p>
        </w:tc>
        <w:tc>
          <w:tcPr/>
          <w:p w:rsidR="00000000" w:rsidDel="00000000" w:rsidP="00000000" w:rsidRDefault="00000000" w:rsidRPr="00000000" w14:paraId="000000C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510,348</w:t>
            </w:r>
          </w:p>
        </w:tc>
        <w:tc>
          <w:tcPr/>
          <w:p w:rsidR="00000000" w:rsidDel="00000000" w:rsidP="00000000" w:rsidRDefault="00000000" w:rsidRPr="00000000" w14:paraId="000000C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r>
      <w:tr>
        <w:trPr>
          <w:cantSplit w:val="0"/>
          <w:trHeight w:val="511" w:hRule="atLeast"/>
          <w:tblHeader w:val="0"/>
        </w:trPr>
        <w:tc>
          <w:tcPr/>
          <w:p w:rsidR="00000000" w:rsidDel="00000000" w:rsidP="00000000" w:rsidRDefault="00000000" w:rsidRPr="00000000" w14:paraId="000000C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0D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38,572</w:t>
            </w:r>
          </w:p>
        </w:tc>
        <w:tc>
          <w:tcPr/>
          <w:p w:rsidR="00000000" w:rsidDel="00000000" w:rsidP="00000000" w:rsidRDefault="00000000" w:rsidRPr="00000000" w14:paraId="000000D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510,290</w:t>
            </w:r>
          </w:p>
        </w:tc>
        <w:tc>
          <w:tcPr/>
          <w:p w:rsidR="00000000" w:rsidDel="00000000" w:rsidP="00000000" w:rsidRDefault="00000000" w:rsidRPr="00000000" w14:paraId="000000D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7.6%</w:t>
            </w:r>
          </w:p>
        </w:tc>
      </w:tr>
    </w:tbl>
    <w:p w:rsidR="00000000" w:rsidDel="00000000" w:rsidP="00000000" w:rsidRDefault="00000000" w:rsidRPr="00000000" w14:paraId="000000D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D4">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0D5">
      <w:pPr>
        <w:spacing w:line="360" w:lineRule="auto"/>
        <w:jc w:val="both"/>
        <w:rPr>
          <w:rFonts w:ascii="Arial" w:cs="Arial" w:eastAsia="Arial" w:hAnsi="Arial"/>
        </w:rPr>
      </w:pP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1"/>
          <w:bCs w:val="1"/>
          <w:rtl w:val="0"/>
        </w:rPr>
        <w:t xml:space="preserve">ROA</w:t>
      </w:r>
      <w:r w:rsidDel="00000000" w:rsidR="00000000" w:rsidRPr="00000000">
        <w:rPr>
          <w:rFonts w:ascii="Arial" w:cs="Arial" w:eastAsia="Arial" w:hAnsi="Arial"/>
          <w:rtl w:val="0"/>
        </w:rPr>
        <w:t xml:space="preserve"> has worsened massively giving an indication that GE is killing value instead of making returns on assets.</w:t>
      </w:r>
    </w:p>
    <w:p w:rsidR="00000000" w:rsidDel="00000000" w:rsidP="00000000" w:rsidRDefault="00000000" w:rsidRPr="00000000" w14:paraId="000000D6">
      <w:pPr>
        <w:pStyle w:val="Heading3"/>
        <w:rPr/>
      </w:pPr>
      <w:bookmarkStart w:colFirst="0" w:colLast="0" w:name="_zh5yucaet375" w:id="7"/>
      <w:bookmarkEnd w:id="7"/>
      <w:r w:rsidDel="00000000" w:rsidR="00000000" w:rsidRPr="00000000">
        <w:rPr>
          <w:rtl w:val="0"/>
        </w:rPr>
        <w:t xml:space="preserve">1.2.5 Return on Equity (ROE)</w:t>
      </w:r>
    </w:p>
    <w:p w:rsidR="00000000" w:rsidDel="00000000" w:rsidP="00000000" w:rsidRDefault="00000000" w:rsidRPr="00000000" w14:paraId="000000D7">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rFonts w:ascii="Arial" w:cs="Arial" w:eastAsia="Arial" w:hAnsi="Arial"/>
          <w:rtl w:val="0"/>
        </w:rPr>
        <w:t xml:space="preserve">ROE=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Net Income</m:t>
            </m:r>
          </m:num>
          <m:den>
            <m:r>
              <w:rPr>
                <w:rFonts w:ascii="Cambria Math" w:cs="Cambria Math" w:eastAsia="Cambria Math" w:hAnsi="Cambria Math"/>
                <w:sz w:val="32"/>
                <w:szCs w:val="32"/>
              </w:rPr>
              <m:t xml:space="preserve">Equity</m:t>
            </m:r>
          </m:den>
        </m:f>
      </m:oMath>
      <w:r w:rsidDel="00000000" w:rsidR="00000000" w:rsidRPr="00000000">
        <w:rPr>
          <w:rtl w:val="0"/>
        </w:rPr>
      </w:r>
    </w:p>
    <w:tbl>
      <w:tblPr>
        <w:tblStyle w:val="Table5"/>
        <w:tblW w:w="959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301"/>
        <w:gridCol w:w="3615"/>
        <w:gridCol w:w="2642"/>
        <w:gridCol w:w="2040"/>
        <w:tblGridChange w:id="0">
          <w:tblGrid>
            <w:gridCol w:w="1301"/>
            <w:gridCol w:w="3615"/>
            <w:gridCol w:w="2642"/>
            <w:gridCol w:w="2040"/>
          </w:tblGrid>
        </w:tblGridChange>
      </w:tblGrid>
      <w:tr>
        <w:trPr>
          <w:cantSplit w:val="0"/>
          <w:trHeight w:val="486" w:hRule="atLeast"/>
          <w:tblHeader w:val="0"/>
        </w:trPr>
        <w:tc>
          <w:tcPr/>
          <w:p w:rsidR="00000000" w:rsidDel="00000000" w:rsidP="00000000" w:rsidRDefault="00000000" w:rsidRPr="00000000" w14:paraId="000000D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0D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Net Income (£m)</w:t>
            </w:r>
          </w:p>
        </w:tc>
        <w:tc>
          <w:tcPr/>
          <w:p w:rsidR="00000000" w:rsidDel="00000000" w:rsidP="00000000" w:rsidRDefault="00000000" w:rsidRPr="00000000" w14:paraId="000000D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Equity (£m)</w:t>
            </w:r>
          </w:p>
        </w:tc>
        <w:tc>
          <w:tcPr/>
          <w:p w:rsidR="00000000" w:rsidDel="00000000" w:rsidP="00000000" w:rsidRDefault="00000000" w:rsidRPr="00000000" w14:paraId="000000D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ROE (%)</w:t>
            </w:r>
          </w:p>
        </w:tc>
      </w:tr>
      <w:tr>
        <w:trPr>
          <w:cantSplit w:val="0"/>
          <w:trHeight w:val="473" w:hRule="atLeast"/>
          <w:tblHeader w:val="0"/>
        </w:trPr>
        <w:tc>
          <w:tcPr/>
          <w:p w:rsidR="00000000" w:rsidDel="00000000" w:rsidP="00000000" w:rsidRDefault="00000000" w:rsidRPr="00000000" w14:paraId="000000D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0D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−24,029</w:t>
            </w:r>
          </w:p>
        </w:tc>
        <w:tc>
          <w:tcPr/>
          <w:p w:rsidR="00000000" w:rsidDel="00000000" w:rsidP="00000000" w:rsidRDefault="00000000" w:rsidRPr="00000000" w14:paraId="000000D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153,094</w:t>
            </w:r>
          </w:p>
        </w:tc>
        <w:tc>
          <w:tcPr/>
          <w:p w:rsidR="00000000" w:rsidDel="00000000" w:rsidP="00000000" w:rsidRDefault="00000000" w:rsidRPr="00000000" w14:paraId="000000E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−15.7%</w:t>
            </w:r>
          </w:p>
        </w:tc>
      </w:tr>
      <w:tr>
        <w:trPr>
          <w:cantSplit w:val="0"/>
          <w:trHeight w:val="486" w:hRule="atLeast"/>
          <w:tblHeader w:val="0"/>
        </w:trPr>
        <w:tc>
          <w:tcPr/>
          <w:p w:rsidR="00000000" w:rsidDel="00000000" w:rsidP="00000000" w:rsidRDefault="00000000" w:rsidRPr="00000000" w14:paraId="000000E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0E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−98,238</w:t>
            </w:r>
          </w:p>
        </w:tc>
        <w:tc>
          <w:tcPr/>
          <w:p w:rsidR="00000000" w:rsidDel="00000000" w:rsidP="00000000" w:rsidRDefault="00000000" w:rsidRPr="00000000" w14:paraId="000000E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178,202</w:t>
            </w:r>
          </w:p>
        </w:tc>
        <w:tc>
          <w:tcPr/>
          <w:p w:rsidR="00000000" w:rsidDel="00000000" w:rsidP="00000000" w:rsidRDefault="00000000" w:rsidRPr="00000000" w14:paraId="000000E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−55.1%</w:t>
            </w:r>
          </w:p>
        </w:tc>
      </w:tr>
      <w:tr>
        <w:trPr>
          <w:cantSplit w:val="0"/>
          <w:trHeight w:val="486" w:hRule="atLeast"/>
          <w:tblHeader w:val="0"/>
        </w:trPr>
        <w:tc>
          <w:tcPr/>
          <w:p w:rsidR="00000000" w:rsidDel="00000000" w:rsidP="00000000" w:rsidRDefault="00000000" w:rsidRPr="00000000" w14:paraId="000000E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0E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407</w:t>
            </w:r>
          </w:p>
        </w:tc>
        <w:tc>
          <w:tcPr/>
          <w:p w:rsidR="00000000" w:rsidDel="00000000" w:rsidP="00000000" w:rsidRDefault="00000000" w:rsidRPr="00000000" w14:paraId="000000E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269,089</w:t>
            </w:r>
          </w:p>
        </w:tc>
        <w:tc>
          <w:tcPr/>
          <w:p w:rsidR="00000000" w:rsidDel="00000000" w:rsidP="00000000" w:rsidRDefault="00000000" w:rsidRPr="00000000" w14:paraId="000000E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0.15%</w:t>
            </w:r>
          </w:p>
        </w:tc>
      </w:tr>
      <w:tr>
        <w:trPr>
          <w:cantSplit w:val="0"/>
          <w:trHeight w:val="486" w:hRule="atLeast"/>
          <w:tblHeader w:val="0"/>
        </w:trPr>
        <w:tc>
          <w:tcPr/>
          <w:p w:rsidR="00000000" w:rsidDel="00000000" w:rsidP="00000000" w:rsidRDefault="00000000" w:rsidRPr="00000000" w14:paraId="000000E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0E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5,301</w:t>
            </w:r>
          </w:p>
        </w:tc>
        <w:tc>
          <w:tcPr/>
          <w:p w:rsidR="00000000" w:rsidDel="00000000" w:rsidP="00000000" w:rsidRDefault="00000000" w:rsidRPr="00000000" w14:paraId="000000E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276,988</w:t>
            </w:r>
          </w:p>
        </w:tc>
        <w:tc>
          <w:tcPr/>
          <w:p w:rsidR="00000000" w:rsidDel="00000000" w:rsidP="00000000" w:rsidRDefault="00000000" w:rsidRPr="00000000" w14:paraId="000000E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1.9%</w:t>
            </w:r>
          </w:p>
        </w:tc>
      </w:tr>
      <w:tr>
        <w:trPr>
          <w:cantSplit w:val="0"/>
          <w:trHeight w:val="473" w:hRule="atLeast"/>
          <w:tblHeader w:val="0"/>
        </w:trPr>
        <w:tc>
          <w:tcPr/>
          <w:p w:rsidR="00000000" w:rsidDel="00000000" w:rsidP="00000000" w:rsidRDefault="00000000" w:rsidRPr="00000000" w14:paraId="000000E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0E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38,572</w:t>
            </w:r>
          </w:p>
        </w:tc>
        <w:tc>
          <w:tcPr/>
          <w:p w:rsidR="00000000" w:rsidDel="00000000" w:rsidP="00000000" w:rsidRDefault="00000000" w:rsidRPr="00000000" w14:paraId="000000E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313,301</w:t>
            </w:r>
          </w:p>
        </w:tc>
        <w:tc>
          <w:tcPr/>
          <w:p w:rsidR="00000000" w:rsidDel="00000000" w:rsidP="00000000" w:rsidRDefault="00000000" w:rsidRPr="00000000" w14:paraId="000000F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12.3%</w:t>
            </w:r>
          </w:p>
        </w:tc>
      </w:tr>
    </w:tbl>
    <w:p w:rsidR="00000000" w:rsidDel="00000000" w:rsidP="00000000" w:rsidRDefault="00000000" w:rsidRPr="00000000" w14:paraId="000000F1">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0F2">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Negative ROE</w:t>
      </w:r>
      <w:r w:rsidDel="00000000" w:rsidR="00000000" w:rsidRPr="00000000">
        <w:rPr>
          <w:rFonts w:ascii="Arial" w:cs="Arial" w:eastAsia="Arial" w:hAnsi="Arial"/>
          <w:rtl w:val="0"/>
        </w:rPr>
        <w:t xml:space="preserve"> is a sign of excessive destruction of shareholder value. This company is not even making returns on invested capital anymore, something that has affected the confidence of investors.</w:t>
      </w:r>
    </w:p>
    <w:p w:rsidR="00000000" w:rsidDel="00000000" w:rsidP="00000000" w:rsidRDefault="00000000" w:rsidRPr="00000000" w14:paraId="000000F3">
      <w:pPr>
        <w:pStyle w:val="Heading2"/>
        <w:rPr/>
      </w:pPr>
      <w:bookmarkStart w:colFirst="0" w:colLast="0" w:name="_2spfeyjyrghv" w:id="8"/>
      <w:bookmarkEnd w:id="8"/>
      <w:r w:rsidDel="00000000" w:rsidR="00000000" w:rsidRPr="00000000">
        <w:rPr>
          <w:rtl w:val="0"/>
        </w:rPr>
        <w:t xml:space="preserve">1.3 Liquidity Analysis</w:t>
      </w:r>
    </w:p>
    <w:p w:rsidR="00000000" w:rsidDel="00000000" w:rsidP="00000000" w:rsidRDefault="00000000" w:rsidRPr="00000000" w14:paraId="000000F4">
      <w:pPr>
        <w:rPr>
          <w:rFonts w:ascii="Arial" w:cs="Arial" w:eastAsia="Arial" w:hAnsi="Arial"/>
        </w:rPr>
      </w:pPr>
      <w:r w:rsidDel="00000000" w:rsidR="00000000" w:rsidRPr="00000000">
        <w:rPr>
          <w:rFonts w:ascii="Arial" w:cs="Arial" w:eastAsia="Arial" w:hAnsi="Arial"/>
          <w:rtl w:val="0"/>
        </w:rPr>
        <w:t xml:space="preserve">Liquidity is a measure of capacity of GE to cover short-term obligations.</w:t>
      </w:r>
    </w:p>
    <w:p w:rsidR="00000000" w:rsidDel="00000000" w:rsidP="00000000" w:rsidRDefault="00000000" w:rsidRPr="00000000" w14:paraId="000000F5">
      <w:pPr>
        <w:pStyle w:val="Heading3"/>
        <w:rPr/>
      </w:pPr>
      <w:bookmarkStart w:colFirst="0" w:colLast="0" w:name="_ywrs77pynkpx" w:id="9"/>
      <w:bookmarkEnd w:id="9"/>
      <w:r w:rsidDel="00000000" w:rsidR="00000000" w:rsidRPr="00000000">
        <w:rPr>
          <w:rtl w:val="0"/>
        </w:rPr>
        <w:t xml:space="preserve">1.3.1 Current Ratio</w:t>
      </w:r>
    </w:p>
    <w:p w:rsidR="00000000" w:rsidDel="00000000" w:rsidP="00000000" w:rsidRDefault="00000000" w:rsidRPr="00000000" w14:paraId="000000F6">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0F7">
      <w:pPr>
        <w:rPr>
          <w:rFonts w:ascii="Arial" w:cs="Arial" w:eastAsia="Arial" w:hAnsi="Arial"/>
        </w:rPr>
      </w:pPr>
      <w:r w:rsidDel="00000000" w:rsidR="00000000" w:rsidRPr="00000000">
        <w:rPr>
          <w:rFonts w:ascii="Arial" w:cs="Arial" w:eastAsia="Arial" w:hAnsi="Arial"/>
          <w:rtl w:val="0"/>
        </w:rPr>
        <w:t xml:space="preserve">Current Ratio=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Current Assents</m:t>
            </m:r>
          </m:num>
          <m:den>
            <m:r>
              <w:rPr>
                <w:rFonts w:ascii="Cambria Math" w:cs="Cambria Math" w:eastAsia="Cambria Math" w:hAnsi="Cambria Math"/>
                <w:sz w:val="32"/>
                <w:szCs w:val="32"/>
              </w:rPr>
              <m:t xml:space="preserve">Current Liabilities</m:t>
            </m:r>
          </m:den>
        </m:f>
      </m:oMath>
      <w:r w:rsidDel="00000000" w:rsidR="00000000" w:rsidRPr="00000000">
        <w:rPr>
          <w:rtl w:val="0"/>
        </w:rPr>
      </w:r>
    </w:p>
    <w:tbl>
      <w:tblPr>
        <w:tblStyle w:val="Table6"/>
        <w:tblW w:w="971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090"/>
        <w:gridCol w:w="2803"/>
        <w:gridCol w:w="3281"/>
        <w:gridCol w:w="2544"/>
        <w:tblGridChange w:id="0">
          <w:tblGrid>
            <w:gridCol w:w="1090"/>
            <w:gridCol w:w="2803"/>
            <w:gridCol w:w="3281"/>
            <w:gridCol w:w="2544"/>
          </w:tblGrid>
        </w:tblGridChange>
      </w:tblGrid>
      <w:tr>
        <w:trPr>
          <w:cantSplit w:val="0"/>
          <w:trHeight w:val="486" w:hRule="atLeast"/>
          <w:tblHeader w:val="0"/>
        </w:trPr>
        <w:tc>
          <w:tcPr/>
          <w:p w:rsidR="00000000" w:rsidDel="00000000" w:rsidP="00000000" w:rsidRDefault="00000000" w:rsidRPr="00000000" w14:paraId="000000F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0F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Current Assets</w:t>
            </w:r>
          </w:p>
        </w:tc>
        <w:tc>
          <w:tcPr/>
          <w:p w:rsidR="00000000" w:rsidDel="00000000" w:rsidP="00000000" w:rsidRDefault="00000000" w:rsidRPr="00000000" w14:paraId="000000F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Current Liabilities</w:t>
            </w:r>
          </w:p>
        </w:tc>
        <w:tc>
          <w:tcPr/>
          <w:p w:rsidR="00000000" w:rsidDel="00000000" w:rsidP="00000000" w:rsidRDefault="00000000" w:rsidRPr="00000000" w14:paraId="000000F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Current Ratio</w:t>
            </w:r>
          </w:p>
        </w:tc>
      </w:tr>
      <w:tr>
        <w:trPr>
          <w:cantSplit w:val="0"/>
          <w:trHeight w:val="473" w:hRule="atLeast"/>
          <w:tblHeader w:val="0"/>
        </w:trPr>
        <w:tc>
          <w:tcPr/>
          <w:p w:rsidR="00000000" w:rsidDel="00000000" w:rsidP="00000000" w:rsidRDefault="00000000" w:rsidRPr="00000000" w14:paraId="000000F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0F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242,494</w:t>
            </w:r>
          </w:p>
        </w:tc>
        <w:tc>
          <w:tcPr/>
          <w:p w:rsidR="00000000" w:rsidDel="00000000" w:rsidP="00000000" w:rsidRDefault="00000000" w:rsidRPr="00000000" w14:paraId="000000F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158,291</w:t>
            </w:r>
          </w:p>
        </w:tc>
        <w:tc>
          <w:tcPr/>
          <w:p w:rsidR="00000000" w:rsidDel="00000000" w:rsidP="00000000" w:rsidRDefault="00000000" w:rsidRPr="00000000" w14:paraId="000000FF">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1.53</w:t>
            </w:r>
            <w:r w:rsidDel="00000000" w:rsidR="00000000" w:rsidRPr="00000000">
              <w:rPr>
                <w:rtl w:val="0"/>
              </w:rPr>
            </w:r>
          </w:p>
        </w:tc>
      </w:tr>
      <w:tr>
        <w:trPr>
          <w:cantSplit w:val="0"/>
          <w:trHeight w:val="486" w:hRule="atLeast"/>
          <w:tblHeader w:val="0"/>
        </w:trPr>
        <w:tc>
          <w:tcPr/>
          <w:p w:rsidR="00000000" w:rsidDel="00000000" w:rsidP="00000000" w:rsidRDefault="00000000" w:rsidRPr="00000000" w14:paraId="0000010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0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258,851</w:t>
            </w:r>
          </w:p>
        </w:tc>
        <w:tc>
          <w:tcPr/>
          <w:p w:rsidR="00000000" w:rsidDel="00000000" w:rsidP="00000000" w:rsidRDefault="00000000" w:rsidRPr="00000000" w14:paraId="0000010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161,148</w:t>
            </w:r>
          </w:p>
        </w:tc>
        <w:tc>
          <w:tcPr/>
          <w:p w:rsidR="00000000" w:rsidDel="00000000" w:rsidP="00000000" w:rsidRDefault="00000000" w:rsidRPr="00000000" w14:paraId="00000103">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1.60</w:t>
            </w:r>
            <w:r w:rsidDel="00000000" w:rsidR="00000000" w:rsidRPr="00000000">
              <w:rPr>
                <w:rtl w:val="0"/>
              </w:rPr>
            </w:r>
          </w:p>
        </w:tc>
      </w:tr>
      <w:tr>
        <w:trPr>
          <w:cantSplit w:val="0"/>
          <w:trHeight w:val="486" w:hRule="atLeast"/>
          <w:tblHeader w:val="0"/>
        </w:trPr>
        <w:tc>
          <w:tcPr/>
          <w:p w:rsidR="00000000" w:rsidDel="00000000" w:rsidP="00000000" w:rsidRDefault="00000000" w:rsidRPr="00000000" w14:paraId="0000010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0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338,040</w:t>
            </w:r>
          </w:p>
        </w:tc>
        <w:tc>
          <w:tcPr/>
          <w:p w:rsidR="00000000" w:rsidDel="00000000" w:rsidP="00000000" w:rsidRDefault="00000000" w:rsidRPr="00000000" w14:paraId="0000010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216,473</w:t>
            </w:r>
          </w:p>
        </w:tc>
        <w:tc>
          <w:tcPr/>
          <w:p w:rsidR="00000000" w:rsidDel="00000000" w:rsidP="00000000" w:rsidRDefault="00000000" w:rsidRPr="00000000" w14:paraId="00000107">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1.56</w:t>
            </w:r>
            <w:r w:rsidDel="00000000" w:rsidR="00000000" w:rsidRPr="00000000">
              <w:rPr>
                <w:rtl w:val="0"/>
              </w:rPr>
            </w:r>
          </w:p>
        </w:tc>
      </w:tr>
      <w:tr>
        <w:trPr>
          <w:cantSplit w:val="0"/>
          <w:trHeight w:val="486" w:hRule="atLeast"/>
          <w:tblHeader w:val="0"/>
        </w:trPr>
        <w:tc>
          <w:tcPr/>
          <w:p w:rsidR="00000000" w:rsidDel="00000000" w:rsidP="00000000" w:rsidRDefault="00000000" w:rsidRPr="00000000" w14:paraId="0000010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0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337,146</w:t>
            </w:r>
          </w:p>
        </w:tc>
        <w:tc>
          <w:tcPr/>
          <w:p w:rsidR="00000000" w:rsidDel="00000000" w:rsidP="00000000" w:rsidRDefault="00000000" w:rsidRPr="00000000" w14:paraId="0000010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216,787</w:t>
            </w:r>
          </w:p>
        </w:tc>
        <w:tc>
          <w:tcPr/>
          <w:p w:rsidR="00000000" w:rsidDel="00000000" w:rsidP="00000000" w:rsidRDefault="00000000" w:rsidRPr="00000000" w14:paraId="0000010B">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1.55</w:t>
            </w:r>
            <w:r w:rsidDel="00000000" w:rsidR="00000000" w:rsidRPr="00000000">
              <w:rPr>
                <w:rtl w:val="0"/>
              </w:rPr>
            </w:r>
          </w:p>
        </w:tc>
      </w:tr>
      <w:tr>
        <w:trPr>
          <w:cantSplit w:val="0"/>
          <w:trHeight w:val="473" w:hRule="atLeast"/>
          <w:tblHeader w:val="0"/>
        </w:trPr>
        <w:tc>
          <w:tcPr/>
          <w:p w:rsidR="00000000" w:rsidDel="00000000" w:rsidP="00000000" w:rsidRDefault="00000000" w:rsidRPr="00000000" w14:paraId="0000010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0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326,843</w:t>
            </w:r>
          </w:p>
        </w:tc>
        <w:tc>
          <w:tcPr/>
          <w:p w:rsidR="00000000" w:rsidDel="00000000" w:rsidP="00000000" w:rsidRDefault="00000000" w:rsidRPr="00000000" w14:paraId="0000010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179,510</w:t>
            </w:r>
          </w:p>
        </w:tc>
        <w:tc>
          <w:tcPr/>
          <w:p w:rsidR="00000000" w:rsidDel="00000000" w:rsidP="00000000" w:rsidRDefault="00000000" w:rsidRPr="00000000" w14:paraId="0000010F">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1.82</w:t>
            </w:r>
            <w:r w:rsidDel="00000000" w:rsidR="00000000" w:rsidRPr="00000000">
              <w:rPr>
                <w:rtl w:val="0"/>
              </w:rPr>
            </w:r>
          </w:p>
        </w:tc>
      </w:tr>
    </w:tbl>
    <w:p w:rsidR="00000000" w:rsidDel="00000000" w:rsidP="00000000" w:rsidRDefault="00000000" w:rsidRPr="00000000" w14:paraId="00000110">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11">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112">
      <w:pPr>
        <w:spacing w:line="360" w:lineRule="auto"/>
        <w:jc w:val="both"/>
        <w:rPr>
          <w:rFonts w:ascii="Arial" w:cs="Arial" w:eastAsia="Arial" w:hAnsi="Arial"/>
        </w:rPr>
      </w:pPr>
      <w:r w:rsidDel="00000000" w:rsidR="00000000" w:rsidRPr="00000000">
        <w:rPr>
          <w:rFonts w:ascii="Arial" w:cs="Arial" w:eastAsia="Arial" w:hAnsi="Arial"/>
          <w:rtl w:val="0"/>
        </w:rPr>
        <w:t xml:space="preserve">The current ratio has been greater than the minimum level of safety (1.5), however, it has gradually declined- showing greater pressure in the short-term.</w:t>
      </w:r>
    </w:p>
    <w:p w:rsidR="00000000" w:rsidDel="00000000" w:rsidP="00000000" w:rsidRDefault="00000000" w:rsidRPr="00000000" w14:paraId="00000113">
      <w:pPr>
        <w:rPr>
          <w:rFonts w:ascii="Arial" w:cs="Arial" w:eastAsia="Arial" w:hAnsi="Arial"/>
          <w:b w:val="1"/>
          <w:bCs w:val="1"/>
          <w:sz w:val="25"/>
          <w:szCs w:val="25"/>
        </w:rPr>
      </w:pPr>
      <w:r w:rsidDel="00000000" w:rsidR="00000000" w:rsidRPr="00000000">
        <w:br w:type="page"/>
      </w:r>
      <w:r w:rsidDel="00000000" w:rsidR="00000000" w:rsidRPr="00000000">
        <w:rPr>
          <w:rtl w:val="0"/>
        </w:rPr>
      </w:r>
    </w:p>
    <w:p w:rsidR="00000000" w:rsidDel="00000000" w:rsidP="00000000" w:rsidRDefault="00000000" w:rsidRPr="00000000" w14:paraId="00000114">
      <w:pPr>
        <w:pStyle w:val="Heading3"/>
        <w:rPr/>
      </w:pPr>
      <w:bookmarkStart w:colFirst="0" w:colLast="0" w:name="_94ac5nq4p7o7" w:id="10"/>
      <w:bookmarkEnd w:id="10"/>
      <w:r w:rsidDel="00000000" w:rsidR="00000000" w:rsidRPr="00000000">
        <w:rPr>
          <w:rtl w:val="0"/>
        </w:rPr>
        <w:t xml:space="preserve">1.3.2 Quick Ratio</w:t>
      </w:r>
    </w:p>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116">
      <w:pPr>
        <w:rPr>
          <w:rFonts w:ascii="Arial" w:cs="Arial" w:eastAsia="Arial" w:hAnsi="Arial"/>
        </w:rPr>
      </w:pPr>
      <w:r w:rsidDel="00000000" w:rsidR="00000000" w:rsidRPr="00000000">
        <w:rPr>
          <w:rFonts w:ascii="Arial" w:cs="Arial" w:eastAsia="Arial" w:hAnsi="Arial"/>
          <w:rtl w:val="0"/>
        </w:rPr>
        <w:t xml:space="preserve">Quick Ratio=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Current Assets-Inventory</m:t>
            </m:r>
          </m:num>
          <m:den>
            <m:r>
              <w:rPr>
                <w:rFonts w:ascii="Cambria Math" w:cs="Cambria Math" w:eastAsia="Cambria Math" w:hAnsi="Cambria Math"/>
                <w:sz w:val="32"/>
                <w:szCs w:val="32"/>
              </w:rPr>
              <m:t xml:space="preserve">Current Liabilities</m:t>
            </m:r>
          </m:den>
        </m:f>
      </m:oMath>
      <w:r w:rsidDel="00000000" w:rsidR="00000000" w:rsidRPr="00000000">
        <w:rPr>
          <w:rtl w:val="0"/>
        </w:rPr>
      </w:r>
    </w:p>
    <w:tbl>
      <w:tblPr>
        <w:tblStyle w:val="Table7"/>
        <w:tblW w:w="9604.999999999998"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064"/>
        <w:gridCol w:w="4775"/>
        <w:gridCol w:w="1567"/>
        <w:gridCol w:w="2199"/>
        <w:tblGridChange w:id="0">
          <w:tblGrid>
            <w:gridCol w:w="1064"/>
            <w:gridCol w:w="4775"/>
            <w:gridCol w:w="1567"/>
            <w:gridCol w:w="2199"/>
          </w:tblGrid>
        </w:tblGridChange>
      </w:tblGrid>
      <w:tr>
        <w:trPr>
          <w:cantSplit w:val="0"/>
          <w:trHeight w:val="526" w:hRule="atLeast"/>
          <w:tblHeader w:val="0"/>
        </w:trPr>
        <w:tc>
          <w:tcPr/>
          <w:p w:rsidR="00000000" w:rsidDel="00000000" w:rsidP="00000000" w:rsidRDefault="00000000" w:rsidRPr="00000000" w14:paraId="0000011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1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 − Inv) (£m)</w:t>
            </w:r>
          </w:p>
        </w:tc>
        <w:tc>
          <w:tcPr/>
          <w:p w:rsidR="00000000" w:rsidDel="00000000" w:rsidP="00000000" w:rsidRDefault="00000000" w:rsidRPr="00000000" w14:paraId="0000011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CL (£m)</w:t>
            </w:r>
          </w:p>
        </w:tc>
        <w:tc>
          <w:tcPr/>
          <w:p w:rsidR="00000000" w:rsidDel="00000000" w:rsidP="00000000" w:rsidRDefault="00000000" w:rsidRPr="00000000" w14:paraId="0000011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Quick Ratio</w:t>
            </w:r>
          </w:p>
        </w:tc>
      </w:tr>
      <w:tr>
        <w:trPr>
          <w:cantSplit w:val="0"/>
          <w:trHeight w:val="549" w:hRule="atLeast"/>
          <w:tblHeader w:val="0"/>
        </w:trPr>
        <w:tc>
          <w:tcPr/>
          <w:p w:rsidR="00000000" w:rsidDel="00000000" w:rsidP="00000000" w:rsidRDefault="00000000" w:rsidRPr="00000000" w14:paraId="0000011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1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242,494 − 79,355 = 163,139</w:t>
            </w:r>
          </w:p>
        </w:tc>
        <w:tc>
          <w:tcPr/>
          <w:p w:rsidR="00000000" w:rsidDel="00000000" w:rsidP="00000000" w:rsidRDefault="00000000" w:rsidRPr="00000000" w14:paraId="0000011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158,291</w:t>
            </w:r>
          </w:p>
        </w:tc>
        <w:tc>
          <w:tcPr/>
          <w:p w:rsidR="00000000" w:rsidDel="00000000" w:rsidP="00000000" w:rsidRDefault="00000000" w:rsidRPr="00000000" w14:paraId="0000011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1.03</w:t>
            </w:r>
          </w:p>
        </w:tc>
      </w:tr>
      <w:tr>
        <w:trPr>
          <w:cantSplit w:val="0"/>
          <w:trHeight w:val="526" w:hRule="atLeast"/>
          <w:tblHeader w:val="0"/>
        </w:trPr>
        <w:tc>
          <w:tcPr/>
          <w:p w:rsidR="00000000" w:rsidDel="00000000" w:rsidP="00000000" w:rsidRDefault="00000000" w:rsidRPr="00000000" w14:paraId="0000011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20">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258,851 − 88,273 = 170,578</w:t>
            </w:r>
          </w:p>
        </w:tc>
        <w:tc>
          <w:tcPr/>
          <w:p w:rsidR="00000000" w:rsidDel="00000000" w:rsidP="00000000" w:rsidRDefault="00000000" w:rsidRPr="00000000" w14:paraId="0000012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161,148</w:t>
            </w:r>
          </w:p>
        </w:tc>
        <w:tc>
          <w:tcPr/>
          <w:p w:rsidR="00000000" w:rsidDel="00000000" w:rsidP="00000000" w:rsidRDefault="00000000" w:rsidRPr="00000000" w14:paraId="0000012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1.06</w:t>
            </w:r>
          </w:p>
        </w:tc>
      </w:tr>
      <w:tr>
        <w:trPr>
          <w:cantSplit w:val="0"/>
          <w:trHeight w:val="549" w:hRule="atLeast"/>
          <w:tblHeader w:val="0"/>
        </w:trPr>
        <w:tc>
          <w:tcPr/>
          <w:p w:rsidR="00000000" w:rsidDel="00000000" w:rsidP="00000000" w:rsidRDefault="00000000" w:rsidRPr="00000000" w14:paraId="0000012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2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338,040 − 140,181 = 197,859</w:t>
            </w:r>
          </w:p>
        </w:tc>
        <w:tc>
          <w:tcPr/>
          <w:p w:rsidR="00000000" w:rsidDel="00000000" w:rsidP="00000000" w:rsidRDefault="00000000" w:rsidRPr="00000000" w14:paraId="00000125">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216,473</w:t>
            </w:r>
          </w:p>
        </w:tc>
        <w:tc>
          <w:tcPr/>
          <w:p w:rsidR="00000000" w:rsidDel="00000000" w:rsidP="00000000" w:rsidRDefault="00000000" w:rsidRPr="00000000" w14:paraId="0000012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0.91</w:t>
            </w:r>
          </w:p>
        </w:tc>
      </w:tr>
      <w:tr>
        <w:trPr>
          <w:cantSplit w:val="0"/>
          <w:trHeight w:val="526" w:hRule="atLeast"/>
          <w:tblHeader w:val="0"/>
        </w:trPr>
        <w:tc>
          <w:tcPr/>
          <w:p w:rsidR="00000000" w:rsidDel="00000000" w:rsidP="00000000" w:rsidRDefault="00000000" w:rsidRPr="00000000" w14:paraId="0000012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2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337,146 − 134,469 = 202,677</w:t>
            </w:r>
          </w:p>
        </w:tc>
        <w:tc>
          <w:tcPr/>
          <w:p w:rsidR="00000000" w:rsidDel="00000000" w:rsidP="00000000" w:rsidRDefault="00000000" w:rsidRPr="00000000" w14:paraId="0000012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216,787</w:t>
            </w:r>
          </w:p>
        </w:tc>
        <w:tc>
          <w:tcPr/>
          <w:p w:rsidR="00000000" w:rsidDel="00000000" w:rsidP="00000000" w:rsidRDefault="00000000" w:rsidRPr="00000000" w14:paraId="0000012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0.94</w:t>
            </w:r>
          </w:p>
        </w:tc>
      </w:tr>
      <w:tr>
        <w:trPr>
          <w:cantSplit w:val="0"/>
          <w:trHeight w:val="526" w:hRule="atLeast"/>
          <w:tblHeader w:val="0"/>
        </w:trPr>
        <w:tc>
          <w:tcPr/>
          <w:p w:rsidR="00000000" w:rsidDel="00000000" w:rsidP="00000000" w:rsidRDefault="00000000" w:rsidRPr="00000000" w14:paraId="0000012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2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326,843 − 120,430 = 206,413</w:t>
            </w:r>
          </w:p>
        </w:tc>
        <w:tc>
          <w:tcPr/>
          <w:p w:rsidR="00000000" w:rsidDel="00000000" w:rsidP="00000000" w:rsidRDefault="00000000" w:rsidRPr="00000000" w14:paraId="0000012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179,510</w:t>
            </w:r>
          </w:p>
        </w:tc>
        <w:tc>
          <w:tcPr/>
          <w:p w:rsidR="00000000" w:rsidDel="00000000" w:rsidP="00000000" w:rsidRDefault="00000000" w:rsidRPr="00000000" w14:paraId="0000012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1.15</w:t>
            </w:r>
          </w:p>
        </w:tc>
      </w:tr>
    </w:tbl>
    <w:p w:rsidR="00000000" w:rsidDel="00000000" w:rsidP="00000000" w:rsidRDefault="00000000" w:rsidRPr="00000000" w14:paraId="0000012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30">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131">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the quick ratio, GE is hardly paying short-term debts in 2024 without the use of inventory. The decrease in movement presupposes the constraints of liquid resources and high liquidity risk.</w:t>
      </w:r>
    </w:p>
    <w:p w:rsidR="00000000" w:rsidDel="00000000" w:rsidP="00000000" w:rsidRDefault="00000000" w:rsidRPr="00000000" w14:paraId="00000132">
      <w:pPr>
        <w:pStyle w:val="Heading2"/>
        <w:rPr/>
      </w:pPr>
      <w:bookmarkStart w:colFirst="0" w:colLast="0" w:name="_uqgrrzhvaa0s" w:id="11"/>
      <w:bookmarkEnd w:id="11"/>
      <w:r w:rsidDel="00000000" w:rsidR="00000000" w:rsidRPr="00000000">
        <w:rPr>
          <w:rtl w:val="0"/>
        </w:rPr>
        <w:t xml:space="preserve">1.4 Efficiency (Working Capital) Ratios</w:t>
      </w:r>
    </w:p>
    <w:p w:rsidR="00000000" w:rsidDel="00000000" w:rsidP="00000000" w:rsidRDefault="00000000" w:rsidRPr="00000000" w14:paraId="00000133">
      <w:pPr>
        <w:spacing w:line="360" w:lineRule="auto"/>
        <w:jc w:val="both"/>
        <w:rPr>
          <w:rFonts w:ascii="Arial" w:cs="Arial" w:eastAsia="Arial" w:hAnsi="Arial"/>
        </w:rPr>
      </w:pPr>
      <w:r w:rsidDel="00000000" w:rsidR="00000000" w:rsidRPr="00000000">
        <w:rPr>
          <w:rFonts w:ascii="Arial" w:cs="Arial" w:eastAsia="Arial" w:hAnsi="Arial"/>
          <w:rtl w:val="0"/>
        </w:rPr>
        <w:t xml:space="preserve">Ratios of efficiency look at the efficiency of GE in converting working capital into cash.</w:t>
      </w:r>
    </w:p>
    <w:p w:rsidR="00000000" w:rsidDel="00000000" w:rsidP="00000000" w:rsidRDefault="00000000" w:rsidRPr="00000000" w14:paraId="00000134">
      <w:pPr>
        <w:pStyle w:val="Heading3"/>
        <w:rPr/>
      </w:pPr>
      <w:bookmarkStart w:colFirst="0" w:colLast="0" w:name="_9giu53nnpj8w" w:id="12"/>
      <w:bookmarkEnd w:id="12"/>
      <w:r w:rsidDel="00000000" w:rsidR="00000000" w:rsidRPr="00000000">
        <w:rPr>
          <w:rtl w:val="0"/>
        </w:rPr>
        <w:t xml:space="preserve">1.4.1 Receivables Days (DSO)</w:t>
      </w:r>
    </w:p>
    <w:p w:rsidR="00000000" w:rsidDel="00000000" w:rsidP="00000000" w:rsidRDefault="00000000" w:rsidRPr="00000000" w14:paraId="00000135">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136">
      <w:pPr>
        <w:rPr>
          <w:rFonts w:ascii="Arial" w:cs="Arial" w:eastAsia="Arial" w:hAnsi="Arial"/>
        </w:rPr>
      </w:pPr>
      <w:r w:rsidDel="00000000" w:rsidR="00000000" w:rsidRPr="00000000">
        <w:rPr>
          <w:rFonts w:ascii="Arial" w:cs="Arial" w:eastAsia="Arial" w:hAnsi="Arial"/>
          <w:rtl w:val="0"/>
        </w:rPr>
        <w:t xml:space="preserve">DSO=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Accounts Receivable</m:t>
            </m:r>
          </m:num>
          <m:den>
            <m:r>
              <w:rPr>
                <w:rFonts w:ascii="Cambria Math" w:cs="Cambria Math" w:eastAsia="Cambria Math" w:hAnsi="Cambria Math"/>
                <w:sz w:val="32"/>
                <w:szCs w:val="32"/>
              </w:rPr>
              <m:t xml:space="preserve">Sales</m:t>
            </m:r>
          </m:den>
        </m:f>
        <m:r>
          <w:rPr>
            <w:rFonts w:ascii="Cambria Math" w:cs="Cambria Math" w:eastAsia="Cambria Math" w:hAnsi="Cambria Math"/>
            <w:sz w:val="32"/>
            <w:szCs w:val="32"/>
          </w:rPr>
          <m:t xml:space="preserve">×365</m:t>
        </m:r>
      </m:oMath>
      <w:r w:rsidDel="00000000" w:rsidR="00000000" w:rsidRPr="00000000">
        <w:rPr>
          <w:rtl w:val="0"/>
        </w:rPr>
      </w:r>
    </w:p>
    <w:tbl>
      <w:tblPr>
        <w:tblStyle w:val="Table8"/>
        <w:tblW w:w="922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437"/>
        <w:gridCol w:w="2716"/>
        <w:gridCol w:w="2179"/>
        <w:gridCol w:w="2894"/>
        <w:tblGridChange w:id="0">
          <w:tblGrid>
            <w:gridCol w:w="1437"/>
            <w:gridCol w:w="2716"/>
            <w:gridCol w:w="2179"/>
            <w:gridCol w:w="2894"/>
          </w:tblGrid>
        </w:tblGridChange>
      </w:tblGrid>
      <w:tr>
        <w:trPr>
          <w:cantSplit w:val="0"/>
          <w:trHeight w:val="497" w:hRule="atLeast"/>
          <w:tblHeader w:val="0"/>
        </w:trPr>
        <w:tc>
          <w:tcPr/>
          <w:p w:rsidR="00000000" w:rsidDel="00000000" w:rsidP="00000000" w:rsidRDefault="00000000" w:rsidRPr="00000000" w14:paraId="0000013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3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Sales (£m)</w:t>
            </w:r>
          </w:p>
        </w:tc>
        <w:tc>
          <w:tcPr/>
          <w:p w:rsidR="00000000" w:rsidDel="00000000" w:rsidP="00000000" w:rsidRDefault="00000000" w:rsidRPr="00000000" w14:paraId="0000013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AR (£m)</w:t>
            </w:r>
          </w:p>
        </w:tc>
        <w:tc>
          <w:tcPr/>
          <w:p w:rsidR="00000000" w:rsidDel="00000000" w:rsidP="00000000" w:rsidRDefault="00000000" w:rsidRPr="00000000" w14:paraId="0000013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DSO (days)</w:t>
            </w:r>
          </w:p>
        </w:tc>
      </w:tr>
      <w:tr>
        <w:trPr>
          <w:cantSplit w:val="0"/>
          <w:trHeight w:val="519" w:hRule="atLeast"/>
          <w:tblHeader w:val="0"/>
        </w:trPr>
        <w:tc>
          <w:tcPr/>
          <w:p w:rsidR="00000000" w:rsidDel="00000000" w:rsidP="00000000" w:rsidRDefault="00000000" w:rsidRPr="00000000" w14:paraId="0000013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3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394,879</w:t>
            </w:r>
          </w:p>
        </w:tc>
        <w:tc>
          <w:tcPr/>
          <w:p w:rsidR="00000000" w:rsidDel="00000000" w:rsidP="00000000" w:rsidRDefault="00000000" w:rsidRPr="00000000" w14:paraId="0000013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114,182</w:t>
            </w:r>
          </w:p>
        </w:tc>
        <w:tc>
          <w:tcPr/>
          <w:p w:rsidR="00000000" w:rsidDel="00000000" w:rsidP="00000000" w:rsidRDefault="00000000" w:rsidRPr="00000000" w14:paraId="0000013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105.5</w:t>
            </w:r>
          </w:p>
        </w:tc>
      </w:tr>
      <w:tr>
        <w:trPr>
          <w:cantSplit w:val="0"/>
          <w:trHeight w:val="497" w:hRule="atLeast"/>
          <w:tblHeader w:val="0"/>
        </w:trPr>
        <w:tc>
          <w:tcPr/>
          <w:p w:rsidR="00000000" w:rsidDel="00000000" w:rsidP="00000000" w:rsidRDefault="00000000" w:rsidRPr="00000000" w14:paraId="0000013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40">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420,457</w:t>
            </w:r>
          </w:p>
        </w:tc>
        <w:tc>
          <w:tcPr/>
          <w:p w:rsidR="00000000" w:rsidDel="00000000" w:rsidP="00000000" w:rsidRDefault="00000000" w:rsidRPr="00000000" w14:paraId="0000014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112,596</w:t>
            </w:r>
          </w:p>
        </w:tc>
        <w:tc>
          <w:tcPr/>
          <w:p w:rsidR="00000000" w:rsidDel="00000000" w:rsidP="00000000" w:rsidRDefault="00000000" w:rsidRPr="00000000" w14:paraId="0000014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97.7</w:t>
            </w:r>
          </w:p>
        </w:tc>
      </w:tr>
      <w:tr>
        <w:trPr>
          <w:cantSplit w:val="0"/>
          <w:trHeight w:val="519" w:hRule="atLeast"/>
          <w:tblHeader w:val="0"/>
        </w:trPr>
        <w:tc>
          <w:tcPr/>
          <w:p w:rsidR="00000000" w:rsidDel="00000000" w:rsidP="00000000" w:rsidRDefault="00000000" w:rsidRPr="00000000" w14:paraId="0000014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4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542,751</w:t>
            </w:r>
          </w:p>
        </w:tc>
        <w:tc>
          <w:tcPr/>
          <w:p w:rsidR="00000000" w:rsidDel="00000000" w:rsidP="00000000" w:rsidRDefault="00000000" w:rsidRPr="00000000" w14:paraId="00000145">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112,346</w:t>
            </w:r>
          </w:p>
        </w:tc>
        <w:tc>
          <w:tcPr/>
          <w:p w:rsidR="00000000" w:rsidDel="00000000" w:rsidP="00000000" w:rsidRDefault="00000000" w:rsidRPr="00000000" w14:paraId="0000014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75.6</w:t>
            </w:r>
          </w:p>
        </w:tc>
      </w:tr>
      <w:tr>
        <w:trPr>
          <w:cantSplit w:val="0"/>
          <w:trHeight w:val="497" w:hRule="atLeast"/>
          <w:tblHeader w:val="0"/>
        </w:trPr>
        <w:tc>
          <w:tcPr/>
          <w:p w:rsidR="00000000" w:rsidDel="00000000" w:rsidP="00000000" w:rsidRDefault="00000000" w:rsidRPr="00000000" w14:paraId="0000014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4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601,602</w:t>
            </w:r>
          </w:p>
        </w:tc>
        <w:tc>
          <w:tcPr/>
          <w:p w:rsidR="00000000" w:rsidDel="00000000" w:rsidP="00000000" w:rsidRDefault="00000000" w:rsidRPr="00000000" w14:paraId="0000014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129,215</w:t>
            </w:r>
          </w:p>
        </w:tc>
        <w:tc>
          <w:tcPr/>
          <w:p w:rsidR="00000000" w:rsidDel="00000000" w:rsidP="00000000" w:rsidRDefault="00000000" w:rsidRPr="00000000" w14:paraId="0000014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78.4</w:t>
            </w:r>
          </w:p>
        </w:tc>
      </w:tr>
      <w:tr>
        <w:trPr>
          <w:cantSplit w:val="0"/>
          <w:trHeight w:val="497" w:hRule="atLeast"/>
          <w:tblHeader w:val="0"/>
        </w:trPr>
        <w:tc>
          <w:tcPr/>
          <w:p w:rsidR="00000000" w:rsidDel="00000000" w:rsidP="00000000" w:rsidRDefault="00000000" w:rsidRPr="00000000" w14:paraId="0000014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4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614,680</w:t>
            </w:r>
          </w:p>
        </w:tc>
        <w:tc>
          <w:tcPr/>
          <w:p w:rsidR="00000000" w:rsidDel="00000000" w:rsidP="00000000" w:rsidRDefault="00000000" w:rsidRPr="00000000" w14:paraId="0000014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129,433</w:t>
            </w:r>
          </w:p>
        </w:tc>
        <w:tc>
          <w:tcPr/>
          <w:p w:rsidR="00000000" w:rsidDel="00000000" w:rsidP="00000000" w:rsidRDefault="00000000" w:rsidRPr="00000000" w14:paraId="0000014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76.8</w:t>
            </w:r>
          </w:p>
        </w:tc>
      </w:tr>
    </w:tbl>
    <w:p w:rsidR="00000000" w:rsidDel="00000000" w:rsidP="00000000" w:rsidRDefault="00000000" w:rsidRPr="00000000" w14:paraId="0000014F">
      <w:pPr>
        <w:rPr>
          <w:rFonts w:ascii="Arial" w:cs="Arial" w:eastAsia="Arial" w:hAnsi="Arial"/>
          <w:b w:val="1"/>
          <w:bCs w:val="1"/>
        </w:rPr>
      </w:pPr>
      <w:r w:rsidDel="00000000" w:rsidR="00000000" w:rsidRPr="00000000">
        <w:rPr>
          <w:rFonts w:ascii="Arial" w:cs="Arial" w:eastAsia="Arial" w:hAnsi="Arial"/>
          <w:b w:val="1"/>
          <w:bCs w:val="1"/>
          <w:rtl w:val="0"/>
        </w:rPr>
        <w:br w:type="textWrapping"/>
        <w:t xml:space="preserve">Interpretation</w:t>
      </w:r>
    </w:p>
    <w:p w:rsidR="00000000" w:rsidDel="00000000" w:rsidP="00000000" w:rsidRDefault="00000000" w:rsidRPr="00000000" w14:paraId="00000150">
      <w:pPr>
        <w:spacing w:line="360" w:lineRule="auto"/>
        <w:jc w:val="both"/>
        <w:rPr>
          <w:rFonts w:ascii="Arial" w:cs="Arial" w:eastAsia="Arial" w:hAnsi="Arial"/>
        </w:rPr>
      </w:pPr>
      <w:r w:rsidDel="00000000" w:rsidR="00000000" w:rsidRPr="00000000">
        <w:rPr>
          <w:rFonts w:ascii="Arial" w:cs="Arial" w:eastAsia="Arial" w:hAnsi="Arial"/>
          <w:rtl w:val="0"/>
        </w:rPr>
        <w:t xml:space="preserve">DSO has increased significantly by three months to payment by customers. This indicates poor credit management and increased risk of non-collection.</w:t>
      </w:r>
    </w:p>
    <w:p w:rsidR="00000000" w:rsidDel="00000000" w:rsidP="00000000" w:rsidRDefault="00000000" w:rsidRPr="00000000" w14:paraId="00000151">
      <w:pPr>
        <w:pStyle w:val="Heading3"/>
        <w:rPr/>
      </w:pPr>
      <w:bookmarkStart w:colFirst="0" w:colLast="0" w:name="_pl56yqkpluqg" w:id="13"/>
      <w:bookmarkEnd w:id="13"/>
      <w:r w:rsidDel="00000000" w:rsidR="00000000" w:rsidRPr="00000000">
        <w:rPr>
          <w:rtl w:val="0"/>
        </w:rPr>
        <w:t xml:space="preserve">1.4.2 Inventory Days (DIO)</w:t>
      </w:r>
    </w:p>
    <w:p w:rsidR="00000000" w:rsidDel="00000000" w:rsidP="00000000" w:rsidRDefault="00000000" w:rsidRPr="00000000" w14:paraId="00000152">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153">
      <w:pPr>
        <w:rPr>
          <w:rFonts w:ascii="Arial" w:cs="Arial" w:eastAsia="Arial" w:hAnsi="Arial"/>
        </w:rPr>
      </w:pPr>
      <w:r w:rsidDel="00000000" w:rsidR="00000000" w:rsidRPr="00000000">
        <w:rPr>
          <w:rFonts w:ascii="Arial" w:cs="Arial" w:eastAsia="Arial" w:hAnsi="Arial"/>
          <w:rtl w:val="0"/>
        </w:rPr>
        <w:t xml:space="preserve">DIO=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Inventory</m:t>
            </m:r>
          </m:num>
          <m:den>
            <m:r>
              <w:rPr>
                <w:rFonts w:ascii="Cambria Math" w:cs="Cambria Math" w:eastAsia="Cambria Math" w:hAnsi="Cambria Math"/>
                <w:sz w:val="32"/>
                <w:szCs w:val="32"/>
              </w:rPr>
              <m:t xml:space="preserve">COGS</m:t>
            </m:r>
          </m:den>
        </m:f>
        <m:r>
          <w:rPr>
            <w:rFonts w:ascii="Cambria Math" w:cs="Cambria Math" w:eastAsia="Cambria Math" w:hAnsi="Cambria Math"/>
            <w:sz w:val="32"/>
            <w:szCs w:val="32"/>
          </w:rPr>
          <m:t xml:space="preserve">×365</m:t>
        </m:r>
      </m:oMath>
      <w:r w:rsidDel="00000000" w:rsidR="00000000" w:rsidRPr="00000000">
        <w:rPr>
          <w:rtl w:val="0"/>
        </w:rPr>
      </w:r>
    </w:p>
    <w:tbl>
      <w:tblPr>
        <w:tblStyle w:val="Table9"/>
        <w:tblW w:w="937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271"/>
        <w:gridCol w:w="2536"/>
        <w:gridCol w:w="3168"/>
        <w:gridCol w:w="2401"/>
        <w:tblGridChange w:id="0">
          <w:tblGrid>
            <w:gridCol w:w="1271"/>
            <w:gridCol w:w="2536"/>
            <w:gridCol w:w="3168"/>
            <w:gridCol w:w="2401"/>
          </w:tblGrid>
        </w:tblGridChange>
      </w:tblGrid>
      <w:tr>
        <w:trPr>
          <w:cantSplit w:val="0"/>
          <w:tblHeader w:val="0"/>
        </w:trPr>
        <w:tc>
          <w:tcPr/>
          <w:p w:rsidR="00000000" w:rsidDel="00000000" w:rsidP="00000000" w:rsidRDefault="00000000" w:rsidRPr="00000000" w14:paraId="0000015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5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COGS (£m)</w:t>
            </w:r>
          </w:p>
        </w:tc>
        <w:tc>
          <w:tcPr/>
          <w:p w:rsidR="00000000" w:rsidDel="00000000" w:rsidP="00000000" w:rsidRDefault="00000000" w:rsidRPr="00000000" w14:paraId="0000015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Inventory (£m)</w:t>
            </w:r>
          </w:p>
        </w:tc>
        <w:tc>
          <w:tcPr/>
          <w:p w:rsidR="00000000" w:rsidDel="00000000" w:rsidP="00000000" w:rsidRDefault="00000000" w:rsidRPr="00000000" w14:paraId="0000015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DIO (days)</w:t>
            </w:r>
          </w:p>
        </w:tc>
      </w:tr>
      <w:tr>
        <w:trPr>
          <w:cantSplit w:val="0"/>
          <w:tblHeader w:val="0"/>
        </w:trPr>
        <w:tc>
          <w:tcPr/>
          <w:p w:rsidR="00000000" w:rsidDel="00000000" w:rsidP="00000000" w:rsidRDefault="00000000" w:rsidRPr="00000000" w14:paraId="0000015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5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280,885</w:t>
            </w:r>
          </w:p>
        </w:tc>
        <w:tc>
          <w:tcPr/>
          <w:p w:rsidR="00000000" w:rsidDel="00000000" w:rsidP="00000000" w:rsidRDefault="00000000" w:rsidRPr="00000000" w14:paraId="0000015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79,355</w:t>
            </w:r>
          </w:p>
        </w:tc>
        <w:tc>
          <w:tcPr/>
          <w:p w:rsidR="00000000" w:rsidDel="00000000" w:rsidP="00000000" w:rsidRDefault="00000000" w:rsidRPr="00000000" w14:paraId="0000015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103.1</w:t>
            </w:r>
          </w:p>
        </w:tc>
      </w:tr>
      <w:tr>
        <w:trPr>
          <w:cantSplit w:val="0"/>
          <w:tblHeader w:val="0"/>
        </w:trPr>
        <w:tc>
          <w:tcPr/>
          <w:p w:rsidR="00000000" w:rsidDel="00000000" w:rsidP="00000000" w:rsidRDefault="00000000" w:rsidRPr="00000000" w14:paraId="0000015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5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322,897</w:t>
            </w:r>
          </w:p>
        </w:tc>
        <w:tc>
          <w:tcPr/>
          <w:p w:rsidR="00000000" w:rsidDel="00000000" w:rsidP="00000000" w:rsidRDefault="00000000" w:rsidRPr="00000000" w14:paraId="0000015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88,273</w:t>
            </w:r>
          </w:p>
        </w:tc>
        <w:tc>
          <w:tcPr/>
          <w:p w:rsidR="00000000" w:rsidDel="00000000" w:rsidP="00000000" w:rsidRDefault="00000000" w:rsidRPr="00000000" w14:paraId="0000015F">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99.8</w:t>
            </w:r>
          </w:p>
        </w:tc>
      </w:tr>
      <w:tr>
        <w:trPr>
          <w:cantSplit w:val="0"/>
          <w:tblHeader w:val="0"/>
        </w:trPr>
        <w:tc>
          <w:tcPr/>
          <w:p w:rsidR="00000000" w:rsidDel="00000000" w:rsidP="00000000" w:rsidRDefault="00000000" w:rsidRPr="00000000" w14:paraId="0000016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6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390,459</w:t>
            </w:r>
          </w:p>
        </w:tc>
        <w:tc>
          <w:tcPr/>
          <w:p w:rsidR="00000000" w:rsidDel="00000000" w:rsidP="00000000" w:rsidRDefault="00000000" w:rsidRPr="00000000" w14:paraId="0000016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140,181</w:t>
            </w:r>
          </w:p>
        </w:tc>
        <w:tc>
          <w:tcPr/>
          <w:p w:rsidR="00000000" w:rsidDel="00000000" w:rsidP="00000000" w:rsidRDefault="00000000" w:rsidRPr="00000000" w14:paraId="00000163">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131.0</w:t>
            </w:r>
          </w:p>
        </w:tc>
      </w:tr>
      <w:tr>
        <w:trPr>
          <w:cantSplit w:val="0"/>
          <w:tblHeader w:val="0"/>
        </w:trPr>
        <w:tc>
          <w:tcPr/>
          <w:p w:rsidR="00000000" w:rsidDel="00000000" w:rsidP="00000000" w:rsidRDefault="00000000" w:rsidRPr="00000000" w14:paraId="0000016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65">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428,586</w:t>
            </w:r>
          </w:p>
        </w:tc>
        <w:tc>
          <w:tcPr/>
          <w:p w:rsidR="00000000" w:rsidDel="00000000" w:rsidP="00000000" w:rsidRDefault="00000000" w:rsidRPr="00000000" w14:paraId="0000016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134,469</w:t>
            </w:r>
          </w:p>
        </w:tc>
        <w:tc>
          <w:tcPr/>
          <w:p w:rsidR="00000000" w:rsidDel="00000000" w:rsidP="00000000" w:rsidRDefault="00000000" w:rsidRPr="00000000" w14:paraId="0000016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114.5</w:t>
            </w:r>
          </w:p>
        </w:tc>
      </w:tr>
      <w:tr>
        <w:trPr>
          <w:cantSplit w:val="0"/>
          <w:tblHeader w:val="0"/>
        </w:trPr>
        <w:tc>
          <w:tcPr/>
          <w:p w:rsidR="00000000" w:rsidDel="00000000" w:rsidP="00000000" w:rsidRDefault="00000000" w:rsidRPr="00000000" w14:paraId="0000016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6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438,424</w:t>
            </w:r>
          </w:p>
        </w:tc>
        <w:tc>
          <w:tcPr/>
          <w:p w:rsidR="00000000" w:rsidDel="00000000" w:rsidP="00000000" w:rsidRDefault="00000000" w:rsidRPr="00000000" w14:paraId="0000016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120,430</w:t>
            </w:r>
          </w:p>
        </w:tc>
        <w:tc>
          <w:tcPr/>
          <w:p w:rsidR="00000000" w:rsidDel="00000000" w:rsidP="00000000" w:rsidRDefault="00000000" w:rsidRPr="00000000" w14:paraId="0000016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100.3</w:t>
            </w:r>
          </w:p>
        </w:tc>
      </w:tr>
    </w:tbl>
    <w:p w:rsidR="00000000" w:rsidDel="00000000" w:rsidP="00000000" w:rsidRDefault="00000000" w:rsidRPr="00000000" w14:paraId="0000016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D">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16E">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Inventory holding is very high, and this is holding huge sums of money. Although this was going better from 2022, the levels remain inefficient in a modern electronics company.</w:t>
      </w:r>
      <w:r w:rsidDel="00000000" w:rsidR="00000000" w:rsidRPr="00000000">
        <w:rPr>
          <w:rtl w:val="0"/>
        </w:rPr>
      </w:r>
    </w:p>
    <w:p w:rsidR="00000000" w:rsidDel="00000000" w:rsidP="00000000" w:rsidRDefault="00000000" w:rsidRPr="00000000" w14:paraId="0000016F">
      <w:pPr>
        <w:rPr>
          <w:rFonts w:ascii="Arial" w:cs="Arial" w:eastAsia="Arial" w:hAnsi="Arial"/>
          <w:b w:val="1"/>
          <w:bCs w:val="1"/>
          <w:sz w:val="25"/>
          <w:szCs w:val="25"/>
        </w:rPr>
      </w:pPr>
      <w:r w:rsidDel="00000000" w:rsidR="00000000" w:rsidRPr="00000000">
        <w:br w:type="page"/>
      </w:r>
      <w:r w:rsidDel="00000000" w:rsidR="00000000" w:rsidRPr="00000000">
        <w:rPr>
          <w:rtl w:val="0"/>
        </w:rPr>
      </w:r>
    </w:p>
    <w:p w:rsidR="00000000" w:rsidDel="00000000" w:rsidP="00000000" w:rsidRDefault="00000000" w:rsidRPr="00000000" w14:paraId="00000170">
      <w:pPr>
        <w:pStyle w:val="Heading3"/>
        <w:rPr/>
      </w:pPr>
      <w:bookmarkStart w:colFirst="0" w:colLast="0" w:name="_h224pe3f72kf" w:id="14"/>
      <w:bookmarkEnd w:id="14"/>
      <w:r w:rsidDel="00000000" w:rsidR="00000000" w:rsidRPr="00000000">
        <w:rPr>
          <w:rtl w:val="0"/>
        </w:rPr>
        <w:t xml:space="preserve">1.4.3 Payables Days (DPO)</w:t>
      </w:r>
    </w:p>
    <w:p w:rsidR="00000000" w:rsidDel="00000000" w:rsidP="00000000" w:rsidRDefault="00000000" w:rsidRPr="00000000" w14:paraId="00000171">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172">
      <w:pPr>
        <w:rPr>
          <w:rFonts w:ascii="Arial" w:cs="Arial" w:eastAsia="Arial" w:hAnsi="Arial"/>
        </w:rPr>
      </w:pPr>
      <w:r w:rsidDel="00000000" w:rsidR="00000000" w:rsidRPr="00000000">
        <w:rPr>
          <w:rFonts w:ascii="Arial" w:cs="Arial" w:eastAsia="Arial" w:hAnsi="Arial"/>
          <w:rtl w:val="0"/>
        </w:rPr>
        <w:t xml:space="preserve">DPO=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Accounts Payable</m:t>
            </m:r>
          </m:num>
          <m:den>
            <m:r>
              <w:rPr>
                <w:rFonts w:ascii="Cambria Math" w:cs="Cambria Math" w:eastAsia="Cambria Math" w:hAnsi="Cambria Math"/>
                <w:sz w:val="32"/>
                <w:szCs w:val="32"/>
              </w:rPr>
              <m:t xml:space="preserve">COGS</m:t>
            </m:r>
          </m:den>
        </m:f>
        <m:r>
          <w:rPr>
            <w:rFonts w:ascii="Cambria Math" w:cs="Cambria Math" w:eastAsia="Cambria Math" w:hAnsi="Cambria Math"/>
            <w:sz w:val="32"/>
            <w:szCs w:val="32"/>
          </w:rPr>
          <m:t xml:space="preserve">×365</m:t>
        </m:r>
      </m:oMath>
      <w:r w:rsidDel="00000000" w:rsidR="00000000" w:rsidRPr="00000000">
        <w:rPr>
          <w:rtl w:val="0"/>
        </w:rPr>
      </w:r>
    </w:p>
    <w:tbl>
      <w:tblPr>
        <w:tblStyle w:val="Table10"/>
        <w:tblW w:w="909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398"/>
        <w:gridCol w:w="2791"/>
        <w:gridCol w:w="2086"/>
        <w:gridCol w:w="2815"/>
        <w:tblGridChange w:id="0">
          <w:tblGrid>
            <w:gridCol w:w="1398"/>
            <w:gridCol w:w="2791"/>
            <w:gridCol w:w="2086"/>
            <w:gridCol w:w="2815"/>
          </w:tblGrid>
        </w:tblGridChange>
      </w:tblGrid>
      <w:tr>
        <w:trPr>
          <w:cantSplit w:val="0"/>
          <w:trHeight w:val="500" w:hRule="atLeast"/>
          <w:tblHeader w:val="0"/>
        </w:trPr>
        <w:tc>
          <w:tcPr/>
          <w:p w:rsidR="00000000" w:rsidDel="00000000" w:rsidP="00000000" w:rsidRDefault="00000000" w:rsidRPr="00000000" w14:paraId="0000017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7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COGS (£m)</w:t>
            </w:r>
          </w:p>
        </w:tc>
        <w:tc>
          <w:tcPr/>
          <w:p w:rsidR="00000000" w:rsidDel="00000000" w:rsidP="00000000" w:rsidRDefault="00000000" w:rsidRPr="00000000" w14:paraId="0000017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AP (£m)</w:t>
            </w:r>
          </w:p>
        </w:tc>
        <w:tc>
          <w:tcPr/>
          <w:p w:rsidR="00000000" w:rsidDel="00000000" w:rsidP="00000000" w:rsidRDefault="00000000" w:rsidRPr="00000000" w14:paraId="0000017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DPO (days)</w:t>
            </w:r>
          </w:p>
        </w:tc>
      </w:tr>
      <w:tr>
        <w:trPr>
          <w:cantSplit w:val="0"/>
          <w:trHeight w:val="522" w:hRule="atLeast"/>
          <w:tblHeader w:val="0"/>
        </w:trPr>
        <w:tc>
          <w:tcPr/>
          <w:p w:rsidR="00000000" w:rsidDel="00000000" w:rsidP="00000000" w:rsidRDefault="00000000" w:rsidRPr="00000000" w14:paraId="0000017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7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280,885</w:t>
            </w:r>
          </w:p>
        </w:tc>
        <w:tc>
          <w:tcPr/>
          <w:p w:rsidR="00000000" w:rsidDel="00000000" w:rsidP="00000000" w:rsidRDefault="00000000" w:rsidRPr="00000000" w14:paraId="0000017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72,031</w:t>
            </w:r>
          </w:p>
        </w:tc>
        <w:tc>
          <w:tcPr/>
          <w:p w:rsidR="00000000" w:rsidDel="00000000" w:rsidP="00000000" w:rsidRDefault="00000000" w:rsidRPr="00000000" w14:paraId="0000017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93.6</w:t>
            </w:r>
          </w:p>
        </w:tc>
      </w:tr>
      <w:tr>
        <w:trPr>
          <w:cantSplit w:val="0"/>
          <w:trHeight w:val="500" w:hRule="atLeast"/>
          <w:tblHeader w:val="0"/>
        </w:trPr>
        <w:tc>
          <w:tcPr/>
          <w:p w:rsidR="00000000" w:rsidDel="00000000" w:rsidP="00000000" w:rsidRDefault="00000000" w:rsidRPr="00000000" w14:paraId="0000017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7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322,897</w:t>
            </w:r>
          </w:p>
        </w:tc>
        <w:tc>
          <w:tcPr/>
          <w:p w:rsidR="00000000" w:rsidDel="00000000" w:rsidP="00000000" w:rsidRDefault="00000000" w:rsidRPr="00000000" w14:paraId="0000017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57,033</w:t>
            </w:r>
          </w:p>
        </w:tc>
        <w:tc>
          <w:tcPr/>
          <w:p w:rsidR="00000000" w:rsidDel="00000000" w:rsidP="00000000" w:rsidRDefault="00000000" w:rsidRPr="00000000" w14:paraId="0000017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64.5</w:t>
            </w:r>
          </w:p>
        </w:tc>
      </w:tr>
      <w:tr>
        <w:trPr>
          <w:cantSplit w:val="0"/>
          <w:trHeight w:val="522" w:hRule="atLeast"/>
          <w:tblHeader w:val="0"/>
        </w:trPr>
        <w:tc>
          <w:tcPr/>
          <w:p w:rsidR="00000000" w:rsidDel="00000000" w:rsidP="00000000" w:rsidRDefault="00000000" w:rsidRPr="00000000" w14:paraId="0000017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80">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390,459</w:t>
            </w:r>
          </w:p>
        </w:tc>
        <w:tc>
          <w:tcPr/>
          <w:p w:rsidR="00000000" w:rsidDel="00000000" w:rsidP="00000000" w:rsidRDefault="00000000" w:rsidRPr="00000000" w14:paraId="0000018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71,373</w:t>
            </w:r>
          </w:p>
        </w:tc>
        <w:tc>
          <w:tcPr/>
          <w:p w:rsidR="00000000" w:rsidDel="00000000" w:rsidP="00000000" w:rsidRDefault="00000000" w:rsidRPr="00000000" w14:paraId="0000018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66.7</w:t>
            </w:r>
          </w:p>
        </w:tc>
      </w:tr>
      <w:tr>
        <w:trPr>
          <w:cantSplit w:val="0"/>
          <w:trHeight w:val="500" w:hRule="atLeast"/>
          <w:tblHeader w:val="0"/>
        </w:trPr>
        <w:tc>
          <w:tcPr/>
          <w:p w:rsidR="00000000" w:rsidDel="00000000" w:rsidP="00000000" w:rsidRDefault="00000000" w:rsidRPr="00000000" w14:paraId="0000018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8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428,586</w:t>
            </w:r>
          </w:p>
        </w:tc>
        <w:tc>
          <w:tcPr/>
          <w:p w:rsidR="00000000" w:rsidDel="00000000" w:rsidP="00000000" w:rsidRDefault="00000000" w:rsidRPr="00000000" w14:paraId="00000185">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92,707</w:t>
            </w:r>
          </w:p>
        </w:tc>
        <w:tc>
          <w:tcPr/>
          <w:p w:rsidR="00000000" w:rsidDel="00000000" w:rsidP="00000000" w:rsidRDefault="00000000" w:rsidRPr="00000000" w14:paraId="0000018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79.0</w:t>
            </w:r>
          </w:p>
        </w:tc>
      </w:tr>
      <w:tr>
        <w:trPr>
          <w:cantSplit w:val="0"/>
          <w:trHeight w:val="500" w:hRule="atLeast"/>
          <w:tblHeader w:val="0"/>
        </w:trPr>
        <w:tc>
          <w:tcPr/>
          <w:p w:rsidR="00000000" w:rsidDel="00000000" w:rsidP="00000000" w:rsidRDefault="00000000" w:rsidRPr="00000000" w14:paraId="0000018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8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438,424</w:t>
            </w:r>
          </w:p>
        </w:tc>
        <w:tc>
          <w:tcPr/>
          <w:p w:rsidR="00000000" w:rsidDel="00000000" w:rsidP="00000000" w:rsidRDefault="00000000" w:rsidRPr="00000000" w14:paraId="0000018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83,229</w:t>
            </w:r>
          </w:p>
        </w:tc>
        <w:tc>
          <w:tcPr/>
          <w:p w:rsidR="00000000" w:rsidDel="00000000" w:rsidP="00000000" w:rsidRDefault="00000000" w:rsidRPr="00000000" w14:paraId="0000018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69.3</w:t>
            </w:r>
          </w:p>
        </w:tc>
      </w:tr>
    </w:tbl>
    <w:p w:rsidR="00000000" w:rsidDel="00000000" w:rsidP="00000000" w:rsidRDefault="00000000" w:rsidRPr="00000000" w14:paraId="0000018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8C">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18D">
      <w:pPr>
        <w:spacing w:line="360" w:lineRule="auto"/>
        <w:jc w:val="both"/>
        <w:rPr>
          <w:rFonts w:ascii="Arial" w:cs="Arial" w:eastAsia="Arial" w:hAnsi="Arial"/>
        </w:rPr>
      </w:pPr>
      <w:r w:rsidDel="00000000" w:rsidR="00000000" w:rsidRPr="00000000">
        <w:rPr>
          <w:rFonts w:ascii="Arial" w:cs="Arial" w:eastAsia="Arial" w:hAnsi="Arial"/>
          <w:rtl w:val="0"/>
        </w:rPr>
        <w:t xml:space="preserve">The GE payment to suppliers starts being delayed more and this helps in short-term cash flow. Using suppliers to fund it however comes at the cost of relationship strain.</w:t>
      </w:r>
    </w:p>
    <w:p w:rsidR="00000000" w:rsidDel="00000000" w:rsidP="00000000" w:rsidRDefault="00000000" w:rsidRPr="00000000" w14:paraId="0000018E">
      <w:pPr>
        <w:pStyle w:val="Heading3"/>
        <w:rPr/>
      </w:pPr>
      <w:bookmarkStart w:colFirst="0" w:colLast="0" w:name="_k3xlj7okzfjr" w:id="15"/>
      <w:bookmarkEnd w:id="15"/>
      <w:r w:rsidDel="00000000" w:rsidR="00000000" w:rsidRPr="00000000">
        <w:rPr>
          <w:rtl w:val="0"/>
        </w:rPr>
        <w:t xml:space="preserve">1.4.4 Cash Conversion Cycle (CCC)</w:t>
      </w:r>
    </w:p>
    <w:p w:rsidR="00000000" w:rsidDel="00000000" w:rsidP="00000000" w:rsidRDefault="00000000" w:rsidRPr="00000000" w14:paraId="0000018F">
      <w:pPr>
        <w:rPr>
          <w:rFonts w:ascii="Arial" w:cs="Arial" w:eastAsia="Arial" w:hAnsi="Arial"/>
        </w:rPr>
      </w:pPr>
      <w:r w:rsidDel="00000000" w:rsidR="00000000" w:rsidRPr="00000000">
        <w:rPr>
          <w:rFonts w:ascii="Arial" w:cs="Arial" w:eastAsia="Arial" w:hAnsi="Arial"/>
          <w:b w:val="1"/>
          <w:bCs w:val="1"/>
          <w:rtl w:val="0"/>
        </w:rPr>
        <w:t xml:space="preserve">Formula:</w:t>
      </w:r>
      <w:r w:rsidDel="00000000" w:rsidR="00000000" w:rsidRPr="00000000">
        <w:rPr>
          <w:rtl w:val="0"/>
        </w:rPr>
      </w:r>
    </w:p>
    <w:p w:rsidR="00000000" w:rsidDel="00000000" w:rsidP="00000000" w:rsidRDefault="00000000" w:rsidRPr="00000000" w14:paraId="00000190">
      <w:pPr>
        <w:rPr>
          <w:rFonts w:ascii="Arial" w:cs="Arial" w:eastAsia="Arial" w:hAnsi="Arial"/>
        </w:rPr>
      </w:pPr>
      <w:r w:rsidDel="00000000" w:rsidR="00000000" w:rsidRPr="00000000">
        <w:rPr>
          <w:rFonts w:ascii="Arial" w:cs="Arial" w:eastAsia="Arial" w:hAnsi="Arial"/>
          <w:rtl w:val="0"/>
        </w:rPr>
        <w:t xml:space="preserve">CCC= [(DSO+DIO) −DPO)]</w:t>
      </w:r>
    </w:p>
    <w:tbl>
      <w:tblPr>
        <w:tblStyle w:val="Table11"/>
        <w:tblW w:w="896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451"/>
        <w:gridCol w:w="1582"/>
        <w:gridCol w:w="1582"/>
        <w:gridCol w:w="1427"/>
        <w:gridCol w:w="2923"/>
        <w:tblGridChange w:id="0">
          <w:tblGrid>
            <w:gridCol w:w="1451"/>
            <w:gridCol w:w="1582"/>
            <w:gridCol w:w="1582"/>
            <w:gridCol w:w="1427"/>
            <w:gridCol w:w="2923"/>
          </w:tblGrid>
        </w:tblGridChange>
      </w:tblGrid>
      <w:tr>
        <w:trPr>
          <w:cantSplit w:val="0"/>
          <w:trHeight w:val="501" w:hRule="atLeast"/>
          <w:tblHeader w:val="0"/>
        </w:trPr>
        <w:tc>
          <w:tcPr/>
          <w:p w:rsidR="00000000" w:rsidDel="00000000" w:rsidP="00000000" w:rsidRDefault="00000000" w:rsidRPr="00000000" w14:paraId="0000019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9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DSO</w:t>
            </w:r>
          </w:p>
        </w:tc>
        <w:tc>
          <w:tcPr/>
          <w:p w:rsidR="00000000" w:rsidDel="00000000" w:rsidP="00000000" w:rsidRDefault="00000000" w:rsidRPr="00000000" w14:paraId="0000019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DIO</w:t>
            </w:r>
          </w:p>
        </w:tc>
        <w:tc>
          <w:tcPr/>
          <w:p w:rsidR="00000000" w:rsidDel="00000000" w:rsidP="00000000" w:rsidRDefault="00000000" w:rsidRPr="00000000" w14:paraId="0000019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DPO</w:t>
            </w:r>
          </w:p>
        </w:tc>
        <w:tc>
          <w:tcPr/>
          <w:p w:rsidR="00000000" w:rsidDel="00000000" w:rsidP="00000000" w:rsidRDefault="00000000" w:rsidRPr="00000000" w14:paraId="0000019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CCC (days)</w:t>
            </w:r>
          </w:p>
        </w:tc>
      </w:tr>
      <w:tr>
        <w:trPr>
          <w:cantSplit w:val="0"/>
          <w:trHeight w:val="522" w:hRule="atLeast"/>
          <w:tblHeader w:val="0"/>
        </w:trPr>
        <w:tc>
          <w:tcPr/>
          <w:p w:rsidR="00000000" w:rsidDel="00000000" w:rsidP="00000000" w:rsidRDefault="00000000" w:rsidRPr="00000000" w14:paraId="0000019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9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105.5</w:t>
            </w:r>
          </w:p>
        </w:tc>
        <w:tc>
          <w:tcPr/>
          <w:p w:rsidR="00000000" w:rsidDel="00000000" w:rsidP="00000000" w:rsidRDefault="00000000" w:rsidRPr="00000000" w14:paraId="0000019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103.1</w:t>
            </w:r>
          </w:p>
        </w:tc>
        <w:tc>
          <w:tcPr/>
          <w:p w:rsidR="00000000" w:rsidDel="00000000" w:rsidP="00000000" w:rsidRDefault="00000000" w:rsidRPr="00000000" w14:paraId="0000019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93.6</w:t>
            </w:r>
          </w:p>
        </w:tc>
        <w:tc>
          <w:tcPr/>
          <w:p w:rsidR="00000000" w:rsidDel="00000000" w:rsidP="00000000" w:rsidRDefault="00000000" w:rsidRPr="00000000" w14:paraId="0000019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115.0</w:t>
            </w:r>
          </w:p>
        </w:tc>
      </w:tr>
      <w:tr>
        <w:trPr>
          <w:cantSplit w:val="0"/>
          <w:trHeight w:val="501" w:hRule="atLeast"/>
          <w:tblHeader w:val="0"/>
        </w:trPr>
        <w:tc>
          <w:tcPr/>
          <w:p w:rsidR="00000000" w:rsidDel="00000000" w:rsidP="00000000" w:rsidRDefault="00000000" w:rsidRPr="00000000" w14:paraId="0000019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9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97.7</w:t>
            </w:r>
          </w:p>
        </w:tc>
        <w:tc>
          <w:tcPr/>
          <w:p w:rsidR="00000000" w:rsidDel="00000000" w:rsidP="00000000" w:rsidRDefault="00000000" w:rsidRPr="00000000" w14:paraId="0000019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99.8</w:t>
            </w:r>
          </w:p>
        </w:tc>
        <w:tc>
          <w:tcPr/>
          <w:p w:rsidR="00000000" w:rsidDel="00000000" w:rsidP="00000000" w:rsidRDefault="00000000" w:rsidRPr="00000000" w14:paraId="0000019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64.5</w:t>
            </w:r>
          </w:p>
        </w:tc>
        <w:tc>
          <w:tcPr/>
          <w:p w:rsidR="00000000" w:rsidDel="00000000" w:rsidP="00000000" w:rsidRDefault="00000000" w:rsidRPr="00000000" w14:paraId="0000019F">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133.0</w:t>
            </w:r>
          </w:p>
        </w:tc>
      </w:tr>
      <w:tr>
        <w:trPr>
          <w:cantSplit w:val="0"/>
          <w:trHeight w:val="522" w:hRule="atLeast"/>
          <w:tblHeader w:val="0"/>
        </w:trPr>
        <w:tc>
          <w:tcPr/>
          <w:p w:rsidR="00000000" w:rsidDel="00000000" w:rsidP="00000000" w:rsidRDefault="00000000" w:rsidRPr="00000000" w14:paraId="000001A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A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75.6</w:t>
            </w:r>
          </w:p>
        </w:tc>
        <w:tc>
          <w:tcPr/>
          <w:p w:rsidR="00000000" w:rsidDel="00000000" w:rsidP="00000000" w:rsidRDefault="00000000" w:rsidRPr="00000000" w14:paraId="000001A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131.0</w:t>
            </w:r>
          </w:p>
        </w:tc>
        <w:tc>
          <w:tcPr/>
          <w:p w:rsidR="00000000" w:rsidDel="00000000" w:rsidP="00000000" w:rsidRDefault="00000000" w:rsidRPr="00000000" w14:paraId="000001A3">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66.7</w:t>
            </w:r>
          </w:p>
        </w:tc>
        <w:tc>
          <w:tcPr/>
          <w:p w:rsidR="00000000" w:rsidDel="00000000" w:rsidP="00000000" w:rsidRDefault="00000000" w:rsidRPr="00000000" w14:paraId="000001A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139.9</w:t>
            </w:r>
          </w:p>
        </w:tc>
      </w:tr>
      <w:tr>
        <w:trPr>
          <w:cantSplit w:val="0"/>
          <w:trHeight w:val="501" w:hRule="atLeast"/>
          <w:tblHeader w:val="0"/>
        </w:trPr>
        <w:tc>
          <w:tcPr/>
          <w:p w:rsidR="00000000" w:rsidDel="00000000" w:rsidP="00000000" w:rsidRDefault="00000000" w:rsidRPr="00000000" w14:paraId="000001A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A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78.4</w:t>
            </w:r>
          </w:p>
        </w:tc>
        <w:tc>
          <w:tcPr/>
          <w:p w:rsidR="00000000" w:rsidDel="00000000" w:rsidP="00000000" w:rsidRDefault="00000000" w:rsidRPr="00000000" w14:paraId="000001A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114.5</w:t>
            </w:r>
          </w:p>
        </w:tc>
        <w:tc>
          <w:tcPr/>
          <w:p w:rsidR="00000000" w:rsidDel="00000000" w:rsidP="00000000" w:rsidRDefault="00000000" w:rsidRPr="00000000" w14:paraId="000001A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79.0</w:t>
            </w:r>
          </w:p>
        </w:tc>
        <w:tc>
          <w:tcPr/>
          <w:p w:rsidR="00000000" w:rsidDel="00000000" w:rsidP="00000000" w:rsidRDefault="00000000" w:rsidRPr="00000000" w14:paraId="000001A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113.9</w:t>
            </w:r>
          </w:p>
        </w:tc>
      </w:tr>
      <w:tr>
        <w:trPr>
          <w:cantSplit w:val="0"/>
          <w:trHeight w:val="501" w:hRule="atLeast"/>
          <w:tblHeader w:val="0"/>
        </w:trPr>
        <w:tc>
          <w:tcPr/>
          <w:p w:rsidR="00000000" w:rsidDel="00000000" w:rsidP="00000000" w:rsidRDefault="00000000" w:rsidRPr="00000000" w14:paraId="000001A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A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76.8</w:t>
            </w:r>
          </w:p>
        </w:tc>
        <w:tc>
          <w:tcPr/>
          <w:p w:rsidR="00000000" w:rsidDel="00000000" w:rsidP="00000000" w:rsidRDefault="00000000" w:rsidRPr="00000000" w14:paraId="000001A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100.3</w:t>
            </w:r>
          </w:p>
        </w:tc>
        <w:tc>
          <w:tcPr/>
          <w:p w:rsidR="00000000" w:rsidDel="00000000" w:rsidP="00000000" w:rsidRDefault="00000000" w:rsidRPr="00000000" w14:paraId="000001A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69.3</w:t>
            </w:r>
          </w:p>
        </w:tc>
        <w:tc>
          <w:tcPr/>
          <w:p w:rsidR="00000000" w:rsidDel="00000000" w:rsidP="00000000" w:rsidRDefault="00000000" w:rsidRPr="00000000" w14:paraId="000001A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107.8</w:t>
            </w:r>
          </w:p>
        </w:tc>
      </w:tr>
    </w:tbl>
    <w:p w:rsidR="00000000" w:rsidDel="00000000" w:rsidP="00000000" w:rsidRDefault="00000000" w:rsidRPr="00000000" w14:paraId="000001A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B0">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1B1">
      <w:pPr>
        <w:spacing w:line="360" w:lineRule="auto"/>
        <w:jc w:val="both"/>
        <w:rPr>
          <w:rFonts w:ascii="Arial" w:cs="Arial" w:eastAsia="Arial" w:hAnsi="Arial"/>
        </w:rPr>
      </w:pPr>
      <w:r w:rsidDel="00000000" w:rsidR="00000000" w:rsidRPr="00000000">
        <w:rPr>
          <w:rFonts w:ascii="Arial" w:cs="Arial" w:eastAsia="Arial" w:hAnsi="Arial"/>
          <w:rtl w:val="0"/>
        </w:rPr>
        <w:t xml:space="preserve">The average number of days taken by CCC in the years is greater than 110, which means that its cash has been in operating cycle over three months. This is a significant liquidity strain point.</w:t>
      </w:r>
    </w:p>
    <w:p w:rsidR="00000000" w:rsidDel="00000000" w:rsidP="00000000" w:rsidRDefault="00000000" w:rsidRPr="00000000" w14:paraId="000001B2">
      <w:pPr>
        <w:pStyle w:val="Heading2"/>
        <w:rPr/>
      </w:pPr>
      <w:bookmarkStart w:colFirst="0" w:colLast="0" w:name="_xjy4htheqxs2" w:id="16"/>
      <w:bookmarkEnd w:id="16"/>
      <w:r w:rsidDel="00000000" w:rsidR="00000000" w:rsidRPr="00000000">
        <w:rPr>
          <w:rtl w:val="0"/>
        </w:rPr>
        <w:t xml:space="preserve">1.5 Gearing (Solvency) Ratios</w:t>
      </w:r>
    </w:p>
    <w:p w:rsidR="00000000" w:rsidDel="00000000" w:rsidP="00000000" w:rsidRDefault="00000000" w:rsidRPr="00000000" w14:paraId="000001B3">
      <w:pPr>
        <w:pStyle w:val="Heading3"/>
        <w:rPr/>
      </w:pPr>
      <w:bookmarkStart w:colFirst="0" w:colLast="0" w:name="_i1xtripypggp" w:id="17"/>
      <w:bookmarkEnd w:id="17"/>
      <w:r w:rsidDel="00000000" w:rsidR="00000000" w:rsidRPr="00000000">
        <w:rPr>
          <w:rtl w:val="0"/>
        </w:rPr>
        <w:t xml:space="preserve">1.5.1 Debt-to-Assets</w:t>
      </w:r>
    </w:p>
    <w:p w:rsidR="00000000" w:rsidDel="00000000" w:rsidP="00000000" w:rsidRDefault="00000000" w:rsidRPr="00000000" w14:paraId="000001B4">
      <w:pPr>
        <w:rPr>
          <w:rFonts w:ascii="Arial" w:cs="Arial" w:eastAsia="Arial" w:hAnsi="Arial"/>
        </w:rPr>
      </w:pPr>
      <w:r w:rsidDel="00000000" w:rsidR="00000000" w:rsidRPr="00000000">
        <w:rPr>
          <w:rFonts w:ascii="Arial" w:cs="Arial" w:eastAsia="Arial" w:hAnsi="Arial"/>
          <w:rtl w:val="0"/>
        </w:rPr>
        <w:t xml:space="preserve">Debt-to-Assets=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Liabilities</m:t>
            </m:r>
          </m:num>
          <m:den>
            <m:r>
              <w:rPr>
                <w:rFonts w:ascii="Cambria Math" w:cs="Cambria Math" w:eastAsia="Cambria Math" w:hAnsi="Cambria Math"/>
                <w:sz w:val="32"/>
                <w:szCs w:val="32"/>
              </w:rPr>
              <m:t xml:space="preserve">Total Assets</m:t>
            </m:r>
          </m:den>
        </m:f>
      </m:oMath>
      <w:r w:rsidDel="00000000" w:rsidR="00000000" w:rsidRPr="00000000">
        <w:rPr>
          <w:rtl w:val="0"/>
        </w:rPr>
      </w:r>
    </w:p>
    <w:tbl>
      <w:tblPr>
        <w:tblStyle w:val="Table12"/>
        <w:tblW w:w="8983.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614"/>
        <w:gridCol w:w="2333"/>
        <w:gridCol w:w="2333"/>
        <w:gridCol w:w="2703"/>
        <w:tblGridChange w:id="0">
          <w:tblGrid>
            <w:gridCol w:w="1614"/>
            <w:gridCol w:w="2333"/>
            <w:gridCol w:w="2333"/>
            <w:gridCol w:w="2703"/>
          </w:tblGrid>
        </w:tblGridChange>
      </w:tblGrid>
      <w:tr>
        <w:trPr>
          <w:cantSplit w:val="0"/>
          <w:trHeight w:val="485" w:hRule="atLeast"/>
          <w:tblHeader w:val="0"/>
        </w:trPr>
        <w:tc>
          <w:tcPr/>
          <w:p w:rsidR="00000000" w:rsidDel="00000000" w:rsidP="00000000" w:rsidRDefault="00000000" w:rsidRPr="00000000" w14:paraId="000001B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B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TL (£m)</w:t>
            </w:r>
          </w:p>
        </w:tc>
        <w:tc>
          <w:tcPr/>
          <w:p w:rsidR="00000000" w:rsidDel="00000000" w:rsidP="00000000" w:rsidRDefault="00000000" w:rsidRPr="00000000" w14:paraId="000001B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TA (£m)</w:t>
            </w:r>
          </w:p>
        </w:tc>
        <w:tc>
          <w:tcPr/>
          <w:p w:rsidR="00000000" w:rsidDel="00000000" w:rsidP="00000000" w:rsidRDefault="00000000" w:rsidRPr="00000000" w14:paraId="000001B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Ratio (%)</w:t>
            </w:r>
          </w:p>
        </w:tc>
      </w:tr>
      <w:tr>
        <w:trPr>
          <w:cantSplit w:val="0"/>
          <w:trHeight w:val="506" w:hRule="atLeast"/>
          <w:tblHeader w:val="0"/>
        </w:trPr>
        <w:tc>
          <w:tcPr/>
          <w:p w:rsidR="00000000" w:rsidDel="00000000" w:rsidP="00000000" w:rsidRDefault="00000000" w:rsidRPr="00000000" w14:paraId="000001B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B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170,249</w:t>
            </w:r>
          </w:p>
        </w:tc>
        <w:tc>
          <w:tcPr/>
          <w:p w:rsidR="00000000" w:rsidDel="00000000" w:rsidP="00000000" w:rsidRDefault="00000000" w:rsidRPr="00000000" w14:paraId="000001B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323,354</w:t>
            </w:r>
          </w:p>
        </w:tc>
        <w:tc>
          <w:tcPr/>
          <w:p w:rsidR="00000000" w:rsidDel="00000000" w:rsidP="00000000" w:rsidRDefault="00000000" w:rsidRPr="00000000" w14:paraId="000001B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52.6%</w:t>
            </w:r>
          </w:p>
        </w:tc>
      </w:tr>
      <w:tr>
        <w:trPr>
          <w:cantSplit w:val="0"/>
          <w:trHeight w:val="485" w:hRule="atLeast"/>
          <w:tblHeader w:val="0"/>
        </w:trPr>
        <w:tc>
          <w:tcPr/>
          <w:p w:rsidR="00000000" w:rsidDel="00000000" w:rsidP="00000000" w:rsidRDefault="00000000" w:rsidRPr="00000000" w14:paraId="000001B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B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176,952</w:t>
            </w:r>
          </w:p>
        </w:tc>
        <w:tc>
          <w:tcPr/>
          <w:p w:rsidR="00000000" w:rsidDel="00000000" w:rsidP="00000000" w:rsidRDefault="00000000" w:rsidRPr="00000000" w14:paraId="000001BF">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355,872</w:t>
            </w:r>
          </w:p>
        </w:tc>
        <w:tc>
          <w:tcPr/>
          <w:p w:rsidR="00000000" w:rsidDel="00000000" w:rsidP="00000000" w:rsidRDefault="00000000" w:rsidRPr="00000000" w14:paraId="000001C0">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49.7%</w:t>
            </w:r>
          </w:p>
        </w:tc>
      </w:tr>
      <w:tr>
        <w:trPr>
          <w:cantSplit w:val="0"/>
          <w:trHeight w:val="506" w:hRule="atLeast"/>
          <w:tblHeader w:val="0"/>
        </w:trPr>
        <w:tc>
          <w:tcPr/>
          <w:p w:rsidR="00000000" w:rsidDel="00000000" w:rsidP="00000000" w:rsidRDefault="00000000" w:rsidRPr="00000000" w14:paraId="000001C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C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235,757</w:t>
            </w:r>
          </w:p>
        </w:tc>
        <w:tc>
          <w:tcPr/>
          <w:p w:rsidR="00000000" w:rsidDel="00000000" w:rsidP="00000000" w:rsidRDefault="00000000" w:rsidRPr="00000000" w14:paraId="000001C3">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504,163</w:t>
            </w:r>
          </w:p>
        </w:tc>
        <w:tc>
          <w:tcPr/>
          <w:p w:rsidR="00000000" w:rsidDel="00000000" w:rsidP="00000000" w:rsidRDefault="00000000" w:rsidRPr="00000000" w14:paraId="000001C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46.8%</w:t>
            </w:r>
          </w:p>
        </w:tc>
      </w:tr>
      <w:tr>
        <w:trPr>
          <w:cantSplit w:val="0"/>
          <w:trHeight w:val="485" w:hRule="atLeast"/>
          <w:tblHeader w:val="0"/>
        </w:trPr>
        <w:tc>
          <w:tcPr/>
          <w:p w:rsidR="00000000" w:rsidDel="00000000" w:rsidP="00000000" w:rsidRDefault="00000000" w:rsidRPr="00000000" w14:paraId="000001C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C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234,399</w:t>
            </w:r>
          </w:p>
        </w:tc>
        <w:tc>
          <w:tcPr/>
          <w:p w:rsidR="00000000" w:rsidDel="00000000" w:rsidP="00000000" w:rsidRDefault="00000000" w:rsidRPr="00000000" w14:paraId="000001C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510,348</w:t>
            </w:r>
          </w:p>
        </w:tc>
        <w:tc>
          <w:tcPr/>
          <w:p w:rsidR="00000000" w:rsidDel="00000000" w:rsidP="00000000" w:rsidRDefault="00000000" w:rsidRPr="00000000" w14:paraId="000001C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45.9%</w:t>
            </w:r>
          </w:p>
        </w:tc>
      </w:tr>
      <w:tr>
        <w:trPr>
          <w:cantSplit w:val="0"/>
          <w:trHeight w:val="485" w:hRule="atLeast"/>
          <w:tblHeader w:val="0"/>
        </w:trPr>
        <w:tc>
          <w:tcPr/>
          <w:p w:rsidR="00000000" w:rsidDel="00000000" w:rsidP="00000000" w:rsidRDefault="00000000" w:rsidRPr="00000000" w14:paraId="000001C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C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196,989</w:t>
            </w:r>
          </w:p>
        </w:tc>
        <w:tc>
          <w:tcPr/>
          <w:p w:rsidR="00000000" w:rsidDel="00000000" w:rsidP="00000000" w:rsidRDefault="00000000" w:rsidRPr="00000000" w14:paraId="000001C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510,290</w:t>
            </w:r>
          </w:p>
        </w:tc>
        <w:tc>
          <w:tcPr/>
          <w:p w:rsidR="00000000" w:rsidDel="00000000" w:rsidP="00000000" w:rsidRDefault="00000000" w:rsidRPr="00000000" w14:paraId="000001C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38.6%</w:t>
            </w:r>
          </w:p>
        </w:tc>
      </w:tr>
    </w:tbl>
    <w:p w:rsidR="00000000" w:rsidDel="00000000" w:rsidP="00000000" w:rsidRDefault="00000000" w:rsidRPr="00000000" w14:paraId="000001C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CE">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1CF">
      <w:pPr>
        <w:spacing w:line="360" w:lineRule="auto"/>
        <w:jc w:val="both"/>
        <w:rPr>
          <w:rFonts w:ascii="Arial" w:cs="Arial" w:eastAsia="Arial" w:hAnsi="Arial"/>
        </w:rPr>
      </w:pPr>
      <w:r w:rsidDel="00000000" w:rsidR="00000000" w:rsidRPr="00000000">
        <w:rPr>
          <w:rFonts w:ascii="Arial" w:cs="Arial" w:eastAsia="Arial" w:hAnsi="Arial"/>
          <w:rtl w:val="0"/>
        </w:rPr>
        <w:t xml:space="preserve">The leverage is growing by substantial margin surpassing </w:t>
      </w:r>
      <w:r w:rsidDel="00000000" w:rsidR="00000000" w:rsidRPr="00000000">
        <w:rPr>
          <w:rFonts w:ascii="Arial" w:cs="Arial" w:eastAsia="Arial" w:hAnsi="Arial"/>
          <w:b w:val="1"/>
          <w:bCs w:val="1"/>
          <w:rtl w:val="0"/>
        </w:rPr>
        <w:t xml:space="preserve">50%</w:t>
      </w:r>
      <w:r w:rsidDel="00000000" w:rsidR="00000000" w:rsidRPr="00000000">
        <w:rPr>
          <w:rFonts w:ascii="Arial" w:cs="Arial" w:eastAsia="Arial" w:hAnsi="Arial"/>
          <w:rtl w:val="0"/>
        </w:rPr>
        <w:t xml:space="preserve"> in 2024. An increase in dependence on debt increases solvency risk in the long term.</w:t>
      </w:r>
    </w:p>
    <w:p w:rsidR="00000000" w:rsidDel="00000000" w:rsidP="00000000" w:rsidRDefault="00000000" w:rsidRPr="00000000" w14:paraId="000001D0">
      <w:pPr>
        <w:pStyle w:val="Heading3"/>
        <w:rPr/>
      </w:pPr>
      <w:bookmarkStart w:colFirst="0" w:colLast="0" w:name="_s902xy321z1z" w:id="18"/>
      <w:bookmarkEnd w:id="18"/>
      <w:r w:rsidDel="00000000" w:rsidR="00000000" w:rsidRPr="00000000">
        <w:rPr>
          <w:rtl w:val="0"/>
        </w:rPr>
        <w:t xml:space="preserve">1.5.2 Debt-to-Equity</w:t>
      </w:r>
    </w:p>
    <w:p w:rsidR="00000000" w:rsidDel="00000000" w:rsidP="00000000" w:rsidRDefault="00000000" w:rsidRPr="00000000" w14:paraId="000001D1">
      <w:pPr>
        <w:rPr>
          <w:rFonts w:ascii="Arial" w:cs="Arial" w:eastAsia="Arial" w:hAnsi="Arial"/>
        </w:rPr>
      </w:pPr>
      <w:r w:rsidDel="00000000" w:rsidR="00000000" w:rsidRPr="00000000">
        <w:rPr>
          <w:rFonts w:ascii="Arial" w:cs="Arial" w:eastAsia="Arial" w:hAnsi="Arial"/>
          <w:rtl w:val="0"/>
        </w:rPr>
        <w:t xml:space="preserve">Debt-to-Equity=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Liabilities</m:t>
            </m:r>
          </m:num>
          <m:den>
            <m:r>
              <w:rPr>
                <w:rFonts w:ascii="Cambria Math" w:cs="Cambria Math" w:eastAsia="Cambria Math" w:hAnsi="Cambria Math"/>
                <w:sz w:val="32"/>
                <w:szCs w:val="32"/>
              </w:rPr>
              <m:t xml:space="preserve">Equity</m:t>
            </m:r>
          </m:den>
        </m:f>
      </m:oMath>
      <w:r w:rsidDel="00000000" w:rsidR="00000000" w:rsidRPr="00000000">
        <w:rPr>
          <w:rtl w:val="0"/>
        </w:rPr>
      </w:r>
    </w:p>
    <w:tbl>
      <w:tblPr>
        <w:tblStyle w:val="Table13"/>
        <w:tblW w:w="920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654"/>
        <w:gridCol w:w="2390"/>
        <w:gridCol w:w="3358"/>
        <w:gridCol w:w="1799"/>
        <w:tblGridChange w:id="0">
          <w:tblGrid>
            <w:gridCol w:w="1654"/>
            <w:gridCol w:w="2390"/>
            <w:gridCol w:w="3358"/>
            <w:gridCol w:w="1799"/>
          </w:tblGrid>
        </w:tblGridChange>
      </w:tblGrid>
      <w:tr>
        <w:trPr>
          <w:cantSplit w:val="0"/>
          <w:trHeight w:val="472" w:hRule="atLeast"/>
          <w:tblHeader w:val="0"/>
        </w:trPr>
        <w:tc>
          <w:tcPr/>
          <w:p w:rsidR="00000000" w:rsidDel="00000000" w:rsidP="00000000" w:rsidRDefault="00000000" w:rsidRPr="00000000" w14:paraId="000001D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D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TL (£m)</w:t>
            </w:r>
          </w:p>
        </w:tc>
        <w:tc>
          <w:tcPr/>
          <w:p w:rsidR="00000000" w:rsidDel="00000000" w:rsidP="00000000" w:rsidRDefault="00000000" w:rsidRPr="00000000" w14:paraId="000001D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Equity (£m)</w:t>
            </w:r>
          </w:p>
        </w:tc>
        <w:tc>
          <w:tcPr/>
          <w:p w:rsidR="00000000" w:rsidDel="00000000" w:rsidP="00000000" w:rsidRDefault="00000000" w:rsidRPr="00000000" w14:paraId="000001D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Ratio</w:t>
            </w:r>
          </w:p>
        </w:tc>
      </w:tr>
      <w:tr>
        <w:trPr>
          <w:cantSplit w:val="0"/>
          <w:trHeight w:val="493" w:hRule="atLeast"/>
          <w:tblHeader w:val="0"/>
        </w:trPr>
        <w:tc>
          <w:tcPr/>
          <w:p w:rsidR="00000000" w:rsidDel="00000000" w:rsidP="00000000" w:rsidRDefault="00000000" w:rsidRPr="00000000" w14:paraId="000001D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D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170,249</w:t>
            </w:r>
          </w:p>
        </w:tc>
        <w:tc>
          <w:tcPr/>
          <w:p w:rsidR="00000000" w:rsidDel="00000000" w:rsidP="00000000" w:rsidRDefault="00000000" w:rsidRPr="00000000" w14:paraId="000001D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153,105</w:t>
            </w:r>
          </w:p>
        </w:tc>
        <w:tc>
          <w:tcPr/>
          <w:p w:rsidR="00000000" w:rsidDel="00000000" w:rsidP="00000000" w:rsidRDefault="00000000" w:rsidRPr="00000000" w14:paraId="000001D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1.11</w:t>
            </w:r>
          </w:p>
        </w:tc>
      </w:tr>
      <w:tr>
        <w:trPr>
          <w:cantSplit w:val="0"/>
          <w:trHeight w:val="472" w:hRule="atLeast"/>
          <w:tblHeader w:val="0"/>
        </w:trPr>
        <w:tc>
          <w:tcPr/>
          <w:p w:rsidR="00000000" w:rsidDel="00000000" w:rsidP="00000000" w:rsidRDefault="00000000" w:rsidRPr="00000000" w14:paraId="000001D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D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176,952</w:t>
            </w:r>
          </w:p>
        </w:tc>
        <w:tc>
          <w:tcPr/>
          <w:p w:rsidR="00000000" w:rsidDel="00000000" w:rsidP="00000000" w:rsidRDefault="00000000" w:rsidRPr="00000000" w14:paraId="000001D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178,920</w:t>
            </w:r>
          </w:p>
        </w:tc>
        <w:tc>
          <w:tcPr/>
          <w:p w:rsidR="00000000" w:rsidDel="00000000" w:rsidP="00000000" w:rsidRDefault="00000000" w:rsidRPr="00000000" w14:paraId="000001DD">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0.99</w:t>
            </w:r>
          </w:p>
        </w:tc>
      </w:tr>
      <w:tr>
        <w:trPr>
          <w:cantSplit w:val="0"/>
          <w:trHeight w:val="493" w:hRule="atLeast"/>
          <w:tblHeader w:val="0"/>
        </w:trPr>
        <w:tc>
          <w:tcPr/>
          <w:p w:rsidR="00000000" w:rsidDel="00000000" w:rsidP="00000000" w:rsidRDefault="00000000" w:rsidRPr="00000000" w14:paraId="000001D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DF">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235,757</w:t>
            </w:r>
          </w:p>
        </w:tc>
        <w:tc>
          <w:tcPr/>
          <w:p w:rsidR="00000000" w:rsidDel="00000000" w:rsidP="00000000" w:rsidRDefault="00000000" w:rsidRPr="00000000" w14:paraId="000001E0">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268,406</w:t>
            </w:r>
          </w:p>
        </w:tc>
        <w:tc>
          <w:tcPr/>
          <w:p w:rsidR="00000000" w:rsidDel="00000000" w:rsidP="00000000" w:rsidRDefault="00000000" w:rsidRPr="00000000" w14:paraId="000001E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0.88</w:t>
            </w:r>
          </w:p>
        </w:tc>
      </w:tr>
      <w:tr>
        <w:trPr>
          <w:cantSplit w:val="0"/>
          <w:trHeight w:val="472" w:hRule="atLeast"/>
          <w:tblHeader w:val="0"/>
        </w:trPr>
        <w:tc>
          <w:tcPr/>
          <w:p w:rsidR="00000000" w:rsidDel="00000000" w:rsidP="00000000" w:rsidRDefault="00000000" w:rsidRPr="00000000" w14:paraId="000001E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1E3">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234,399</w:t>
            </w:r>
          </w:p>
        </w:tc>
        <w:tc>
          <w:tcPr/>
          <w:p w:rsidR="00000000" w:rsidDel="00000000" w:rsidP="00000000" w:rsidRDefault="00000000" w:rsidRPr="00000000" w14:paraId="000001E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275,949</w:t>
            </w:r>
          </w:p>
        </w:tc>
        <w:tc>
          <w:tcPr/>
          <w:p w:rsidR="00000000" w:rsidDel="00000000" w:rsidP="00000000" w:rsidRDefault="00000000" w:rsidRPr="00000000" w14:paraId="000001E5">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0.85</w:t>
            </w:r>
          </w:p>
        </w:tc>
      </w:tr>
      <w:tr>
        <w:trPr>
          <w:cantSplit w:val="0"/>
          <w:trHeight w:val="472" w:hRule="atLeast"/>
          <w:tblHeader w:val="0"/>
        </w:trPr>
        <w:tc>
          <w:tcPr/>
          <w:p w:rsidR="00000000" w:rsidDel="00000000" w:rsidP="00000000" w:rsidRDefault="00000000" w:rsidRPr="00000000" w14:paraId="000001E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1E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196,989</w:t>
            </w:r>
          </w:p>
        </w:tc>
        <w:tc>
          <w:tcPr/>
          <w:p w:rsidR="00000000" w:rsidDel="00000000" w:rsidP="00000000" w:rsidRDefault="00000000" w:rsidRPr="00000000" w14:paraId="000001E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313,301</w:t>
            </w:r>
          </w:p>
        </w:tc>
        <w:tc>
          <w:tcPr/>
          <w:p w:rsidR="00000000" w:rsidDel="00000000" w:rsidP="00000000" w:rsidRDefault="00000000" w:rsidRPr="00000000" w14:paraId="000001E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0.63</w:t>
            </w:r>
          </w:p>
        </w:tc>
      </w:tr>
    </w:tbl>
    <w:p w:rsidR="00000000" w:rsidDel="00000000" w:rsidP="00000000" w:rsidRDefault="00000000" w:rsidRPr="00000000" w14:paraId="000001E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EB">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1EC">
      <w:pPr>
        <w:spacing w:line="360" w:lineRule="auto"/>
        <w:jc w:val="both"/>
        <w:rPr>
          <w:rFonts w:ascii="Arial" w:cs="Arial" w:eastAsia="Arial" w:hAnsi="Arial"/>
        </w:rPr>
      </w:pPr>
      <w:r w:rsidDel="00000000" w:rsidR="00000000" w:rsidRPr="00000000">
        <w:rPr>
          <w:rFonts w:ascii="Arial" w:cs="Arial" w:eastAsia="Arial" w:hAnsi="Arial"/>
          <w:rtl w:val="0"/>
        </w:rPr>
        <w:t xml:space="preserve">The ratio (debt-to-equity) is greater than 1.0 as at 2024, implying that GE is now more debt-financed than equity-financed. This tremendously increases the financial risk.</w:t>
      </w:r>
    </w:p>
    <w:p w:rsidR="00000000" w:rsidDel="00000000" w:rsidP="00000000" w:rsidRDefault="00000000" w:rsidRPr="00000000" w14:paraId="000001ED">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EE">
      <w:pPr>
        <w:pStyle w:val="Heading3"/>
        <w:rPr/>
      </w:pPr>
      <w:bookmarkStart w:colFirst="0" w:colLast="0" w:name="_lydvsgtz4ihy" w:id="19"/>
      <w:bookmarkEnd w:id="19"/>
      <w:r w:rsidDel="00000000" w:rsidR="00000000" w:rsidRPr="00000000">
        <w:rPr>
          <w:rtl w:val="0"/>
        </w:rPr>
        <w:t xml:space="preserve">1.5.3 Interest Coverage</w:t>
      </w:r>
    </w:p>
    <w:p w:rsidR="00000000" w:rsidDel="00000000" w:rsidP="00000000" w:rsidRDefault="00000000" w:rsidRPr="00000000" w14:paraId="000001EF">
      <w:pPr>
        <w:rPr>
          <w:rFonts w:ascii="Arial" w:cs="Arial" w:eastAsia="Arial" w:hAnsi="Arial"/>
          <w:b w:val="1"/>
          <w:bCs w:val="1"/>
        </w:rPr>
      </w:pPr>
      <w:r w:rsidDel="00000000" w:rsidR="00000000" w:rsidRPr="00000000">
        <w:rPr>
          <w:rFonts w:ascii="Arial" w:cs="Arial" w:eastAsia="Arial" w:hAnsi="Arial"/>
          <w:b w:val="1"/>
          <w:bCs w:val="1"/>
          <w:rtl w:val="0"/>
        </w:rPr>
        <w:t xml:space="preserve">Formula:</w:t>
      </w:r>
    </w:p>
    <w:p w:rsidR="00000000" w:rsidDel="00000000" w:rsidP="00000000" w:rsidRDefault="00000000" w:rsidRPr="00000000" w14:paraId="000001F0">
      <w:pPr>
        <w:rPr>
          <w:rFonts w:ascii="Arial" w:cs="Arial" w:eastAsia="Arial" w:hAnsi="Arial"/>
          <w:b w:val="1"/>
          <w:bCs w:val="1"/>
          <w:sz w:val="32"/>
          <w:szCs w:val="32"/>
        </w:rPr>
      </w:pPr>
      <w:r w:rsidDel="00000000" w:rsidR="00000000" w:rsidRPr="00000000">
        <w:rPr>
          <w:rFonts w:ascii="Arial" w:cs="Arial" w:eastAsia="Arial" w:hAnsi="Arial"/>
          <w:b w:val="1"/>
          <w:bCs w:val="1"/>
          <w:rtl w:val="0"/>
        </w:rPr>
        <w:t xml:space="preserve">IC=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EBIT</m:t>
            </m:r>
          </m:num>
          <m:den>
            <m:r>
              <w:rPr>
                <w:rFonts w:ascii="Cambria Math" w:cs="Cambria Math" w:eastAsia="Cambria Math" w:hAnsi="Cambria Math"/>
                <w:sz w:val="32"/>
                <w:szCs w:val="32"/>
              </w:rPr>
              <m:t xml:space="preserve">Interest Expense</m:t>
            </m:r>
          </m:den>
        </m:f>
      </m:oMath>
      <w:r w:rsidDel="00000000" w:rsidR="00000000" w:rsidRPr="00000000">
        <w:rPr>
          <w:rtl w:val="0"/>
        </w:rPr>
      </w:r>
    </w:p>
    <w:tbl>
      <w:tblPr>
        <w:tblStyle w:val="Table14"/>
        <w:tblW w:w="927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403"/>
        <w:gridCol w:w="2501"/>
        <w:gridCol w:w="3099"/>
        <w:gridCol w:w="2276"/>
        <w:tblGridChange w:id="0">
          <w:tblGrid>
            <w:gridCol w:w="1403"/>
            <w:gridCol w:w="2501"/>
            <w:gridCol w:w="3099"/>
            <w:gridCol w:w="2276"/>
          </w:tblGrid>
        </w:tblGridChange>
      </w:tblGrid>
      <w:tr>
        <w:trPr>
          <w:cantSplit w:val="0"/>
          <w:trHeight w:val="463" w:hRule="atLeast"/>
          <w:tblHeader w:val="0"/>
        </w:trPr>
        <w:tc>
          <w:tcPr/>
          <w:p w:rsidR="00000000" w:rsidDel="00000000" w:rsidP="00000000" w:rsidRDefault="00000000" w:rsidRPr="00000000" w14:paraId="000001F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1F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EBIT (£m)</w:t>
            </w:r>
          </w:p>
        </w:tc>
        <w:tc>
          <w:tcPr/>
          <w:p w:rsidR="00000000" w:rsidDel="00000000" w:rsidP="00000000" w:rsidRDefault="00000000" w:rsidRPr="00000000" w14:paraId="000001F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Interest (£m)</w:t>
            </w:r>
          </w:p>
        </w:tc>
        <w:tc>
          <w:tcPr/>
          <w:p w:rsidR="00000000" w:rsidDel="00000000" w:rsidP="00000000" w:rsidRDefault="00000000" w:rsidRPr="00000000" w14:paraId="000001F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IC (x)</w:t>
            </w:r>
          </w:p>
        </w:tc>
      </w:tr>
      <w:tr>
        <w:trPr>
          <w:cantSplit w:val="0"/>
          <w:trHeight w:val="483" w:hRule="atLeast"/>
          <w:tblHeader w:val="0"/>
        </w:trPr>
        <w:tc>
          <w:tcPr/>
          <w:p w:rsidR="00000000" w:rsidDel="00000000" w:rsidP="00000000" w:rsidRDefault="00000000" w:rsidRPr="00000000" w14:paraId="000001F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1F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−15,297</w:t>
            </w:r>
          </w:p>
        </w:tc>
        <w:tc>
          <w:tcPr/>
          <w:p w:rsidR="00000000" w:rsidDel="00000000" w:rsidP="00000000" w:rsidRDefault="00000000" w:rsidRPr="00000000" w14:paraId="000001F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3,361</w:t>
            </w:r>
          </w:p>
        </w:tc>
        <w:tc>
          <w:tcPr/>
          <w:p w:rsidR="00000000" w:rsidDel="00000000" w:rsidP="00000000" w:rsidRDefault="00000000" w:rsidRPr="00000000" w14:paraId="000001F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Negative</w:t>
            </w:r>
          </w:p>
        </w:tc>
      </w:tr>
      <w:tr>
        <w:trPr>
          <w:cantSplit w:val="0"/>
          <w:trHeight w:val="463" w:hRule="atLeast"/>
          <w:tblHeader w:val="0"/>
        </w:trPr>
        <w:tc>
          <w:tcPr/>
          <w:p w:rsidR="00000000" w:rsidDel="00000000" w:rsidP="00000000" w:rsidRDefault="00000000" w:rsidRPr="00000000" w14:paraId="000001F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1FA">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−85,301</w:t>
            </w:r>
          </w:p>
        </w:tc>
        <w:tc>
          <w:tcPr/>
          <w:p w:rsidR="00000000" w:rsidDel="00000000" w:rsidP="00000000" w:rsidRDefault="00000000" w:rsidRPr="00000000" w14:paraId="000001F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4,332</w:t>
            </w:r>
          </w:p>
        </w:tc>
        <w:tc>
          <w:tcPr/>
          <w:p w:rsidR="00000000" w:rsidDel="00000000" w:rsidP="00000000" w:rsidRDefault="00000000" w:rsidRPr="00000000" w14:paraId="000001F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Negative</w:t>
            </w:r>
          </w:p>
        </w:tc>
      </w:tr>
      <w:tr>
        <w:trPr>
          <w:cantSplit w:val="0"/>
          <w:trHeight w:val="483" w:hRule="atLeast"/>
          <w:tblHeader w:val="0"/>
        </w:trPr>
        <w:tc>
          <w:tcPr/>
          <w:p w:rsidR="00000000" w:rsidDel="00000000" w:rsidP="00000000" w:rsidRDefault="00000000" w:rsidRPr="00000000" w14:paraId="000001F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1F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14,548</w:t>
            </w:r>
          </w:p>
        </w:tc>
        <w:tc>
          <w:tcPr/>
          <w:p w:rsidR="00000000" w:rsidDel="00000000" w:rsidP="00000000" w:rsidRDefault="00000000" w:rsidRPr="00000000" w14:paraId="000001FF">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2,200</w:t>
            </w:r>
          </w:p>
        </w:tc>
        <w:tc>
          <w:tcPr/>
          <w:p w:rsidR="00000000" w:rsidDel="00000000" w:rsidP="00000000" w:rsidRDefault="00000000" w:rsidRPr="00000000" w14:paraId="00000200">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6.61×</w:t>
            </w:r>
          </w:p>
        </w:tc>
      </w:tr>
      <w:tr>
        <w:trPr>
          <w:cantSplit w:val="0"/>
          <w:trHeight w:val="463" w:hRule="atLeast"/>
          <w:tblHeader w:val="0"/>
        </w:trPr>
        <w:tc>
          <w:tcPr/>
          <w:p w:rsidR="00000000" w:rsidDel="00000000" w:rsidP="00000000" w:rsidRDefault="00000000" w:rsidRPr="00000000" w14:paraId="0000020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0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23,253</w:t>
            </w:r>
          </w:p>
        </w:tc>
        <w:tc>
          <w:tcPr/>
          <w:p w:rsidR="00000000" w:rsidDel="00000000" w:rsidP="00000000" w:rsidRDefault="00000000" w:rsidRPr="00000000" w14:paraId="00000203">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566</w:t>
            </w:r>
          </w:p>
        </w:tc>
        <w:tc>
          <w:tcPr/>
          <w:p w:rsidR="00000000" w:rsidDel="00000000" w:rsidP="00000000" w:rsidRDefault="00000000" w:rsidRPr="00000000" w14:paraId="0000020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41.1×</w:t>
            </w:r>
          </w:p>
        </w:tc>
      </w:tr>
      <w:tr>
        <w:trPr>
          <w:cantSplit w:val="0"/>
          <w:trHeight w:val="463" w:hRule="atLeast"/>
          <w:tblHeader w:val="0"/>
        </w:trPr>
        <w:tc>
          <w:tcPr/>
          <w:p w:rsidR="00000000" w:rsidDel="00000000" w:rsidP="00000000" w:rsidRDefault="00000000" w:rsidRPr="00000000" w14:paraId="0000020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06">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37,267</w:t>
            </w:r>
          </w:p>
        </w:tc>
        <w:tc>
          <w:tcPr/>
          <w:p w:rsidR="00000000" w:rsidDel="00000000" w:rsidP="00000000" w:rsidRDefault="00000000" w:rsidRPr="00000000" w14:paraId="0000020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1,422</w:t>
            </w:r>
          </w:p>
        </w:tc>
        <w:tc>
          <w:tcPr/>
          <w:p w:rsidR="00000000" w:rsidDel="00000000" w:rsidP="00000000" w:rsidRDefault="00000000" w:rsidRPr="00000000" w14:paraId="0000020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26.2×</w:t>
            </w:r>
          </w:p>
        </w:tc>
      </w:tr>
    </w:tbl>
    <w:p w:rsidR="00000000" w:rsidDel="00000000" w:rsidP="00000000" w:rsidRDefault="00000000" w:rsidRPr="00000000" w14:paraId="0000020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0A">
      <w:pPr>
        <w:rPr>
          <w:rFonts w:ascii="Arial" w:cs="Arial" w:eastAsia="Arial" w:hAnsi="Arial"/>
          <w:b w:val="1"/>
          <w:bCs w:val="1"/>
        </w:rPr>
      </w:pPr>
      <m:oMath>
        <m:r>
          <w:rPr>
            <w:rFonts w:ascii="Cambria Math" w:cs="Cambria Math" w:eastAsia="Cambria Math" w:hAnsi="Cambria Math"/>
          </w:rPr>
          <m:t xml:space="preserve"> </m:t>
        </m:r>
      </m:oMath>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20B">
      <w:pPr>
        <w:spacing w:line="360" w:lineRule="auto"/>
        <w:jc w:val="both"/>
        <w:rPr>
          <w:rFonts w:ascii="Arial" w:cs="Arial" w:eastAsia="Arial" w:hAnsi="Arial"/>
        </w:rPr>
      </w:pPr>
      <w:r w:rsidDel="00000000" w:rsidR="00000000" w:rsidRPr="00000000">
        <w:rPr>
          <w:rFonts w:ascii="Arial" w:cs="Arial" w:eastAsia="Arial" w:hAnsi="Arial"/>
          <w:rtl w:val="0"/>
        </w:rPr>
        <w:t xml:space="preserve">The negative interest coverage in 2023-2024 indicates that GE is not able to cover the interest due on the operations. This is a serious solvency alert.</w:t>
      </w:r>
    </w:p>
    <w:p w:rsidR="00000000" w:rsidDel="00000000" w:rsidP="00000000" w:rsidRDefault="00000000" w:rsidRPr="00000000" w14:paraId="0000020C">
      <w:pPr>
        <w:pStyle w:val="Heading2"/>
        <w:rPr/>
      </w:pPr>
      <w:bookmarkStart w:colFirst="0" w:colLast="0" w:name="_x25gdcxdqawh" w:id="20"/>
      <w:bookmarkEnd w:id="20"/>
      <w:r w:rsidDel="00000000" w:rsidR="00000000" w:rsidRPr="00000000">
        <w:rPr>
          <w:rtl w:val="0"/>
        </w:rPr>
        <w:t xml:space="preserve">1.6 Investment Ratios</w:t>
      </w:r>
    </w:p>
    <w:p w:rsidR="00000000" w:rsidDel="00000000" w:rsidP="00000000" w:rsidRDefault="00000000" w:rsidRPr="00000000" w14:paraId="0000020D">
      <w:pPr>
        <w:rPr>
          <w:rFonts w:ascii="Arial" w:cs="Arial" w:eastAsia="Arial" w:hAnsi="Arial"/>
          <w:b w:val="1"/>
          <w:bCs w:val="1"/>
        </w:rPr>
      </w:pPr>
      <w:r w:rsidDel="00000000" w:rsidR="00000000" w:rsidRPr="00000000">
        <w:rPr>
          <w:rFonts w:ascii="Arial" w:cs="Arial" w:eastAsia="Arial" w:hAnsi="Arial"/>
          <w:b w:val="1"/>
          <w:bCs w:val="1"/>
          <w:rtl w:val="0"/>
        </w:rPr>
        <w:t xml:space="preserve">Earnings per Share (EPS)</w:t>
      </w:r>
    </w:p>
    <w:tbl>
      <w:tblPr>
        <w:tblStyle w:val="Table15"/>
        <w:tblW w:w="813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77"/>
        <w:gridCol w:w="4760"/>
        <w:tblGridChange w:id="0">
          <w:tblGrid>
            <w:gridCol w:w="3377"/>
            <w:gridCol w:w="4760"/>
          </w:tblGrid>
        </w:tblGridChange>
      </w:tblGrid>
      <w:tr>
        <w:trPr>
          <w:cantSplit w:val="0"/>
          <w:trHeight w:val="434" w:hRule="atLeast"/>
          <w:tblHeader w:val="0"/>
        </w:trPr>
        <w:tc>
          <w:tcPr/>
          <w:p w:rsidR="00000000" w:rsidDel="00000000" w:rsidP="00000000" w:rsidRDefault="00000000" w:rsidRPr="00000000" w14:paraId="0000020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0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EPS (£)</w:t>
            </w:r>
          </w:p>
        </w:tc>
      </w:tr>
      <w:tr>
        <w:trPr>
          <w:cantSplit w:val="0"/>
          <w:trHeight w:val="453" w:hRule="atLeast"/>
          <w:tblHeader w:val="0"/>
        </w:trPr>
        <w:tc>
          <w:tcPr/>
          <w:p w:rsidR="00000000" w:rsidDel="00000000" w:rsidP="00000000" w:rsidRDefault="00000000" w:rsidRPr="00000000" w14:paraId="0000021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1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−1.85</w:t>
            </w:r>
          </w:p>
        </w:tc>
      </w:tr>
      <w:tr>
        <w:trPr>
          <w:cantSplit w:val="0"/>
          <w:trHeight w:val="434" w:hRule="atLeast"/>
          <w:tblHeader w:val="0"/>
        </w:trPr>
        <w:tc>
          <w:tcPr/>
          <w:p w:rsidR="00000000" w:rsidDel="00000000" w:rsidP="00000000" w:rsidRDefault="00000000" w:rsidRPr="00000000" w14:paraId="0000021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13">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−7.64</w:t>
            </w:r>
          </w:p>
        </w:tc>
      </w:tr>
      <w:tr>
        <w:trPr>
          <w:cantSplit w:val="0"/>
          <w:trHeight w:val="453" w:hRule="atLeast"/>
          <w:tblHeader w:val="0"/>
        </w:trPr>
        <w:tc>
          <w:tcPr/>
          <w:p w:rsidR="00000000" w:rsidDel="00000000" w:rsidP="00000000" w:rsidRDefault="00000000" w:rsidRPr="00000000" w14:paraId="0000021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15">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0.03</w:t>
            </w:r>
          </w:p>
        </w:tc>
      </w:tr>
      <w:tr>
        <w:trPr>
          <w:cantSplit w:val="0"/>
          <w:trHeight w:val="434" w:hRule="atLeast"/>
          <w:tblHeader w:val="0"/>
        </w:trPr>
        <w:tc>
          <w:tcPr/>
          <w:p w:rsidR="00000000" w:rsidDel="00000000" w:rsidP="00000000" w:rsidRDefault="00000000" w:rsidRPr="00000000" w14:paraId="0000021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17">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0.39</w:t>
            </w:r>
          </w:p>
        </w:tc>
      </w:tr>
      <w:tr>
        <w:trPr>
          <w:cantSplit w:val="0"/>
          <w:trHeight w:val="434" w:hRule="atLeast"/>
          <w:tblHeader w:val="0"/>
        </w:trPr>
        <w:tc>
          <w:tcPr/>
          <w:p w:rsidR="00000000" w:rsidDel="00000000" w:rsidP="00000000" w:rsidRDefault="00000000" w:rsidRPr="00000000" w14:paraId="0000021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1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2.78</w:t>
            </w:r>
          </w:p>
        </w:tc>
      </w:tr>
    </w:tbl>
    <w:p w:rsidR="00000000" w:rsidDel="00000000" w:rsidP="00000000" w:rsidRDefault="00000000" w:rsidRPr="00000000" w14:paraId="0000021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1B">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21C">
      <w:pPr>
        <w:spacing w:line="360" w:lineRule="auto"/>
        <w:jc w:val="both"/>
        <w:rPr>
          <w:rFonts w:ascii="Arial" w:cs="Arial" w:eastAsia="Arial" w:hAnsi="Arial"/>
        </w:rPr>
      </w:pPr>
      <w:r w:rsidDel="00000000" w:rsidR="00000000" w:rsidRPr="00000000">
        <w:rPr>
          <w:rFonts w:ascii="Arial" w:cs="Arial" w:eastAsia="Arial" w:hAnsi="Arial"/>
          <w:rtl w:val="0"/>
        </w:rPr>
        <w:t xml:space="preserve">Shareholder value is destroyed harshly through EPS deterioration. The 2023-2024 losses of the firm outshine the past profitability.</w:t>
      </w:r>
    </w:p>
    <w:p w:rsidR="00000000" w:rsidDel="00000000" w:rsidP="00000000" w:rsidRDefault="00000000" w:rsidRPr="00000000" w14:paraId="0000021D">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21E">
      <w:pPr>
        <w:pStyle w:val="Heading2"/>
        <w:rPr/>
      </w:pPr>
      <w:bookmarkStart w:colFirst="0" w:colLast="0" w:name="_e32iv1mlhfkk" w:id="21"/>
      <w:bookmarkEnd w:id="21"/>
      <w:r w:rsidDel="00000000" w:rsidR="00000000" w:rsidRPr="00000000">
        <w:rPr>
          <w:rtl w:val="0"/>
        </w:rPr>
        <w:t xml:space="preserve">1.7 Cash-Flow Ratios</w:t>
      </w:r>
    </w:p>
    <w:p w:rsidR="00000000" w:rsidDel="00000000" w:rsidP="00000000" w:rsidRDefault="00000000" w:rsidRPr="00000000" w14:paraId="0000021F">
      <w:pPr>
        <w:pStyle w:val="Heading3"/>
        <w:rPr/>
      </w:pPr>
      <w:bookmarkStart w:colFirst="0" w:colLast="0" w:name="_7v6vlddz9k7n" w:id="22"/>
      <w:bookmarkEnd w:id="22"/>
      <w:r w:rsidDel="00000000" w:rsidR="00000000" w:rsidRPr="00000000">
        <w:rPr>
          <w:rtl w:val="0"/>
        </w:rPr>
        <w:t xml:space="preserve">1.7.1 Operating Cash Flow Ratio</w:t>
      </w:r>
    </w:p>
    <w:p w:rsidR="00000000" w:rsidDel="00000000" w:rsidP="00000000" w:rsidRDefault="00000000" w:rsidRPr="00000000" w14:paraId="00000220">
      <w:pPr>
        <w:rPr>
          <w:rFonts w:ascii="Arial" w:cs="Arial" w:eastAsia="Arial" w:hAnsi="Arial"/>
        </w:rPr>
      </w:pPr>
      <w:r w:rsidDel="00000000" w:rsidR="00000000" w:rsidRPr="00000000">
        <w:rPr>
          <w:rFonts w:ascii="Arial" w:cs="Arial" w:eastAsia="Arial" w:hAnsi="Arial"/>
          <w:rtl w:val="0"/>
        </w:rPr>
        <w:t xml:space="preserve">CFO Ratio=</w:t>
      </w:r>
      <w:r w:rsidDel="00000000" w:rsidR="00000000" w:rsidRPr="00000000">
        <w:rPr>
          <w:rFonts w:ascii="Arial" w:cs="Arial" w:eastAsia="Arial" w:hAnsi="Arial"/>
          <w:sz w:val="32"/>
          <w:szCs w:val="32"/>
          <w:rtl w:val="0"/>
        </w:rPr>
        <w:t xml:space="preserve">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CFO</m:t>
            </m:r>
          </m:num>
          <m:den>
            <m:r>
              <w:rPr>
                <w:rFonts w:ascii="Cambria Math" w:cs="Cambria Math" w:eastAsia="Cambria Math" w:hAnsi="Cambria Math"/>
                <w:sz w:val="32"/>
                <w:szCs w:val="32"/>
              </w:rPr>
              <m:t xml:space="preserve">CL</m:t>
            </m:r>
          </m:den>
        </m:f>
      </m:oMath>
      <w:r w:rsidDel="00000000" w:rsidR="00000000" w:rsidRPr="00000000">
        <w:rPr>
          <w:rtl w:val="0"/>
        </w:rPr>
      </w:r>
    </w:p>
    <w:tbl>
      <w:tblPr>
        <w:tblStyle w:val="Table16"/>
        <w:tblW w:w="917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615"/>
        <w:gridCol w:w="2792"/>
        <w:gridCol w:w="2380"/>
        <w:gridCol w:w="2391"/>
        <w:tblGridChange w:id="0">
          <w:tblGrid>
            <w:gridCol w:w="1615"/>
            <w:gridCol w:w="2792"/>
            <w:gridCol w:w="2380"/>
            <w:gridCol w:w="2391"/>
          </w:tblGrid>
        </w:tblGridChange>
      </w:tblGrid>
      <w:tr>
        <w:trPr>
          <w:cantSplit w:val="0"/>
          <w:trHeight w:val="444" w:hRule="atLeast"/>
          <w:tblHeader w:val="0"/>
        </w:trPr>
        <w:tc>
          <w:tcPr/>
          <w:p w:rsidR="00000000" w:rsidDel="00000000" w:rsidP="00000000" w:rsidRDefault="00000000" w:rsidRPr="00000000" w14:paraId="0000022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2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CFO (£m)</w:t>
            </w:r>
          </w:p>
        </w:tc>
        <w:tc>
          <w:tcPr/>
          <w:p w:rsidR="00000000" w:rsidDel="00000000" w:rsidP="00000000" w:rsidRDefault="00000000" w:rsidRPr="00000000" w14:paraId="0000022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CL (£m)</w:t>
            </w:r>
          </w:p>
        </w:tc>
        <w:tc>
          <w:tcPr/>
          <w:p w:rsidR="00000000" w:rsidDel="00000000" w:rsidP="00000000" w:rsidRDefault="00000000" w:rsidRPr="00000000" w14:paraId="0000022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CFO/CL</w:t>
            </w:r>
          </w:p>
        </w:tc>
      </w:tr>
      <w:tr>
        <w:trPr>
          <w:cantSplit w:val="0"/>
          <w:trHeight w:val="463" w:hRule="atLeast"/>
          <w:tblHeader w:val="0"/>
        </w:trPr>
        <w:tc>
          <w:tcPr/>
          <w:p w:rsidR="00000000" w:rsidDel="00000000" w:rsidP="00000000" w:rsidRDefault="00000000" w:rsidRPr="00000000" w14:paraId="0000022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2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14,822</w:t>
            </w:r>
          </w:p>
        </w:tc>
        <w:tc>
          <w:tcPr/>
          <w:p w:rsidR="00000000" w:rsidDel="00000000" w:rsidP="00000000" w:rsidRDefault="00000000" w:rsidRPr="00000000" w14:paraId="0000022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158,291</w:t>
            </w:r>
          </w:p>
        </w:tc>
        <w:tc>
          <w:tcPr/>
          <w:p w:rsidR="00000000" w:rsidDel="00000000" w:rsidP="00000000" w:rsidRDefault="00000000" w:rsidRPr="00000000" w14:paraId="00000228">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0.09</w:t>
            </w:r>
            <w:r w:rsidDel="00000000" w:rsidR="00000000" w:rsidRPr="00000000">
              <w:rPr>
                <w:rtl w:val="0"/>
              </w:rPr>
            </w:r>
          </w:p>
        </w:tc>
      </w:tr>
      <w:tr>
        <w:trPr>
          <w:cantSplit w:val="0"/>
          <w:trHeight w:val="444" w:hRule="atLeast"/>
          <w:tblHeader w:val="0"/>
        </w:trPr>
        <w:tc>
          <w:tcPr/>
          <w:p w:rsidR="00000000" w:rsidDel="00000000" w:rsidP="00000000" w:rsidRDefault="00000000" w:rsidRPr="00000000" w14:paraId="0000022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2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25,190</w:t>
            </w:r>
          </w:p>
        </w:tc>
        <w:tc>
          <w:tcPr/>
          <w:p w:rsidR="00000000" w:rsidDel="00000000" w:rsidP="00000000" w:rsidRDefault="00000000" w:rsidRPr="00000000" w14:paraId="0000022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161,148</w:t>
            </w:r>
          </w:p>
        </w:tc>
        <w:tc>
          <w:tcPr/>
          <w:p w:rsidR="00000000" w:rsidDel="00000000" w:rsidP="00000000" w:rsidRDefault="00000000" w:rsidRPr="00000000" w14:paraId="0000022C">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0.16</w:t>
            </w:r>
            <w:r w:rsidDel="00000000" w:rsidR="00000000" w:rsidRPr="00000000">
              <w:rPr>
                <w:rtl w:val="0"/>
              </w:rPr>
            </w:r>
          </w:p>
        </w:tc>
      </w:tr>
      <w:tr>
        <w:trPr>
          <w:cantSplit w:val="0"/>
          <w:trHeight w:val="463" w:hRule="atLeast"/>
          <w:tblHeader w:val="0"/>
        </w:trPr>
        <w:tc>
          <w:tcPr/>
          <w:p w:rsidR="00000000" w:rsidDel="00000000" w:rsidP="00000000" w:rsidRDefault="00000000" w:rsidRPr="00000000" w14:paraId="0000022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2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10,296</w:t>
            </w:r>
          </w:p>
        </w:tc>
        <w:tc>
          <w:tcPr/>
          <w:p w:rsidR="00000000" w:rsidDel="00000000" w:rsidP="00000000" w:rsidRDefault="00000000" w:rsidRPr="00000000" w14:paraId="0000022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216,473</w:t>
            </w:r>
          </w:p>
        </w:tc>
        <w:tc>
          <w:tcPr/>
          <w:p w:rsidR="00000000" w:rsidDel="00000000" w:rsidP="00000000" w:rsidRDefault="00000000" w:rsidRPr="00000000" w14:paraId="00000230">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0.05</w:t>
            </w:r>
            <w:r w:rsidDel="00000000" w:rsidR="00000000" w:rsidRPr="00000000">
              <w:rPr>
                <w:rtl w:val="0"/>
              </w:rPr>
            </w:r>
          </w:p>
        </w:tc>
      </w:tr>
      <w:tr>
        <w:trPr>
          <w:cantSplit w:val="0"/>
          <w:trHeight w:val="444" w:hRule="atLeast"/>
          <w:tblHeader w:val="0"/>
        </w:trPr>
        <w:tc>
          <w:tcPr/>
          <w:p w:rsidR="00000000" w:rsidDel="00000000" w:rsidP="00000000" w:rsidRDefault="00000000" w:rsidRPr="00000000" w14:paraId="0000023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3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40,283</w:t>
            </w:r>
          </w:p>
        </w:tc>
        <w:tc>
          <w:tcPr/>
          <w:p w:rsidR="00000000" w:rsidDel="00000000" w:rsidP="00000000" w:rsidRDefault="00000000" w:rsidRPr="00000000" w14:paraId="0000023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216,787</w:t>
            </w:r>
          </w:p>
        </w:tc>
        <w:tc>
          <w:tcPr/>
          <w:p w:rsidR="00000000" w:rsidDel="00000000" w:rsidP="00000000" w:rsidRDefault="00000000" w:rsidRPr="00000000" w14:paraId="00000234">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0.19</w:t>
            </w:r>
            <w:r w:rsidDel="00000000" w:rsidR="00000000" w:rsidRPr="00000000">
              <w:rPr>
                <w:rtl w:val="0"/>
              </w:rPr>
            </w:r>
          </w:p>
        </w:tc>
      </w:tr>
      <w:tr>
        <w:trPr>
          <w:cantSplit w:val="0"/>
          <w:trHeight w:val="444" w:hRule="atLeast"/>
          <w:tblHeader w:val="0"/>
        </w:trPr>
        <w:tc>
          <w:tcPr/>
          <w:p w:rsidR="00000000" w:rsidDel="00000000" w:rsidP="00000000" w:rsidRDefault="00000000" w:rsidRPr="00000000" w14:paraId="0000023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3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73,392</w:t>
            </w:r>
          </w:p>
        </w:tc>
        <w:tc>
          <w:tcPr/>
          <w:p w:rsidR="00000000" w:rsidDel="00000000" w:rsidP="00000000" w:rsidRDefault="00000000" w:rsidRPr="00000000" w14:paraId="0000023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179,510</w:t>
            </w:r>
          </w:p>
        </w:tc>
        <w:tc>
          <w:tcPr/>
          <w:p w:rsidR="00000000" w:rsidDel="00000000" w:rsidP="00000000" w:rsidRDefault="00000000" w:rsidRPr="00000000" w14:paraId="00000238">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0.41</w:t>
            </w:r>
            <w:r w:rsidDel="00000000" w:rsidR="00000000" w:rsidRPr="00000000">
              <w:rPr>
                <w:rtl w:val="0"/>
              </w:rPr>
            </w:r>
          </w:p>
        </w:tc>
      </w:tr>
    </w:tbl>
    <w:p w:rsidR="00000000" w:rsidDel="00000000" w:rsidP="00000000" w:rsidRDefault="00000000" w:rsidRPr="00000000" w14:paraId="00000239">
      <w:pPr>
        <w:rPr>
          <w:rFonts w:ascii="Arial" w:cs="Arial" w:eastAsia="Arial" w:hAnsi="Arial"/>
        </w:rPr>
      </w:pPr>
      <w:r w:rsidDel="00000000" w:rsidR="00000000" w:rsidRPr="00000000">
        <w:rPr>
          <w:rtl w:val="0"/>
        </w:rPr>
      </w:r>
    </w:p>
    <w:p w:rsidR="00000000" w:rsidDel="00000000" w:rsidP="00000000" w:rsidRDefault="00000000" w:rsidRPr="00000000" w14:paraId="0000023A">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23B">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The current liabilities coverage by the CFO has reduced considerably. GE is currently producing inadequate operating cash to pay short-term debts.</w:t>
      </w:r>
      <w:r w:rsidDel="00000000" w:rsidR="00000000" w:rsidRPr="00000000">
        <w:rPr>
          <w:rtl w:val="0"/>
        </w:rPr>
      </w:r>
    </w:p>
    <w:p w:rsidR="00000000" w:rsidDel="00000000" w:rsidP="00000000" w:rsidRDefault="00000000" w:rsidRPr="00000000" w14:paraId="0000023C">
      <w:pPr>
        <w:pStyle w:val="Heading2"/>
        <w:rPr/>
      </w:pPr>
      <w:bookmarkStart w:colFirst="0" w:colLast="0" w:name="_7wo1qgl6pyn2" w:id="23"/>
      <w:bookmarkEnd w:id="23"/>
      <w:r w:rsidDel="00000000" w:rsidR="00000000" w:rsidRPr="00000000">
        <w:rPr>
          <w:rtl w:val="0"/>
        </w:rPr>
        <w:t xml:space="preserve">1.8 Corporate Failure Prediction (Altman Z-Score)</w:t>
      </w:r>
    </w:p>
    <w:p w:rsidR="00000000" w:rsidDel="00000000" w:rsidP="00000000" w:rsidRDefault="00000000" w:rsidRPr="00000000" w14:paraId="0000023D">
      <w:pPr>
        <w:rPr>
          <w:rFonts w:ascii="Arial" w:cs="Arial" w:eastAsia="Arial" w:hAnsi="Arial"/>
        </w:rPr>
      </w:pPr>
      <w:r w:rsidDel="00000000" w:rsidR="00000000" w:rsidRPr="00000000">
        <w:rPr>
          <w:rFonts w:ascii="Arial" w:cs="Arial" w:eastAsia="Arial" w:hAnsi="Arial"/>
          <w:b w:val="1"/>
          <w:bCs w:val="1"/>
          <w:rtl w:val="0"/>
        </w:rPr>
        <w:t xml:space="preserve">Z</w:t>
      </w:r>
      <w:r w:rsidDel="00000000" w:rsidR="00000000" w:rsidRPr="00000000">
        <w:rPr>
          <w:rFonts w:ascii="Arial" w:cs="Arial" w:eastAsia="Arial" w:hAnsi="Arial"/>
          <w:rtl w:val="0"/>
        </w:rPr>
        <w:t xml:space="preserve">=0.717X1+0.847X2+3.107X3+0.420X4+0.998X5</w:t>
      </w:r>
    </w:p>
    <w:p w:rsidR="00000000" w:rsidDel="00000000" w:rsidP="00000000" w:rsidRDefault="00000000" w:rsidRPr="00000000" w14:paraId="0000023E">
      <w:pPr>
        <w:rPr>
          <w:rFonts w:ascii="Arial" w:cs="Arial" w:eastAsia="Arial" w:hAnsi="Arial"/>
        </w:rPr>
      </w:pPr>
      <w:r w:rsidDel="00000000" w:rsidR="00000000" w:rsidRPr="00000000">
        <w:rPr>
          <w:rFonts w:ascii="Arial" w:cs="Arial" w:eastAsia="Arial" w:hAnsi="Arial"/>
          <w:rtl w:val="0"/>
        </w:rPr>
        <w:t xml:space="preserve">Where:</w:t>
      </w:r>
    </w:p>
    <w:p w:rsidR="00000000" w:rsidDel="00000000" w:rsidP="00000000" w:rsidRDefault="00000000" w:rsidRPr="00000000" w14:paraId="0000023F">
      <w:pPr>
        <w:numPr>
          <w:ilvl w:val="0"/>
          <w:numId w:val="7"/>
        </w:numPr>
        <w:ind w:left="720" w:hanging="360"/>
        <w:rPr/>
      </w:pPr>
      <w:r w:rsidDel="00000000" w:rsidR="00000000" w:rsidRPr="00000000">
        <w:rPr>
          <w:rFonts w:ascii="Arial" w:cs="Arial" w:eastAsia="Arial" w:hAnsi="Arial"/>
          <w:b w:val="1"/>
          <w:bCs w:val="1"/>
          <w:rtl w:val="0"/>
        </w:rPr>
        <w:t xml:space="preserve">X1 = WC / TA</w:t>
      </w:r>
      <w:r w:rsidDel="00000000" w:rsidR="00000000" w:rsidRPr="00000000">
        <w:rPr>
          <w:rtl w:val="0"/>
        </w:rPr>
      </w:r>
    </w:p>
    <w:p w:rsidR="00000000" w:rsidDel="00000000" w:rsidP="00000000" w:rsidRDefault="00000000" w:rsidRPr="00000000" w14:paraId="00000240">
      <w:pPr>
        <w:numPr>
          <w:ilvl w:val="0"/>
          <w:numId w:val="7"/>
        </w:numPr>
        <w:ind w:left="720" w:hanging="360"/>
        <w:rPr/>
      </w:pPr>
      <w:r w:rsidDel="00000000" w:rsidR="00000000" w:rsidRPr="00000000">
        <w:rPr>
          <w:rFonts w:ascii="Arial" w:cs="Arial" w:eastAsia="Arial" w:hAnsi="Arial"/>
          <w:b w:val="1"/>
          <w:bCs w:val="1"/>
          <w:rtl w:val="0"/>
        </w:rPr>
        <w:t xml:space="preserve">X2 = Retained Earnings / TA</w:t>
      </w:r>
      <w:r w:rsidDel="00000000" w:rsidR="00000000" w:rsidRPr="00000000">
        <w:rPr>
          <w:rtl w:val="0"/>
        </w:rPr>
      </w:r>
    </w:p>
    <w:p w:rsidR="00000000" w:rsidDel="00000000" w:rsidP="00000000" w:rsidRDefault="00000000" w:rsidRPr="00000000" w14:paraId="00000241">
      <w:pPr>
        <w:numPr>
          <w:ilvl w:val="0"/>
          <w:numId w:val="7"/>
        </w:numPr>
        <w:ind w:left="720" w:hanging="360"/>
        <w:rPr/>
      </w:pPr>
      <w:r w:rsidDel="00000000" w:rsidR="00000000" w:rsidRPr="00000000">
        <w:rPr>
          <w:rFonts w:ascii="Arial" w:cs="Arial" w:eastAsia="Arial" w:hAnsi="Arial"/>
          <w:b w:val="1"/>
          <w:bCs w:val="1"/>
          <w:rtl w:val="0"/>
        </w:rPr>
        <w:t xml:space="preserve">X3 = EBIT / TA</w:t>
      </w:r>
      <w:r w:rsidDel="00000000" w:rsidR="00000000" w:rsidRPr="00000000">
        <w:rPr>
          <w:rtl w:val="0"/>
        </w:rPr>
      </w:r>
    </w:p>
    <w:p w:rsidR="00000000" w:rsidDel="00000000" w:rsidP="00000000" w:rsidRDefault="00000000" w:rsidRPr="00000000" w14:paraId="00000242">
      <w:pPr>
        <w:numPr>
          <w:ilvl w:val="0"/>
          <w:numId w:val="7"/>
        </w:numPr>
        <w:ind w:left="720" w:hanging="360"/>
        <w:rPr/>
      </w:pPr>
      <w:r w:rsidDel="00000000" w:rsidR="00000000" w:rsidRPr="00000000">
        <w:rPr>
          <w:rFonts w:ascii="Arial" w:cs="Arial" w:eastAsia="Arial" w:hAnsi="Arial"/>
          <w:b w:val="1"/>
          <w:bCs w:val="1"/>
          <w:rtl w:val="0"/>
        </w:rPr>
        <w:t xml:space="preserve">X4 = Equity / TL</w:t>
      </w:r>
      <w:r w:rsidDel="00000000" w:rsidR="00000000" w:rsidRPr="00000000">
        <w:rPr>
          <w:rtl w:val="0"/>
        </w:rPr>
      </w:r>
    </w:p>
    <w:p w:rsidR="00000000" w:rsidDel="00000000" w:rsidP="00000000" w:rsidRDefault="00000000" w:rsidRPr="00000000" w14:paraId="00000243">
      <w:pPr>
        <w:numPr>
          <w:ilvl w:val="0"/>
          <w:numId w:val="7"/>
        </w:numPr>
        <w:ind w:left="720" w:hanging="360"/>
        <w:rPr/>
      </w:pPr>
      <w:r w:rsidDel="00000000" w:rsidR="00000000" w:rsidRPr="00000000">
        <w:rPr>
          <w:rFonts w:ascii="Arial" w:cs="Arial" w:eastAsia="Arial" w:hAnsi="Arial"/>
          <w:b w:val="1"/>
          <w:bCs w:val="1"/>
          <w:rtl w:val="0"/>
        </w:rPr>
        <w:t xml:space="preserve">X5 = Sales / TA</w:t>
      </w:r>
      <w:r w:rsidDel="00000000" w:rsidR="00000000" w:rsidRPr="00000000">
        <w:rPr>
          <w:rtl w:val="0"/>
        </w:rPr>
      </w:r>
    </w:p>
    <w:tbl>
      <w:tblPr>
        <w:tblStyle w:val="Table17"/>
        <w:tblW w:w="908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874"/>
        <w:gridCol w:w="2774"/>
        <w:gridCol w:w="4441"/>
        <w:tblGridChange w:id="0">
          <w:tblGrid>
            <w:gridCol w:w="1874"/>
            <w:gridCol w:w="2774"/>
            <w:gridCol w:w="4441"/>
          </w:tblGrid>
        </w:tblGridChange>
      </w:tblGrid>
      <w:tr>
        <w:trPr>
          <w:cantSplit w:val="0"/>
          <w:trHeight w:val="485" w:hRule="atLeast"/>
          <w:tblHeader w:val="0"/>
        </w:trPr>
        <w:tc>
          <w:tcPr/>
          <w:p w:rsidR="00000000" w:rsidDel="00000000" w:rsidP="00000000" w:rsidRDefault="00000000" w:rsidRPr="00000000" w14:paraId="0000024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4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Z-Score</w:t>
            </w:r>
          </w:p>
        </w:tc>
        <w:tc>
          <w:tcPr/>
          <w:p w:rsidR="00000000" w:rsidDel="00000000" w:rsidP="00000000" w:rsidRDefault="00000000" w:rsidRPr="00000000" w14:paraId="0000024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Interpretation</w:t>
            </w:r>
          </w:p>
        </w:tc>
      </w:tr>
      <w:tr>
        <w:trPr>
          <w:cantSplit w:val="0"/>
          <w:trHeight w:val="506" w:hRule="atLeast"/>
          <w:tblHeader w:val="0"/>
        </w:trPr>
        <w:tc>
          <w:tcPr/>
          <w:p w:rsidR="00000000" w:rsidDel="00000000" w:rsidP="00000000" w:rsidRDefault="00000000" w:rsidRPr="00000000" w14:paraId="0000024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48">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 2.18</w:t>
            </w:r>
          </w:p>
        </w:tc>
        <w:tc>
          <w:tcPr/>
          <w:p w:rsidR="00000000" w:rsidDel="00000000" w:rsidP="00000000" w:rsidRDefault="00000000" w:rsidRPr="00000000" w14:paraId="00000249">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Grey Zone</w:t>
            </w:r>
          </w:p>
        </w:tc>
      </w:tr>
      <w:tr>
        <w:trPr>
          <w:cantSplit w:val="0"/>
          <w:trHeight w:val="485" w:hRule="atLeast"/>
          <w:tblHeader w:val="0"/>
        </w:trPr>
        <w:tc>
          <w:tcPr/>
          <w:p w:rsidR="00000000" w:rsidDel="00000000" w:rsidP="00000000" w:rsidRDefault="00000000" w:rsidRPr="00000000" w14:paraId="0000024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4B">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 1.71</w:t>
            </w:r>
          </w:p>
        </w:tc>
        <w:tc>
          <w:tcPr/>
          <w:p w:rsidR="00000000" w:rsidDel="00000000" w:rsidP="00000000" w:rsidRDefault="00000000" w:rsidRPr="00000000" w14:paraId="0000024C">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Grey/Distress</w:t>
            </w:r>
          </w:p>
        </w:tc>
      </w:tr>
      <w:tr>
        <w:trPr>
          <w:cantSplit w:val="0"/>
          <w:trHeight w:val="506" w:hRule="atLeast"/>
          <w:tblHeader w:val="0"/>
        </w:trPr>
        <w:tc>
          <w:tcPr/>
          <w:p w:rsidR="00000000" w:rsidDel="00000000" w:rsidP="00000000" w:rsidRDefault="00000000" w:rsidRPr="00000000" w14:paraId="0000024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4E">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 5.12</w:t>
            </w:r>
          </w:p>
        </w:tc>
        <w:tc>
          <w:tcPr/>
          <w:p w:rsidR="00000000" w:rsidDel="00000000" w:rsidP="00000000" w:rsidRDefault="00000000" w:rsidRPr="00000000" w14:paraId="0000024F">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Safe</w:t>
            </w:r>
          </w:p>
        </w:tc>
      </w:tr>
      <w:tr>
        <w:trPr>
          <w:cantSplit w:val="0"/>
          <w:trHeight w:val="485" w:hRule="atLeast"/>
          <w:tblHeader w:val="0"/>
        </w:trPr>
        <w:tc>
          <w:tcPr/>
          <w:p w:rsidR="00000000" w:rsidDel="00000000" w:rsidP="00000000" w:rsidRDefault="00000000" w:rsidRPr="00000000" w14:paraId="0000025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51">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 5.20</w:t>
            </w:r>
          </w:p>
        </w:tc>
        <w:tc>
          <w:tcPr/>
          <w:p w:rsidR="00000000" w:rsidDel="00000000" w:rsidP="00000000" w:rsidRDefault="00000000" w:rsidRPr="00000000" w14:paraId="00000252">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Safe</w:t>
            </w:r>
          </w:p>
        </w:tc>
      </w:tr>
      <w:tr>
        <w:trPr>
          <w:cantSplit w:val="0"/>
          <w:trHeight w:val="485" w:hRule="atLeast"/>
          <w:tblHeader w:val="0"/>
        </w:trPr>
        <w:tc>
          <w:tcPr/>
          <w:p w:rsidR="00000000" w:rsidDel="00000000" w:rsidP="00000000" w:rsidRDefault="00000000" w:rsidRPr="00000000" w14:paraId="0000025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54">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 6.12</w:t>
            </w:r>
          </w:p>
        </w:tc>
        <w:tc>
          <w:tcPr/>
          <w:p w:rsidR="00000000" w:rsidDel="00000000" w:rsidP="00000000" w:rsidRDefault="00000000" w:rsidRPr="00000000" w14:paraId="00000255">
            <w:pPr>
              <w:spacing w:after="160" w:line="278.00000000000006"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Safe</w:t>
            </w:r>
          </w:p>
        </w:tc>
      </w:tr>
    </w:tbl>
    <w:p w:rsidR="00000000" w:rsidDel="00000000" w:rsidP="00000000" w:rsidRDefault="00000000" w:rsidRPr="00000000" w14:paraId="00000256">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57">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Interpretation:</w:t>
        <w:br w:type="textWrapping"/>
      </w:r>
      <w:r w:rsidDel="00000000" w:rsidR="00000000" w:rsidRPr="00000000">
        <w:rPr>
          <w:rFonts w:ascii="Arial" w:cs="Arial" w:eastAsia="Arial" w:hAnsi="Arial"/>
          <w:rtl w:val="0"/>
        </w:rPr>
        <w:t xml:space="preserve">The situation at Z-scores is restricted to a drastic decline after 2022. GE is currently in the grey zone implying that it is becoming more and more distressed not yet reaching the full danger zone.</w:t>
      </w:r>
    </w:p>
    <w:p w:rsidR="00000000" w:rsidDel="00000000" w:rsidP="00000000" w:rsidRDefault="00000000" w:rsidRPr="00000000" w14:paraId="00000258">
      <w:pPr>
        <w:pStyle w:val="Heading2"/>
        <w:rPr/>
      </w:pPr>
      <w:bookmarkStart w:colFirst="0" w:colLast="0" w:name="_l4dmuklpvahy" w:id="24"/>
      <w:bookmarkEnd w:id="24"/>
      <w:r w:rsidDel="00000000" w:rsidR="00000000" w:rsidRPr="00000000">
        <w:rPr>
          <w:rtl w:val="0"/>
        </w:rPr>
        <w:t xml:space="preserve">1.9 Overall Strengths &amp; Threats</w:t>
      </w:r>
    </w:p>
    <w:p w:rsidR="00000000" w:rsidDel="00000000" w:rsidP="00000000" w:rsidRDefault="00000000" w:rsidRPr="00000000" w14:paraId="00000259">
      <w:pPr>
        <w:rPr>
          <w:rFonts w:ascii="Arial" w:cs="Arial" w:eastAsia="Arial" w:hAnsi="Arial"/>
          <w:b w:val="1"/>
          <w:bCs w:val="1"/>
        </w:rPr>
      </w:pPr>
      <w:r w:rsidDel="00000000" w:rsidR="00000000" w:rsidRPr="00000000">
        <w:rPr>
          <w:rFonts w:ascii="Arial" w:cs="Arial" w:eastAsia="Arial" w:hAnsi="Arial"/>
          <w:b w:val="1"/>
          <w:bCs w:val="1"/>
          <w:rtl w:val="0"/>
        </w:rPr>
        <w:t xml:space="preserve">Strengths</w:t>
      </w:r>
    </w:p>
    <w:p w:rsidR="00000000" w:rsidDel="00000000" w:rsidP="00000000" w:rsidRDefault="00000000" w:rsidRPr="00000000" w14:paraId="0000025A">
      <w:pPr>
        <w:numPr>
          <w:ilvl w:val="0"/>
          <w:numId w:val="1"/>
        </w:numPr>
        <w:ind w:left="720" w:hanging="360"/>
        <w:rPr/>
      </w:pPr>
      <w:r w:rsidDel="00000000" w:rsidR="00000000" w:rsidRPr="00000000">
        <w:rPr>
          <w:rFonts w:ascii="Arial" w:cs="Arial" w:eastAsia="Arial" w:hAnsi="Arial"/>
          <w:rtl w:val="0"/>
        </w:rPr>
        <w:t xml:space="preserve">Gross margin remains stable (~29%), signalling cost control at the production level.</w:t>
      </w:r>
    </w:p>
    <w:p w:rsidR="00000000" w:rsidDel="00000000" w:rsidP="00000000" w:rsidRDefault="00000000" w:rsidRPr="00000000" w14:paraId="0000025B">
      <w:pPr>
        <w:numPr>
          <w:ilvl w:val="0"/>
          <w:numId w:val="1"/>
        </w:numPr>
        <w:ind w:left="720" w:hanging="360"/>
        <w:rPr/>
      </w:pPr>
      <w:r w:rsidDel="00000000" w:rsidR="00000000" w:rsidRPr="00000000">
        <w:rPr>
          <w:rFonts w:ascii="Arial" w:cs="Arial" w:eastAsia="Arial" w:hAnsi="Arial"/>
          <w:rtl w:val="0"/>
        </w:rPr>
        <w:t xml:space="preserve">Liquidity ratios remain above minimum safe thresholds.</w:t>
      </w:r>
    </w:p>
    <w:p w:rsidR="00000000" w:rsidDel="00000000" w:rsidP="00000000" w:rsidRDefault="00000000" w:rsidRPr="00000000" w14:paraId="0000025C">
      <w:pPr>
        <w:numPr>
          <w:ilvl w:val="0"/>
          <w:numId w:val="1"/>
        </w:numPr>
        <w:ind w:left="720" w:hanging="360"/>
        <w:rPr/>
      </w:pPr>
      <w:r w:rsidDel="00000000" w:rsidR="00000000" w:rsidRPr="00000000">
        <w:rPr>
          <w:rFonts w:ascii="Arial" w:cs="Arial" w:eastAsia="Arial" w:hAnsi="Arial"/>
          <w:rtl w:val="0"/>
        </w:rPr>
        <w:t xml:space="preserve">Inventory management has improved since 2020.</w:t>
      </w:r>
    </w:p>
    <w:p w:rsidR="00000000" w:rsidDel="00000000" w:rsidP="00000000" w:rsidRDefault="00000000" w:rsidRPr="00000000" w14:paraId="0000025D">
      <w:pPr>
        <w:numPr>
          <w:ilvl w:val="0"/>
          <w:numId w:val="1"/>
        </w:numPr>
        <w:ind w:left="720" w:hanging="360"/>
        <w:rPr/>
      </w:pPr>
      <w:r w:rsidDel="00000000" w:rsidR="00000000" w:rsidRPr="00000000">
        <w:rPr>
          <w:rFonts w:ascii="Arial" w:cs="Arial" w:eastAsia="Arial" w:hAnsi="Arial"/>
          <w:rtl w:val="0"/>
        </w:rPr>
        <w:t xml:space="preserve">Z-Score does not classify GE in immediate failure danger.</w:t>
      </w:r>
    </w:p>
    <w:p w:rsidR="00000000" w:rsidDel="00000000" w:rsidP="00000000" w:rsidRDefault="00000000" w:rsidRPr="00000000" w14:paraId="0000025E">
      <w:pPr>
        <w:rPr>
          <w:rFonts w:ascii="Arial" w:cs="Arial" w:eastAsia="Arial" w:hAnsi="Arial"/>
          <w:b w:val="1"/>
          <w:bCs w:val="1"/>
        </w:rPr>
      </w:pPr>
      <w:r w:rsidDel="00000000" w:rsidR="00000000" w:rsidRPr="00000000">
        <w:rPr>
          <w:rFonts w:ascii="Arial" w:cs="Arial" w:eastAsia="Arial" w:hAnsi="Arial"/>
          <w:b w:val="1"/>
          <w:bCs w:val="1"/>
          <w:rtl w:val="0"/>
        </w:rPr>
        <w:t xml:space="preserve">Threats</w:t>
      </w:r>
    </w:p>
    <w:p w:rsidR="00000000" w:rsidDel="00000000" w:rsidP="00000000" w:rsidRDefault="00000000" w:rsidRPr="00000000" w14:paraId="0000025F">
      <w:pPr>
        <w:numPr>
          <w:ilvl w:val="0"/>
          <w:numId w:val="2"/>
        </w:numPr>
        <w:ind w:left="720" w:hanging="360"/>
        <w:rPr/>
      </w:pPr>
      <w:r w:rsidDel="00000000" w:rsidR="00000000" w:rsidRPr="00000000">
        <w:rPr>
          <w:rFonts w:ascii="Arial" w:cs="Arial" w:eastAsia="Arial" w:hAnsi="Arial"/>
          <w:rtl w:val="0"/>
        </w:rPr>
        <w:t xml:space="preserve">Severe decline in profitability and two consecutive years of deep net losses.</w:t>
      </w:r>
    </w:p>
    <w:p w:rsidR="00000000" w:rsidDel="00000000" w:rsidP="00000000" w:rsidRDefault="00000000" w:rsidRPr="00000000" w14:paraId="00000260">
      <w:pPr>
        <w:numPr>
          <w:ilvl w:val="0"/>
          <w:numId w:val="2"/>
        </w:numPr>
        <w:ind w:left="720" w:hanging="360"/>
        <w:rPr/>
      </w:pPr>
      <w:r w:rsidDel="00000000" w:rsidR="00000000" w:rsidRPr="00000000">
        <w:rPr>
          <w:rFonts w:ascii="Arial" w:cs="Arial" w:eastAsia="Arial" w:hAnsi="Arial"/>
          <w:rtl w:val="0"/>
        </w:rPr>
        <w:t xml:space="preserve">Efficiency issues reflected in high DSO and CCC.</w:t>
      </w:r>
    </w:p>
    <w:p w:rsidR="00000000" w:rsidDel="00000000" w:rsidP="00000000" w:rsidRDefault="00000000" w:rsidRPr="00000000" w14:paraId="00000261">
      <w:pPr>
        <w:numPr>
          <w:ilvl w:val="0"/>
          <w:numId w:val="2"/>
        </w:numPr>
        <w:ind w:left="720" w:hanging="360"/>
        <w:rPr/>
      </w:pPr>
      <w:r w:rsidDel="00000000" w:rsidR="00000000" w:rsidRPr="00000000">
        <w:rPr>
          <w:rFonts w:ascii="Arial" w:cs="Arial" w:eastAsia="Arial" w:hAnsi="Arial"/>
          <w:rtl w:val="0"/>
        </w:rPr>
        <w:t xml:space="preserve">Rising leverage and negative interest coverage.</w:t>
      </w:r>
    </w:p>
    <w:p w:rsidR="00000000" w:rsidDel="00000000" w:rsidP="00000000" w:rsidRDefault="00000000" w:rsidRPr="00000000" w14:paraId="00000262">
      <w:pPr>
        <w:numPr>
          <w:ilvl w:val="0"/>
          <w:numId w:val="2"/>
        </w:numPr>
        <w:ind w:left="720" w:hanging="360"/>
        <w:rPr/>
      </w:pPr>
      <w:r w:rsidDel="00000000" w:rsidR="00000000" w:rsidRPr="00000000">
        <w:rPr>
          <w:rFonts w:ascii="Arial" w:cs="Arial" w:eastAsia="Arial" w:hAnsi="Arial"/>
          <w:rtl w:val="0"/>
        </w:rPr>
        <w:t xml:space="preserve">Weak cash-flow generation relative to liabilities.</w:t>
      </w:r>
    </w:p>
    <w:p w:rsidR="00000000" w:rsidDel="00000000" w:rsidP="00000000" w:rsidRDefault="00000000" w:rsidRPr="00000000" w14:paraId="00000263">
      <w:pPr>
        <w:numPr>
          <w:ilvl w:val="0"/>
          <w:numId w:val="2"/>
        </w:numPr>
        <w:ind w:left="720" w:hanging="360"/>
        <w:rPr/>
      </w:pPr>
      <w:r w:rsidDel="00000000" w:rsidR="00000000" w:rsidRPr="00000000">
        <w:rPr>
          <w:rFonts w:ascii="Arial" w:cs="Arial" w:eastAsia="Arial" w:hAnsi="Arial"/>
          <w:rtl w:val="0"/>
        </w:rPr>
        <w:t xml:space="preserve">Declining EPS and shareholder value erosion.</w:t>
      </w:r>
    </w:p>
    <w:p w:rsidR="00000000" w:rsidDel="00000000" w:rsidP="00000000" w:rsidRDefault="00000000" w:rsidRPr="00000000" w14:paraId="00000264">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265">
      <w:pPr>
        <w:pStyle w:val="Heading1"/>
        <w:rPr/>
      </w:pPr>
      <w:bookmarkStart w:colFirst="0" w:colLast="0" w:name="_jzfq5pra2zd" w:id="25"/>
      <w:bookmarkEnd w:id="25"/>
      <w:r w:rsidDel="00000000" w:rsidR="00000000" w:rsidRPr="00000000">
        <w:rPr>
          <w:rtl w:val="0"/>
        </w:rPr>
        <w:t xml:space="preserve">2. Working Capital Management </w:t>
      </w:r>
    </w:p>
    <w:p w:rsidR="00000000" w:rsidDel="00000000" w:rsidP="00000000" w:rsidRDefault="00000000" w:rsidRPr="00000000" w14:paraId="00000266">
      <w:pPr>
        <w:spacing w:line="360" w:lineRule="auto"/>
        <w:jc w:val="both"/>
        <w:rPr>
          <w:rFonts w:ascii="Arial" w:cs="Arial" w:eastAsia="Arial" w:hAnsi="Arial"/>
        </w:rPr>
      </w:pPr>
      <w:r w:rsidDel="00000000" w:rsidR="00000000" w:rsidRPr="00000000">
        <w:rPr>
          <w:rFonts w:ascii="Arial" w:cs="Arial" w:eastAsia="Arial" w:hAnsi="Arial"/>
          <w:rtl w:val="0"/>
        </w:rPr>
        <w:t xml:space="preserve">Effective working capital management (WCM) plays a crucial role in maintaining liquidity and financial risk mitigation and operational survival especially among companies who are facing decreasing profitability and increasing leverage. In this part, the working-capital performance of General Electronics (GE) is analyzed on the basis of five-year data (2020-2024). It breaks down the receivables, inventory and payable and cash conversion cycle (CCC) to identify efficiency problems using calculations and tables. Contemporary WCM theory is then applied to the findings, based on the works by Bhattacharya (2014), Edmunds (1983), and recent restructuring literature (Schoenberg et al., 2013; Umar, 2023).</w:t>
      </w:r>
    </w:p>
    <w:p w:rsidR="00000000" w:rsidDel="00000000" w:rsidP="00000000" w:rsidRDefault="00000000" w:rsidRPr="00000000" w14:paraId="00000267">
      <w:pPr>
        <w:pStyle w:val="Heading2"/>
        <w:rPr/>
      </w:pPr>
      <w:bookmarkStart w:colFirst="0" w:colLast="0" w:name="_6gs1kn1rj9xy" w:id="26"/>
      <w:bookmarkEnd w:id="26"/>
      <w:r w:rsidDel="00000000" w:rsidR="00000000" w:rsidRPr="00000000">
        <w:rPr>
          <w:rtl w:val="0"/>
        </w:rPr>
        <w:t xml:space="preserve">2.1 Overview of Working Capital Position</w:t>
      </w:r>
    </w:p>
    <w:p w:rsidR="00000000" w:rsidDel="00000000" w:rsidP="00000000" w:rsidRDefault="00000000" w:rsidRPr="00000000" w14:paraId="00000268">
      <w:pPr>
        <w:spacing w:line="360" w:lineRule="auto"/>
        <w:jc w:val="both"/>
        <w:rPr>
          <w:rFonts w:ascii="Arial" w:cs="Arial" w:eastAsia="Arial" w:hAnsi="Arial"/>
        </w:rPr>
      </w:pPr>
      <w:r w:rsidDel="00000000" w:rsidR="00000000" w:rsidRPr="00000000">
        <w:rPr>
          <w:rFonts w:ascii="Arial" w:cs="Arial" w:eastAsia="Arial" w:hAnsi="Arial"/>
          <w:rtl w:val="0"/>
        </w:rPr>
        <w:t xml:space="preserve">Working capital (WC) is a short-term liquidity and the capacity of the firm to sustain its everyday activity.</w:t>
      </w:r>
    </w:p>
    <w:p w:rsidR="00000000" w:rsidDel="00000000" w:rsidP="00000000" w:rsidRDefault="00000000" w:rsidRPr="00000000" w14:paraId="00000269">
      <w:pPr>
        <w:rPr>
          <w:rFonts w:ascii="Arial" w:cs="Arial" w:eastAsia="Arial" w:hAnsi="Arial"/>
          <w:b w:val="1"/>
          <w:bCs w:val="1"/>
        </w:rPr>
      </w:pPr>
      <w:r w:rsidDel="00000000" w:rsidR="00000000" w:rsidRPr="00000000">
        <w:rPr>
          <w:rFonts w:ascii="Arial" w:cs="Arial" w:eastAsia="Arial" w:hAnsi="Arial"/>
          <w:b w:val="1"/>
          <w:bCs w:val="1"/>
          <w:rtl w:val="0"/>
        </w:rPr>
        <w:t xml:space="preserve">Working Capital = Current Assets – Current Liabilities</w:t>
      </w:r>
    </w:p>
    <w:tbl>
      <w:tblPr>
        <w:tblStyle w:val="Table18"/>
        <w:tblW w:w="958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827"/>
        <w:gridCol w:w="2758"/>
        <w:gridCol w:w="3120"/>
        <w:gridCol w:w="2880"/>
        <w:tblGridChange w:id="0">
          <w:tblGrid>
            <w:gridCol w:w="827"/>
            <w:gridCol w:w="2758"/>
            <w:gridCol w:w="3120"/>
            <w:gridCol w:w="2880"/>
          </w:tblGrid>
        </w:tblGridChange>
      </w:tblGrid>
      <w:tr>
        <w:trPr>
          <w:cantSplit w:val="0"/>
          <w:trHeight w:val="582" w:hRule="atLeast"/>
          <w:tblHeader w:val="0"/>
        </w:trPr>
        <w:tc>
          <w:tcPr/>
          <w:p w:rsidR="00000000" w:rsidDel="00000000" w:rsidP="00000000" w:rsidRDefault="00000000" w:rsidRPr="00000000" w14:paraId="0000026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6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Current Assets (£m)</w:t>
            </w:r>
          </w:p>
        </w:tc>
        <w:tc>
          <w:tcPr/>
          <w:p w:rsidR="00000000" w:rsidDel="00000000" w:rsidP="00000000" w:rsidRDefault="00000000" w:rsidRPr="00000000" w14:paraId="0000026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Current Liabilities (£m)</w:t>
            </w:r>
          </w:p>
        </w:tc>
        <w:tc>
          <w:tcPr/>
          <w:p w:rsidR="00000000" w:rsidDel="00000000" w:rsidP="00000000" w:rsidRDefault="00000000" w:rsidRPr="00000000" w14:paraId="0000026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Working Capital (£m)</w:t>
            </w:r>
          </w:p>
        </w:tc>
      </w:tr>
      <w:tr>
        <w:trPr>
          <w:cantSplit w:val="0"/>
          <w:trHeight w:val="566" w:hRule="atLeast"/>
          <w:tblHeader w:val="0"/>
        </w:trPr>
        <w:tc>
          <w:tcPr/>
          <w:p w:rsidR="00000000" w:rsidDel="00000000" w:rsidP="00000000" w:rsidRDefault="00000000" w:rsidRPr="00000000" w14:paraId="0000026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6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242,494</w:t>
            </w:r>
          </w:p>
        </w:tc>
        <w:tc>
          <w:tcPr/>
          <w:p w:rsidR="00000000" w:rsidDel="00000000" w:rsidP="00000000" w:rsidRDefault="00000000" w:rsidRPr="00000000" w14:paraId="0000027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158,291</w:t>
            </w:r>
          </w:p>
        </w:tc>
        <w:tc>
          <w:tcPr/>
          <w:p w:rsidR="00000000" w:rsidDel="00000000" w:rsidP="00000000" w:rsidRDefault="00000000" w:rsidRPr="00000000" w14:paraId="00000271">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84,203</w:t>
            </w:r>
            <w:r w:rsidDel="00000000" w:rsidR="00000000" w:rsidRPr="00000000">
              <w:rPr>
                <w:rtl w:val="0"/>
              </w:rPr>
            </w:r>
          </w:p>
        </w:tc>
      </w:tr>
      <w:tr>
        <w:trPr>
          <w:cantSplit w:val="0"/>
          <w:trHeight w:val="582" w:hRule="atLeast"/>
          <w:tblHeader w:val="0"/>
        </w:trPr>
        <w:tc>
          <w:tcPr/>
          <w:p w:rsidR="00000000" w:rsidDel="00000000" w:rsidP="00000000" w:rsidRDefault="00000000" w:rsidRPr="00000000" w14:paraId="0000027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7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258,851</w:t>
            </w:r>
          </w:p>
        </w:tc>
        <w:tc>
          <w:tcPr/>
          <w:p w:rsidR="00000000" w:rsidDel="00000000" w:rsidP="00000000" w:rsidRDefault="00000000" w:rsidRPr="00000000" w14:paraId="0000027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161,148</w:t>
            </w:r>
          </w:p>
        </w:tc>
        <w:tc>
          <w:tcPr/>
          <w:p w:rsidR="00000000" w:rsidDel="00000000" w:rsidP="00000000" w:rsidRDefault="00000000" w:rsidRPr="00000000" w14:paraId="0000027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97,703</w:t>
            </w:r>
          </w:p>
        </w:tc>
      </w:tr>
      <w:tr>
        <w:trPr>
          <w:cantSplit w:val="0"/>
          <w:trHeight w:val="582" w:hRule="atLeast"/>
          <w:tblHeader w:val="0"/>
        </w:trPr>
        <w:tc>
          <w:tcPr/>
          <w:p w:rsidR="00000000" w:rsidDel="00000000" w:rsidP="00000000" w:rsidRDefault="00000000" w:rsidRPr="00000000" w14:paraId="0000027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7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338,040</w:t>
            </w:r>
          </w:p>
        </w:tc>
        <w:tc>
          <w:tcPr/>
          <w:p w:rsidR="00000000" w:rsidDel="00000000" w:rsidP="00000000" w:rsidRDefault="00000000" w:rsidRPr="00000000" w14:paraId="0000027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216,473</w:t>
            </w:r>
          </w:p>
        </w:tc>
        <w:tc>
          <w:tcPr/>
          <w:p w:rsidR="00000000" w:rsidDel="00000000" w:rsidP="00000000" w:rsidRDefault="00000000" w:rsidRPr="00000000" w14:paraId="0000027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121,567</w:t>
            </w:r>
          </w:p>
        </w:tc>
      </w:tr>
      <w:tr>
        <w:trPr>
          <w:cantSplit w:val="0"/>
          <w:trHeight w:val="582" w:hRule="atLeast"/>
          <w:tblHeader w:val="0"/>
        </w:trPr>
        <w:tc>
          <w:tcPr/>
          <w:p w:rsidR="00000000" w:rsidDel="00000000" w:rsidP="00000000" w:rsidRDefault="00000000" w:rsidRPr="00000000" w14:paraId="0000027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7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337,146</w:t>
            </w:r>
          </w:p>
        </w:tc>
        <w:tc>
          <w:tcPr/>
          <w:p w:rsidR="00000000" w:rsidDel="00000000" w:rsidP="00000000" w:rsidRDefault="00000000" w:rsidRPr="00000000" w14:paraId="0000027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216,787</w:t>
            </w:r>
          </w:p>
        </w:tc>
        <w:tc>
          <w:tcPr/>
          <w:p w:rsidR="00000000" w:rsidDel="00000000" w:rsidP="00000000" w:rsidRDefault="00000000" w:rsidRPr="00000000" w14:paraId="0000027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120,359</w:t>
            </w:r>
          </w:p>
        </w:tc>
      </w:tr>
      <w:tr>
        <w:trPr>
          <w:cantSplit w:val="0"/>
          <w:trHeight w:val="566" w:hRule="atLeast"/>
          <w:tblHeader w:val="0"/>
        </w:trPr>
        <w:tc>
          <w:tcPr/>
          <w:p w:rsidR="00000000" w:rsidDel="00000000" w:rsidP="00000000" w:rsidRDefault="00000000" w:rsidRPr="00000000" w14:paraId="0000027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7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326,843</w:t>
            </w:r>
          </w:p>
        </w:tc>
        <w:tc>
          <w:tcPr/>
          <w:p w:rsidR="00000000" w:rsidDel="00000000" w:rsidP="00000000" w:rsidRDefault="00000000" w:rsidRPr="00000000" w14:paraId="0000028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179,510</w:t>
            </w:r>
          </w:p>
        </w:tc>
        <w:tc>
          <w:tcPr/>
          <w:p w:rsidR="00000000" w:rsidDel="00000000" w:rsidP="00000000" w:rsidRDefault="00000000" w:rsidRPr="00000000" w14:paraId="00000281">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147,333</w:t>
            </w:r>
            <w:r w:rsidDel="00000000" w:rsidR="00000000" w:rsidRPr="00000000">
              <w:rPr>
                <w:rtl w:val="0"/>
              </w:rPr>
            </w:r>
          </w:p>
        </w:tc>
      </w:tr>
    </w:tbl>
    <w:p w:rsidR="00000000" w:rsidDel="00000000" w:rsidP="00000000" w:rsidRDefault="00000000" w:rsidRPr="00000000" w14:paraId="0000028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83">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284">
      <w:pPr>
        <w:spacing w:line="360" w:lineRule="auto"/>
        <w:jc w:val="both"/>
        <w:rPr>
          <w:rFonts w:ascii="Arial" w:cs="Arial" w:eastAsia="Arial" w:hAnsi="Arial"/>
        </w:rPr>
      </w:pPr>
      <w:r w:rsidDel="00000000" w:rsidR="00000000" w:rsidRPr="00000000">
        <w:rPr>
          <w:rFonts w:ascii="Arial" w:cs="Arial" w:eastAsia="Arial" w:hAnsi="Arial"/>
          <w:rtl w:val="0"/>
        </w:rPr>
        <w:t xml:space="preserve">GE has experienced a decrease in working capital by </w:t>
      </w:r>
      <w:r w:rsidDel="00000000" w:rsidR="00000000" w:rsidRPr="00000000">
        <w:rPr>
          <w:rFonts w:ascii="Arial" w:cs="Arial" w:eastAsia="Arial" w:hAnsi="Arial"/>
          <w:b w:val="1"/>
          <w:bCs w:val="1"/>
          <w:rtl w:val="0"/>
        </w:rPr>
        <w:t xml:space="preserve">£63bn</w:t>
      </w:r>
      <w:r w:rsidDel="00000000" w:rsidR="00000000" w:rsidRPr="00000000">
        <w:rPr>
          <w:rFonts w:ascii="Arial" w:cs="Arial" w:eastAsia="Arial" w:hAnsi="Arial"/>
          <w:rtl w:val="0"/>
        </w:rPr>
        <w:t xml:space="preserve"> between 2020 and 2024 and its liquidity buffer is smaller. This is an indication of reduced current assets (primarily receivables and inventory), with an increase in short-term liabilities. A declining working-capital cushion is harmful to a company that has already experienced losses, since it undermines operational resilience, efficacy in supplier bargaining, and exposes the company to the threat of liquidity shortages.</w:t>
      </w:r>
    </w:p>
    <w:p w:rsidR="00000000" w:rsidDel="00000000" w:rsidP="00000000" w:rsidRDefault="00000000" w:rsidRPr="00000000" w14:paraId="00000285">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286">
      <w:pPr>
        <w:pStyle w:val="Heading2"/>
        <w:rPr/>
      </w:pPr>
      <w:bookmarkStart w:colFirst="0" w:colLast="0" w:name="_fxxiw416jb5i" w:id="27"/>
      <w:bookmarkEnd w:id="27"/>
      <w:r w:rsidDel="00000000" w:rsidR="00000000" w:rsidRPr="00000000">
        <w:rPr>
          <w:rtl w:val="0"/>
        </w:rPr>
        <w:t xml:space="preserve">2.2 Receivables Management (DSO)</w:t>
      </w:r>
    </w:p>
    <w:p w:rsidR="00000000" w:rsidDel="00000000" w:rsidP="00000000" w:rsidRDefault="00000000" w:rsidRPr="00000000" w14:paraId="00000287">
      <w:pPr>
        <w:spacing w:line="360" w:lineRule="auto"/>
        <w:jc w:val="both"/>
        <w:rPr>
          <w:rFonts w:ascii="Arial" w:cs="Arial" w:eastAsia="Arial" w:hAnsi="Arial"/>
        </w:rPr>
      </w:pPr>
      <w:r w:rsidDel="00000000" w:rsidR="00000000" w:rsidRPr="00000000">
        <w:rPr>
          <w:rFonts w:ascii="Arial" w:cs="Arial" w:eastAsia="Arial" w:hAnsi="Arial"/>
          <w:rtl w:val="0"/>
        </w:rPr>
        <w:t xml:space="preserve">The receivables management measures speed of a company in collecting cash as a result of credit sales.</w:t>
      </w:r>
    </w:p>
    <w:p w:rsidR="00000000" w:rsidDel="00000000" w:rsidP="00000000" w:rsidRDefault="00000000" w:rsidRPr="00000000" w14:paraId="00000288">
      <w:pPr>
        <w:rPr>
          <w:rFonts w:ascii="Arial" w:cs="Arial" w:eastAsia="Arial" w:hAnsi="Arial"/>
          <w:b w:val="1"/>
          <w:bCs w:val="1"/>
        </w:rPr>
      </w:pPr>
      <w:r w:rsidDel="00000000" w:rsidR="00000000" w:rsidRPr="00000000">
        <w:rPr>
          <w:rFonts w:ascii="Arial" w:cs="Arial" w:eastAsia="Arial" w:hAnsi="Arial"/>
          <w:b w:val="1"/>
          <w:bCs w:val="1"/>
          <w:rtl w:val="0"/>
        </w:rPr>
        <w:t xml:space="preserve">Formula</w:t>
      </w:r>
    </w:p>
    <w:p w:rsidR="00000000" w:rsidDel="00000000" w:rsidP="00000000" w:rsidRDefault="00000000" w:rsidRPr="00000000" w14:paraId="00000289">
      <w:pPr>
        <w:rPr>
          <w:rFonts w:ascii="Arial" w:cs="Arial" w:eastAsia="Arial" w:hAnsi="Arial"/>
          <w:sz w:val="32"/>
          <w:szCs w:val="32"/>
        </w:rPr>
      </w:pPr>
      <w:r w:rsidDel="00000000" w:rsidR="00000000" w:rsidRPr="00000000">
        <w:rPr>
          <w:rFonts w:ascii="Arial" w:cs="Arial" w:eastAsia="Arial" w:hAnsi="Arial"/>
          <w:rtl w:val="0"/>
        </w:rPr>
        <w:t xml:space="preserve">DSO=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Account Receivable</m:t>
            </m:r>
          </m:num>
          <m:den>
            <m:r>
              <w:rPr>
                <w:rFonts w:ascii="Cambria Math" w:cs="Cambria Math" w:eastAsia="Cambria Math" w:hAnsi="Cambria Math"/>
                <w:sz w:val="32"/>
                <w:szCs w:val="32"/>
              </w:rPr>
              <m:t xml:space="preserve">Sales</m:t>
            </m:r>
          </m:den>
        </m:f>
        <m:r>
          <w:rPr>
            <w:rFonts w:ascii="Cambria Math" w:cs="Cambria Math" w:eastAsia="Cambria Math" w:hAnsi="Cambria Math"/>
            <w:sz w:val="32"/>
            <w:szCs w:val="32"/>
          </w:rPr>
          <m:t xml:space="preserve">×365</m:t>
        </m:r>
      </m:oMath>
      <w:r w:rsidDel="00000000" w:rsidR="00000000" w:rsidRPr="00000000">
        <w:rPr>
          <w:rtl w:val="0"/>
        </w:rPr>
      </w:r>
    </w:p>
    <w:p w:rsidR="00000000" w:rsidDel="00000000" w:rsidP="00000000" w:rsidRDefault="00000000" w:rsidRPr="00000000" w14:paraId="0000028A">
      <w:pPr>
        <w:rPr>
          <w:rFonts w:ascii="Arial" w:cs="Arial" w:eastAsia="Arial" w:hAnsi="Arial"/>
          <w:b w:val="1"/>
          <w:bCs w:val="1"/>
        </w:rPr>
      </w:pPr>
      <w:r w:rsidDel="00000000" w:rsidR="00000000" w:rsidRPr="00000000">
        <w:rPr>
          <w:rFonts w:ascii="Arial" w:cs="Arial" w:eastAsia="Arial" w:hAnsi="Arial"/>
          <w:b w:val="1"/>
          <w:bCs w:val="1"/>
          <w:rtl w:val="0"/>
        </w:rPr>
        <w:t xml:space="preserve">Receivables Days Table</w:t>
      </w:r>
    </w:p>
    <w:tbl>
      <w:tblPr>
        <w:tblStyle w:val="Table19"/>
        <w:tblW w:w="960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042"/>
        <w:gridCol w:w="4453"/>
        <w:gridCol w:w="1969"/>
        <w:gridCol w:w="2136"/>
        <w:tblGridChange w:id="0">
          <w:tblGrid>
            <w:gridCol w:w="1042"/>
            <w:gridCol w:w="4453"/>
            <w:gridCol w:w="1969"/>
            <w:gridCol w:w="2136"/>
          </w:tblGrid>
        </w:tblGridChange>
      </w:tblGrid>
      <w:tr>
        <w:trPr>
          <w:cantSplit w:val="0"/>
          <w:trHeight w:val="554" w:hRule="atLeast"/>
          <w:tblHeader w:val="0"/>
        </w:trPr>
        <w:tc>
          <w:tcPr/>
          <w:p w:rsidR="00000000" w:rsidDel="00000000" w:rsidP="00000000" w:rsidRDefault="00000000" w:rsidRPr="00000000" w14:paraId="0000028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8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Accounts Receivable (£m)</w:t>
            </w:r>
          </w:p>
        </w:tc>
        <w:tc>
          <w:tcPr/>
          <w:p w:rsidR="00000000" w:rsidDel="00000000" w:rsidP="00000000" w:rsidRDefault="00000000" w:rsidRPr="00000000" w14:paraId="0000028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Sales (£m)</w:t>
            </w:r>
          </w:p>
        </w:tc>
        <w:tc>
          <w:tcPr/>
          <w:p w:rsidR="00000000" w:rsidDel="00000000" w:rsidP="00000000" w:rsidRDefault="00000000" w:rsidRPr="00000000" w14:paraId="0000028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DSO (Days)</w:t>
            </w:r>
          </w:p>
        </w:tc>
      </w:tr>
      <w:tr>
        <w:trPr>
          <w:cantSplit w:val="0"/>
          <w:trHeight w:val="539" w:hRule="atLeast"/>
          <w:tblHeader w:val="0"/>
        </w:trPr>
        <w:tc>
          <w:tcPr/>
          <w:p w:rsidR="00000000" w:rsidDel="00000000" w:rsidP="00000000" w:rsidRDefault="00000000" w:rsidRPr="00000000" w14:paraId="0000028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9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114,182</w:t>
            </w:r>
          </w:p>
        </w:tc>
        <w:tc>
          <w:tcPr/>
          <w:p w:rsidR="00000000" w:rsidDel="00000000" w:rsidP="00000000" w:rsidRDefault="00000000" w:rsidRPr="00000000" w14:paraId="0000029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394,879</w:t>
            </w:r>
          </w:p>
        </w:tc>
        <w:tc>
          <w:tcPr/>
          <w:p w:rsidR="00000000" w:rsidDel="00000000" w:rsidP="00000000" w:rsidRDefault="00000000" w:rsidRPr="00000000" w14:paraId="00000292">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105.5</w:t>
            </w:r>
            <w:r w:rsidDel="00000000" w:rsidR="00000000" w:rsidRPr="00000000">
              <w:rPr>
                <w:rtl w:val="0"/>
              </w:rPr>
            </w:r>
          </w:p>
        </w:tc>
      </w:tr>
      <w:tr>
        <w:trPr>
          <w:cantSplit w:val="0"/>
          <w:trHeight w:val="554" w:hRule="atLeast"/>
          <w:tblHeader w:val="0"/>
        </w:trPr>
        <w:tc>
          <w:tcPr/>
          <w:p w:rsidR="00000000" w:rsidDel="00000000" w:rsidP="00000000" w:rsidRDefault="00000000" w:rsidRPr="00000000" w14:paraId="0000029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9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112,596</w:t>
            </w:r>
          </w:p>
        </w:tc>
        <w:tc>
          <w:tcPr/>
          <w:p w:rsidR="00000000" w:rsidDel="00000000" w:rsidP="00000000" w:rsidRDefault="00000000" w:rsidRPr="00000000" w14:paraId="0000029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420,457</w:t>
            </w:r>
          </w:p>
        </w:tc>
        <w:tc>
          <w:tcPr/>
          <w:p w:rsidR="00000000" w:rsidDel="00000000" w:rsidP="00000000" w:rsidRDefault="00000000" w:rsidRPr="00000000" w14:paraId="0000029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97.74</w:t>
            </w:r>
          </w:p>
        </w:tc>
      </w:tr>
      <w:tr>
        <w:trPr>
          <w:cantSplit w:val="0"/>
          <w:trHeight w:val="554" w:hRule="atLeast"/>
          <w:tblHeader w:val="0"/>
        </w:trPr>
        <w:tc>
          <w:tcPr/>
          <w:p w:rsidR="00000000" w:rsidDel="00000000" w:rsidP="00000000" w:rsidRDefault="00000000" w:rsidRPr="00000000" w14:paraId="0000029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9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112,346</w:t>
            </w:r>
          </w:p>
        </w:tc>
        <w:tc>
          <w:tcPr/>
          <w:p w:rsidR="00000000" w:rsidDel="00000000" w:rsidP="00000000" w:rsidRDefault="00000000" w:rsidRPr="00000000" w14:paraId="0000029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542,751</w:t>
            </w:r>
          </w:p>
        </w:tc>
        <w:tc>
          <w:tcPr/>
          <w:p w:rsidR="00000000" w:rsidDel="00000000" w:rsidP="00000000" w:rsidRDefault="00000000" w:rsidRPr="00000000" w14:paraId="0000029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75.55</w:t>
            </w:r>
          </w:p>
        </w:tc>
      </w:tr>
      <w:tr>
        <w:trPr>
          <w:cantSplit w:val="0"/>
          <w:trHeight w:val="554" w:hRule="atLeast"/>
          <w:tblHeader w:val="0"/>
        </w:trPr>
        <w:tc>
          <w:tcPr/>
          <w:p w:rsidR="00000000" w:rsidDel="00000000" w:rsidP="00000000" w:rsidRDefault="00000000" w:rsidRPr="00000000" w14:paraId="0000029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9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129,215</w:t>
            </w:r>
          </w:p>
        </w:tc>
        <w:tc>
          <w:tcPr/>
          <w:p w:rsidR="00000000" w:rsidDel="00000000" w:rsidP="00000000" w:rsidRDefault="00000000" w:rsidRPr="00000000" w14:paraId="0000029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601,602</w:t>
            </w:r>
          </w:p>
        </w:tc>
        <w:tc>
          <w:tcPr/>
          <w:p w:rsidR="00000000" w:rsidDel="00000000" w:rsidP="00000000" w:rsidRDefault="00000000" w:rsidRPr="00000000" w14:paraId="0000029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78.39</w:t>
            </w:r>
          </w:p>
        </w:tc>
      </w:tr>
      <w:tr>
        <w:trPr>
          <w:cantSplit w:val="0"/>
          <w:trHeight w:val="539" w:hRule="atLeast"/>
          <w:tblHeader w:val="0"/>
        </w:trPr>
        <w:tc>
          <w:tcPr/>
          <w:p w:rsidR="00000000" w:rsidDel="00000000" w:rsidP="00000000" w:rsidRDefault="00000000" w:rsidRPr="00000000" w14:paraId="0000029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A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129,433</w:t>
            </w:r>
          </w:p>
        </w:tc>
        <w:tc>
          <w:tcPr/>
          <w:p w:rsidR="00000000" w:rsidDel="00000000" w:rsidP="00000000" w:rsidRDefault="00000000" w:rsidRPr="00000000" w14:paraId="000002A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614,680</w:t>
            </w:r>
          </w:p>
        </w:tc>
        <w:tc>
          <w:tcPr/>
          <w:p w:rsidR="00000000" w:rsidDel="00000000" w:rsidP="00000000" w:rsidRDefault="00000000" w:rsidRPr="00000000" w14:paraId="000002A2">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76.8</w:t>
            </w:r>
            <w:r w:rsidDel="00000000" w:rsidR="00000000" w:rsidRPr="00000000">
              <w:rPr>
                <w:rtl w:val="0"/>
              </w:rPr>
            </w:r>
          </w:p>
        </w:tc>
      </w:tr>
    </w:tbl>
    <w:p w:rsidR="00000000" w:rsidDel="00000000" w:rsidP="00000000" w:rsidRDefault="00000000" w:rsidRPr="00000000" w14:paraId="000002A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A4">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2A5">
      <w:pPr>
        <w:spacing w:line="360" w:lineRule="auto"/>
        <w:jc w:val="both"/>
        <w:rPr>
          <w:rFonts w:ascii="Arial" w:cs="Arial" w:eastAsia="Arial" w:hAnsi="Arial"/>
        </w:rPr>
      </w:pPr>
      <w:r w:rsidDel="00000000" w:rsidR="00000000" w:rsidRPr="00000000">
        <w:rPr>
          <w:rFonts w:ascii="Arial" w:cs="Arial" w:eastAsia="Arial" w:hAnsi="Arial"/>
          <w:rtl w:val="0"/>
        </w:rPr>
        <w:t xml:space="preserve">GE’s DSO has deteriorated steadily, rising from around 77 days in 2020 to over 105 days in 2024, which means that the cash is collected more slowly. This drastic growth since 2022 implies a loss in credit control and customer reliability in making its payments. This trend can also demonstrate an increase in sales to riskier customers or inefficiencies in the invoicing and receivable management. Working-capital wise the increasing DSO is an indication of tight liquidity and higher credit risk to the business.</w:t>
      </w:r>
      <w:r w:rsidDel="00000000" w:rsidR="00000000" w:rsidRPr="00000000">
        <w:br w:type="page"/>
      </w:r>
      <w:r w:rsidDel="00000000" w:rsidR="00000000" w:rsidRPr="00000000">
        <w:rPr>
          <w:rtl w:val="0"/>
        </w:rPr>
      </w:r>
    </w:p>
    <w:p w:rsidR="00000000" w:rsidDel="00000000" w:rsidP="00000000" w:rsidRDefault="00000000" w:rsidRPr="00000000" w14:paraId="000002A6">
      <w:pPr>
        <w:pStyle w:val="Heading2"/>
        <w:rPr/>
      </w:pPr>
      <w:bookmarkStart w:colFirst="0" w:colLast="0" w:name="_c36w2w42hkyx" w:id="28"/>
      <w:bookmarkEnd w:id="28"/>
      <w:r w:rsidDel="00000000" w:rsidR="00000000" w:rsidRPr="00000000">
        <w:rPr>
          <w:rtl w:val="0"/>
        </w:rPr>
        <w:t xml:space="preserve">2.3 Inventory Management (DIO)</w:t>
      </w:r>
    </w:p>
    <w:p w:rsidR="00000000" w:rsidDel="00000000" w:rsidP="00000000" w:rsidRDefault="00000000" w:rsidRPr="00000000" w14:paraId="000002A7">
      <w:pPr>
        <w:rPr>
          <w:rFonts w:ascii="Arial" w:cs="Arial" w:eastAsia="Arial" w:hAnsi="Arial"/>
        </w:rPr>
      </w:pPr>
      <w:r w:rsidDel="00000000" w:rsidR="00000000" w:rsidRPr="00000000">
        <w:rPr>
          <w:rFonts w:ascii="Arial" w:cs="Arial" w:eastAsia="Arial" w:hAnsi="Arial"/>
          <w:rtl w:val="0"/>
        </w:rPr>
        <w:t xml:space="preserve">Inventory management measures the efficiency of stocks as well as the over-holding risks.</w:t>
      </w:r>
    </w:p>
    <w:p w:rsidR="00000000" w:rsidDel="00000000" w:rsidP="00000000" w:rsidRDefault="00000000" w:rsidRPr="00000000" w14:paraId="000002A8">
      <w:pPr>
        <w:rPr>
          <w:rFonts w:ascii="Arial" w:cs="Arial" w:eastAsia="Arial" w:hAnsi="Arial"/>
          <w:b w:val="1"/>
          <w:bCs w:val="1"/>
        </w:rPr>
      </w:pPr>
      <w:r w:rsidDel="00000000" w:rsidR="00000000" w:rsidRPr="00000000">
        <w:rPr>
          <w:rFonts w:ascii="Arial" w:cs="Arial" w:eastAsia="Arial" w:hAnsi="Arial"/>
          <w:b w:val="1"/>
          <w:bCs w:val="1"/>
          <w:rtl w:val="0"/>
        </w:rPr>
        <w:t xml:space="preserve">Formula</w:t>
      </w:r>
    </w:p>
    <w:p w:rsidR="00000000" w:rsidDel="00000000" w:rsidP="00000000" w:rsidRDefault="00000000" w:rsidRPr="00000000" w14:paraId="000002A9">
      <w:pPr>
        <w:rPr>
          <w:rFonts w:ascii="Arial" w:cs="Arial" w:eastAsia="Arial" w:hAnsi="Arial"/>
          <w:sz w:val="32"/>
          <w:szCs w:val="32"/>
        </w:rPr>
      </w:pPr>
      <w:r w:rsidDel="00000000" w:rsidR="00000000" w:rsidRPr="00000000">
        <w:rPr>
          <w:rFonts w:ascii="Arial" w:cs="Arial" w:eastAsia="Arial" w:hAnsi="Arial"/>
          <w:rtl w:val="0"/>
        </w:rPr>
        <w:t xml:space="preserve">DIO=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Inventory</m:t>
            </m:r>
          </m:num>
          <m:den>
            <m:r>
              <w:rPr>
                <w:rFonts w:ascii="Cambria Math" w:cs="Cambria Math" w:eastAsia="Cambria Math" w:hAnsi="Cambria Math"/>
                <w:sz w:val="32"/>
                <w:szCs w:val="32"/>
              </w:rPr>
              <m:t xml:space="preserve">COGS</m:t>
            </m:r>
          </m:den>
        </m:f>
        <m:r>
          <w:rPr>
            <w:rFonts w:ascii="Cambria Math" w:cs="Cambria Math" w:eastAsia="Cambria Math" w:hAnsi="Cambria Math"/>
            <w:sz w:val="32"/>
            <w:szCs w:val="32"/>
          </w:rPr>
          <m:t xml:space="preserve">×365</m:t>
        </m:r>
      </m:oMath>
      <w:r w:rsidDel="00000000" w:rsidR="00000000" w:rsidRPr="00000000">
        <w:rPr>
          <w:rtl w:val="0"/>
        </w:rPr>
      </w:r>
    </w:p>
    <w:p w:rsidR="00000000" w:rsidDel="00000000" w:rsidP="00000000" w:rsidRDefault="00000000" w:rsidRPr="00000000" w14:paraId="000002AA">
      <w:pPr>
        <w:rPr>
          <w:rFonts w:ascii="Arial" w:cs="Arial" w:eastAsia="Arial" w:hAnsi="Arial"/>
          <w:b w:val="1"/>
          <w:bCs w:val="1"/>
        </w:rPr>
      </w:pPr>
      <w:r w:rsidDel="00000000" w:rsidR="00000000" w:rsidRPr="00000000">
        <w:rPr>
          <w:rFonts w:ascii="Arial" w:cs="Arial" w:eastAsia="Arial" w:hAnsi="Arial"/>
          <w:b w:val="1"/>
          <w:bCs w:val="1"/>
          <w:rtl w:val="0"/>
        </w:rPr>
        <w:t xml:space="preserve">Inventory Days Table</w:t>
      </w:r>
    </w:p>
    <w:tbl>
      <w:tblPr>
        <w:tblStyle w:val="Table20"/>
        <w:tblW w:w="9424.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271"/>
        <w:gridCol w:w="3170"/>
        <w:gridCol w:w="2537"/>
        <w:gridCol w:w="2446"/>
        <w:tblGridChange w:id="0">
          <w:tblGrid>
            <w:gridCol w:w="1271"/>
            <w:gridCol w:w="3170"/>
            <w:gridCol w:w="2537"/>
            <w:gridCol w:w="2446"/>
          </w:tblGrid>
        </w:tblGridChange>
      </w:tblGrid>
      <w:tr>
        <w:trPr>
          <w:cantSplit w:val="0"/>
          <w:trHeight w:val="543" w:hRule="atLeast"/>
          <w:tblHeader w:val="0"/>
        </w:trPr>
        <w:tc>
          <w:tcPr/>
          <w:p w:rsidR="00000000" w:rsidDel="00000000" w:rsidP="00000000" w:rsidRDefault="00000000" w:rsidRPr="00000000" w14:paraId="000002A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A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Inventory (£m)</w:t>
            </w:r>
          </w:p>
        </w:tc>
        <w:tc>
          <w:tcPr/>
          <w:p w:rsidR="00000000" w:rsidDel="00000000" w:rsidP="00000000" w:rsidRDefault="00000000" w:rsidRPr="00000000" w14:paraId="000002A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COGS (£m)</w:t>
            </w:r>
          </w:p>
        </w:tc>
        <w:tc>
          <w:tcPr/>
          <w:p w:rsidR="00000000" w:rsidDel="00000000" w:rsidP="00000000" w:rsidRDefault="00000000" w:rsidRPr="00000000" w14:paraId="000002A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DIO (Days)</w:t>
            </w:r>
          </w:p>
        </w:tc>
      </w:tr>
      <w:tr>
        <w:trPr>
          <w:cantSplit w:val="0"/>
          <w:trHeight w:val="528" w:hRule="atLeast"/>
          <w:tblHeader w:val="0"/>
        </w:trPr>
        <w:tc>
          <w:tcPr/>
          <w:p w:rsidR="00000000" w:rsidDel="00000000" w:rsidP="00000000" w:rsidRDefault="00000000" w:rsidRPr="00000000" w14:paraId="000002A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B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79,355</w:t>
            </w:r>
          </w:p>
        </w:tc>
        <w:tc>
          <w:tcPr/>
          <w:p w:rsidR="00000000" w:rsidDel="00000000" w:rsidP="00000000" w:rsidRDefault="00000000" w:rsidRPr="00000000" w14:paraId="000002B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280,885</w:t>
            </w:r>
          </w:p>
        </w:tc>
        <w:tc>
          <w:tcPr/>
          <w:p w:rsidR="00000000" w:rsidDel="00000000" w:rsidP="00000000" w:rsidRDefault="00000000" w:rsidRPr="00000000" w14:paraId="000002B2">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103.1</w:t>
            </w:r>
            <w:r w:rsidDel="00000000" w:rsidR="00000000" w:rsidRPr="00000000">
              <w:rPr>
                <w:rtl w:val="0"/>
              </w:rPr>
            </w:r>
          </w:p>
        </w:tc>
      </w:tr>
      <w:tr>
        <w:trPr>
          <w:cantSplit w:val="0"/>
          <w:trHeight w:val="543" w:hRule="atLeast"/>
          <w:tblHeader w:val="0"/>
        </w:trPr>
        <w:tc>
          <w:tcPr/>
          <w:p w:rsidR="00000000" w:rsidDel="00000000" w:rsidP="00000000" w:rsidRDefault="00000000" w:rsidRPr="00000000" w14:paraId="000002B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B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88,273</w:t>
            </w:r>
          </w:p>
        </w:tc>
        <w:tc>
          <w:tcPr/>
          <w:p w:rsidR="00000000" w:rsidDel="00000000" w:rsidP="00000000" w:rsidRDefault="00000000" w:rsidRPr="00000000" w14:paraId="000002B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322,897</w:t>
            </w:r>
          </w:p>
        </w:tc>
        <w:tc>
          <w:tcPr/>
          <w:p w:rsidR="00000000" w:rsidDel="00000000" w:rsidP="00000000" w:rsidRDefault="00000000" w:rsidRPr="00000000" w14:paraId="000002B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100</w:t>
            </w:r>
          </w:p>
        </w:tc>
      </w:tr>
      <w:tr>
        <w:trPr>
          <w:cantSplit w:val="0"/>
          <w:trHeight w:val="543" w:hRule="atLeast"/>
          <w:tblHeader w:val="0"/>
        </w:trPr>
        <w:tc>
          <w:tcPr/>
          <w:p w:rsidR="00000000" w:rsidDel="00000000" w:rsidP="00000000" w:rsidRDefault="00000000" w:rsidRPr="00000000" w14:paraId="000002B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B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140,141</w:t>
            </w:r>
          </w:p>
        </w:tc>
        <w:tc>
          <w:tcPr/>
          <w:p w:rsidR="00000000" w:rsidDel="00000000" w:rsidP="00000000" w:rsidRDefault="00000000" w:rsidRPr="00000000" w14:paraId="000002B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390,459</w:t>
            </w:r>
          </w:p>
        </w:tc>
        <w:tc>
          <w:tcPr/>
          <w:p w:rsidR="00000000" w:rsidDel="00000000" w:rsidP="00000000" w:rsidRDefault="00000000" w:rsidRPr="00000000" w14:paraId="000002B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131</w:t>
            </w:r>
          </w:p>
        </w:tc>
      </w:tr>
      <w:tr>
        <w:trPr>
          <w:cantSplit w:val="0"/>
          <w:trHeight w:val="543" w:hRule="atLeast"/>
          <w:tblHeader w:val="0"/>
        </w:trPr>
        <w:tc>
          <w:tcPr/>
          <w:p w:rsidR="00000000" w:rsidDel="00000000" w:rsidP="00000000" w:rsidRDefault="00000000" w:rsidRPr="00000000" w14:paraId="000002B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B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134,469</w:t>
            </w:r>
          </w:p>
        </w:tc>
        <w:tc>
          <w:tcPr/>
          <w:p w:rsidR="00000000" w:rsidDel="00000000" w:rsidP="00000000" w:rsidRDefault="00000000" w:rsidRPr="00000000" w14:paraId="000002B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428,586</w:t>
            </w:r>
          </w:p>
        </w:tc>
        <w:tc>
          <w:tcPr/>
          <w:p w:rsidR="00000000" w:rsidDel="00000000" w:rsidP="00000000" w:rsidRDefault="00000000" w:rsidRPr="00000000" w14:paraId="000002B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114.5</w:t>
            </w:r>
          </w:p>
        </w:tc>
      </w:tr>
      <w:tr>
        <w:trPr>
          <w:cantSplit w:val="0"/>
          <w:trHeight w:val="528" w:hRule="atLeast"/>
          <w:tblHeader w:val="0"/>
        </w:trPr>
        <w:tc>
          <w:tcPr/>
          <w:p w:rsidR="00000000" w:rsidDel="00000000" w:rsidP="00000000" w:rsidRDefault="00000000" w:rsidRPr="00000000" w14:paraId="000002B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C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120,430</w:t>
            </w:r>
          </w:p>
        </w:tc>
        <w:tc>
          <w:tcPr/>
          <w:p w:rsidR="00000000" w:rsidDel="00000000" w:rsidP="00000000" w:rsidRDefault="00000000" w:rsidRPr="00000000" w14:paraId="000002C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438,424</w:t>
            </w:r>
          </w:p>
        </w:tc>
        <w:tc>
          <w:tcPr/>
          <w:p w:rsidR="00000000" w:rsidDel="00000000" w:rsidP="00000000" w:rsidRDefault="00000000" w:rsidRPr="00000000" w14:paraId="000002C2">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100.26</w:t>
            </w:r>
            <w:r w:rsidDel="00000000" w:rsidR="00000000" w:rsidRPr="00000000">
              <w:rPr>
                <w:rtl w:val="0"/>
              </w:rPr>
            </w:r>
          </w:p>
        </w:tc>
      </w:tr>
    </w:tbl>
    <w:p w:rsidR="00000000" w:rsidDel="00000000" w:rsidP="00000000" w:rsidRDefault="00000000" w:rsidRPr="00000000" w14:paraId="000002C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2C4">
      <w:pPr>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2C5">
      <w:pPr>
        <w:spacing w:line="360" w:lineRule="auto"/>
        <w:jc w:val="both"/>
        <w:rPr>
          <w:rFonts w:ascii="Arial" w:cs="Arial" w:eastAsia="Arial" w:hAnsi="Arial"/>
          <w:b w:val="1"/>
          <w:bCs w:val="1"/>
        </w:rPr>
      </w:pPr>
      <w:r w:rsidDel="00000000" w:rsidR="00000000" w:rsidRPr="00000000">
        <w:rPr>
          <w:rFonts w:ascii="Arial" w:cs="Arial" w:eastAsia="Arial" w:hAnsi="Arial"/>
          <w:rtl w:val="0"/>
        </w:rPr>
        <w:t xml:space="preserve">GE has become more efficient in its inventory since it reached a high of 116 days in 2020 yet the DIO has not dropped below 100 days which means that the stock turnover is slow. The peak of 131 days in 2022 points out the time when there is too much inventory and poorly planned demand. Despite a decrease in DIO rates in 2023-2024, it is still at high levels compared to industry standards, which poses a greater risk of obsolete and superfluous carrying costs. </w:t>
      </w:r>
      <w:r w:rsidDel="00000000" w:rsidR="00000000" w:rsidRPr="00000000">
        <w:rPr>
          <w:rtl w:val="0"/>
        </w:rPr>
      </w:r>
    </w:p>
    <w:p w:rsidR="00000000" w:rsidDel="00000000" w:rsidP="00000000" w:rsidRDefault="00000000" w:rsidRPr="00000000" w14:paraId="000002C6">
      <w:pPr>
        <w:rPr>
          <w:rFonts w:ascii="Arial" w:cs="Arial" w:eastAsia="Arial" w:hAnsi="Arial"/>
          <w:b w:val="1"/>
          <w:bCs w:val="1"/>
          <w:color w:val="4c94d8"/>
          <w:sz w:val="26"/>
          <w:szCs w:val="26"/>
        </w:rPr>
      </w:pPr>
      <w:bookmarkStart w:colFirst="0" w:colLast="0" w:name="_fu08lg6saiwm" w:id="29"/>
      <w:bookmarkEnd w:id="29"/>
      <w:r w:rsidDel="00000000" w:rsidR="00000000" w:rsidRPr="00000000">
        <w:br w:type="page"/>
      </w:r>
      <w:r w:rsidDel="00000000" w:rsidR="00000000" w:rsidRPr="00000000">
        <w:rPr>
          <w:rtl w:val="0"/>
        </w:rPr>
      </w:r>
    </w:p>
    <w:p w:rsidR="00000000" w:rsidDel="00000000" w:rsidP="00000000" w:rsidRDefault="00000000" w:rsidRPr="00000000" w14:paraId="000002C7">
      <w:pPr>
        <w:pStyle w:val="Heading2"/>
        <w:rPr/>
      </w:pPr>
      <w:r w:rsidDel="00000000" w:rsidR="00000000" w:rsidRPr="00000000">
        <w:rPr>
          <w:rtl w:val="0"/>
        </w:rPr>
        <w:t xml:space="preserve">2.4 Payables Management (DPO)</w:t>
      </w:r>
    </w:p>
    <w:p w:rsidR="00000000" w:rsidDel="00000000" w:rsidP="00000000" w:rsidRDefault="00000000" w:rsidRPr="00000000" w14:paraId="000002C8">
      <w:pPr>
        <w:spacing w:line="360" w:lineRule="auto"/>
        <w:jc w:val="both"/>
        <w:rPr>
          <w:rFonts w:ascii="Arial" w:cs="Arial" w:eastAsia="Arial" w:hAnsi="Arial"/>
        </w:rPr>
      </w:pPr>
      <w:r w:rsidDel="00000000" w:rsidR="00000000" w:rsidRPr="00000000">
        <w:rPr>
          <w:rFonts w:ascii="Arial" w:cs="Arial" w:eastAsia="Arial" w:hAnsi="Arial"/>
          <w:rtl w:val="0"/>
        </w:rPr>
        <w:t xml:space="preserve">Payables days provide information on the time that the company takes to pay suppliers.</w:t>
      </w:r>
    </w:p>
    <w:p w:rsidR="00000000" w:rsidDel="00000000" w:rsidP="00000000" w:rsidRDefault="00000000" w:rsidRPr="00000000" w14:paraId="000002C9">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Formula</w:t>
      </w:r>
    </w:p>
    <w:p w:rsidR="00000000" w:rsidDel="00000000" w:rsidP="00000000" w:rsidRDefault="00000000" w:rsidRPr="00000000" w14:paraId="000002CA">
      <w:pPr>
        <w:spacing w:line="360" w:lineRule="auto"/>
        <w:jc w:val="both"/>
        <w:rPr>
          <w:rFonts w:ascii="Arial" w:cs="Arial" w:eastAsia="Arial" w:hAnsi="Arial"/>
          <w:sz w:val="32"/>
          <w:szCs w:val="32"/>
        </w:rPr>
      </w:pPr>
      <w:r w:rsidDel="00000000" w:rsidR="00000000" w:rsidRPr="00000000">
        <w:rPr>
          <w:rFonts w:ascii="Arial" w:cs="Arial" w:eastAsia="Arial" w:hAnsi="Arial"/>
          <w:rtl w:val="0"/>
        </w:rPr>
        <w:t xml:space="preserve">DPO= </w:t>
      </w:r>
      <m:oMath>
        <m:f>
          <m:fPr>
            <m:ctrlPr>
              <w:rPr>
                <w:rFonts w:ascii="Cambria Math" w:cs="Cambria Math" w:eastAsia="Cambria Math" w:hAnsi="Cambria Math"/>
                <w:sz w:val="32"/>
                <w:szCs w:val="32"/>
              </w:rPr>
            </m:ctrlPr>
          </m:fPr>
          <m:num>
            <m:r>
              <w:rPr>
                <w:rFonts w:ascii="Cambria Math" w:cs="Cambria Math" w:eastAsia="Cambria Math" w:hAnsi="Cambria Math"/>
                <w:sz w:val="32"/>
                <w:szCs w:val="32"/>
              </w:rPr>
              <m:t xml:space="preserve">Account Payable</m:t>
            </m:r>
          </m:num>
          <m:den>
            <m:r>
              <w:rPr>
                <w:rFonts w:ascii="Cambria Math" w:cs="Cambria Math" w:eastAsia="Cambria Math" w:hAnsi="Cambria Math"/>
                <w:sz w:val="32"/>
                <w:szCs w:val="32"/>
              </w:rPr>
              <m:t xml:space="preserve">COGS</m:t>
            </m:r>
          </m:den>
        </m:f>
        <m:r>
          <w:rPr>
            <w:rFonts w:ascii="Cambria Math" w:cs="Cambria Math" w:eastAsia="Cambria Math" w:hAnsi="Cambria Math"/>
            <w:sz w:val="32"/>
            <w:szCs w:val="32"/>
          </w:rPr>
          <m:t xml:space="preserve">×365</m:t>
        </m:r>
      </m:oMath>
      <w:r w:rsidDel="00000000" w:rsidR="00000000" w:rsidRPr="00000000">
        <w:rPr>
          <w:rtl w:val="0"/>
        </w:rPr>
      </w:r>
    </w:p>
    <w:p w:rsidR="00000000" w:rsidDel="00000000" w:rsidP="00000000" w:rsidRDefault="00000000" w:rsidRPr="00000000" w14:paraId="000002CB">
      <w:pPr>
        <w:rPr>
          <w:rFonts w:ascii="Arial" w:cs="Arial" w:eastAsia="Arial" w:hAnsi="Arial"/>
          <w:b w:val="1"/>
          <w:bCs w:val="1"/>
        </w:rPr>
      </w:pPr>
      <w:r w:rsidDel="00000000" w:rsidR="00000000" w:rsidRPr="00000000">
        <w:rPr>
          <w:rFonts w:ascii="Arial" w:cs="Arial" w:eastAsia="Arial" w:hAnsi="Arial"/>
          <w:b w:val="1"/>
          <w:bCs w:val="1"/>
          <w:rtl w:val="0"/>
        </w:rPr>
        <w:t xml:space="preserve">Payables Days Table</w:t>
      </w:r>
    </w:p>
    <w:tbl>
      <w:tblPr>
        <w:tblStyle w:val="Table21"/>
        <w:tblW w:w="926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051"/>
        <w:gridCol w:w="4004"/>
        <w:gridCol w:w="2098"/>
        <w:gridCol w:w="2116"/>
        <w:tblGridChange w:id="0">
          <w:tblGrid>
            <w:gridCol w:w="1051"/>
            <w:gridCol w:w="4004"/>
            <w:gridCol w:w="2098"/>
            <w:gridCol w:w="2116"/>
          </w:tblGrid>
        </w:tblGridChange>
      </w:tblGrid>
      <w:tr>
        <w:trPr>
          <w:cantSplit w:val="0"/>
          <w:trHeight w:val="623" w:hRule="atLeast"/>
          <w:tblHeader w:val="0"/>
        </w:trPr>
        <w:tc>
          <w:tcPr/>
          <w:p w:rsidR="00000000" w:rsidDel="00000000" w:rsidP="00000000" w:rsidRDefault="00000000" w:rsidRPr="00000000" w14:paraId="000002CC">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CD">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Accounts Payable (£m)</w:t>
            </w:r>
          </w:p>
        </w:tc>
        <w:tc>
          <w:tcPr/>
          <w:p w:rsidR="00000000" w:rsidDel="00000000" w:rsidP="00000000" w:rsidRDefault="00000000" w:rsidRPr="00000000" w14:paraId="000002CE">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COGS (£m)</w:t>
            </w:r>
          </w:p>
        </w:tc>
        <w:tc>
          <w:tcPr/>
          <w:p w:rsidR="00000000" w:rsidDel="00000000" w:rsidP="00000000" w:rsidRDefault="00000000" w:rsidRPr="00000000" w14:paraId="000002CF">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DPO (days)</w:t>
            </w:r>
          </w:p>
        </w:tc>
      </w:tr>
      <w:tr>
        <w:trPr>
          <w:cantSplit w:val="0"/>
          <w:trHeight w:val="623" w:hRule="atLeast"/>
          <w:tblHeader w:val="0"/>
        </w:trPr>
        <w:tc>
          <w:tcPr/>
          <w:p w:rsidR="00000000" w:rsidDel="00000000" w:rsidP="00000000" w:rsidRDefault="00000000" w:rsidRPr="00000000" w14:paraId="000002D0">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D1">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72,031</w:t>
            </w:r>
          </w:p>
        </w:tc>
        <w:tc>
          <w:tcPr/>
          <w:p w:rsidR="00000000" w:rsidDel="00000000" w:rsidP="00000000" w:rsidRDefault="00000000" w:rsidRPr="00000000" w14:paraId="000002D2">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280,885</w:t>
            </w:r>
          </w:p>
        </w:tc>
        <w:tc>
          <w:tcPr/>
          <w:p w:rsidR="00000000" w:rsidDel="00000000" w:rsidP="00000000" w:rsidRDefault="00000000" w:rsidRPr="00000000" w14:paraId="000002D3">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93.6</w:t>
            </w:r>
          </w:p>
        </w:tc>
      </w:tr>
      <w:tr>
        <w:trPr>
          <w:cantSplit w:val="0"/>
          <w:trHeight w:val="646" w:hRule="atLeast"/>
          <w:tblHeader w:val="0"/>
        </w:trPr>
        <w:tc>
          <w:tcPr/>
          <w:p w:rsidR="00000000" w:rsidDel="00000000" w:rsidP="00000000" w:rsidRDefault="00000000" w:rsidRPr="00000000" w14:paraId="000002D4">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D5">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57,033</w:t>
            </w:r>
          </w:p>
        </w:tc>
        <w:tc>
          <w:tcPr/>
          <w:p w:rsidR="00000000" w:rsidDel="00000000" w:rsidP="00000000" w:rsidRDefault="00000000" w:rsidRPr="00000000" w14:paraId="000002D6">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322,897</w:t>
            </w:r>
          </w:p>
        </w:tc>
        <w:tc>
          <w:tcPr/>
          <w:p w:rsidR="00000000" w:rsidDel="00000000" w:rsidP="00000000" w:rsidRDefault="00000000" w:rsidRPr="00000000" w14:paraId="000002D7">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64.5</w:t>
            </w:r>
          </w:p>
        </w:tc>
      </w:tr>
      <w:tr>
        <w:trPr>
          <w:cantSplit w:val="0"/>
          <w:trHeight w:val="623" w:hRule="atLeast"/>
          <w:tblHeader w:val="0"/>
        </w:trPr>
        <w:tc>
          <w:tcPr/>
          <w:p w:rsidR="00000000" w:rsidDel="00000000" w:rsidP="00000000" w:rsidRDefault="00000000" w:rsidRPr="00000000" w14:paraId="000002D8">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D9">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71,373</w:t>
            </w:r>
          </w:p>
        </w:tc>
        <w:tc>
          <w:tcPr/>
          <w:p w:rsidR="00000000" w:rsidDel="00000000" w:rsidP="00000000" w:rsidRDefault="00000000" w:rsidRPr="00000000" w14:paraId="000002DA">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390,459</w:t>
            </w:r>
          </w:p>
        </w:tc>
        <w:tc>
          <w:tcPr/>
          <w:p w:rsidR="00000000" w:rsidDel="00000000" w:rsidP="00000000" w:rsidRDefault="00000000" w:rsidRPr="00000000" w14:paraId="000002DB">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66.7</w:t>
            </w:r>
          </w:p>
        </w:tc>
      </w:tr>
      <w:tr>
        <w:trPr>
          <w:cantSplit w:val="0"/>
          <w:trHeight w:val="623" w:hRule="atLeast"/>
          <w:tblHeader w:val="0"/>
        </w:trPr>
        <w:tc>
          <w:tcPr/>
          <w:p w:rsidR="00000000" w:rsidDel="00000000" w:rsidP="00000000" w:rsidRDefault="00000000" w:rsidRPr="00000000" w14:paraId="000002DC">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2DD">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92,707</w:t>
            </w:r>
          </w:p>
        </w:tc>
        <w:tc>
          <w:tcPr/>
          <w:p w:rsidR="00000000" w:rsidDel="00000000" w:rsidP="00000000" w:rsidRDefault="00000000" w:rsidRPr="00000000" w14:paraId="000002DE">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428,586</w:t>
            </w:r>
          </w:p>
        </w:tc>
        <w:tc>
          <w:tcPr/>
          <w:p w:rsidR="00000000" w:rsidDel="00000000" w:rsidP="00000000" w:rsidRDefault="00000000" w:rsidRPr="00000000" w14:paraId="000002DF">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79.0</w:t>
            </w:r>
          </w:p>
        </w:tc>
      </w:tr>
      <w:tr>
        <w:trPr>
          <w:cantSplit w:val="0"/>
          <w:trHeight w:val="623" w:hRule="atLeast"/>
          <w:tblHeader w:val="0"/>
        </w:trPr>
        <w:tc>
          <w:tcPr/>
          <w:p w:rsidR="00000000" w:rsidDel="00000000" w:rsidP="00000000" w:rsidRDefault="00000000" w:rsidRPr="00000000" w14:paraId="000002E0">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2E1">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83,229</w:t>
            </w:r>
          </w:p>
        </w:tc>
        <w:tc>
          <w:tcPr/>
          <w:p w:rsidR="00000000" w:rsidDel="00000000" w:rsidP="00000000" w:rsidRDefault="00000000" w:rsidRPr="00000000" w14:paraId="000002E2">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438,424</w:t>
            </w:r>
          </w:p>
        </w:tc>
        <w:tc>
          <w:tcPr/>
          <w:p w:rsidR="00000000" w:rsidDel="00000000" w:rsidP="00000000" w:rsidRDefault="00000000" w:rsidRPr="00000000" w14:paraId="000002E3">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69.3</w:t>
            </w:r>
          </w:p>
        </w:tc>
      </w:tr>
    </w:tbl>
    <w:p w:rsidR="00000000" w:rsidDel="00000000" w:rsidP="00000000" w:rsidRDefault="00000000" w:rsidRPr="00000000" w14:paraId="000002E4">
      <w:pPr>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E5">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2E6">
      <w:pPr>
        <w:spacing w:line="360" w:lineRule="auto"/>
        <w:jc w:val="both"/>
        <w:rPr>
          <w:rFonts w:ascii="Arial" w:cs="Arial" w:eastAsia="Arial" w:hAnsi="Arial"/>
        </w:rPr>
      </w:pPr>
      <w:r w:rsidDel="00000000" w:rsidR="00000000" w:rsidRPr="00000000">
        <w:rPr>
          <w:rFonts w:ascii="Arial" w:cs="Arial" w:eastAsia="Arial" w:hAnsi="Arial"/>
          <w:rtl w:val="0"/>
        </w:rPr>
        <w:t xml:space="preserve">There is an increase in DPO, which has risen to nearly 94 days (2024) compared with a payout period of approximately 69 days (2020), indicating that GE takes a very long time to pay its suppliers. Although this assists in the short-term funding, continuous stretching out of payables is a common symptom of cash pressures and may hurt the relationship with suppliers (Bhattacharya, 2014).</w:t>
      </w:r>
      <w:r w:rsidDel="00000000" w:rsidR="00000000" w:rsidRPr="00000000">
        <w:br w:type="page"/>
      </w:r>
      <w:r w:rsidDel="00000000" w:rsidR="00000000" w:rsidRPr="00000000">
        <w:rPr>
          <w:rtl w:val="0"/>
        </w:rPr>
      </w:r>
    </w:p>
    <w:p w:rsidR="00000000" w:rsidDel="00000000" w:rsidP="00000000" w:rsidRDefault="00000000" w:rsidRPr="00000000" w14:paraId="000002E7">
      <w:pPr>
        <w:pStyle w:val="Heading2"/>
        <w:rPr/>
      </w:pPr>
      <w:bookmarkStart w:colFirst="0" w:colLast="0" w:name="_r78hrm4np6jk" w:id="30"/>
      <w:bookmarkEnd w:id="30"/>
      <w:r w:rsidDel="00000000" w:rsidR="00000000" w:rsidRPr="00000000">
        <w:rPr>
          <w:rtl w:val="0"/>
        </w:rPr>
        <w:t xml:space="preserve">2.5 Cash Conversion Cycle (CCC)</w:t>
      </w:r>
    </w:p>
    <w:p w:rsidR="00000000" w:rsidDel="00000000" w:rsidP="00000000" w:rsidRDefault="00000000" w:rsidRPr="00000000" w14:paraId="000002E8">
      <w:pPr>
        <w:spacing w:line="360" w:lineRule="auto"/>
        <w:jc w:val="both"/>
        <w:rPr>
          <w:rFonts w:ascii="Arial" w:cs="Arial" w:eastAsia="Arial" w:hAnsi="Arial"/>
        </w:rPr>
      </w:pPr>
      <w:r w:rsidDel="00000000" w:rsidR="00000000" w:rsidRPr="00000000">
        <w:rPr>
          <w:rFonts w:ascii="Arial" w:cs="Arial" w:eastAsia="Arial" w:hAnsi="Arial"/>
          <w:rtl w:val="0"/>
        </w:rPr>
        <w:t xml:space="preserve">All the three measures of efficiency are combined in one indicator within the CCC.</w:t>
      </w:r>
    </w:p>
    <w:p w:rsidR="00000000" w:rsidDel="00000000" w:rsidP="00000000" w:rsidRDefault="00000000" w:rsidRPr="00000000" w14:paraId="000002E9">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Formula</w:t>
      </w:r>
    </w:p>
    <w:p w:rsidR="00000000" w:rsidDel="00000000" w:rsidP="00000000" w:rsidRDefault="00000000" w:rsidRPr="00000000" w14:paraId="000002EA">
      <w:pPr>
        <w:spacing w:line="360" w:lineRule="auto"/>
        <w:jc w:val="both"/>
        <w:rPr>
          <w:rFonts w:ascii="Arial" w:cs="Arial" w:eastAsia="Arial" w:hAnsi="Arial"/>
        </w:rPr>
      </w:pPr>
      <w:r w:rsidDel="00000000" w:rsidR="00000000" w:rsidRPr="00000000">
        <w:rPr>
          <w:rFonts w:ascii="Arial" w:cs="Arial" w:eastAsia="Arial" w:hAnsi="Arial"/>
          <w:rtl w:val="0"/>
        </w:rPr>
        <w:t xml:space="preserve">CCC= DSO+DIO−DPO</w:t>
      </w:r>
    </w:p>
    <w:p w:rsidR="00000000" w:rsidDel="00000000" w:rsidP="00000000" w:rsidRDefault="00000000" w:rsidRPr="00000000" w14:paraId="000002EB">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CCC Table</w:t>
      </w:r>
    </w:p>
    <w:tbl>
      <w:tblPr>
        <w:tblStyle w:val="Table22"/>
        <w:tblW w:w="9854.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103"/>
        <w:gridCol w:w="2222"/>
        <w:gridCol w:w="2085"/>
        <w:gridCol w:w="2222"/>
        <w:gridCol w:w="2222"/>
        <w:tblGridChange w:id="0">
          <w:tblGrid>
            <w:gridCol w:w="1103"/>
            <w:gridCol w:w="2222"/>
            <w:gridCol w:w="2085"/>
            <w:gridCol w:w="2222"/>
            <w:gridCol w:w="2222"/>
          </w:tblGrid>
        </w:tblGridChange>
      </w:tblGrid>
      <w:tr>
        <w:trPr>
          <w:cantSplit w:val="0"/>
          <w:trHeight w:val="544" w:hRule="atLeast"/>
          <w:tblHeader w:val="0"/>
        </w:trPr>
        <w:tc>
          <w:tcPr/>
          <w:p w:rsidR="00000000" w:rsidDel="00000000" w:rsidP="00000000" w:rsidRDefault="00000000" w:rsidRPr="00000000" w14:paraId="000002EC">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2ED">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DSO (days)</w:t>
            </w:r>
          </w:p>
        </w:tc>
        <w:tc>
          <w:tcPr/>
          <w:p w:rsidR="00000000" w:rsidDel="00000000" w:rsidP="00000000" w:rsidRDefault="00000000" w:rsidRPr="00000000" w14:paraId="000002EE">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DIO (days)</w:t>
            </w:r>
          </w:p>
        </w:tc>
        <w:tc>
          <w:tcPr/>
          <w:p w:rsidR="00000000" w:rsidDel="00000000" w:rsidP="00000000" w:rsidRDefault="00000000" w:rsidRPr="00000000" w14:paraId="000002EF">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DPO (days)</w:t>
            </w:r>
          </w:p>
        </w:tc>
        <w:tc>
          <w:tcPr/>
          <w:p w:rsidR="00000000" w:rsidDel="00000000" w:rsidP="00000000" w:rsidRDefault="00000000" w:rsidRPr="00000000" w14:paraId="000002F0">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CCC (days)</w:t>
            </w:r>
          </w:p>
        </w:tc>
      </w:tr>
      <w:tr>
        <w:trPr>
          <w:cantSplit w:val="0"/>
          <w:trHeight w:val="544" w:hRule="atLeast"/>
          <w:tblHeader w:val="0"/>
        </w:trPr>
        <w:tc>
          <w:tcPr/>
          <w:p w:rsidR="00000000" w:rsidDel="00000000" w:rsidP="00000000" w:rsidRDefault="00000000" w:rsidRPr="00000000" w14:paraId="000002F1">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2024</w:t>
            </w:r>
          </w:p>
        </w:tc>
        <w:tc>
          <w:tcPr/>
          <w:p w:rsidR="00000000" w:rsidDel="00000000" w:rsidP="00000000" w:rsidRDefault="00000000" w:rsidRPr="00000000" w14:paraId="000002F2">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105.5</w:t>
            </w:r>
          </w:p>
        </w:tc>
        <w:tc>
          <w:tcPr/>
          <w:p w:rsidR="00000000" w:rsidDel="00000000" w:rsidP="00000000" w:rsidRDefault="00000000" w:rsidRPr="00000000" w14:paraId="000002F3">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103.1</w:t>
            </w:r>
          </w:p>
        </w:tc>
        <w:tc>
          <w:tcPr/>
          <w:p w:rsidR="00000000" w:rsidDel="00000000" w:rsidP="00000000" w:rsidRDefault="00000000" w:rsidRPr="00000000" w14:paraId="000002F4">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93.6</w:t>
            </w:r>
          </w:p>
        </w:tc>
        <w:tc>
          <w:tcPr/>
          <w:p w:rsidR="00000000" w:rsidDel="00000000" w:rsidP="00000000" w:rsidRDefault="00000000" w:rsidRPr="00000000" w14:paraId="000002F5">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115.0</w:t>
            </w:r>
          </w:p>
        </w:tc>
      </w:tr>
      <w:tr>
        <w:trPr>
          <w:cantSplit w:val="0"/>
          <w:trHeight w:val="563" w:hRule="atLeast"/>
          <w:tblHeader w:val="0"/>
        </w:trPr>
        <w:tc>
          <w:tcPr/>
          <w:p w:rsidR="00000000" w:rsidDel="00000000" w:rsidP="00000000" w:rsidRDefault="00000000" w:rsidRPr="00000000" w14:paraId="000002F6">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2023</w:t>
            </w:r>
          </w:p>
        </w:tc>
        <w:tc>
          <w:tcPr/>
          <w:p w:rsidR="00000000" w:rsidDel="00000000" w:rsidP="00000000" w:rsidRDefault="00000000" w:rsidRPr="00000000" w14:paraId="000002F7">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97.7</w:t>
            </w:r>
          </w:p>
        </w:tc>
        <w:tc>
          <w:tcPr/>
          <w:p w:rsidR="00000000" w:rsidDel="00000000" w:rsidP="00000000" w:rsidRDefault="00000000" w:rsidRPr="00000000" w14:paraId="000002F8">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99.8</w:t>
            </w:r>
          </w:p>
        </w:tc>
        <w:tc>
          <w:tcPr/>
          <w:p w:rsidR="00000000" w:rsidDel="00000000" w:rsidP="00000000" w:rsidRDefault="00000000" w:rsidRPr="00000000" w14:paraId="000002F9">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64.5</w:t>
            </w:r>
          </w:p>
        </w:tc>
        <w:tc>
          <w:tcPr/>
          <w:p w:rsidR="00000000" w:rsidDel="00000000" w:rsidP="00000000" w:rsidRDefault="00000000" w:rsidRPr="00000000" w14:paraId="000002FA">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133.0</w:t>
            </w:r>
          </w:p>
        </w:tc>
      </w:tr>
      <w:tr>
        <w:trPr>
          <w:cantSplit w:val="0"/>
          <w:trHeight w:val="544" w:hRule="atLeast"/>
          <w:tblHeader w:val="0"/>
        </w:trPr>
        <w:tc>
          <w:tcPr/>
          <w:p w:rsidR="00000000" w:rsidDel="00000000" w:rsidP="00000000" w:rsidRDefault="00000000" w:rsidRPr="00000000" w14:paraId="000002FB">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2022</w:t>
            </w:r>
          </w:p>
        </w:tc>
        <w:tc>
          <w:tcPr/>
          <w:p w:rsidR="00000000" w:rsidDel="00000000" w:rsidP="00000000" w:rsidRDefault="00000000" w:rsidRPr="00000000" w14:paraId="000002FC">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75.6</w:t>
            </w:r>
          </w:p>
        </w:tc>
        <w:tc>
          <w:tcPr/>
          <w:p w:rsidR="00000000" w:rsidDel="00000000" w:rsidP="00000000" w:rsidRDefault="00000000" w:rsidRPr="00000000" w14:paraId="000002FD">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131.0</w:t>
            </w:r>
          </w:p>
        </w:tc>
        <w:tc>
          <w:tcPr/>
          <w:p w:rsidR="00000000" w:rsidDel="00000000" w:rsidP="00000000" w:rsidRDefault="00000000" w:rsidRPr="00000000" w14:paraId="000002FE">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66.7</w:t>
            </w:r>
          </w:p>
        </w:tc>
        <w:tc>
          <w:tcPr/>
          <w:p w:rsidR="00000000" w:rsidDel="00000000" w:rsidP="00000000" w:rsidRDefault="00000000" w:rsidRPr="00000000" w14:paraId="000002FF">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139.9</w:t>
            </w:r>
          </w:p>
        </w:tc>
      </w:tr>
      <w:tr>
        <w:trPr>
          <w:cantSplit w:val="0"/>
          <w:trHeight w:val="544" w:hRule="atLeast"/>
          <w:tblHeader w:val="0"/>
        </w:trPr>
        <w:tc>
          <w:tcPr/>
          <w:p w:rsidR="00000000" w:rsidDel="00000000" w:rsidP="00000000" w:rsidRDefault="00000000" w:rsidRPr="00000000" w14:paraId="00000300">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2021</w:t>
            </w:r>
          </w:p>
        </w:tc>
        <w:tc>
          <w:tcPr/>
          <w:p w:rsidR="00000000" w:rsidDel="00000000" w:rsidP="00000000" w:rsidRDefault="00000000" w:rsidRPr="00000000" w14:paraId="00000301">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78.4</w:t>
            </w:r>
          </w:p>
        </w:tc>
        <w:tc>
          <w:tcPr/>
          <w:p w:rsidR="00000000" w:rsidDel="00000000" w:rsidP="00000000" w:rsidRDefault="00000000" w:rsidRPr="00000000" w14:paraId="00000302">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114.5</w:t>
            </w:r>
          </w:p>
        </w:tc>
        <w:tc>
          <w:tcPr/>
          <w:p w:rsidR="00000000" w:rsidDel="00000000" w:rsidP="00000000" w:rsidRDefault="00000000" w:rsidRPr="00000000" w14:paraId="00000303">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79.0</w:t>
            </w:r>
          </w:p>
        </w:tc>
        <w:tc>
          <w:tcPr/>
          <w:p w:rsidR="00000000" w:rsidDel="00000000" w:rsidP="00000000" w:rsidRDefault="00000000" w:rsidRPr="00000000" w14:paraId="00000304">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113.9</w:t>
            </w:r>
          </w:p>
        </w:tc>
      </w:tr>
      <w:tr>
        <w:trPr>
          <w:cantSplit w:val="0"/>
          <w:trHeight w:val="544" w:hRule="atLeast"/>
          <w:tblHeader w:val="0"/>
        </w:trPr>
        <w:tc>
          <w:tcPr/>
          <w:p w:rsidR="00000000" w:rsidDel="00000000" w:rsidP="00000000" w:rsidRDefault="00000000" w:rsidRPr="00000000" w14:paraId="00000305">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2020</w:t>
            </w:r>
          </w:p>
        </w:tc>
        <w:tc>
          <w:tcPr/>
          <w:p w:rsidR="00000000" w:rsidDel="00000000" w:rsidP="00000000" w:rsidRDefault="00000000" w:rsidRPr="00000000" w14:paraId="00000306">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76.9</w:t>
            </w:r>
          </w:p>
        </w:tc>
        <w:tc>
          <w:tcPr/>
          <w:p w:rsidR="00000000" w:rsidDel="00000000" w:rsidP="00000000" w:rsidRDefault="00000000" w:rsidRPr="00000000" w14:paraId="00000307">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100.3</w:t>
            </w:r>
          </w:p>
        </w:tc>
        <w:tc>
          <w:tcPr/>
          <w:p w:rsidR="00000000" w:rsidDel="00000000" w:rsidP="00000000" w:rsidRDefault="00000000" w:rsidRPr="00000000" w14:paraId="00000308">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69.3</w:t>
            </w:r>
          </w:p>
        </w:tc>
        <w:tc>
          <w:tcPr/>
          <w:p w:rsidR="00000000" w:rsidDel="00000000" w:rsidP="00000000" w:rsidRDefault="00000000" w:rsidRPr="00000000" w14:paraId="00000309">
            <w:pPr>
              <w:spacing w:after="160"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107.8</w:t>
            </w:r>
          </w:p>
        </w:tc>
      </w:tr>
    </w:tbl>
    <w:p w:rsidR="00000000" w:rsidDel="00000000" w:rsidP="00000000" w:rsidRDefault="00000000" w:rsidRPr="00000000" w14:paraId="0000030A">
      <w:pPr>
        <w:spacing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0B">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Interpretation</w:t>
      </w:r>
    </w:p>
    <w:p w:rsidR="00000000" w:rsidDel="00000000" w:rsidP="00000000" w:rsidRDefault="00000000" w:rsidRPr="00000000" w14:paraId="0000030C">
      <w:pPr>
        <w:spacing w:line="360" w:lineRule="auto"/>
        <w:jc w:val="both"/>
        <w:rPr>
          <w:rFonts w:ascii="Arial" w:cs="Arial" w:eastAsia="Arial" w:hAnsi="Arial"/>
        </w:rPr>
      </w:pPr>
      <w:r w:rsidDel="00000000" w:rsidR="00000000" w:rsidRPr="00000000">
        <w:rPr>
          <w:rFonts w:ascii="Arial" w:cs="Arial" w:eastAsia="Arial" w:hAnsi="Arial"/>
          <w:rtl w:val="0"/>
        </w:rPr>
        <w:t xml:space="preserve">The CCC is also quite long with an average of 108 to 140 days, that is, it takes approximately 3.5-4.5 months to transform cash outflows back into cash inflows. Though the picture is slightly better than in 2022, 2024 is still an inefficient cycle that causes permanent strain on liquidity.</w:t>
      </w:r>
    </w:p>
    <w:p w:rsidR="00000000" w:rsidDel="00000000" w:rsidP="00000000" w:rsidRDefault="00000000" w:rsidRPr="00000000" w14:paraId="0000030D">
      <w:pPr>
        <w:pStyle w:val="Heading2"/>
        <w:rPr/>
      </w:pPr>
      <w:bookmarkStart w:colFirst="0" w:colLast="0" w:name="_ctobuz8vkc9d" w:id="31"/>
      <w:bookmarkEnd w:id="31"/>
      <w:r w:rsidDel="00000000" w:rsidR="00000000" w:rsidRPr="00000000">
        <w:rPr>
          <w:rtl w:val="0"/>
        </w:rPr>
        <w:t xml:space="preserve">2.6 Linking Working Capital to Distress &amp; Turnaround Theory</w:t>
      </w:r>
    </w:p>
    <w:p w:rsidR="00000000" w:rsidDel="00000000" w:rsidP="00000000" w:rsidRDefault="00000000" w:rsidRPr="00000000" w14:paraId="0000030E">
      <w:pPr>
        <w:spacing w:line="360" w:lineRule="auto"/>
        <w:jc w:val="both"/>
        <w:rPr>
          <w:rFonts w:ascii="Arial" w:cs="Arial" w:eastAsia="Arial" w:hAnsi="Arial"/>
        </w:rPr>
      </w:pPr>
      <w:r w:rsidDel="00000000" w:rsidR="00000000" w:rsidRPr="00000000">
        <w:rPr>
          <w:rFonts w:ascii="Arial" w:cs="Arial" w:eastAsia="Arial" w:hAnsi="Arial"/>
          <w:rtl w:val="0"/>
        </w:rPr>
        <w:t xml:space="preserve">The five-year trend corresponds to the features of the companies entering financial distress by Sudarsanam and Lai (2001) and Schoenberg et al. (2013):</w:t>
      </w:r>
    </w:p>
    <w:p w:rsidR="00000000" w:rsidDel="00000000" w:rsidP="00000000" w:rsidRDefault="00000000" w:rsidRPr="00000000" w14:paraId="0000030F">
      <w:pPr>
        <w:numPr>
          <w:ilvl w:val="0"/>
          <w:numId w:val="8"/>
        </w:numPr>
        <w:spacing w:line="360" w:lineRule="auto"/>
        <w:ind w:left="720" w:hanging="360"/>
        <w:jc w:val="both"/>
        <w:rPr/>
      </w:pPr>
      <w:r w:rsidDel="00000000" w:rsidR="00000000" w:rsidRPr="00000000">
        <w:rPr>
          <w:rFonts w:ascii="Arial" w:cs="Arial" w:eastAsia="Arial" w:hAnsi="Arial"/>
          <w:b w:val="1"/>
          <w:bCs w:val="1"/>
          <w:rtl w:val="0"/>
        </w:rPr>
        <w:t xml:space="preserve">DSO </w:t>
      </w:r>
      <w:r w:rsidDel="00000000" w:rsidR="00000000" w:rsidRPr="00000000">
        <w:rPr>
          <w:rFonts w:ascii="Arial" w:cs="Arial" w:eastAsia="Arial" w:hAnsi="Arial"/>
          <w:rtl w:val="0"/>
        </w:rPr>
        <w:t xml:space="preserve">is on the increase implying that GE might have loosened credit policies to keep the revenue flowing, something that most stressed-out companies do to seek volume at the cost of cash.</w:t>
      </w:r>
    </w:p>
    <w:p w:rsidR="00000000" w:rsidDel="00000000" w:rsidP="00000000" w:rsidRDefault="00000000" w:rsidRPr="00000000" w14:paraId="00000310">
      <w:pPr>
        <w:numPr>
          <w:ilvl w:val="0"/>
          <w:numId w:val="8"/>
        </w:numPr>
        <w:spacing w:line="360" w:lineRule="auto"/>
        <w:ind w:left="720" w:hanging="360"/>
        <w:jc w:val="both"/>
        <w:rPr/>
      </w:pPr>
      <w:r w:rsidDel="00000000" w:rsidR="00000000" w:rsidRPr="00000000">
        <w:rPr>
          <w:rFonts w:ascii="Arial" w:cs="Arial" w:eastAsia="Arial" w:hAnsi="Arial"/>
          <w:rtl w:val="0"/>
        </w:rPr>
        <w:t xml:space="preserve">Continuous high levels of </w:t>
      </w:r>
      <w:r w:rsidDel="00000000" w:rsidR="00000000" w:rsidRPr="00000000">
        <w:rPr>
          <w:rFonts w:ascii="Arial" w:cs="Arial" w:eastAsia="Arial" w:hAnsi="Arial"/>
          <w:b w:val="1"/>
          <w:bCs w:val="1"/>
          <w:rtl w:val="0"/>
        </w:rPr>
        <w:t xml:space="preserve">DIO</w:t>
      </w:r>
      <w:r w:rsidDel="00000000" w:rsidR="00000000" w:rsidRPr="00000000">
        <w:rPr>
          <w:rFonts w:ascii="Arial" w:cs="Arial" w:eastAsia="Arial" w:hAnsi="Arial"/>
          <w:rtl w:val="0"/>
        </w:rPr>
        <w:t xml:space="preserve"> are signs of overproduction, or ineffective demand forecasting, and are particularly severe where profitability and ROA are already negative.</w:t>
      </w:r>
    </w:p>
    <w:p w:rsidR="00000000" w:rsidDel="00000000" w:rsidP="00000000" w:rsidRDefault="00000000" w:rsidRPr="00000000" w14:paraId="00000311">
      <w:pPr>
        <w:numPr>
          <w:ilvl w:val="0"/>
          <w:numId w:val="8"/>
        </w:numPr>
        <w:spacing w:line="360" w:lineRule="auto"/>
        <w:ind w:left="720" w:hanging="360"/>
        <w:jc w:val="both"/>
        <w:rPr/>
      </w:pPr>
      <w:r w:rsidDel="00000000" w:rsidR="00000000" w:rsidRPr="00000000">
        <w:rPr>
          <w:rFonts w:ascii="Arial" w:cs="Arial" w:eastAsia="Arial" w:hAnsi="Arial"/>
          <w:rtl w:val="0"/>
        </w:rPr>
        <w:t xml:space="preserve">Long </w:t>
      </w:r>
      <w:r w:rsidDel="00000000" w:rsidR="00000000" w:rsidRPr="00000000">
        <w:rPr>
          <w:rFonts w:ascii="Arial" w:cs="Arial" w:eastAsia="Arial" w:hAnsi="Arial"/>
          <w:b w:val="1"/>
          <w:bCs w:val="1"/>
          <w:rtl w:val="0"/>
        </w:rPr>
        <w:t xml:space="preserve">DPO</w:t>
      </w:r>
      <w:r w:rsidDel="00000000" w:rsidR="00000000" w:rsidRPr="00000000">
        <w:rPr>
          <w:rFonts w:ascii="Arial" w:cs="Arial" w:eastAsia="Arial" w:hAnsi="Arial"/>
          <w:rtl w:val="0"/>
        </w:rPr>
        <w:t xml:space="preserve"> indicates the growing dependence of trade credit as an alternative to bank or internal financing, which is typical of firms with debt-servicing constraint.</w:t>
      </w:r>
    </w:p>
    <w:p w:rsidR="00000000" w:rsidDel="00000000" w:rsidP="00000000" w:rsidRDefault="00000000" w:rsidRPr="00000000" w14:paraId="00000312">
      <w:pPr>
        <w:numPr>
          <w:ilvl w:val="0"/>
          <w:numId w:val="8"/>
        </w:numPr>
        <w:spacing w:line="360" w:lineRule="auto"/>
        <w:ind w:left="720" w:hanging="360"/>
        <w:jc w:val="both"/>
        <w:rPr/>
      </w:pPr>
      <w:r w:rsidDel="00000000" w:rsidR="00000000" w:rsidRPr="00000000">
        <w:rPr>
          <w:rFonts w:ascii="Arial" w:cs="Arial" w:eastAsia="Arial" w:hAnsi="Arial"/>
          <w:rtl w:val="0"/>
        </w:rPr>
        <w:t xml:space="preserve">The </w:t>
      </w:r>
      <w:r w:rsidDel="00000000" w:rsidR="00000000" w:rsidRPr="00000000">
        <w:rPr>
          <w:rFonts w:ascii="Arial" w:cs="Arial" w:eastAsia="Arial" w:hAnsi="Arial"/>
          <w:b w:val="1"/>
          <w:bCs w:val="1"/>
          <w:rtl w:val="0"/>
        </w:rPr>
        <w:t xml:space="preserve">long CCC</w:t>
      </w:r>
      <w:r w:rsidDel="00000000" w:rsidR="00000000" w:rsidRPr="00000000">
        <w:rPr>
          <w:rFonts w:ascii="Arial" w:cs="Arial" w:eastAsia="Arial" w:hAnsi="Arial"/>
          <w:rtl w:val="0"/>
        </w:rPr>
        <w:t xml:space="preserve"> increases the external demand in financing the firm and this leads to high leverage and negative interest coverage that are observed in the analysis.</w:t>
      </w:r>
    </w:p>
    <w:p w:rsidR="00000000" w:rsidDel="00000000" w:rsidP="00000000" w:rsidRDefault="00000000" w:rsidRPr="00000000" w14:paraId="00000313">
      <w:pPr>
        <w:spacing w:line="360" w:lineRule="auto"/>
        <w:jc w:val="both"/>
        <w:rPr>
          <w:rFonts w:ascii="Arial" w:cs="Arial" w:eastAsia="Arial" w:hAnsi="Arial"/>
        </w:rPr>
      </w:pPr>
      <w:r w:rsidDel="00000000" w:rsidR="00000000" w:rsidRPr="00000000">
        <w:rPr>
          <w:rFonts w:ascii="Arial" w:cs="Arial" w:eastAsia="Arial" w:hAnsi="Arial"/>
          <w:rtl w:val="0"/>
        </w:rPr>
        <w:t xml:space="preserve">Working capital dysfunction is a symptom and cause of broader strategic and operational issues in turnaround literature (Umar, 2023). The data indicates in the case of GE that its order-to-cash and purchase-to-pay cycles are weakly structured rather than shocks which occur on a one-time basis.</w:t>
      </w:r>
    </w:p>
    <w:p w:rsidR="00000000" w:rsidDel="00000000" w:rsidP="00000000" w:rsidRDefault="00000000" w:rsidRPr="00000000" w14:paraId="00000314">
      <w:pPr>
        <w:pStyle w:val="Heading2"/>
        <w:rPr/>
      </w:pPr>
      <w:bookmarkStart w:colFirst="0" w:colLast="0" w:name="_3v2bb7de3u0h" w:id="32"/>
      <w:bookmarkEnd w:id="32"/>
      <w:r w:rsidDel="00000000" w:rsidR="00000000" w:rsidRPr="00000000">
        <w:rPr>
          <w:rtl w:val="0"/>
        </w:rPr>
        <w:t xml:space="preserve">2.7 Diagnosis of Working Capital Inefficiencies</w:t>
      </w:r>
    </w:p>
    <w:p w:rsidR="00000000" w:rsidDel="00000000" w:rsidP="00000000" w:rsidRDefault="00000000" w:rsidRPr="00000000" w14:paraId="00000315">
      <w:pPr>
        <w:spacing w:line="360" w:lineRule="auto"/>
        <w:jc w:val="both"/>
        <w:rPr>
          <w:rFonts w:ascii="Arial" w:cs="Arial" w:eastAsia="Arial" w:hAnsi="Arial"/>
        </w:rPr>
      </w:pPr>
      <w:r w:rsidDel="00000000" w:rsidR="00000000" w:rsidRPr="00000000">
        <w:rPr>
          <w:rFonts w:ascii="Arial" w:cs="Arial" w:eastAsia="Arial" w:hAnsi="Arial"/>
          <w:rtl w:val="0"/>
        </w:rPr>
        <w:t xml:space="preserve">Based on the five-year ratios, the key WCM issues of GE are:</w:t>
      </w:r>
    </w:p>
    <w:p w:rsidR="00000000" w:rsidDel="00000000" w:rsidP="00000000" w:rsidRDefault="00000000" w:rsidRPr="00000000" w14:paraId="00000316">
      <w:pPr>
        <w:numPr>
          <w:ilvl w:val="0"/>
          <w:numId w:val="9"/>
        </w:numPr>
        <w:spacing w:line="36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Receivables inefficiency</w:t>
      </w:r>
      <w:r w:rsidDel="00000000" w:rsidR="00000000" w:rsidRPr="00000000">
        <w:rPr>
          <w:rFonts w:ascii="Arial" w:cs="Arial" w:eastAsia="Arial" w:hAnsi="Arial"/>
          <w:rtl w:val="0"/>
        </w:rPr>
        <w:t xml:space="preserve">- DSO declines by nearly 30 days, binding over a quarter of annual sales in receivables and increasing bad-debt risk.</w:t>
      </w:r>
    </w:p>
    <w:p w:rsidR="00000000" w:rsidDel="00000000" w:rsidP="00000000" w:rsidRDefault="00000000" w:rsidRPr="00000000" w14:paraId="00000317">
      <w:pPr>
        <w:numPr>
          <w:ilvl w:val="0"/>
          <w:numId w:val="9"/>
        </w:numPr>
        <w:spacing w:line="36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Inventory overhang</w:t>
      </w:r>
      <w:r w:rsidDel="00000000" w:rsidR="00000000" w:rsidRPr="00000000">
        <w:rPr>
          <w:rFonts w:ascii="Arial" w:cs="Arial" w:eastAsia="Arial" w:hAnsi="Arial"/>
          <w:rtl w:val="0"/>
        </w:rPr>
        <w:t xml:space="preserve">- DIO is over 100 days in four out of five years, which means it has surplus inventory and could be obsolete, especially in electronic markets.</w:t>
      </w:r>
    </w:p>
    <w:p w:rsidR="00000000" w:rsidDel="00000000" w:rsidP="00000000" w:rsidRDefault="00000000" w:rsidRPr="00000000" w14:paraId="00000318">
      <w:pPr>
        <w:numPr>
          <w:ilvl w:val="0"/>
          <w:numId w:val="9"/>
        </w:numPr>
        <w:spacing w:line="36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Payables-driven financing</w:t>
      </w:r>
      <w:r w:rsidDel="00000000" w:rsidR="00000000" w:rsidRPr="00000000">
        <w:rPr>
          <w:rFonts w:ascii="Arial" w:cs="Arial" w:eastAsia="Arial" w:hAnsi="Arial"/>
          <w:rtl w:val="0"/>
        </w:rPr>
        <w:t xml:space="preserve"> – the shift in DPO 69 to 94 indicates that GE is operating suppliers as a bank which may backfire in times when key suppliers are restricting their credit, or moving to other competitors.</w:t>
      </w:r>
    </w:p>
    <w:p w:rsidR="00000000" w:rsidDel="00000000" w:rsidP="00000000" w:rsidRDefault="00000000" w:rsidRPr="00000000" w14:paraId="00000319">
      <w:pPr>
        <w:numPr>
          <w:ilvl w:val="0"/>
          <w:numId w:val="9"/>
        </w:numPr>
        <w:spacing w:line="360" w:lineRule="auto"/>
        <w:ind w:left="720" w:hanging="360"/>
        <w:jc w:val="both"/>
        <w:rPr>
          <w:rFonts w:ascii="Arial" w:cs="Arial" w:eastAsia="Arial" w:hAnsi="Arial"/>
        </w:rPr>
      </w:pPr>
      <w:r w:rsidDel="00000000" w:rsidR="00000000" w:rsidRPr="00000000">
        <w:rPr>
          <w:rFonts w:ascii="Arial" w:cs="Arial" w:eastAsia="Arial" w:hAnsi="Arial"/>
          <w:b w:val="1"/>
          <w:bCs w:val="1"/>
          <w:rtl w:val="0"/>
        </w:rPr>
        <w:t xml:space="preserve">Structurally long CCC</w:t>
      </w:r>
      <w:r w:rsidDel="00000000" w:rsidR="00000000" w:rsidRPr="00000000">
        <w:rPr>
          <w:rFonts w:ascii="Arial" w:cs="Arial" w:eastAsia="Arial" w:hAnsi="Arial"/>
          <w:rtl w:val="0"/>
        </w:rPr>
        <w:t xml:space="preserve"> – a 115-day cycle in 2024 is inconsistent with the firm’s fragile profitability and cash-flow profile, and makes the business more vulnerable to shocks such as demand downturns or supply disruptions.</w:t>
      </w:r>
    </w:p>
    <w:p w:rsidR="00000000" w:rsidDel="00000000" w:rsidP="00000000" w:rsidRDefault="00000000" w:rsidRPr="00000000" w14:paraId="0000031A">
      <w:pPr>
        <w:spacing w:line="360" w:lineRule="auto"/>
        <w:jc w:val="both"/>
        <w:rPr>
          <w:rFonts w:ascii="Arial" w:cs="Arial" w:eastAsia="Arial" w:hAnsi="Arial"/>
        </w:rPr>
      </w:pPr>
      <w:r w:rsidDel="00000000" w:rsidR="00000000" w:rsidRPr="00000000">
        <w:rPr>
          <w:rFonts w:ascii="Arial" w:cs="Arial" w:eastAsia="Arial" w:hAnsi="Arial"/>
          <w:rtl w:val="0"/>
        </w:rPr>
        <w:t xml:space="preserve">These weaknesses help explain the falling operating cash-flow ratio and rising financial risk noted elsewhere in the report.</w:t>
      </w:r>
    </w:p>
    <w:p w:rsidR="00000000" w:rsidDel="00000000" w:rsidP="00000000" w:rsidRDefault="00000000" w:rsidRPr="00000000" w14:paraId="0000031B">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31C">
      <w:pPr>
        <w:pStyle w:val="Heading2"/>
        <w:rPr/>
      </w:pPr>
      <w:bookmarkStart w:colFirst="0" w:colLast="0" w:name="_798wch44yiqr" w:id="33"/>
      <w:bookmarkEnd w:id="33"/>
      <w:r w:rsidDel="00000000" w:rsidR="00000000" w:rsidRPr="00000000">
        <w:rPr>
          <w:rtl w:val="0"/>
        </w:rPr>
        <w:t xml:space="preserve">2.8 Recommendations for Improving Working Capital</w:t>
      </w:r>
    </w:p>
    <w:p w:rsidR="00000000" w:rsidDel="00000000" w:rsidP="00000000" w:rsidRDefault="00000000" w:rsidRPr="00000000" w14:paraId="0000031D">
      <w:pPr>
        <w:spacing w:line="360" w:lineRule="auto"/>
        <w:jc w:val="both"/>
        <w:rPr>
          <w:rFonts w:ascii="Arial" w:cs="Arial" w:eastAsia="Arial" w:hAnsi="Arial"/>
        </w:rPr>
      </w:pPr>
      <w:r w:rsidDel="00000000" w:rsidR="00000000" w:rsidRPr="00000000">
        <w:rPr>
          <w:rFonts w:ascii="Arial" w:cs="Arial" w:eastAsia="Arial" w:hAnsi="Arial"/>
          <w:rtl w:val="0"/>
        </w:rPr>
        <w:t xml:space="preserve">Drawing on Bhattacharya (2014), Edmunds (1983) and the turnaround literature (Schoenberg et al., 2013; Umar, 2023), the following actions are recommended:</w:t>
      </w:r>
    </w:p>
    <w:p w:rsidR="00000000" w:rsidDel="00000000" w:rsidP="00000000" w:rsidRDefault="00000000" w:rsidRPr="00000000" w14:paraId="0000031E">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1. Tighten receivables management.</w:t>
      </w:r>
    </w:p>
    <w:p w:rsidR="00000000" w:rsidDel="00000000" w:rsidP="00000000" w:rsidRDefault="00000000" w:rsidRPr="00000000" w14:paraId="0000031F">
      <w:pPr>
        <w:spacing w:line="360" w:lineRule="auto"/>
        <w:jc w:val="both"/>
        <w:rPr>
          <w:rFonts w:ascii="Arial" w:cs="Arial" w:eastAsia="Arial" w:hAnsi="Arial"/>
        </w:rPr>
      </w:pPr>
      <w:r w:rsidDel="00000000" w:rsidR="00000000" w:rsidRPr="00000000">
        <w:rPr>
          <w:rFonts w:ascii="Arial" w:cs="Arial" w:eastAsia="Arial" w:hAnsi="Arial"/>
          <w:rtl w:val="0"/>
        </w:rPr>
        <w:t xml:space="preserve">Introduce stricter credit scoring and credit limits; require upfront deposits for high-risk customers; automate invoicing and reminders; and offer early-payment discounts. A realistic goal is to reduce DSO toward 75–80 days over two years.</w:t>
      </w:r>
    </w:p>
    <w:p w:rsidR="00000000" w:rsidDel="00000000" w:rsidP="00000000" w:rsidRDefault="00000000" w:rsidRPr="00000000" w14:paraId="00000320">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 Rationalise inventory and align production with demand.</w:t>
      </w:r>
    </w:p>
    <w:p w:rsidR="00000000" w:rsidDel="00000000" w:rsidP="00000000" w:rsidRDefault="00000000" w:rsidRPr="00000000" w14:paraId="00000321">
      <w:pPr>
        <w:spacing w:line="360" w:lineRule="auto"/>
        <w:jc w:val="both"/>
        <w:rPr>
          <w:rFonts w:ascii="Arial" w:cs="Arial" w:eastAsia="Arial" w:hAnsi="Arial"/>
        </w:rPr>
      </w:pPr>
      <w:r w:rsidDel="00000000" w:rsidR="00000000" w:rsidRPr="00000000">
        <w:rPr>
          <w:rFonts w:ascii="Arial" w:cs="Arial" w:eastAsia="Arial" w:hAnsi="Arial"/>
          <w:rtl w:val="0"/>
        </w:rPr>
        <w:t xml:space="preserve">Adopt SKU rationalisation to eliminate low volume, employ demand-based planning applications, and make greater use of vendor managed inventory (VMI) to standard parts. A reduction of DIO to 80 90 days would free up a lot of cash and reduce the costs of storage.</w:t>
      </w:r>
    </w:p>
    <w:p w:rsidR="00000000" w:rsidDel="00000000" w:rsidP="00000000" w:rsidRDefault="00000000" w:rsidRPr="00000000" w14:paraId="00000322">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3. Stabilise payables rather than stretching them further.</w:t>
      </w:r>
    </w:p>
    <w:p w:rsidR="00000000" w:rsidDel="00000000" w:rsidP="00000000" w:rsidRDefault="00000000" w:rsidRPr="00000000" w14:paraId="00000323">
      <w:pPr>
        <w:spacing w:line="360" w:lineRule="auto"/>
        <w:jc w:val="both"/>
        <w:rPr>
          <w:rFonts w:ascii="Arial" w:cs="Arial" w:eastAsia="Arial" w:hAnsi="Arial"/>
        </w:rPr>
      </w:pPr>
      <w:r w:rsidDel="00000000" w:rsidR="00000000" w:rsidRPr="00000000">
        <w:rPr>
          <w:rFonts w:ascii="Arial" w:cs="Arial" w:eastAsia="Arial" w:hAnsi="Arial"/>
          <w:rtl w:val="0"/>
        </w:rPr>
        <w:t xml:space="preserve">Keep DPO at 80-90 days, however, do not continue extending it as this will create a risk of supply disruptions. Rather, negotiate official extended-term deals and consider supply-chain finance programmes that give an advantage to both GE and key suppliers (McPhail, Chan, May and Wilkinson, 2023).</w:t>
      </w:r>
    </w:p>
    <w:p w:rsidR="00000000" w:rsidDel="00000000" w:rsidP="00000000" w:rsidRDefault="00000000" w:rsidRPr="00000000" w14:paraId="00000324">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4. Set CCC-focused performance targets.</w:t>
      </w:r>
    </w:p>
    <w:p w:rsidR="00000000" w:rsidDel="00000000" w:rsidP="00000000" w:rsidRDefault="00000000" w:rsidRPr="00000000" w14:paraId="00000325">
      <w:pPr>
        <w:spacing w:line="360" w:lineRule="auto"/>
        <w:jc w:val="both"/>
        <w:rPr>
          <w:rFonts w:ascii="Arial" w:cs="Arial" w:eastAsia="Arial" w:hAnsi="Arial"/>
        </w:rPr>
      </w:pPr>
      <w:r w:rsidDel="00000000" w:rsidR="00000000" w:rsidRPr="00000000">
        <w:rPr>
          <w:rFonts w:ascii="Arial" w:cs="Arial" w:eastAsia="Arial" w:hAnsi="Arial"/>
          <w:rtl w:val="0"/>
        </w:rPr>
        <w:t xml:space="preserve">The management ought to specifically aim at achieving a CCC of less than 90 days, and executive bonuses would be pegged on the improvement of DSO, DIO, and DPO. This puts managerial incentives in line with cash-generation, which is a major characteristic of successful turnarounds (Schoenberg et al., 2013).</w:t>
      </w:r>
    </w:p>
    <w:p w:rsidR="00000000" w:rsidDel="00000000" w:rsidP="00000000" w:rsidRDefault="00000000" w:rsidRPr="00000000" w14:paraId="00000326">
      <w:pPr>
        <w:spacing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327">
      <w:pPr>
        <w:pStyle w:val="Heading1"/>
        <w:rPr/>
      </w:pPr>
      <w:bookmarkStart w:colFirst="0" w:colLast="0" w:name="_giw571nlpdhb" w:id="34"/>
      <w:bookmarkEnd w:id="34"/>
      <w:r w:rsidDel="00000000" w:rsidR="00000000" w:rsidRPr="00000000">
        <w:rPr>
          <w:rtl w:val="0"/>
        </w:rPr>
        <w:t xml:space="preserve">3. Corporate Failure, Turnaround and Restructuring</w:t>
      </w:r>
    </w:p>
    <w:p w:rsidR="00000000" w:rsidDel="00000000" w:rsidP="00000000" w:rsidRDefault="00000000" w:rsidRPr="00000000" w14:paraId="00000328">
      <w:pPr>
        <w:spacing w:line="360" w:lineRule="auto"/>
        <w:jc w:val="both"/>
        <w:rPr>
          <w:rFonts w:ascii="Arial" w:cs="Arial" w:eastAsia="Arial" w:hAnsi="Arial"/>
        </w:rPr>
      </w:pPr>
      <w:r w:rsidDel="00000000" w:rsidR="00000000" w:rsidRPr="00000000">
        <w:rPr>
          <w:rFonts w:ascii="Arial" w:cs="Arial" w:eastAsia="Arial" w:hAnsi="Arial"/>
          <w:rtl w:val="0"/>
        </w:rPr>
        <w:t xml:space="preserve">Corporate financial distress occurs when a company cannot produce adequate cash flow to fulfill its commitments resulting in marring of profitability, liquidity crunch and even solvency (Sudarsanam and Lai, 2001). The five-year study of GE shows several signs of growing risk of failure: the decreasing profitability, negative operating income, worsening interest coverage, increasing leverage and the poor working capital efficiency. Based on the turnaround and restructuring theory (Schoenberg et al., 2013; Umar, 2023; Laitinen, 2011), this part will analyze the factors which caused the distress of GE and offer a structured turnaround plan.</w:t>
      </w:r>
    </w:p>
    <w:p w:rsidR="00000000" w:rsidDel="00000000" w:rsidP="00000000" w:rsidRDefault="00000000" w:rsidRPr="00000000" w14:paraId="00000329">
      <w:pPr>
        <w:pStyle w:val="Heading2"/>
        <w:rPr/>
      </w:pPr>
      <w:bookmarkStart w:colFirst="0" w:colLast="0" w:name="_hpr9zv7ydhtb" w:id="35"/>
      <w:bookmarkEnd w:id="35"/>
      <w:r w:rsidDel="00000000" w:rsidR="00000000" w:rsidRPr="00000000">
        <w:rPr>
          <w:rtl w:val="0"/>
        </w:rPr>
        <w:t xml:space="preserve">3.1 Evidence of Financial Distress</w:t>
      </w:r>
    </w:p>
    <w:p w:rsidR="00000000" w:rsidDel="00000000" w:rsidP="00000000" w:rsidRDefault="00000000" w:rsidRPr="00000000" w14:paraId="0000032A">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Profitability collapse</w:t>
      </w:r>
    </w:p>
    <w:p w:rsidR="00000000" w:rsidDel="00000000" w:rsidP="00000000" w:rsidRDefault="00000000" w:rsidRPr="00000000" w14:paraId="0000032B">
      <w:pPr>
        <w:spacing w:line="360" w:lineRule="auto"/>
        <w:jc w:val="both"/>
        <w:rPr>
          <w:rFonts w:ascii="Arial" w:cs="Arial" w:eastAsia="Arial" w:hAnsi="Arial"/>
        </w:rPr>
      </w:pPr>
      <w:r w:rsidDel="00000000" w:rsidR="00000000" w:rsidRPr="00000000">
        <w:rPr>
          <w:rFonts w:ascii="Arial" w:cs="Arial" w:eastAsia="Arial" w:hAnsi="Arial"/>
          <w:rtl w:val="0"/>
        </w:rPr>
        <w:t xml:space="preserve">In the year 2024 alone, operating income of GE decreased drastically to </w:t>
      </w:r>
      <w:r w:rsidDel="00000000" w:rsidR="00000000" w:rsidRPr="00000000">
        <w:rPr>
          <w:rFonts w:ascii="Arial" w:cs="Arial" w:eastAsia="Arial" w:hAnsi="Arial"/>
          <w:b w:val="1"/>
          <w:bCs w:val="1"/>
          <w:rtl w:val="0"/>
        </w:rPr>
        <w:t xml:space="preserve">£15,297m</w:t>
      </w:r>
      <w:r w:rsidDel="00000000" w:rsidR="00000000" w:rsidRPr="00000000">
        <w:rPr>
          <w:rFonts w:ascii="Arial" w:cs="Arial" w:eastAsia="Arial" w:hAnsi="Arial"/>
          <w:rtl w:val="0"/>
        </w:rPr>
        <w:t xml:space="preserve"> loss, whereas it was </w:t>
      </w:r>
      <w:r w:rsidDel="00000000" w:rsidR="00000000" w:rsidRPr="00000000">
        <w:rPr>
          <w:rFonts w:ascii="Arial" w:cs="Arial" w:eastAsia="Arial" w:hAnsi="Arial"/>
          <w:b w:val="1"/>
          <w:bCs w:val="1"/>
          <w:rtl w:val="0"/>
        </w:rPr>
        <w:t xml:space="preserve">£37,267m</w:t>
      </w:r>
      <w:r w:rsidDel="00000000" w:rsidR="00000000" w:rsidRPr="00000000">
        <w:rPr>
          <w:rFonts w:ascii="Arial" w:cs="Arial" w:eastAsia="Arial" w:hAnsi="Arial"/>
          <w:rtl w:val="0"/>
        </w:rPr>
        <w:t xml:space="preserve"> in the year 2020. The profit margins also declined at the same time with the gross profit being reduced by a margin of </w:t>
      </w:r>
      <w:r w:rsidDel="00000000" w:rsidR="00000000" w:rsidRPr="00000000">
        <w:rPr>
          <w:rFonts w:ascii="Arial" w:cs="Arial" w:eastAsia="Arial" w:hAnsi="Arial"/>
          <w:b w:val="1"/>
          <w:bCs w:val="1"/>
          <w:rtl w:val="0"/>
        </w:rPr>
        <w:t xml:space="preserve">£176,256m</w:t>
      </w:r>
      <w:r w:rsidDel="00000000" w:rsidR="00000000" w:rsidRPr="00000000">
        <w:rPr>
          <w:rFonts w:ascii="Arial" w:cs="Arial" w:eastAsia="Arial" w:hAnsi="Arial"/>
          <w:rtl w:val="0"/>
        </w:rPr>
        <w:t xml:space="preserve"> (2020) to </w:t>
      </w:r>
      <w:r w:rsidDel="00000000" w:rsidR="00000000" w:rsidRPr="00000000">
        <w:rPr>
          <w:rFonts w:ascii="Arial" w:cs="Arial" w:eastAsia="Arial" w:hAnsi="Arial"/>
          <w:b w:val="1"/>
          <w:bCs w:val="1"/>
          <w:rtl w:val="0"/>
        </w:rPr>
        <w:t xml:space="preserve">£113,994m</w:t>
      </w:r>
      <w:r w:rsidDel="00000000" w:rsidR="00000000" w:rsidRPr="00000000">
        <w:rPr>
          <w:rFonts w:ascii="Arial" w:cs="Arial" w:eastAsia="Arial" w:hAnsi="Arial"/>
          <w:rtl w:val="0"/>
        </w:rPr>
        <w:t xml:space="preserve"> (2024). Schoenberg et al. (2013) indicate that the presence of negative earnings in the long run is an indicator of strategic misalignment or rigidity in cost structure.</w:t>
      </w:r>
    </w:p>
    <w:p w:rsidR="00000000" w:rsidDel="00000000" w:rsidP="00000000" w:rsidRDefault="00000000" w:rsidRPr="00000000" w14:paraId="0000032C">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Interest coverage deterioration</w:t>
      </w:r>
    </w:p>
    <w:p w:rsidR="00000000" w:rsidDel="00000000" w:rsidP="00000000" w:rsidRDefault="00000000" w:rsidRPr="00000000" w14:paraId="0000032D">
      <w:pPr>
        <w:spacing w:line="360" w:lineRule="auto"/>
        <w:jc w:val="both"/>
        <w:rPr>
          <w:rFonts w:ascii="Arial" w:cs="Arial" w:eastAsia="Arial" w:hAnsi="Arial"/>
        </w:rPr>
      </w:pPr>
      <w:r w:rsidDel="00000000" w:rsidR="00000000" w:rsidRPr="00000000">
        <w:rPr>
          <w:rFonts w:ascii="Arial" w:cs="Arial" w:eastAsia="Arial" w:hAnsi="Arial"/>
          <w:rtl w:val="0"/>
        </w:rPr>
        <w:t xml:space="preserve">The breakdown of interest coverage that was </w:t>
      </w:r>
      <w:r w:rsidDel="00000000" w:rsidR="00000000" w:rsidRPr="00000000">
        <w:rPr>
          <w:rFonts w:ascii="Arial" w:cs="Arial" w:eastAsia="Arial" w:hAnsi="Arial"/>
          <w:b w:val="1"/>
          <w:bCs w:val="1"/>
          <w:rtl w:val="0"/>
        </w:rPr>
        <w:t xml:space="preserve">26.2x</w:t>
      </w:r>
      <w:r w:rsidDel="00000000" w:rsidR="00000000" w:rsidRPr="00000000">
        <w:rPr>
          <w:rFonts w:ascii="Arial" w:cs="Arial" w:eastAsia="Arial" w:hAnsi="Arial"/>
          <w:rtl w:val="0"/>
        </w:rPr>
        <w:t xml:space="preserve"> (2020) to a negative value in 2023 and in 2024 due to the fact that operating profits do not cover interest costs anymore is a critical warning indicator. Sudarsanam and Lai (2001) point out that negative interest coverage is one of the best predictors of the eventual failure since companies will fail to service debt.</w:t>
      </w:r>
    </w:p>
    <w:p w:rsidR="00000000" w:rsidDel="00000000" w:rsidP="00000000" w:rsidRDefault="00000000" w:rsidRPr="00000000" w14:paraId="0000032E">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Working capital inefficiency</w:t>
      </w:r>
    </w:p>
    <w:p w:rsidR="00000000" w:rsidDel="00000000" w:rsidP="00000000" w:rsidRDefault="00000000" w:rsidRPr="00000000" w14:paraId="0000032F">
      <w:pPr>
        <w:spacing w:line="360" w:lineRule="auto"/>
        <w:jc w:val="both"/>
        <w:rPr>
          <w:rFonts w:ascii="Arial" w:cs="Arial" w:eastAsia="Arial" w:hAnsi="Arial"/>
        </w:rPr>
      </w:pPr>
      <w:r w:rsidDel="00000000" w:rsidR="00000000" w:rsidRPr="00000000">
        <w:rPr>
          <w:rFonts w:ascii="Arial" w:cs="Arial" w:eastAsia="Arial" w:hAnsi="Arial"/>
          <w:rtl w:val="0"/>
        </w:rPr>
        <w:t xml:space="preserve">In section 2, the company showed rising days of extended receivables </w:t>
      </w:r>
      <w:r w:rsidDel="00000000" w:rsidR="00000000" w:rsidRPr="00000000">
        <w:rPr>
          <w:rFonts w:ascii="Arial" w:cs="Arial" w:eastAsia="Arial" w:hAnsi="Arial"/>
          <w:b w:val="1"/>
          <w:bCs w:val="1"/>
          <w:rtl w:val="0"/>
        </w:rPr>
        <w:t xml:space="preserve">76.9</w:t>
      </w:r>
      <w:r w:rsidDel="00000000" w:rsidR="00000000" w:rsidRPr="00000000">
        <w:rPr>
          <w:rFonts w:ascii="Arial" w:cs="Arial" w:eastAsia="Arial" w:hAnsi="Arial"/>
          <w:rtl w:val="0"/>
        </w:rPr>
        <w:t xml:space="preserve"> (2020) up to </w:t>
      </w:r>
      <w:r w:rsidDel="00000000" w:rsidR="00000000" w:rsidRPr="00000000">
        <w:rPr>
          <w:rFonts w:ascii="Arial" w:cs="Arial" w:eastAsia="Arial" w:hAnsi="Arial"/>
          <w:b w:val="1"/>
          <w:bCs w:val="1"/>
          <w:rtl w:val="0"/>
        </w:rPr>
        <w:t xml:space="preserve">105.5</w:t>
      </w:r>
      <w:r w:rsidDel="00000000" w:rsidR="00000000" w:rsidRPr="00000000">
        <w:rPr>
          <w:rFonts w:ascii="Arial" w:cs="Arial" w:eastAsia="Arial" w:hAnsi="Arial"/>
          <w:rtl w:val="0"/>
        </w:rPr>
        <w:t xml:space="preserve"> (2024), in-stock days continuously increased to above </w:t>
      </w:r>
      <w:r w:rsidDel="00000000" w:rsidR="00000000" w:rsidRPr="00000000">
        <w:rPr>
          <w:rFonts w:ascii="Arial" w:cs="Arial" w:eastAsia="Arial" w:hAnsi="Arial"/>
          <w:b w:val="1"/>
          <w:bCs w:val="1"/>
          <w:rtl w:val="0"/>
        </w:rPr>
        <w:t xml:space="preserve">100</w:t>
      </w:r>
      <w:r w:rsidDel="00000000" w:rsidR="00000000" w:rsidRPr="00000000">
        <w:rPr>
          <w:rFonts w:ascii="Arial" w:cs="Arial" w:eastAsia="Arial" w:hAnsi="Arial"/>
          <w:rtl w:val="0"/>
        </w:rPr>
        <w:t xml:space="preserve"> and cash conversion cycle was </w:t>
      </w:r>
      <w:r w:rsidDel="00000000" w:rsidR="00000000" w:rsidRPr="00000000">
        <w:rPr>
          <w:rFonts w:ascii="Arial" w:cs="Arial" w:eastAsia="Arial" w:hAnsi="Arial"/>
          <w:b w:val="1"/>
          <w:bCs w:val="1"/>
          <w:rtl w:val="0"/>
        </w:rPr>
        <w:t xml:space="preserve">140 days</w:t>
      </w:r>
      <w:r w:rsidDel="00000000" w:rsidR="00000000" w:rsidRPr="00000000">
        <w:rPr>
          <w:rFonts w:ascii="Arial" w:cs="Arial" w:eastAsia="Arial" w:hAnsi="Arial"/>
          <w:rtl w:val="0"/>
        </w:rPr>
        <w:t xml:space="preserve"> (2022). These trends are also signs of capital being tied up in operation as one of the findings of Laitinen (2011) is that distressed firms have working capital rigidity and slow turnover.</w:t>
      </w:r>
    </w:p>
    <w:p w:rsidR="00000000" w:rsidDel="00000000" w:rsidP="00000000" w:rsidRDefault="00000000" w:rsidRPr="00000000" w14:paraId="00000330">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31">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Liquidity pressure</w:t>
      </w:r>
    </w:p>
    <w:p w:rsidR="00000000" w:rsidDel="00000000" w:rsidP="00000000" w:rsidRDefault="00000000" w:rsidRPr="00000000" w14:paraId="00000332">
      <w:pPr>
        <w:spacing w:line="360" w:lineRule="auto"/>
        <w:jc w:val="both"/>
        <w:rPr>
          <w:rFonts w:ascii="Arial" w:cs="Arial" w:eastAsia="Arial" w:hAnsi="Arial"/>
        </w:rPr>
      </w:pPr>
      <w:r w:rsidDel="00000000" w:rsidR="00000000" w:rsidRPr="00000000">
        <w:rPr>
          <w:rFonts w:ascii="Arial" w:cs="Arial" w:eastAsia="Arial" w:hAnsi="Arial"/>
          <w:rtl w:val="0"/>
        </w:rPr>
        <w:t xml:space="preserve">Operation cash decreased dramatically, and the operating cash-flow ratio deteriorated with the decline to </w:t>
      </w:r>
      <w:r w:rsidDel="00000000" w:rsidR="00000000" w:rsidRPr="00000000">
        <w:rPr>
          <w:rFonts w:ascii="Arial" w:cs="Arial" w:eastAsia="Arial" w:hAnsi="Arial"/>
          <w:b w:val="1"/>
          <w:bCs w:val="1"/>
          <w:rtl w:val="0"/>
        </w:rPr>
        <w:t xml:space="preserve">0.054</w:t>
      </w:r>
      <w:r w:rsidDel="00000000" w:rsidR="00000000" w:rsidRPr="00000000">
        <w:rPr>
          <w:rFonts w:ascii="Arial" w:cs="Arial" w:eastAsia="Arial" w:hAnsi="Arial"/>
          <w:rtl w:val="0"/>
        </w:rPr>
        <w:t xml:space="preserve"> (2024) down to </w:t>
      </w:r>
      <w:r w:rsidDel="00000000" w:rsidR="00000000" w:rsidRPr="00000000">
        <w:rPr>
          <w:rFonts w:ascii="Arial" w:cs="Arial" w:eastAsia="Arial" w:hAnsi="Arial"/>
          <w:b w:val="1"/>
          <w:bCs w:val="1"/>
          <w:rtl w:val="0"/>
        </w:rPr>
        <w:t xml:space="preserve">0.41</w:t>
      </w:r>
      <w:r w:rsidDel="00000000" w:rsidR="00000000" w:rsidRPr="00000000">
        <w:rPr>
          <w:rFonts w:ascii="Arial" w:cs="Arial" w:eastAsia="Arial" w:hAnsi="Arial"/>
          <w:rtl w:val="0"/>
        </w:rPr>
        <w:t xml:space="preserve"> (2020). These low ratios of converting cashflow to cash imply that the business can no longer settle its short-term liabilities internally and thus, may need to heavily depend on the external costly finance (Bhattacharya, 2014).</w:t>
      </w:r>
    </w:p>
    <w:p w:rsidR="00000000" w:rsidDel="00000000" w:rsidP="00000000" w:rsidRDefault="00000000" w:rsidRPr="00000000" w14:paraId="00000333">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Leverage escalation</w:t>
      </w:r>
    </w:p>
    <w:p w:rsidR="00000000" w:rsidDel="00000000" w:rsidP="00000000" w:rsidRDefault="00000000" w:rsidRPr="00000000" w14:paraId="00000334">
      <w:pPr>
        <w:spacing w:line="360" w:lineRule="auto"/>
        <w:jc w:val="both"/>
        <w:rPr>
          <w:rFonts w:ascii="Arial" w:cs="Arial" w:eastAsia="Arial" w:hAnsi="Arial"/>
        </w:rPr>
      </w:pPr>
      <w:r w:rsidDel="00000000" w:rsidR="00000000" w:rsidRPr="00000000">
        <w:rPr>
          <w:rFonts w:ascii="Arial" w:cs="Arial" w:eastAsia="Arial" w:hAnsi="Arial"/>
          <w:rtl w:val="0"/>
        </w:rPr>
        <w:t xml:space="preserve">GE’s debt-to-equity ratio increased from </w:t>
      </w:r>
      <w:r w:rsidDel="00000000" w:rsidR="00000000" w:rsidRPr="00000000">
        <w:rPr>
          <w:rFonts w:ascii="Arial" w:cs="Arial" w:eastAsia="Arial" w:hAnsi="Arial"/>
          <w:b w:val="1"/>
          <w:bCs w:val="1"/>
          <w:rtl w:val="0"/>
        </w:rPr>
        <w:t xml:space="preserve">0.63</w:t>
      </w:r>
      <w:r w:rsidDel="00000000" w:rsidR="00000000" w:rsidRPr="00000000">
        <w:rPr>
          <w:rFonts w:ascii="Arial" w:cs="Arial" w:eastAsia="Arial" w:hAnsi="Arial"/>
          <w:rtl w:val="0"/>
        </w:rPr>
        <w:t xml:space="preserve"> (2020) to </w:t>
      </w:r>
      <w:r w:rsidDel="00000000" w:rsidR="00000000" w:rsidRPr="00000000">
        <w:rPr>
          <w:rFonts w:ascii="Arial" w:cs="Arial" w:eastAsia="Arial" w:hAnsi="Arial"/>
          <w:b w:val="1"/>
          <w:bCs w:val="1"/>
          <w:rtl w:val="0"/>
        </w:rPr>
        <w:t xml:space="preserve">1.11</w:t>
      </w:r>
      <w:r w:rsidDel="00000000" w:rsidR="00000000" w:rsidRPr="00000000">
        <w:rPr>
          <w:rFonts w:ascii="Arial" w:cs="Arial" w:eastAsia="Arial" w:hAnsi="Arial"/>
          <w:rtl w:val="0"/>
        </w:rPr>
        <w:t xml:space="preserve"> (2024), while debt-to-assets rose to </w:t>
      </w:r>
      <w:r w:rsidDel="00000000" w:rsidR="00000000" w:rsidRPr="00000000">
        <w:rPr>
          <w:rFonts w:ascii="Arial" w:cs="Arial" w:eastAsia="Arial" w:hAnsi="Arial"/>
          <w:b w:val="1"/>
          <w:bCs w:val="1"/>
          <w:rtl w:val="0"/>
        </w:rPr>
        <w:t xml:space="preserve">52.6%.</w:t>
      </w:r>
      <w:r w:rsidDel="00000000" w:rsidR="00000000" w:rsidRPr="00000000">
        <w:rPr>
          <w:rFonts w:ascii="Arial" w:cs="Arial" w:eastAsia="Arial" w:hAnsi="Arial"/>
          <w:rtl w:val="0"/>
        </w:rPr>
        <w:t xml:space="preserve"> An increase in leverage when the profitability is declining increases insolvency risk. According to Bachmann (2009), the pressure of accumulating debt level usually drives companies into reorganization.</w:t>
      </w:r>
    </w:p>
    <w:p w:rsidR="00000000" w:rsidDel="00000000" w:rsidP="00000000" w:rsidRDefault="00000000" w:rsidRPr="00000000" w14:paraId="00000335">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Altman Z-Score</w:t>
      </w:r>
    </w:p>
    <w:p w:rsidR="00000000" w:rsidDel="00000000" w:rsidP="00000000" w:rsidRDefault="00000000" w:rsidRPr="00000000" w14:paraId="00000336">
      <w:pPr>
        <w:spacing w:line="360" w:lineRule="auto"/>
        <w:jc w:val="both"/>
        <w:rPr>
          <w:rFonts w:ascii="Arial" w:cs="Arial" w:eastAsia="Arial" w:hAnsi="Arial"/>
        </w:rPr>
      </w:pPr>
      <w:r w:rsidDel="00000000" w:rsidR="00000000" w:rsidRPr="00000000">
        <w:rPr>
          <w:rFonts w:ascii="Arial" w:cs="Arial" w:eastAsia="Arial" w:hAnsi="Arial"/>
          <w:rtl w:val="0"/>
        </w:rPr>
        <w:t xml:space="preserve">GE’s updated Altman Z-score of </w:t>
      </w:r>
      <w:r w:rsidDel="00000000" w:rsidR="00000000" w:rsidRPr="00000000">
        <w:rPr>
          <w:rFonts w:ascii="Arial" w:cs="Arial" w:eastAsia="Arial" w:hAnsi="Arial"/>
          <w:b w:val="1"/>
          <w:bCs w:val="1"/>
          <w:rtl w:val="0"/>
        </w:rPr>
        <w:t xml:space="preserve">2.18</w:t>
      </w:r>
      <w:r w:rsidDel="00000000" w:rsidR="00000000" w:rsidRPr="00000000">
        <w:rPr>
          <w:rFonts w:ascii="Arial" w:cs="Arial" w:eastAsia="Arial" w:hAnsi="Arial"/>
          <w:rtl w:val="0"/>
        </w:rPr>
        <w:t xml:space="preserve"> places it in the Grey Zone that indicates moderate financial distress risk. The lowest from the previous year’s indicate a weak working capital, retained earnings and EBIT. A study by Martins (2024) and Olausson and Nilsson (2024) validates these findings and says that declining Z-scores are an indicator of worsening stability and increasing default risk. </w:t>
      </w:r>
    </w:p>
    <w:p w:rsidR="00000000" w:rsidDel="00000000" w:rsidP="00000000" w:rsidRDefault="00000000" w:rsidRPr="00000000" w14:paraId="00000337">
      <w:pPr>
        <w:pStyle w:val="Heading2"/>
        <w:rPr/>
      </w:pPr>
      <w:bookmarkStart w:colFirst="0" w:colLast="0" w:name="_v3xf0qw7xfxs" w:id="36"/>
      <w:bookmarkEnd w:id="36"/>
      <w:r w:rsidDel="00000000" w:rsidR="00000000" w:rsidRPr="00000000">
        <w:rPr>
          <w:rtl w:val="0"/>
        </w:rPr>
        <w:t xml:space="preserve">3.2 Causes of Corporate Distress</w:t>
      </w:r>
    </w:p>
    <w:p w:rsidR="00000000" w:rsidDel="00000000" w:rsidP="00000000" w:rsidRDefault="00000000" w:rsidRPr="00000000" w14:paraId="00000338">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1. Revenue Decline and Loss of Market Competitiveness</w:t>
      </w:r>
    </w:p>
    <w:p w:rsidR="00000000" w:rsidDel="00000000" w:rsidP="00000000" w:rsidRDefault="00000000" w:rsidRPr="00000000" w14:paraId="00000339">
      <w:pPr>
        <w:spacing w:line="360" w:lineRule="auto"/>
        <w:jc w:val="both"/>
        <w:rPr>
          <w:rFonts w:ascii="Arial" w:cs="Arial" w:eastAsia="Arial" w:hAnsi="Arial"/>
        </w:rPr>
      </w:pPr>
      <w:r w:rsidDel="00000000" w:rsidR="00000000" w:rsidRPr="00000000">
        <w:rPr>
          <w:rFonts w:ascii="Arial" w:cs="Arial" w:eastAsia="Arial" w:hAnsi="Arial"/>
          <w:rtl w:val="0"/>
        </w:rPr>
        <w:t xml:space="preserve">Sales fell from </w:t>
      </w:r>
      <w:r w:rsidDel="00000000" w:rsidR="00000000" w:rsidRPr="00000000">
        <w:rPr>
          <w:rFonts w:ascii="Arial" w:cs="Arial" w:eastAsia="Arial" w:hAnsi="Arial"/>
          <w:b w:val="1"/>
          <w:bCs w:val="1"/>
          <w:rtl w:val="0"/>
        </w:rPr>
        <w:t xml:space="preserve">£614,680m</w:t>
      </w:r>
      <w:r w:rsidDel="00000000" w:rsidR="00000000" w:rsidRPr="00000000">
        <w:rPr>
          <w:rFonts w:ascii="Arial" w:cs="Arial" w:eastAsia="Arial" w:hAnsi="Arial"/>
          <w:rtl w:val="0"/>
        </w:rPr>
        <w:t xml:space="preserve"> (2020) to </w:t>
      </w:r>
      <w:r w:rsidDel="00000000" w:rsidR="00000000" w:rsidRPr="00000000">
        <w:rPr>
          <w:rFonts w:ascii="Arial" w:cs="Arial" w:eastAsia="Arial" w:hAnsi="Arial"/>
          <w:b w:val="1"/>
          <w:bCs w:val="1"/>
          <w:rtl w:val="0"/>
        </w:rPr>
        <w:t xml:space="preserve">£394,879m</w:t>
      </w:r>
      <w:r w:rsidDel="00000000" w:rsidR="00000000" w:rsidRPr="00000000">
        <w:rPr>
          <w:rFonts w:ascii="Arial" w:cs="Arial" w:eastAsia="Arial" w:hAnsi="Arial"/>
          <w:rtl w:val="0"/>
        </w:rPr>
        <w:t xml:space="preserve"> (2024). This reduction of </w:t>
      </w:r>
      <w:r w:rsidDel="00000000" w:rsidR="00000000" w:rsidRPr="00000000">
        <w:rPr>
          <w:rFonts w:ascii="Arial" w:cs="Arial" w:eastAsia="Arial" w:hAnsi="Arial"/>
          <w:b w:val="1"/>
          <w:bCs w:val="1"/>
          <w:rtl w:val="0"/>
        </w:rPr>
        <w:t xml:space="preserve">36%</w:t>
      </w:r>
      <w:r w:rsidDel="00000000" w:rsidR="00000000" w:rsidRPr="00000000">
        <w:rPr>
          <w:rFonts w:ascii="Arial" w:cs="Arial" w:eastAsia="Arial" w:hAnsi="Arial"/>
          <w:rtl w:val="0"/>
        </w:rPr>
        <w:t xml:space="preserve"> indicates that it has lost market share, competition or reduction in demand. Swaminathan (2024) indicates that SME and multinational decline is usually fuelled by external shocks and structural industry changes.</w:t>
      </w:r>
    </w:p>
    <w:p w:rsidR="00000000" w:rsidDel="00000000" w:rsidP="00000000" w:rsidRDefault="00000000" w:rsidRPr="00000000" w14:paraId="0000033A">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 Ineffective Cost Management</w:t>
      </w:r>
    </w:p>
    <w:p w:rsidR="00000000" w:rsidDel="00000000" w:rsidP="00000000" w:rsidRDefault="00000000" w:rsidRPr="00000000" w14:paraId="0000033B">
      <w:pPr>
        <w:spacing w:line="360" w:lineRule="auto"/>
        <w:jc w:val="both"/>
        <w:rPr>
          <w:rFonts w:ascii="Arial" w:cs="Arial" w:eastAsia="Arial" w:hAnsi="Arial"/>
        </w:rPr>
      </w:pPr>
      <w:r w:rsidDel="00000000" w:rsidR="00000000" w:rsidRPr="00000000">
        <w:rPr>
          <w:rFonts w:ascii="Arial" w:cs="Arial" w:eastAsia="Arial" w:hAnsi="Arial"/>
          <w:rtl w:val="0"/>
        </w:rPr>
        <w:t xml:space="preserve">The cost inflexibility was evident with the operating expenses rising to </w:t>
      </w:r>
      <w:r w:rsidDel="00000000" w:rsidR="00000000" w:rsidRPr="00000000">
        <w:rPr>
          <w:rFonts w:ascii="Arial" w:cs="Arial" w:eastAsia="Arial" w:hAnsi="Arial"/>
          <w:b w:val="1"/>
          <w:bCs w:val="1"/>
          <w:rtl w:val="0"/>
        </w:rPr>
        <w:t xml:space="preserve">£129,291m</w:t>
      </w:r>
      <w:r w:rsidDel="00000000" w:rsidR="00000000" w:rsidRPr="00000000">
        <w:rPr>
          <w:rFonts w:ascii="Arial" w:cs="Arial" w:eastAsia="Arial" w:hAnsi="Arial"/>
          <w:rtl w:val="0"/>
        </w:rPr>
        <w:t xml:space="preserve"> even as the revenues dropped. The difference between gross profit and operating expenses increased causing negative EBIT. This is a weak strategic cost-alignment, which is in line with the results of Schoenberg et al. (2013).</w:t>
      </w:r>
    </w:p>
    <w:p w:rsidR="00000000" w:rsidDel="00000000" w:rsidP="00000000" w:rsidRDefault="00000000" w:rsidRPr="00000000" w14:paraId="0000033C">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3D">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3. Excessive Working Capital Lock-Up</w:t>
      </w:r>
    </w:p>
    <w:p w:rsidR="00000000" w:rsidDel="00000000" w:rsidP="00000000" w:rsidRDefault="00000000" w:rsidRPr="00000000" w14:paraId="0000033E">
      <w:pPr>
        <w:spacing w:line="360" w:lineRule="auto"/>
        <w:jc w:val="both"/>
        <w:rPr>
          <w:rFonts w:ascii="Arial" w:cs="Arial" w:eastAsia="Arial" w:hAnsi="Arial"/>
        </w:rPr>
      </w:pPr>
      <w:r w:rsidDel="00000000" w:rsidR="00000000" w:rsidRPr="00000000">
        <w:rPr>
          <w:rFonts w:ascii="Arial" w:cs="Arial" w:eastAsia="Arial" w:hAnsi="Arial"/>
          <w:rtl w:val="0"/>
        </w:rPr>
        <w:t xml:space="preserve">The increase in DSO and the continued high DIO is an indication of poor credit management and ineffective production planning. According to Umar (2023), this trend has been recognized as a typical antecedent to operational distress, especially when sales in the company are declining.</w:t>
      </w:r>
    </w:p>
    <w:p w:rsidR="00000000" w:rsidDel="00000000" w:rsidP="00000000" w:rsidRDefault="00000000" w:rsidRPr="00000000" w14:paraId="0000033F">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4. Overreliance on Debt Financing</w:t>
      </w:r>
    </w:p>
    <w:p w:rsidR="00000000" w:rsidDel="00000000" w:rsidP="00000000" w:rsidRDefault="00000000" w:rsidRPr="00000000" w14:paraId="00000340">
      <w:pPr>
        <w:spacing w:line="360" w:lineRule="auto"/>
        <w:jc w:val="both"/>
        <w:rPr>
          <w:rFonts w:ascii="Arial" w:cs="Arial" w:eastAsia="Arial" w:hAnsi="Arial"/>
        </w:rPr>
      </w:pPr>
      <w:r w:rsidDel="00000000" w:rsidR="00000000" w:rsidRPr="00000000">
        <w:rPr>
          <w:rFonts w:ascii="Arial" w:cs="Arial" w:eastAsia="Arial" w:hAnsi="Arial"/>
          <w:rtl w:val="0"/>
        </w:rPr>
        <w:t xml:space="preserve">GE relied more on credit lines and borrowings as a way of offsetting a diminished cash flow. As the interest coverage became negative then this strategy became untenable. According to Gracheva (2023), high leverage increases distress by raising the amount of cash required to service the debt.</w:t>
      </w:r>
    </w:p>
    <w:p w:rsidR="00000000" w:rsidDel="00000000" w:rsidP="00000000" w:rsidRDefault="00000000" w:rsidRPr="00000000" w14:paraId="00000341">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5. Weak Turnaround Execution</w:t>
      </w:r>
    </w:p>
    <w:p w:rsidR="00000000" w:rsidDel="00000000" w:rsidP="00000000" w:rsidRDefault="00000000" w:rsidRPr="00000000" w14:paraId="00000342">
      <w:pPr>
        <w:spacing w:line="360" w:lineRule="auto"/>
        <w:jc w:val="both"/>
        <w:rPr>
          <w:rFonts w:ascii="Arial" w:cs="Arial" w:eastAsia="Arial" w:hAnsi="Arial"/>
        </w:rPr>
      </w:pPr>
      <w:r w:rsidDel="00000000" w:rsidR="00000000" w:rsidRPr="00000000">
        <w:rPr>
          <w:rFonts w:ascii="Arial" w:cs="Arial" w:eastAsia="Arial" w:hAnsi="Arial"/>
          <w:rtl w:val="0"/>
        </w:rPr>
        <w:t xml:space="preserve">The decline of performance is regular, which means that no corrective measures were taken in time. Schoenberg et al. (2013) point out that procrastination during restructuring can easily turn around a reversible decline into a state of extreme distress.</w:t>
      </w:r>
    </w:p>
    <w:p w:rsidR="00000000" w:rsidDel="00000000" w:rsidP="00000000" w:rsidRDefault="00000000" w:rsidRPr="00000000" w14:paraId="00000343">
      <w:pPr>
        <w:spacing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344">
      <w:pPr>
        <w:pStyle w:val="Heading2"/>
        <w:rPr/>
      </w:pPr>
      <w:bookmarkStart w:colFirst="0" w:colLast="0" w:name="_venlcbf76nda" w:id="37"/>
      <w:bookmarkEnd w:id="37"/>
      <w:r w:rsidDel="00000000" w:rsidR="00000000" w:rsidRPr="00000000">
        <w:rPr>
          <w:rtl w:val="0"/>
        </w:rPr>
        <w:t xml:space="preserve">3.3 Turnaround Strategy Framework</w:t>
      </w:r>
    </w:p>
    <w:p w:rsidR="00000000" w:rsidDel="00000000" w:rsidP="00000000" w:rsidRDefault="00000000" w:rsidRPr="00000000" w14:paraId="00000345">
      <w:pPr>
        <w:spacing w:line="360" w:lineRule="auto"/>
        <w:jc w:val="both"/>
        <w:rPr>
          <w:rFonts w:ascii="Arial" w:cs="Arial" w:eastAsia="Arial" w:hAnsi="Arial"/>
        </w:rPr>
      </w:pPr>
      <w:r w:rsidDel="00000000" w:rsidR="00000000" w:rsidRPr="00000000">
        <w:rPr>
          <w:rFonts w:ascii="Arial" w:cs="Arial" w:eastAsia="Arial" w:hAnsi="Arial"/>
          <w:rtl w:val="0"/>
        </w:rPr>
        <w:t xml:space="preserve">The turnaround process has two phases: the stabilisation in the short-term and repositioning in the long-term (Schoenberg et al., 2013; Mutunga, 2013).</w:t>
      </w:r>
    </w:p>
    <w:p w:rsidR="00000000" w:rsidDel="00000000" w:rsidP="00000000" w:rsidRDefault="00000000" w:rsidRPr="00000000" w14:paraId="00000346">
      <w:pPr>
        <w:pStyle w:val="Heading3"/>
        <w:rPr/>
      </w:pPr>
      <w:bookmarkStart w:colFirst="0" w:colLast="0" w:name="_he7jwd2mi6vg" w:id="38"/>
      <w:bookmarkEnd w:id="38"/>
      <w:r w:rsidDel="00000000" w:rsidR="00000000" w:rsidRPr="00000000">
        <w:rPr>
          <w:rtl w:val="0"/>
        </w:rPr>
        <w:t xml:space="preserve">3.3.1 Stage 1: Rapid Financial Stabilisation (0–12 months)</w:t>
      </w:r>
    </w:p>
    <w:p w:rsidR="00000000" w:rsidDel="00000000" w:rsidP="00000000" w:rsidRDefault="00000000" w:rsidRPr="00000000" w14:paraId="00000347">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Objective: recover liquidity, decrease losses and recover stakeholder confidence.</w:t>
      </w:r>
      <w:r w:rsidDel="00000000" w:rsidR="00000000" w:rsidRPr="00000000">
        <w:rPr>
          <w:rtl w:val="0"/>
        </w:rPr>
      </w:r>
    </w:p>
    <w:p w:rsidR="00000000" w:rsidDel="00000000" w:rsidP="00000000" w:rsidRDefault="00000000" w:rsidRPr="00000000" w14:paraId="00000348">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1. Working Capital Normalisation</w:t>
      </w:r>
    </w:p>
    <w:p w:rsidR="00000000" w:rsidDel="00000000" w:rsidP="00000000" w:rsidRDefault="00000000" w:rsidRPr="00000000" w14:paraId="00000349">
      <w:pPr>
        <w:numPr>
          <w:ilvl w:val="0"/>
          <w:numId w:val="11"/>
        </w:numPr>
        <w:spacing w:line="360" w:lineRule="auto"/>
        <w:ind w:left="720" w:hanging="360"/>
        <w:jc w:val="both"/>
        <w:rPr/>
      </w:pPr>
      <w:r w:rsidDel="00000000" w:rsidR="00000000" w:rsidRPr="00000000">
        <w:rPr>
          <w:rFonts w:ascii="Arial" w:cs="Arial" w:eastAsia="Arial" w:hAnsi="Arial"/>
          <w:rtl w:val="0"/>
        </w:rPr>
        <w:t xml:space="preserve">Reduce DSO to </w:t>
      </w:r>
      <w:r w:rsidDel="00000000" w:rsidR="00000000" w:rsidRPr="00000000">
        <w:rPr>
          <w:rFonts w:ascii="Arial" w:cs="Arial" w:eastAsia="Arial" w:hAnsi="Arial"/>
          <w:b w:val="1"/>
          <w:bCs w:val="1"/>
          <w:rtl w:val="0"/>
        </w:rPr>
        <w:t xml:space="preserve">&lt;90 days</w:t>
      </w:r>
      <w:r w:rsidDel="00000000" w:rsidR="00000000" w:rsidRPr="00000000">
        <w:rPr>
          <w:rFonts w:ascii="Arial" w:cs="Arial" w:eastAsia="Arial" w:hAnsi="Arial"/>
          <w:rtl w:val="0"/>
        </w:rPr>
        <w:t xml:space="preserve"> through stricter credit terms, automated invoicing and customer credit scoring.</w:t>
      </w:r>
    </w:p>
    <w:p w:rsidR="00000000" w:rsidDel="00000000" w:rsidP="00000000" w:rsidRDefault="00000000" w:rsidRPr="00000000" w14:paraId="0000034A">
      <w:pPr>
        <w:numPr>
          <w:ilvl w:val="0"/>
          <w:numId w:val="11"/>
        </w:numPr>
        <w:spacing w:line="360" w:lineRule="auto"/>
        <w:ind w:left="720" w:hanging="360"/>
        <w:jc w:val="both"/>
        <w:rPr/>
      </w:pPr>
      <w:r w:rsidDel="00000000" w:rsidR="00000000" w:rsidRPr="00000000">
        <w:rPr>
          <w:rFonts w:ascii="Arial" w:cs="Arial" w:eastAsia="Arial" w:hAnsi="Arial"/>
          <w:rtl w:val="0"/>
        </w:rPr>
        <w:t xml:space="preserve">Reduce DIO to </w:t>
      </w:r>
      <w:r w:rsidDel="00000000" w:rsidR="00000000" w:rsidRPr="00000000">
        <w:rPr>
          <w:rFonts w:ascii="Arial" w:cs="Arial" w:eastAsia="Arial" w:hAnsi="Arial"/>
          <w:b w:val="1"/>
          <w:bCs w:val="1"/>
          <w:rtl w:val="0"/>
        </w:rPr>
        <w:t xml:space="preserve">&lt;90 days</w:t>
      </w:r>
      <w:r w:rsidDel="00000000" w:rsidR="00000000" w:rsidRPr="00000000">
        <w:rPr>
          <w:rFonts w:ascii="Arial" w:cs="Arial" w:eastAsia="Arial" w:hAnsi="Arial"/>
          <w:rtl w:val="0"/>
        </w:rPr>
        <w:t xml:space="preserve"> by eliminating obsolete stock, implementing demand-driven planning and adopting lean inventory systems.</w:t>
      </w:r>
    </w:p>
    <w:p w:rsidR="00000000" w:rsidDel="00000000" w:rsidP="00000000" w:rsidRDefault="00000000" w:rsidRPr="00000000" w14:paraId="0000034B">
      <w:pPr>
        <w:numPr>
          <w:ilvl w:val="0"/>
          <w:numId w:val="11"/>
        </w:numPr>
        <w:spacing w:line="360" w:lineRule="auto"/>
        <w:ind w:left="720" w:hanging="360"/>
        <w:jc w:val="both"/>
        <w:rPr/>
      </w:pPr>
      <w:r w:rsidDel="00000000" w:rsidR="00000000" w:rsidRPr="00000000">
        <w:rPr>
          <w:rFonts w:ascii="Arial" w:cs="Arial" w:eastAsia="Arial" w:hAnsi="Arial"/>
          <w:rtl w:val="0"/>
        </w:rPr>
        <w:t xml:space="preserve">Stabilise DPO around </w:t>
      </w:r>
      <w:r w:rsidDel="00000000" w:rsidR="00000000" w:rsidRPr="00000000">
        <w:rPr>
          <w:rFonts w:ascii="Arial" w:cs="Arial" w:eastAsia="Arial" w:hAnsi="Arial"/>
          <w:b w:val="1"/>
          <w:bCs w:val="1"/>
          <w:rtl w:val="0"/>
        </w:rPr>
        <w:t xml:space="preserve">80–90 days</w:t>
      </w:r>
      <w:r w:rsidDel="00000000" w:rsidR="00000000" w:rsidRPr="00000000">
        <w:rPr>
          <w:rFonts w:ascii="Arial" w:cs="Arial" w:eastAsia="Arial" w:hAnsi="Arial"/>
          <w:rtl w:val="0"/>
        </w:rPr>
        <w:t xml:space="preserve">, avoiding further extensions which may damage supplier trust.</w:t>
      </w:r>
    </w:p>
    <w:p w:rsidR="00000000" w:rsidDel="00000000" w:rsidP="00000000" w:rsidRDefault="00000000" w:rsidRPr="00000000" w14:paraId="0000034C">
      <w:pPr>
        <w:spacing w:line="360" w:lineRule="auto"/>
        <w:jc w:val="both"/>
        <w:rPr>
          <w:rFonts w:ascii="Arial" w:cs="Arial" w:eastAsia="Arial" w:hAnsi="Arial"/>
        </w:rPr>
      </w:pPr>
      <w:r w:rsidDel="00000000" w:rsidR="00000000" w:rsidRPr="00000000">
        <w:rPr>
          <w:rFonts w:ascii="Arial" w:cs="Arial" w:eastAsia="Arial" w:hAnsi="Arial"/>
          <w:rtl w:val="0"/>
        </w:rPr>
        <w:t xml:space="preserve">Such enhancements would unlock more cash totalling £8-10 billion, which would enhance operating cash-flow ratio.</w:t>
      </w:r>
    </w:p>
    <w:p w:rsidR="00000000" w:rsidDel="00000000" w:rsidP="00000000" w:rsidRDefault="00000000" w:rsidRPr="00000000" w14:paraId="0000034D">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 Immediate Cost Restructuring</w:t>
      </w:r>
    </w:p>
    <w:p w:rsidR="00000000" w:rsidDel="00000000" w:rsidP="00000000" w:rsidRDefault="00000000" w:rsidRPr="00000000" w14:paraId="0000034E">
      <w:pPr>
        <w:numPr>
          <w:ilvl w:val="0"/>
          <w:numId w:val="12"/>
        </w:numPr>
        <w:spacing w:line="360" w:lineRule="auto"/>
        <w:ind w:left="720" w:hanging="360"/>
        <w:jc w:val="both"/>
        <w:rPr/>
      </w:pPr>
      <w:r w:rsidDel="00000000" w:rsidR="00000000" w:rsidRPr="00000000">
        <w:rPr>
          <w:rFonts w:ascii="Arial" w:cs="Arial" w:eastAsia="Arial" w:hAnsi="Arial"/>
          <w:rtl w:val="0"/>
        </w:rPr>
        <w:t xml:space="preserve">Cut non-essential overheads (consulting, travel, promotional spend).</w:t>
      </w:r>
    </w:p>
    <w:p w:rsidR="00000000" w:rsidDel="00000000" w:rsidP="00000000" w:rsidRDefault="00000000" w:rsidRPr="00000000" w14:paraId="0000034F">
      <w:pPr>
        <w:numPr>
          <w:ilvl w:val="0"/>
          <w:numId w:val="12"/>
        </w:numPr>
        <w:spacing w:line="360" w:lineRule="auto"/>
        <w:ind w:left="720" w:hanging="360"/>
        <w:jc w:val="both"/>
        <w:rPr/>
      </w:pPr>
      <w:r w:rsidDel="00000000" w:rsidR="00000000" w:rsidRPr="00000000">
        <w:rPr>
          <w:rFonts w:ascii="Arial" w:cs="Arial" w:eastAsia="Arial" w:hAnsi="Arial"/>
          <w:rtl w:val="0"/>
        </w:rPr>
        <w:t xml:space="preserve">Consolidate manufacturing sites with low utilisation rates.</w:t>
      </w:r>
    </w:p>
    <w:p w:rsidR="00000000" w:rsidDel="00000000" w:rsidP="00000000" w:rsidRDefault="00000000" w:rsidRPr="00000000" w14:paraId="00000350">
      <w:pPr>
        <w:numPr>
          <w:ilvl w:val="0"/>
          <w:numId w:val="12"/>
        </w:numPr>
        <w:spacing w:line="360" w:lineRule="auto"/>
        <w:ind w:left="720" w:hanging="360"/>
        <w:jc w:val="both"/>
        <w:rPr/>
      </w:pPr>
      <w:r w:rsidDel="00000000" w:rsidR="00000000" w:rsidRPr="00000000">
        <w:rPr>
          <w:rFonts w:ascii="Arial" w:cs="Arial" w:eastAsia="Arial" w:hAnsi="Arial"/>
          <w:rtl w:val="0"/>
        </w:rPr>
        <w:t xml:space="preserve">Freeze hiring and reduce contractor dependence.</w:t>
      </w:r>
    </w:p>
    <w:p w:rsidR="00000000" w:rsidDel="00000000" w:rsidP="00000000" w:rsidRDefault="00000000" w:rsidRPr="00000000" w14:paraId="00000351">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Sudarsanam and Lai (2001), in the initial phases of turnaround, it is necessary to reduce operating expenses.</w:t>
      </w:r>
    </w:p>
    <w:p w:rsidR="00000000" w:rsidDel="00000000" w:rsidP="00000000" w:rsidRDefault="00000000" w:rsidRPr="00000000" w14:paraId="00000352">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3. Debt Restructuring</w:t>
      </w:r>
    </w:p>
    <w:p w:rsidR="00000000" w:rsidDel="00000000" w:rsidP="00000000" w:rsidRDefault="00000000" w:rsidRPr="00000000" w14:paraId="00000353">
      <w:pPr>
        <w:numPr>
          <w:ilvl w:val="0"/>
          <w:numId w:val="13"/>
        </w:numPr>
        <w:spacing w:line="360" w:lineRule="auto"/>
        <w:ind w:left="720" w:hanging="360"/>
        <w:jc w:val="both"/>
        <w:rPr/>
      </w:pPr>
      <w:r w:rsidDel="00000000" w:rsidR="00000000" w:rsidRPr="00000000">
        <w:rPr>
          <w:rFonts w:ascii="Arial" w:cs="Arial" w:eastAsia="Arial" w:hAnsi="Arial"/>
          <w:rtl w:val="0"/>
        </w:rPr>
        <w:t xml:space="preserve">Renegotiate interest rates and maturities with lenders.</w:t>
      </w:r>
    </w:p>
    <w:p w:rsidR="00000000" w:rsidDel="00000000" w:rsidP="00000000" w:rsidRDefault="00000000" w:rsidRPr="00000000" w14:paraId="00000354">
      <w:pPr>
        <w:numPr>
          <w:ilvl w:val="0"/>
          <w:numId w:val="13"/>
        </w:numPr>
        <w:spacing w:line="360" w:lineRule="auto"/>
        <w:ind w:left="720" w:hanging="360"/>
        <w:jc w:val="both"/>
        <w:rPr/>
      </w:pPr>
      <w:r w:rsidDel="00000000" w:rsidR="00000000" w:rsidRPr="00000000">
        <w:rPr>
          <w:rFonts w:ascii="Arial" w:cs="Arial" w:eastAsia="Arial" w:hAnsi="Arial"/>
          <w:rtl w:val="0"/>
        </w:rPr>
        <w:t xml:space="preserve">Consider covenant amendments or temporary payment holidays.</w:t>
      </w:r>
    </w:p>
    <w:p w:rsidR="00000000" w:rsidDel="00000000" w:rsidP="00000000" w:rsidRDefault="00000000" w:rsidRPr="00000000" w14:paraId="00000355">
      <w:pPr>
        <w:numPr>
          <w:ilvl w:val="0"/>
          <w:numId w:val="13"/>
        </w:numPr>
        <w:spacing w:line="360" w:lineRule="auto"/>
        <w:ind w:left="720" w:hanging="360"/>
        <w:jc w:val="both"/>
        <w:rPr/>
      </w:pPr>
      <w:r w:rsidDel="00000000" w:rsidR="00000000" w:rsidRPr="00000000">
        <w:rPr>
          <w:rFonts w:ascii="Arial" w:cs="Arial" w:eastAsia="Arial" w:hAnsi="Arial"/>
          <w:rtl w:val="0"/>
        </w:rPr>
        <w:t xml:space="preserve">Explore asset-backed lending to reduce unsecured debt pressure.</w:t>
      </w:r>
    </w:p>
    <w:p w:rsidR="00000000" w:rsidDel="00000000" w:rsidP="00000000" w:rsidRDefault="00000000" w:rsidRPr="00000000" w14:paraId="00000356">
      <w:pPr>
        <w:spacing w:line="360" w:lineRule="auto"/>
        <w:jc w:val="both"/>
        <w:rPr>
          <w:rFonts w:ascii="Arial" w:cs="Arial" w:eastAsia="Arial" w:hAnsi="Arial"/>
        </w:rPr>
      </w:pPr>
      <w:r w:rsidDel="00000000" w:rsidR="00000000" w:rsidRPr="00000000">
        <w:rPr>
          <w:rFonts w:ascii="Arial" w:cs="Arial" w:eastAsia="Arial" w:hAnsi="Arial"/>
          <w:rtl w:val="0"/>
        </w:rPr>
        <w:t xml:space="preserve">This is necessary considering that GE has a negative interest coverage.</w:t>
      </w:r>
    </w:p>
    <w:p w:rsidR="00000000" w:rsidDel="00000000" w:rsidP="00000000" w:rsidRDefault="00000000" w:rsidRPr="00000000" w14:paraId="00000357">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4. Disposal of Non-Core Assets</w:t>
      </w:r>
    </w:p>
    <w:p w:rsidR="00000000" w:rsidDel="00000000" w:rsidP="00000000" w:rsidRDefault="00000000" w:rsidRPr="00000000" w14:paraId="00000358">
      <w:pPr>
        <w:numPr>
          <w:ilvl w:val="0"/>
          <w:numId w:val="14"/>
        </w:numPr>
        <w:spacing w:line="360" w:lineRule="auto"/>
        <w:ind w:left="720" w:hanging="360"/>
        <w:jc w:val="both"/>
        <w:rPr/>
      </w:pPr>
      <w:r w:rsidDel="00000000" w:rsidR="00000000" w:rsidRPr="00000000">
        <w:rPr>
          <w:rFonts w:ascii="Arial" w:cs="Arial" w:eastAsia="Arial" w:hAnsi="Arial"/>
          <w:rtl w:val="0"/>
        </w:rPr>
        <w:t xml:space="preserve">Sell underperforming or low-margin divisions.</w:t>
      </w:r>
    </w:p>
    <w:p w:rsidR="00000000" w:rsidDel="00000000" w:rsidP="00000000" w:rsidRDefault="00000000" w:rsidRPr="00000000" w14:paraId="00000359">
      <w:pPr>
        <w:numPr>
          <w:ilvl w:val="0"/>
          <w:numId w:val="14"/>
        </w:numPr>
        <w:spacing w:line="360" w:lineRule="auto"/>
        <w:ind w:left="720" w:hanging="360"/>
        <w:jc w:val="both"/>
        <w:rPr/>
      </w:pPr>
      <w:r w:rsidDel="00000000" w:rsidR="00000000" w:rsidRPr="00000000">
        <w:rPr>
          <w:rFonts w:ascii="Arial" w:cs="Arial" w:eastAsia="Arial" w:hAnsi="Arial"/>
          <w:rtl w:val="0"/>
        </w:rPr>
        <w:t xml:space="preserve">Divest non-essential property, legacy equipment, or idle assets.</w:t>
      </w:r>
    </w:p>
    <w:p w:rsidR="00000000" w:rsidDel="00000000" w:rsidP="00000000" w:rsidRDefault="00000000" w:rsidRPr="00000000" w14:paraId="0000035A">
      <w:pPr>
        <w:spacing w:line="360" w:lineRule="auto"/>
        <w:jc w:val="both"/>
        <w:rPr>
          <w:rFonts w:ascii="Arial" w:cs="Arial" w:eastAsia="Arial" w:hAnsi="Arial"/>
        </w:rPr>
      </w:pPr>
      <w:r w:rsidDel="00000000" w:rsidR="00000000" w:rsidRPr="00000000">
        <w:rPr>
          <w:rFonts w:ascii="Arial" w:cs="Arial" w:eastAsia="Arial" w:hAnsi="Arial"/>
          <w:rtl w:val="0"/>
        </w:rPr>
        <w:t xml:space="preserve">Strategic divestiture that enhances liquidity and optimization of management focus in turnaround is noted by Bachmann (2009).</w:t>
      </w:r>
    </w:p>
    <w:p w:rsidR="00000000" w:rsidDel="00000000" w:rsidP="00000000" w:rsidRDefault="00000000" w:rsidRPr="00000000" w14:paraId="0000035B">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5. Strengthen Cash Governance</w:t>
      </w:r>
      <w:r w:rsidDel="00000000" w:rsidR="00000000" w:rsidRPr="00000000">
        <w:rPr>
          <w:rtl w:val="0"/>
        </w:rPr>
      </w:r>
    </w:p>
    <w:p w:rsidR="00000000" w:rsidDel="00000000" w:rsidP="00000000" w:rsidRDefault="00000000" w:rsidRPr="00000000" w14:paraId="0000035C">
      <w:pPr>
        <w:numPr>
          <w:ilvl w:val="0"/>
          <w:numId w:val="15"/>
        </w:numPr>
        <w:spacing w:line="360" w:lineRule="auto"/>
        <w:ind w:left="720" w:hanging="360"/>
        <w:jc w:val="both"/>
        <w:rPr/>
      </w:pPr>
      <w:r w:rsidDel="00000000" w:rsidR="00000000" w:rsidRPr="00000000">
        <w:rPr>
          <w:rFonts w:ascii="Arial" w:cs="Arial" w:eastAsia="Arial" w:hAnsi="Arial"/>
          <w:rtl w:val="0"/>
        </w:rPr>
        <w:t xml:space="preserve">Implement weekly cash forecasting.</w:t>
      </w:r>
    </w:p>
    <w:p w:rsidR="00000000" w:rsidDel="00000000" w:rsidP="00000000" w:rsidRDefault="00000000" w:rsidRPr="00000000" w14:paraId="0000035D">
      <w:pPr>
        <w:numPr>
          <w:ilvl w:val="0"/>
          <w:numId w:val="15"/>
        </w:numPr>
        <w:spacing w:line="360" w:lineRule="auto"/>
        <w:ind w:left="720" w:hanging="360"/>
        <w:jc w:val="both"/>
        <w:rPr/>
      </w:pPr>
      <w:r w:rsidDel="00000000" w:rsidR="00000000" w:rsidRPr="00000000">
        <w:rPr>
          <w:rFonts w:ascii="Arial" w:cs="Arial" w:eastAsia="Arial" w:hAnsi="Arial"/>
          <w:rtl w:val="0"/>
        </w:rPr>
        <w:t xml:space="preserve">Introduce a CFO-led cash war-room.</w:t>
      </w:r>
    </w:p>
    <w:p w:rsidR="00000000" w:rsidDel="00000000" w:rsidP="00000000" w:rsidRDefault="00000000" w:rsidRPr="00000000" w14:paraId="0000035E">
      <w:pPr>
        <w:numPr>
          <w:ilvl w:val="0"/>
          <w:numId w:val="15"/>
        </w:numPr>
        <w:spacing w:line="360" w:lineRule="auto"/>
        <w:ind w:left="720" w:hanging="360"/>
        <w:jc w:val="both"/>
        <w:rPr/>
      </w:pPr>
      <w:r w:rsidDel="00000000" w:rsidR="00000000" w:rsidRPr="00000000">
        <w:rPr>
          <w:rFonts w:ascii="Arial" w:cs="Arial" w:eastAsia="Arial" w:hAnsi="Arial"/>
          <w:rtl w:val="0"/>
        </w:rPr>
        <w:t xml:space="preserve">Require all expenditure approvals above £50m to go through a turnaround committee.</w:t>
      </w:r>
    </w:p>
    <w:p w:rsidR="00000000" w:rsidDel="00000000" w:rsidP="00000000" w:rsidRDefault="00000000" w:rsidRPr="00000000" w14:paraId="0000035F">
      <w:pPr>
        <w:spacing w:line="360" w:lineRule="auto"/>
        <w:jc w:val="both"/>
        <w:rPr>
          <w:rFonts w:ascii="Arial" w:cs="Arial" w:eastAsia="Arial" w:hAnsi="Arial"/>
        </w:rPr>
      </w:pPr>
      <w:r w:rsidDel="00000000" w:rsidR="00000000" w:rsidRPr="00000000">
        <w:rPr>
          <w:rFonts w:ascii="Arial" w:cs="Arial" w:eastAsia="Arial" w:hAnsi="Arial"/>
          <w:rtl w:val="0"/>
        </w:rPr>
        <w:t xml:space="preserve">The successful turnaround outcomes are always associated with the effective cash culture (Schoenberg et al., 2013).</w:t>
      </w:r>
    </w:p>
    <w:p w:rsidR="00000000" w:rsidDel="00000000" w:rsidP="00000000" w:rsidRDefault="00000000" w:rsidRPr="00000000" w14:paraId="00000360">
      <w:pPr>
        <w:pStyle w:val="Heading3"/>
        <w:rPr/>
      </w:pPr>
      <w:bookmarkStart w:colFirst="0" w:colLast="0" w:name="_d6m4dcj9k4om" w:id="39"/>
      <w:bookmarkEnd w:id="39"/>
      <w:r w:rsidDel="00000000" w:rsidR="00000000" w:rsidRPr="00000000">
        <w:rPr>
          <w:rtl w:val="0"/>
        </w:rPr>
        <w:t xml:space="preserve">3.3.2 Stage 2: Strategic Recovery and Repositioning (1–3 years)</w:t>
      </w:r>
    </w:p>
    <w:p w:rsidR="00000000" w:rsidDel="00000000" w:rsidP="00000000" w:rsidRDefault="00000000" w:rsidRPr="00000000" w14:paraId="00000361">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Objective: revive profitability, reestablish competitiveness and place GE on a path of sustainable growth.</w:t>
      </w:r>
      <w:r w:rsidDel="00000000" w:rsidR="00000000" w:rsidRPr="00000000">
        <w:rPr>
          <w:rtl w:val="0"/>
        </w:rPr>
      </w:r>
    </w:p>
    <w:p w:rsidR="00000000" w:rsidDel="00000000" w:rsidP="00000000" w:rsidRDefault="00000000" w:rsidRPr="00000000" w14:paraId="00000362">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1. Business Portfolio Restructuring</w:t>
      </w:r>
    </w:p>
    <w:p w:rsidR="00000000" w:rsidDel="00000000" w:rsidP="00000000" w:rsidRDefault="00000000" w:rsidRPr="00000000" w14:paraId="00000363">
      <w:pPr>
        <w:numPr>
          <w:ilvl w:val="0"/>
          <w:numId w:val="16"/>
        </w:numPr>
        <w:spacing w:line="360" w:lineRule="auto"/>
        <w:ind w:left="720" w:hanging="360"/>
        <w:jc w:val="both"/>
        <w:rPr/>
      </w:pPr>
      <w:r w:rsidDel="00000000" w:rsidR="00000000" w:rsidRPr="00000000">
        <w:rPr>
          <w:rFonts w:ascii="Arial" w:cs="Arial" w:eastAsia="Arial" w:hAnsi="Arial"/>
          <w:rtl w:val="0"/>
        </w:rPr>
        <w:t xml:space="preserve">Prioritise business units with high margins and strong market growth.</w:t>
      </w:r>
    </w:p>
    <w:p w:rsidR="00000000" w:rsidDel="00000000" w:rsidP="00000000" w:rsidRDefault="00000000" w:rsidRPr="00000000" w14:paraId="00000364">
      <w:pPr>
        <w:numPr>
          <w:ilvl w:val="0"/>
          <w:numId w:val="16"/>
        </w:numPr>
        <w:spacing w:line="360" w:lineRule="auto"/>
        <w:ind w:left="720" w:hanging="360"/>
        <w:jc w:val="both"/>
        <w:rPr/>
      </w:pPr>
      <w:r w:rsidDel="00000000" w:rsidR="00000000" w:rsidRPr="00000000">
        <w:rPr>
          <w:rFonts w:ascii="Arial" w:cs="Arial" w:eastAsia="Arial" w:hAnsi="Arial"/>
          <w:rtl w:val="0"/>
        </w:rPr>
        <w:t xml:space="preserve">Exit areas with persistent losses or limited strategic value.</w:t>
      </w:r>
    </w:p>
    <w:p w:rsidR="00000000" w:rsidDel="00000000" w:rsidP="00000000" w:rsidRDefault="00000000" w:rsidRPr="00000000" w14:paraId="00000365">
      <w:pPr>
        <w:numPr>
          <w:ilvl w:val="0"/>
          <w:numId w:val="16"/>
        </w:numPr>
        <w:spacing w:line="360" w:lineRule="auto"/>
        <w:ind w:left="720" w:hanging="360"/>
        <w:jc w:val="both"/>
        <w:rPr/>
      </w:pPr>
      <w:r w:rsidDel="00000000" w:rsidR="00000000" w:rsidRPr="00000000">
        <w:rPr>
          <w:rFonts w:ascii="Arial" w:cs="Arial" w:eastAsia="Arial" w:hAnsi="Arial"/>
          <w:rtl w:val="0"/>
        </w:rPr>
        <w:t xml:space="preserve">Redirect capital expenditure toward high-return technologies.</w:t>
      </w:r>
    </w:p>
    <w:p w:rsidR="00000000" w:rsidDel="00000000" w:rsidP="00000000" w:rsidRDefault="00000000" w:rsidRPr="00000000" w14:paraId="00000366">
      <w:pPr>
        <w:spacing w:line="360" w:lineRule="auto"/>
        <w:jc w:val="both"/>
        <w:rPr>
          <w:rFonts w:ascii="Arial" w:cs="Arial" w:eastAsia="Arial" w:hAnsi="Arial"/>
        </w:rPr>
      </w:pPr>
      <w:r w:rsidDel="00000000" w:rsidR="00000000" w:rsidRPr="00000000">
        <w:rPr>
          <w:rFonts w:ascii="Arial" w:cs="Arial" w:eastAsia="Arial" w:hAnsi="Arial"/>
          <w:rtl w:val="0"/>
        </w:rPr>
        <w:t xml:space="preserve">It goes in line with the position of Mutunga (2013) that structural realignment is required in the long-term turnaround.</w:t>
      </w:r>
    </w:p>
    <w:p w:rsidR="00000000" w:rsidDel="00000000" w:rsidP="00000000" w:rsidRDefault="00000000" w:rsidRPr="00000000" w14:paraId="00000367">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2. Operational Transformation</w:t>
      </w:r>
    </w:p>
    <w:p w:rsidR="00000000" w:rsidDel="00000000" w:rsidP="00000000" w:rsidRDefault="00000000" w:rsidRPr="00000000" w14:paraId="00000368">
      <w:pPr>
        <w:numPr>
          <w:ilvl w:val="0"/>
          <w:numId w:val="17"/>
        </w:numPr>
        <w:spacing w:line="360" w:lineRule="auto"/>
        <w:ind w:left="720" w:hanging="360"/>
        <w:jc w:val="both"/>
        <w:rPr/>
      </w:pPr>
      <w:r w:rsidDel="00000000" w:rsidR="00000000" w:rsidRPr="00000000">
        <w:rPr>
          <w:rFonts w:ascii="Arial" w:cs="Arial" w:eastAsia="Arial" w:hAnsi="Arial"/>
          <w:rtl w:val="0"/>
        </w:rPr>
        <w:t xml:space="preserve">Introduce digital manufacturing and automation to reduce costs.</w:t>
      </w:r>
    </w:p>
    <w:p w:rsidR="00000000" w:rsidDel="00000000" w:rsidP="00000000" w:rsidRDefault="00000000" w:rsidRPr="00000000" w14:paraId="00000369">
      <w:pPr>
        <w:numPr>
          <w:ilvl w:val="0"/>
          <w:numId w:val="17"/>
        </w:numPr>
        <w:spacing w:line="360" w:lineRule="auto"/>
        <w:ind w:left="720" w:hanging="360"/>
        <w:jc w:val="both"/>
        <w:rPr/>
      </w:pPr>
      <w:r w:rsidDel="00000000" w:rsidR="00000000" w:rsidRPr="00000000">
        <w:rPr>
          <w:rFonts w:ascii="Arial" w:cs="Arial" w:eastAsia="Arial" w:hAnsi="Arial"/>
          <w:rtl w:val="0"/>
        </w:rPr>
        <w:t xml:space="preserve">Streamline supply chain networks to reduce DIO and logistics costs.</w:t>
      </w:r>
    </w:p>
    <w:p w:rsidR="00000000" w:rsidDel="00000000" w:rsidP="00000000" w:rsidRDefault="00000000" w:rsidRPr="00000000" w14:paraId="0000036A">
      <w:pPr>
        <w:numPr>
          <w:ilvl w:val="0"/>
          <w:numId w:val="17"/>
        </w:numPr>
        <w:spacing w:line="360" w:lineRule="auto"/>
        <w:ind w:left="720" w:hanging="360"/>
        <w:jc w:val="both"/>
        <w:rPr/>
      </w:pPr>
      <w:r w:rsidDel="00000000" w:rsidR="00000000" w:rsidRPr="00000000">
        <w:rPr>
          <w:rFonts w:ascii="Arial" w:cs="Arial" w:eastAsia="Arial" w:hAnsi="Arial"/>
          <w:rtl w:val="0"/>
        </w:rPr>
        <w:t xml:space="preserve">Adopt continuous improvement and lean philosophies.</w:t>
      </w:r>
    </w:p>
    <w:p w:rsidR="00000000" w:rsidDel="00000000" w:rsidP="00000000" w:rsidRDefault="00000000" w:rsidRPr="00000000" w14:paraId="0000036B">
      <w:pPr>
        <w:spacing w:line="360" w:lineRule="auto"/>
        <w:jc w:val="both"/>
        <w:rPr>
          <w:rFonts w:ascii="Arial" w:cs="Arial" w:eastAsia="Arial" w:hAnsi="Arial"/>
        </w:rPr>
      </w:pPr>
      <w:r w:rsidDel="00000000" w:rsidR="00000000" w:rsidRPr="00000000">
        <w:rPr>
          <w:rFonts w:ascii="Arial" w:cs="Arial" w:eastAsia="Arial" w:hAnsi="Arial"/>
          <w:rtl w:val="0"/>
        </w:rPr>
        <w:t xml:space="preserve">Laitinen (2011) emphasises that troubled companies do recover by enhancing operational efficiency.</w:t>
      </w:r>
    </w:p>
    <w:p w:rsidR="00000000" w:rsidDel="00000000" w:rsidP="00000000" w:rsidRDefault="00000000" w:rsidRPr="00000000" w14:paraId="0000036C">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3. Leadership and Cultural Renewal</w:t>
      </w:r>
    </w:p>
    <w:p w:rsidR="00000000" w:rsidDel="00000000" w:rsidP="00000000" w:rsidRDefault="00000000" w:rsidRPr="00000000" w14:paraId="0000036D">
      <w:pPr>
        <w:numPr>
          <w:ilvl w:val="0"/>
          <w:numId w:val="18"/>
        </w:numPr>
        <w:spacing w:line="360" w:lineRule="auto"/>
        <w:ind w:left="720" w:hanging="360"/>
        <w:jc w:val="both"/>
        <w:rPr/>
      </w:pPr>
      <w:r w:rsidDel="00000000" w:rsidR="00000000" w:rsidRPr="00000000">
        <w:rPr>
          <w:rFonts w:ascii="Arial" w:cs="Arial" w:eastAsia="Arial" w:hAnsi="Arial"/>
          <w:rtl w:val="0"/>
        </w:rPr>
        <w:t xml:space="preserve">Replace ineffective senior managers in finance and operations.</w:t>
      </w:r>
    </w:p>
    <w:p w:rsidR="00000000" w:rsidDel="00000000" w:rsidP="00000000" w:rsidRDefault="00000000" w:rsidRPr="00000000" w14:paraId="0000036E">
      <w:pPr>
        <w:numPr>
          <w:ilvl w:val="0"/>
          <w:numId w:val="18"/>
        </w:numPr>
        <w:spacing w:line="360" w:lineRule="auto"/>
        <w:ind w:left="720" w:hanging="360"/>
        <w:jc w:val="both"/>
        <w:rPr/>
      </w:pPr>
      <w:r w:rsidDel="00000000" w:rsidR="00000000" w:rsidRPr="00000000">
        <w:rPr>
          <w:rFonts w:ascii="Arial" w:cs="Arial" w:eastAsia="Arial" w:hAnsi="Arial"/>
          <w:rtl w:val="0"/>
        </w:rPr>
        <w:t xml:space="preserve">Introduce performance-based incentives tied to CCC, revenue growth and ROA.</w:t>
      </w:r>
    </w:p>
    <w:p w:rsidR="00000000" w:rsidDel="00000000" w:rsidP="00000000" w:rsidRDefault="00000000" w:rsidRPr="00000000" w14:paraId="0000036F">
      <w:pPr>
        <w:numPr>
          <w:ilvl w:val="0"/>
          <w:numId w:val="18"/>
        </w:numPr>
        <w:spacing w:line="360" w:lineRule="auto"/>
        <w:ind w:left="720" w:hanging="360"/>
        <w:jc w:val="both"/>
        <w:rPr/>
      </w:pPr>
      <w:r w:rsidDel="00000000" w:rsidR="00000000" w:rsidRPr="00000000">
        <w:rPr>
          <w:rFonts w:ascii="Arial" w:cs="Arial" w:eastAsia="Arial" w:hAnsi="Arial"/>
          <w:rtl w:val="0"/>
        </w:rPr>
        <w:t xml:space="preserve">Foster a culture of accountability and data-driven decision making.</w:t>
      </w:r>
    </w:p>
    <w:p w:rsidR="00000000" w:rsidDel="00000000" w:rsidP="00000000" w:rsidRDefault="00000000" w:rsidRPr="00000000" w14:paraId="00000370">
      <w:pPr>
        <w:spacing w:line="360" w:lineRule="auto"/>
        <w:jc w:val="both"/>
        <w:rPr>
          <w:rFonts w:ascii="Arial" w:cs="Arial" w:eastAsia="Arial" w:hAnsi="Arial"/>
        </w:rPr>
      </w:pPr>
      <w:r w:rsidDel="00000000" w:rsidR="00000000" w:rsidRPr="00000000">
        <w:rPr>
          <w:rFonts w:ascii="Arial" w:cs="Arial" w:eastAsia="Arial" w:hAnsi="Arial"/>
          <w:rtl w:val="0"/>
        </w:rPr>
        <w:t xml:space="preserve">According to Schoenberg et al. (2013), leadership renewal is one of the keys to effective recoveries.</w:t>
      </w:r>
    </w:p>
    <w:p w:rsidR="00000000" w:rsidDel="00000000" w:rsidP="00000000" w:rsidRDefault="00000000" w:rsidRPr="00000000" w14:paraId="00000371">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4. Reinvestment in Innovation</w:t>
      </w:r>
      <w:r w:rsidDel="00000000" w:rsidR="00000000" w:rsidRPr="00000000">
        <w:rPr>
          <w:rtl w:val="0"/>
        </w:rPr>
      </w:r>
    </w:p>
    <w:p w:rsidR="00000000" w:rsidDel="00000000" w:rsidP="00000000" w:rsidRDefault="00000000" w:rsidRPr="00000000" w14:paraId="00000372">
      <w:pPr>
        <w:numPr>
          <w:ilvl w:val="0"/>
          <w:numId w:val="19"/>
        </w:numPr>
        <w:spacing w:line="360" w:lineRule="auto"/>
        <w:ind w:left="720" w:hanging="360"/>
        <w:jc w:val="both"/>
        <w:rPr/>
      </w:pPr>
      <w:r w:rsidDel="00000000" w:rsidR="00000000" w:rsidRPr="00000000">
        <w:rPr>
          <w:rFonts w:ascii="Arial" w:cs="Arial" w:eastAsia="Arial" w:hAnsi="Arial"/>
          <w:rtl w:val="0"/>
        </w:rPr>
        <w:t xml:space="preserve">Increase R&amp;D investment after stabilisation.</w:t>
      </w:r>
    </w:p>
    <w:p w:rsidR="00000000" w:rsidDel="00000000" w:rsidP="00000000" w:rsidRDefault="00000000" w:rsidRPr="00000000" w14:paraId="00000373">
      <w:pPr>
        <w:numPr>
          <w:ilvl w:val="0"/>
          <w:numId w:val="19"/>
        </w:numPr>
        <w:spacing w:line="360" w:lineRule="auto"/>
        <w:ind w:left="720" w:hanging="360"/>
        <w:jc w:val="both"/>
        <w:rPr/>
      </w:pPr>
      <w:r w:rsidDel="00000000" w:rsidR="00000000" w:rsidRPr="00000000">
        <w:rPr>
          <w:rFonts w:ascii="Arial" w:cs="Arial" w:eastAsia="Arial" w:hAnsi="Arial"/>
          <w:rtl w:val="0"/>
        </w:rPr>
        <w:t xml:space="preserve">Focus on high-demand, high-margin product categories.</w:t>
      </w:r>
    </w:p>
    <w:p w:rsidR="00000000" w:rsidDel="00000000" w:rsidP="00000000" w:rsidRDefault="00000000" w:rsidRPr="00000000" w14:paraId="00000374">
      <w:pPr>
        <w:numPr>
          <w:ilvl w:val="0"/>
          <w:numId w:val="19"/>
        </w:numPr>
        <w:spacing w:line="360" w:lineRule="auto"/>
        <w:ind w:left="720" w:hanging="360"/>
        <w:jc w:val="both"/>
        <w:rPr/>
      </w:pPr>
      <w:r w:rsidDel="00000000" w:rsidR="00000000" w:rsidRPr="00000000">
        <w:rPr>
          <w:rFonts w:ascii="Arial" w:cs="Arial" w:eastAsia="Arial" w:hAnsi="Arial"/>
          <w:rtl w:val="0"/>
        </w:rPr>
        <w:t xml:space="preserve">Pursue partnerships and joint ventures to share innovation risks.</w:t>
      </w:r>
    </w:p>
    <w:p w:rsidR="00000000" w:rsidDel="00000000" w:rsidP="00000000" w:rsidRDefault="00000000" w:rsidRPr="00000000" w14:paraId="00000375">
      <w:pPr>
        <w:spacing w:line="360" w:lineRule="auto"/>
        <w:jc w:val="both"/>
        <w:rPr>
          <w:rFonts w:ascii="Arial" w:cs="Arial" w:eastAsia="Arial" w:hAnsi="Arial"/>
        </w:rPr>
      </w:pPr>
      <w:r w:rsidDel="00000000" w:rsidR="00000000" w:rsidRPr="00000000">
        <w:rPr>
          <w:rFonts w:ascii="Arial" w:cs="Arial" w:eastAsia="Arial" w:hAnsi="Arial"/>
          <w:rtl w:val="0"/>
        </w:rPr>
        <w:t xml:space="preserve">Swaminathan (2024) puts innovation at the heart of post-crisis resilience.</w:t>
      </w:r>
    </w:p>
    <w:p w:rsidR="00000000" w:rsidDel="00000000" w:rsidP="00000000" w:rsidRDefault="00000000" w:rsidRPr="00000000" w14:paraId="00000376">
      <w:pPr>
        <w:pStyle w:val="Heading2"/>
        <w:rPr/>
      </w:pPr>
      <w:bookmarkStart w:colFirst="0" w:colLast="0" w:name="_d3w0sy9k3pci" w:id="40"/>
      <w:bookmarkEnd w:id="40"/>
      <w:r w:rsidDel="00000000" w:rsidR="00000000" w:rsidRPr="00000000">
        <w:rPr>
          <w:rtl w:val="0"/>
        </w:rPr>
        <w:t xml:space="preserve">3.4 Expected Impact of the Turnaround Plan</w:t>
      </w:r>
    </w:p>
    <w:p w:rsidR="00000000" w:rsidDel="00000000" w:rsidP="00000000" w:rsidRDefault="00000000" w:rsidRPr="00000000" w14:paraId="00000377">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Short-term (0–12 months)</w:t>
      </w:r>
    </w:p>
    <w:p w:rsidR="00000000" w:rsidDel="00000000" w:rsidP="00000000" w:rsidRDefault="00000000" w:rsidRPr="00000000" w14:paraId="00000378">
      <w:pPr>
        <w:numPr>
          <w:ilvl w:val="0"/>
          <w:numId w:val="20"/>
        </w:numPr>
        <w:spacing w:line="360" w:lineRule="auto"/>
        <w:ind w:left="720" w:hanging="360"/>
        <w:jc w:val="both"/>
        <w:rPr/>
      </w:pPr>
      <w:r w:rsidDel="00000000" w:rsidR="00000000" w:rsidRPr="00000000">
        <w:rPr>
          <w:rFonts w:ascii="Arial" w:cs="Arial" w:eastAsia="Arial" w:hAnsi="Arial"/>
          <w:rtl w:val="0"/>
        </w:rPr>
        <w:t xml:space="preserve">Improved liquidity via £8–10bn working capital release.</w:t>
      </w:r>
    </w:p>
    <w:p w:rsidR="00000000" w:rsidDel="00000000" w:rsidP="00000000" w:rsidRDefault="00000000" w:rsidRPr="00000000" w14:paraId="00000379">
      <w:pPr>
        <w:numPr>
          <w:ilvl w:val="0"/>
          <w:numId w:val="20"/>
        </w:numPr>
        <w:spacing w:line="360" w:lineRule="auto"/>
        <w:ind w:left="720" w:hanging="360"/>
        <w:jc w:val="both"/>
        <w:rPr/>
      </w:pPr>
      <w:r w:rsidDel="00000000" w:rsidR="00000000" w:rsidRPr="00000000">
        <w:rPr>
          <w:rFonts w:ascii="Arial" w:cs="Arial" w:eastAsia="Arial" w:hAnsi="Arial"/>
          <w:rtl w:val="0"/>
        </w:rPr>
        <w:t xml:space="preserve">Reduction in monthly losses through cost-cutting.</w:t>
      </w:r>
    </w:p>
    <w:p w:rsidR="00000000" w:rsidDel="00000000" w:rsidP="00000000" w:rsidRDefault="00000000" w:rsidRPr="00000000" w14:paraId="0000037A">
      <w:pPr>
        <w:numPr>
          <w:ilvl w:val="0"/>
          <w:numId w:val="20"/>
        </w:numPr>
        <w:spacing w:line="360" w:lineRule="auto"/>
        <w:ind w:left="720" w:hanging="360"/>
        <w:jc w:val="both"/>
        <w:rPr/>
      </w:pPr>
      <w:r w:rsidDel="00000000" w:rsidR="00000000" w:rsidRPr="00000000">
        <w:rPr>
          <w:rFonts w:ascii="Arial" w:cs="Arial" w:eastAsia="Arial" w:hAnsi="Arial"/>
          <w:rtl w:val="0"/>
        </w:rPr>
        <w:t xml:space="preserve">Stabilised supplier relationships and extended debt runway.</w:t>
      </w:r>
    </w:p>
    <w:p w:rsidR="00000000" w:rsidDel="00000000" w:rsidP="00000000" w:rsidRDefault="00000000" w:rsidRPr="00000000" w14:paraId="0000037B">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Medium-term (1–3 years)</w:t>
      </w:r>
    </w:p>
    <w:p w:rsidR="00000000" w:rsidDel="00000000" w:rsidP="00000000" w:rsidRDefault="00000000" w:rsidRPr="00000000" w14:paraId="0000037C">
      <w:pPr>
        <w:numPr>
          <w:ilvl w:val="0"/>
          <w:numId w:val="21"/>
        </w:numPr>
        <w:spacing w:line="360" w:lineRule="auto"/>
        <w:ind w:left="720" w:hanging="360"/>
        <w:jc w:val="both"/>
        <w:rPr/>
      </w:pPr>
      <w:r w:rsidDel="00000000" w:rsidR="00000000" w:rsidRPr="00000000">
        <w:rPr>
          <w:rFonts w:ascii="Arial" w:cs="Arial" w:eastAsia="Arial" w:hAnsi="Arial"/>
          <w:rtl w:val="0"/>
        </w:rPr>
        <w:t xml:space="preserve">Positive operating income as cost base aligns with revenue.</w:t>
      </w:r>
    </w:p>
    <w:p w:rsidR="00000000" w:rsidDel="00000000" w:rsidP="00000000" w:rsidRDefault="00000000" w:rsidRPr="00000000" w14:paraId="0000037D">
      <w:pPr>
        <w:numPr>
          <w:ilvl w:val="0"/>
          <w:numId w:val="21"/>
        </w:numPr>
        <w:spacing w:line="360" w:lineRule="auto"/>
        <w:ind w:left="720" w:hanging="360"/>
        <w:jc w:val="both"/>
        <w:rPr/>
      </w:pPr>
      <w:r w:rsidDel="00000000" w:rsidR="00000000" w:rsidRPr="00000000">
        <w:rPr>
          <w:rFonts w:ascii="Arial" w:cs="Arial" w:eastAsia="Arial" w:hAnsi="Arial"/>
          <w:rtl w:val="0"/>
        </w:rPr>
        <w:t xml:space="preserve">Improved interest coverage moving back into positive territory.</w:t>
      </w:r>
    </w:p>
    <w:p w:rsidR="00000000" w:rsidDel="00000000" w:rsidP="00000000" w:rsidRDefault="00000000" w:rsidRPr="00000000" w14:paraId="0000037E">
      <w:pPr>
        <w:numPr>
          <w:ilvl w:val="0"/>
          <w:numId w:val="21"/>
        </w:numPr>
        <w:spacing w:line="360" w:lineRule="auto"/>
        <w:ind w:left="720" w:hanging="360"/>
        <w:jc w:val="both"/>
        <w:rPr/>
      </w:pPr>
      <w:r w:rsidDel="00000000" w:rsidR="00000000" w:rsidRPr="00000000">
        <w:rPr>
          <w:rFonts w:ascii="Arial" w:cs="Arial" w:eastAsia="Arial" w:hAnsi="Arial"/>
          <w:rtl w:val="0"/>
        </w:rPr>
        <w:t xml:space="preserve">Enhanced Altman Z-Score approaching the safer zone (&gt;2.6).</w:t>
      </w:r>
    </w:p>
    <w:p w:rsidR="00000000" w:rsidDel="00000000" w:rsidP="00000000" w:rsidRDefault="00000000" w:rsidRPr="00000000" w14:paraId="0000037F">
      <w:pPr>
        <w:numPr>
          <w:ilvl w:val="0"/>
          <w:numId w:val="21"/>
        </w:numPr>
        <w:spacing w:line="360" w:lineRule="auto"/>
        <w:ind w:left="720" w:hanging="360"/>
        <w:jc w:val="both"/>
        <w:rPr/>
      </w:pPr>
      <w:r w:rsidDel="00000000" w:rsidR="00000000" w:rsidRPr="00000000">
        <w:rPr>
          <w:rFonts w:ascii="Arial" w:cs="Arial" w:eastAsia="Arial" w:hAnsi="Arial"/>
          <w:rtl w:val="0"/>
        </w:rPr>
        <w:t xml:space="preserve">Renewed competitiveness through digital transformation and innovation.</w:t>
      </w:r>
    </w:p>
    <w:p w:rsidR="00000000" w:rsidDel="00000000" w:rsidP="00000000" w:rsidRDefault="00000000" w:rsidRPr="00000000" w14:paraId="00000380">
      <w:pPr>
        <w:spacing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381">
      <w:pPr>
        <w:pStyle w:val="Heading1"/>
        <w:rPr/>
      </w:pPr>
      <w:bookmarkStart w:colFirst="0" w:colLast="0" w:name="_88acgjk0civl" w:id="41"/>
      <w:bookmarkEnd w:id="41"/>
      <w:r w:rsidDel="00000000" w:rsidR="00000000" w:rsidRPr="00000000">
        <w:rPr>
          <w:rtl w:val="0"/>
        </w:rPr>
        <w:t xml:space="preserve">4. Investment Appraisal and Capital Budgeting</w:t>
      </w:r>
    </w:p>
    <w:p w:rsidR="00000000" w:rsidDel="00000000" w:rsidP="00000000" w:rsidRDefault="00000000" w:rsidRPr="00000000" w14:paraId="00000382">
      <w:pPr>
        <w:spacing w:line="360" w:lineRule="auto"/>
        <w:jc w:val="both"/>
        <w:rPr>
          <w:rFonts w:ascii="Arial" w:cs="Arial" w:eastAsia="Arial" w:hAnsi="Arial"/>
        </w:rPr>
      </w:pPr>
      <w:r w:rsidDel="00000000" w:rsidR="00000000" w:rsidRPr="00000000">
        <w:rPr>
          <w:rFonts w:ascii="Arial" w:cs="Arial" w:eastAsia="Arial" w:hAnsi="Arial"/>
          <w:rtl w:val="0"/>
        </w:rPr>
        <w:t xml:space="preserve">Capital budgeting is a very crucial element of strategic financial management and it helps firms to invest in value adding projects with scarce financial resources. In a firm that is discomforted like General Electronics (GE), profitability, liquidity, and solvency ratios have declined sharply, rigorous appraisal is even more imperative. According to academic literature, multinational companies are required to use advanced methods of investment-evaluation in order to have the best allocation of portfolios in risky situations (Mujtaba, 2025). In this section, Payback Period (PBP), Accounting rate of return (ARR) Net Present Value (NPV), profitability Index (PI) and Interior rate of return (IRR) are used to evaluate three investment projects proposed. The last recommendation is based on the capital rationing, project risk attributes and the financial position of GE.</w:t>
      </w:r>
    </w:p>
    <w:p w:rsidR="00000000" w:rsidDel="00000000" w:rsidP="00000000" w:rsidRDefault="00000000" w:rsidRPr="00000000" w14:paraId="00000383">
      <w:pPr>
        <w:pStyle w:val="Heading2"/>
        <w:rPr/>
      </w:pPr>
      <w:bookmarkStart w:colFirst="0" w:colLast="0" w:name="_3h4rwqubmrm" w:id="42"/>
      <w:bookmarkEnd w:id="42"/>
      <w:r w:rsidDel="00000000" w:rsidR="00000000" w:rsidRPr="00000000">
        <w:rPr>
          <w:rtl w:val="0"/>
        </w:rPr>
        <w:t xml:space="preserve">4.1 Project Cash Flow Summary</w:t>
      </w:r>
    </w:p>
    <w:tbl>
      <w:tblPr>
        <w:tblStyle w:val="Table23"/>
        <w:tblW w:w="9089.999999999998"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197"/>
        <w:gridCol w:w="2528"/>
        <w:gridCol w:w="1073"/>
        <w:gridCol w:w="1073"/>
        <w:gridCol w:w="1073"/>
        <w:gridCol w:w="1073"/>
        <w:gridCol w:w="1073"/>
        <w:tblGridChange w:id="0">
          <w:tblGrid>
            <w:gridCol w:w="1197"/>
            <w:gridCol w:w="2528"/>
            <w:gridCol w:w="1073"/>
            <w:gridCol w:w="1073"/>
            <w:gridCol w:w="1073"/>
            <w:gridCol w:w="1073"/>
            <w:gridCol w:w="1073"/>
          </w:tblGrid>
        </w:tblGridChange>
      </w:tblGrid>
      <w:tr>
        <w:trPr>
          <w:cantSplit w:val="0"/>
          <w:trHeight w:val="711" w:hRule="atLeast"/>
          <w:tblHeader w:val="0"/>
        </w:trPr>
        <w:tc>
          <w:tcPr/>
          <w:p w:rsidR="00000000" w:rsidDel="00000000" w:rsidP="00000000" w:rsidRDefault="00000000" w:rsidRPr="00000000" w14:paraId="0000038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w:t>
            </w:r>
          </w:p>
        </w:tc>
        <w:tc>
          <w:tcPr/>
          <w:p w:rsidR="00000000" w:rsidDel="00000000" w:rsidP="00000000" w:rsidRDefault="00000000" w:rsidRPr="00000000" w14:paraId="0000038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Initial Investment</w:t>
            </w:r>
          </w:p>
        </w:tc>
        <w:tc>
          <w:tcPr/>
          <w:p w:rsidR="00000000" w:rsidDel="00000000" w:rsidP="00000000" w:rsidRDefault="00000000" w:rsidRPr="00000000" w14:paraId="0000038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 1</w:t>
            </w:r>
          </w:p>
        </w:tc>
        <w:tc>
          <w:tcPr/>
          <w:p w:rsidR="00000000" w:rsidDel="00000000" w:rsidP="00000000" w:rsidRDefault="00000000" w:rsidRPr="00000000" w14:paraId="0000038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 2</w:t>
            </w:r>
          </w:p>
        </w:tc>
        <w:tc>
          <w:tcPr/>
          <w:p w:rsidR="00000000" w:rsidDel="00000000" w:rsidP="00000000" w:rsidRDefault="00000000" w:rsidRPr="00000000" w14:paraId="0000038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 3</w:t>
            </w:r>
          </w:p>
        </w:tc>
        <w:tc>
          <w:tcPr/>
          <w:p w:rsidR="00000000" w:rsidDel="00000000" w:rsidP="00000000" w:rsidRDefault="00000000" w:rsidRPr="00000000" w14:paraId="0000038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 4</w:t>
            </w:r>
          </w:p>
        </w:tc>
        <w:tc>
          <w:tcPr/>
          <w:p w:rsidR="00000000" w:rsidDel="00000000" w:rsidP="00000000" w:rsidRDefault="00000000" w:rsidRPr="00000000" w14:paraId="0000038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 5</w:t>
            </w:r>
          </w:p>
        </w:tc>
      </w:tr>
      <w:tr>
        <w:trPr>
          <w:cantSplit w:val="0"/>
          <w:trHeight w:val="692" w:hRule="atLeast"/>
          <w:tblHeader w:val="0"/>
        </w:trPr>
        <w:tc>
          <w:tcPr/>
          <w:p w:rsidR="00000000" w:rsidDel="00000000" w:rsidP="00000000" w:rsidRDefault="00000000" w:rsidRPr="00000000" w14:paraId="0000038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38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£40m</w:t>
            </w:r>
          </w:p>
        </w:tc>
        <w:tc>
          <w:tcPr/>
          <w:p w:rsidR="00000000" w:rsidDel="00000000" w:rsidP="00000000" w:rsidRDefault="00000000" w:rsidRPr="00000000" w14:paraId="0000038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38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w:t>
            </w:r>
          </w:p>
        </w:tc>
        <w:tc>
          <w:tcPr/>
          <w:p w:rsidR="00000000" w:rsidDel="00000000" w:rsidP="00000000" w:rsidRDefault="00000000" w:rsidRPr="00000000" w14:paraId="0000038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14</w:t>
            </w:r>
          </w:p>
        </w:tc>
        <w:tc>
          <w:tcPr/>
          <w:p w:rsidR="00000000" w:rsidDel="00000000" w:rsidP="00000000" w:rsidRDefault="00000000" w:rsidRPr="00000000" w14:paraId="0000039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39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8</w:t>
            </w:r>
          </w:p>
        </w:tc>
      </w:tr>
      <w:tr>
        <w:trPr>
          <w:cantSplit w:val="0"/>
          <w:trHeight w:val="711" w:hRule="atLeast"/>
          <w:tblHeader w:val="0"/>
        </w:trPr>
        <w:tc>
          <w:tcPr/>
          <w:p w:rsidR="00000000" w:rsidDel="00000000" w:rsidP="00000000" w:rsidRDefault="00000000" w:rsidRPr="00000000" w14:paraId="0000039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39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£30m</w:t>
            </w:r>
          </w:p>
        </w:tc>
        <w:tc>
          <w:tcPr/>
          <w:p w:rsidR="00000000" w:rsidDel="00000000" w:rsidP="00000000" w:rsidRDefault="00000000" w:rsidRPr="00000000" w14:paraId="0000039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9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9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9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9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r>
      <w:tr>
        <w:trPr>
          <w:cantSplit w:val="0"/>
          <w:trHeight w:val="711" w:hRule="atLeast"/>
          <w:tblHeader w:val="0"/>
        </w:trPr>
        <w:tc>
          <w:tcPr/>
          <w:p w:rsidR="00000000" w:rsidDel="00000000" w:rsidP="00000000" w:rsidRDefault="00000000" w:rsidRPr="00000000" w14:paraId="0000039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39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£50m</w:t>
            </w:r>
          </w:p>
        </w:tc>
        <w:tc>
          <w:tcPr/>
          <w:p w:rsidR="00000000" w:rsidDel="00000000" w:rsidP="00000000" w:rsidRDefault="00000000" w:rsidRPr="00000000" w14:paraId="0000039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39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39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w:t>
            </w:r>
          </w:p>
        </w:tc>
        <w:tc>
          <w:tcPr/>
          <w:p w:rsidR="00000000" w:rsidDel="00000000" w:rsidP="00000000" w:rsidRDefault="00000000" w:rsidRPr="00000000" w14:paraId="0000039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25</w:t>
            </w:r>
          </w:p>
        </w:tc>
        <w:tc>
          <w:tcPr/>
          <w:p w:rsidR="00000000" w:rsidDel="00000000" w:rsidP="00000000" w:rsidRDefault="00000000" w:rsidRPr="00000000" w14:paraId="0000039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w:t>
            </w:r>
          </w:p>
        </w:tc>
      </w:tr>
    </w:tbl>
    <w:p w:rsidR="00000000" w:rsidDel="00000000" w:rsidP="00000000" w:rsidRDefault="00000000" w:rsidRPr="00000000" w14:paraId="000003A0">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3A1">
      <w:pPr>
        <w:spacing w:line="360" w:lineRule="auto"/>
        <w:rPr>
          <w:rFonts w:ascii="Arial" w:cs="Arial" w:eastAsia="Arial" w:hAnsi="Arial"/>
        </w:rPr>
      </w:pPr>
      <w:r w:rsidDel="00000000" w:rsidR="00000000" w:rsidRPr="00000000">
        <w:rPr>
          <w:rFonts w:ascii="Arial" w:cs="Arial" w:eastAsia="Arial" w:hAnsi="Arial"/>
          <w:b w:val="1"/>
          <w:bCs w:val="1"/>
          <w:rtl w:val="0"/>
        </w:rPr>
        <w:t xml:space="preserve">Discount rate = 10%</w:t>
      </w:r>
      <w:r w:rsidDel="00000000" w:rsidR="00000000" w:rsidRPr="00000000">
        <w:rPr>
          <w:rFonts w:ascii="Arial" w:cs="Arial" w:eastAsia="Arial" w:hAnsi="Arial"/>
          <w:rtl w:val="0"/>
        </w:rPr>
        <w:br w:type="textWrapping"/>
      </w:r>
      <w:r w:rsidDel="00000000" w:rsidR="00000000" w:rsidRPr="00000000">
        <w:rPr>
          <w:rFonts w:ascii="Arial" w:cs="Arial" w:eastAsia="Arial" w:hAnsi="Arial"/>
          <w:b w:val="1"/>
          <w:bCs w:val="1"/>
          <w:rtl w:val="0"/>
        </w:rPr>
        <w:t xml:space="preserve">Depreciation = Straight-line to zero</w:t>
      </w:r>
      <w:r w:rsidDel="00000000" w:rsidR="00000000" w:rsidRPr="00000000">
        <w:rPr>
          <w:rtl w:val="0"/>
        </w:rPr>
      </w:r>
    </w:p>
    <w:p w:rsidR="00000000" w:rsidDel="00000000" w:rsidP="00000000" w:rsidRDefault="00000000" w:rsidRPr="00000000" w14:paraId="000003A2">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A3">
      <w:pPr>
        <w:pStyle w:val="Heading2"/>
        <w:rPr/>
      </w:pPr>
      <w:bookmarkStart w:colFirst="0" w:colLast="0" w:name="_v2ylo4ajjow4" w:id="43"/>
      <w:bookmarkEnd w:id="43"/>
      <w:r w:rsidDel="00000000" w:rsidR="00000000" w:rsidRPr="00000000">
        <w:rPr>
          <w:rtl w:val="0"/>
        </w:rPr>
        <w:t xml:space="preserve">4.2 Payback Period (PBP)</w:t>
      </w:r>
    </w:p>
    <w:p w:rsidR="00000000" w:rsidDel="00000000" w:rsidP="00000000" w:rsidRDefault="00000000" w:rsidRPr="00000000" w14:paraId="000003A4">
      <w:pPr>
        <w:spacing w:line="360" w:lineRule="auto"/>
        <w:rPr>
          <w:rFonts w:ascii="Arial" w:cs="Arial" w:eastAsia="Arial" w:hAnsi="Arial"/>
        </w:rPr>
      </w:pPr>
      <w:r w:rsidDel="00000000" w:rsidR="00000000" w:rsidRPr="00000000">
        <w:rPr>
          <w:rFonts w:ascii="Arial" w:cs="Arial" w:eastAsia="Arial" w:hAnsi="Arial"/>
          <w:rtl w:val="0"/>
        </w:rPr>
        <w:t xml:space="preserve">The PBP measures how long it takes to recover the initial investment.</w:t>
      </w:r>
    </w:p>
    <w:p w:rsidR="00000000" w:rsidDel="00000000" w:rsidP="00000000" w:rsidRDefault="00000000" w:rsidRPr="00000000" w14:paraId="000003A5">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Project A-Payback Calculation</w:t>
      </w:r>
    </w:p>
    <w:tbl>
      <w:tblPr>
        <w:tblStyle w:val="Table24"/>
        <w:tblW w:w="880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779"/>
        <w:gridCol w:w="3317"/>
        <w:gridCol w:w="3710"/>
        <w:tblGridChange w:id="0">
          <w:tblGrid>
            <w:gridCol w:w="1779"/>
            <w:gridCol w:w="3317"/>
            <w:gridCol w:w="3710"/>
          </w:tblGrid>
        </w:tblGridChange>
      </w:tblGrid>
      <w:tr>
        <w:trPr>
          <w:cantSplit w:val="0"/>
          <w:trHeight w:val="490" w:hRule="atLeast"/>
          <w:tblHeader w:val="0"/>
        </w:trPr>
        <w:tc>
          <w:tcPr/>
          <w:p w:rsidR="00000000" w:rsidDel="00000000" w:rsidP="00000000" w:rsidRDefault="00000000" w:rsidRPr="00000000" w14:paraId="000003A6">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3A7">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3A8">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Cumulative</w:t>
            </w:r>
          </w:p>
        </w:tc>
      </w:tr>
      <w:tr>
        <w:trPr>
          <w:cantSplit w:val="0"/>
          <w:trHeight w:val="477" w:hRule="atLeast"/>
          <w:tblHeader w:val="0"/>
        </w:trPr>
        <w:tc>
          <w:tcPr/>
          <w:p w:rsidR="00000000" w:rsidDel="00000000" w:rsidP="00000000" w:rsidRDefault="00000000" w:rsidRPr="00000000" w14:paraId="000003A9">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3AA">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3AB">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10</w:t>
            </w:r>
          </w:p>
        </w:tc>
      </w:tr>
      <w:tr>
        <w:trPr>
          <w:cantSplit w:val="0"/>
          <w:trHeight w:val="490" w:hRule="atLeast"/>
          <w:tblHeader w:val="0"/>
        </w:trPr>
        <w:tc>
          <w:tcPr/>
          <w:p w:rsidR="00000000" w:rsidDel="00000000" w:rsidP="00000000" w:rsidRDefault="00000000" w:rsidRPr="00000000" w14:paraId="000003AC">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3AD">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12</w:t>
            </w:r>
          </w:p>
        </w:tc>
        <w:tc>
          <w:tcPr/>
          <w:p w:rsidR="00000000" w:rsidDel="00000000" w:rsidP="00000000" w:rsidRDefault="00000000" w:rsidRPr="00000000" w14:paraId="000003AE">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22</w:t>
            </w:r>
          </w:p>
        </w:tc>
      </w:tr>
      <w:tr>
        <w:trPr>
          <w:cantSplit w:val="0"/>
          <w:trHeight w:val="490" w:hRule="atLeast"/>
          <w:tblHeader w:val="0"/>
        </w:trPr>
        <w:tc>
          <w:tcPr/>
          <w:p w:rsidR="00000000" w:rsidDel="00000000" w:rsidP="00000000" w:rsidRDefault="00000000" w:rsidRPr="00000000" w14:paraId="000003AF">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3B0">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14</w:t>
            </w:r>
          </w:p>
        </w:tc>
        <w:tc>
          <w:tcPr/>
          <w:p w:rsidR="00000000" w:rsidDel="00000000" w:rsidP="00000000" w:rsidRDefault="00000000" w:rsidRPr="00000000" w14:paraId="000003B1">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36</w:t>
            </w:r>
          </w:p>
        </w:tc>
      </w:tr>
      <w:tr>
        <w:trPr>
          <w:cantSplit w:val="0"/>
          <w:trHeight w:val="477" w:hRule="atLeast"/>
          <w:tblHeader w:val="0"/>
        </w:trPr>
        <w:tc>
          <w:tcPr/>
          <w:p w:rsidR="00000000" w:rsidDel="00000000" w:rsidP="00000000" w:rsidRDefault="00000000" w:rsidRPr="00000000" w14:paraId="000003B2">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3B3">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3B4">
            <w:pPr>
              <w:spacing w:after="160" w:line="360" w:lineRule="auto"/>
              <w:jc w:val="center"/>
              <w:rPr>
                <w:rFonts w:ascii="Arial" w:cs="Arial" w:eastAsia="Arial" w:hAnsi="Arial"/>
              </w:rPr>
            </w:pPr>
            <w:r w:rsidDel="00000000" w:rsidR="00000000" w:rsidRPr="00000000">
              <w:rPr>
                <w:rFonts w:ascii="Arial" w:cs="Arial" w:eastAsia="Arial" w:hAnsi="Arial"/>
                <w:rtl w:val="0"/>
              </w:rPr>
              <w:t xml:space="preserve">46</w:t>
            </w:r>
          </w:p>
        </w:tc>
      </w:tr>
    </w:tbl>
    <w:p w:rsidR="00000000" w:rsidDel="00000000" w:rsidP="00000000" w:rsidRDefault="00000000" w:rsidRPr="00000000" w14:paraId="000003B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3B6">
      <w:pPr>
        <w:spacing w:line="360" w:lineRule="auto"/>
        <w:rPr>
          <w:rFonts w:ascii="Arial" w:cs="Arial" w:eastAsia="Arial" w:hAnsi="Arial"/>
        </w:rPr>
      </w:pPr>
      <w:r w:rsidDel="00000000" w:rsidR="00000000" w:rsidRPr="00000000">
        <w:rPr>
          <w:rFonts w:ascii="Arial" w:cs="Arial" w:eastAsia="Arial" w:hAnsi="Arial"/>
          <w:rtl w:val="0"/>
        </w:rPr>
        <w:t xml:space="preserve">Still short at end of year 3 (36 &lt; 40).</w:t>
        <w:br w:type="textWrapping"/>
        <w:t xml:space="preserve">Needed = 40 – 36 = </w:t>
      </w:r>
      <w:r w:rsidDel="00000000" w:rsidR="00000000" w:rsidRPr="00000000">
        <w:rPr>
          <w:rFonts w:ascii="Arial" w:cs="Arial" w:eastAsia="Arial" w:hAnsi="Arial"/>
          <w:b w:val="1"/>
          <w:bCs w:val="1"/>
          <w:rtl w:val="0"/>
        </w:rPr>
        <w:t xml:space="preserve">4m</w:t>
      </w:r>
      <w:r w:rsidDel="00000000" w:rsidR="00000000" w:rsidRPr="00000000">
        <w:rPr>
          <w:rtl w:val="0"/>
        </w:rPr>
      </w:r>
    </w:p>
    <w:p w:rsidR="00000000" w:rsidDel="00000000" w:rsidP="00000000" w:rsidRDefault="00000000" w:rsidRPr="00000000" w14:paraId="000003B7">
      <w:pPr>
        <w:spacing w:line="360" w:lineRule="auto"/>
        <w:rPr>
          <w:rFonts w:ascii="Arial" w:cs="Arial" w:eastAsia="Arial" w:hAnsi="Arial"/>
        </w:rPr>
      </w:pPr>
      <w:r w:rsidDel="00000000" w:rsidR="00000000" w:rsidRPr="00000000">
        <w:rPr>
          <w:rFonts w:ascii="Arial" w:cs="Arial" w:eastAsia="Arial" w:hAnsi="Arial"/>
          <w:rtl w:val="0"/>
        </w:rPr>
        <w:t xml:space="preserve">Fraction of Year 4 = 4/10 = </w:t>
      </w:r>
      <w:r w:rsidDel="00000000" w:rsidR="00000000" w:rsidRPr="00000000">
        <w:rPr>
          <w:rFonts w:ascii="Arial" w:cs="Arial" w:eastAsia="Arial" w:hAnsi="Arial"/>
          <w:b w:val="1"/>
          <w:bCs w:val="1"/>
          <w:rtl w:val="0"/>
        </w:rPr>
        <w:t xml:space="preserve">0.4 years</w:t>
      </w:r>
      <w:r w:rsidDel="00000000" w:rsidR="00000000" w:rsidRPr="00000000">
        <w:rPr>
          <w:rtl w:val="0"/>
        </w:rPr>
      </w:r>
    </w:p>
    <w:p w:rsidR="00000000" w:rsidDel="00000000" w:rsidP="00000000" w:rsidRDefault="00000000" w:rsidRPr="00000000" w14:paraId="000003B8">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Payback A = 3.4 years</w:t>
      </w:r>
    </w:p>
    <w:p w:rsidR="00000000" w:rsidDel="00000000" w:rsidP="00000000" w:rsidRDefault="00000000" w:rsidRPr="00000000" w14:paraId="000003B9">
      <w:pPr>
        <w:rPr>
          <w:rFonts w:ascii="Arial" w:cs="Arial" w:eastAsia="Arial" w:hAnsi="Arial"/>
          <w:b w:val="1"/>
          <w:bCs w:val="1"/>
        </w:rPr>
      </w:pPr>
      <w:r w:rsidDel="00000000" w:rsidR="00000000" w:rsidRPr="00000000">
        <w:rPr>
          <w:rFonts w:ascii="Arial" w:cs="Arial" w:eastAsia="Arial" w:hAnsi="Arial"/>
          <w:b w:val="1"/>
          <w:bCs w:val="1"/>
          <w:rtl w:val="0"/>
        </w:rPr>
        <w:t xml:space="preserve">Project B-Payback Calculation</w:t>
      </w:r>
    </w:p>
    <w:tbl>
      <w:tblPr>
        <w:tblStyle w:val="Table25"/>
        <w:tblW w:w="820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657"/>
        <w:gridCol w:w="3091"/>
        <w:gridCol w:w="3457"/>
        <w:tblGridChange w:id="0">
          <w:tblGrid>
            <w:gridCol w:w="1657"/>
            <w:gridCol w:w="3091"/>
            <w:gridCol w:w="3457"/>
          </w:tblGrid>
        </w:tblGridChange>
      </w:tblGrid>
      <w:tr>
        <w:trPr>
          <w:cantSplit w:val="0"/>
          <w:trHeight w:val="565" w:hRule="atLeast"/>
          <w:tblHeader w:val="0"/>
        </w:trPr>
        <w:tc>
          <w:tcPr/>
          <w:p w:rsidR="00000000" w:rsidDel="00000000" w:rsidP="00000000" w:rsidRDefault="00000000" w:rsidRPr="00000000" w14:paraId="000003B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3B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3B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Cumulative</w:t>
            </w:r>
          </w:p>
        </w:tc>
      </w:tr>
      <w:tr>
        <w:trPr>
          <w:cantSplit w:val="0"/>
          <w:trHeight w:val="549" w:hRule="atLeast"/>
          <w:tblHeader w:val="0"/>
        </w:trPr>
        <w:tc>
          <w:tcPr/>
          <w:p w:rsidR="00000000" w:rsidDel="00000000" w:rsidP="00000000" w:rsidRDefault="00000000" w:rsidRPr="00000000" w14:paraId="000003B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3B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B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r>
      <w:tr>
        <w:trPr>
          <w:cantSplit w:val="0"/>
          <w:trHeight w:val="565" w:hRule="atLeast"/>
          <w:tblHeader w:val="0"/>
        </w:trPr>
        <w:tc>
          <w:tcPr/>
          <w:p w:rsidR="00000000" w:rsidDel="00000000" w:rsidP="00000000" w:rsidRDefault="00000000" w:rsidRPr="00000000" w14:paraId="000003C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3C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C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w:t>
            </w:r>
          </w:p>
        </w:tc>
      </w:tr>
      <w:tr>
        <w:trPr>
          <w:cantSplit w:val="0"/>
          <w:trHeight w:val="565" w:hRule="atLeast"/>
          <w:tblHeader w:val="0"/>
        </w:trPr>
        <w:tc>
          <w:tcPr/>
          <w:p w:rsidR="00000000" w:rsidDel="00000000" w:rsidP="00000000" w:rsidRDefault="00000000" w:rsidRPr="00000000" w14:paraId="000003C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3C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C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18</w:t>
            </w:r>
          </w:p>
        </w:tc>
      </w:tr>
      <w:tr>
        <w:trPr>
          <w:cantSplit w:val="0"/>
          <w:trHeight w:val="565" w:hRule="atLeast"/>
          <w:tblHeader w:val="0"/>
        </w:trPr>
        <w:tc>
          <w:tcPr/>
          <w:p w:rsidR="00000000" w:rsidDel="00000000" w:rsidP="00000000" w:rsidRDefault="00000000" w:rsidRPr="00000000" w14:paraId="000003C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3C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C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24</w:t>
            </w:r>
          </w:p>
        </w:tc>
      </w:tr>
      <w:tr>
        <w:trPr>
          <w:cantSplit w:val="0"/>
          <w:trHeight w:val="549" w:hRule="atLeast"/>
          <w:tblHeader w:val="0"/>
        </w:trPr>
        <w:tc>
          <w:tcPr/>
          <w:p w:rsidR="00000000" w:rsidDel="00000000" w:rsidP="00000000" w:rsidRDefault="00000000" w:rsidRPr="00000000" w14:paraId="000003C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3C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3C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30</w:t>
            </w:r>
          </w:p>
        </w:tc>
      </w:tr>
    </w:tbl>
    <w:p w:rsidR="00000000" w:rsidDel="00000000" w:rsidP="00000000" w:rsidRDefault="00000000" w:rsidRPr="00000000" w14:paraId="000003CC">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3CD">
      <w:pPr>
        <w:spacing w:line="360" w:lineRule="auto"/>
        <w:rPr>
          <w:rFonts w:ascii="Arial" w:cs="Arial" w:eastAsia="Arial" w:hAnsi="Arial"/>
        </w:rPr>
      </w:pPr>
      <w:r w:rsidDel="00000000" w:rsidR="00000000" w:rsidRPr="00000000">
        <w:rPr>
          <w:rFonts w:ascii="Arial" w:cs="Arial" w:eastAsia="Arial" w:hAnsi="Arial"/>
          <w:rtl w:val="0"/>
        </w:rPr>
        <w:t xml:space="preserve">Initial investment = </w:t>
      </w:r>
      <w:r w:rsidDel="00000000" w:rsidR="00000000" w:rsidRPr="00000000">
        <w:rPr>
          <w:rFonts w:ascii="Arial" w:cs="Arial" w:eastAsia="Arial" w:hAnsi="Arial"/>
          <w:b w:val="1"/>
          <w:bCs w:val="1"/>
          <w:rtl w:val="0"/>
        </w:rPr>
        <w:t xml:space="preserve">30m</w:t>
      </w:r>
      <w:r w:rsidDel="00000000" w:rsidR="00000000" w:rsidRPr="00000000">
        <w:rPr>
          <w:rFonts w:ascii="Arial" w:cs="Arial" w:eastAsia="Arial" w:hAnsi="Arial"/>
          <w:rtl w:val="0"/>
        </w:rPr>
        <w:br w:type="textWrapping"/>
        <w:t xml:space="preserve">Cumulative reaches </w:t>
      </w:r>
      <w:r w:rsidDel="00000000" w:rsidR="00000000" w:rsidRPr="00000000">
        <w:rPr>
          <w:rFonts w:ascii="Arial" w:cs="Arial" w:eastAsia="Arial" w:hAnsi="Arial"/>
          <w:b w:val="1"/>
          <w:bCs w:val="1"/>
          <w:rtl w:val="0"/>
        </w:rPr>
        <w:t xml:space="preserve">30m exactly in year 5.</w:t>
      </w:r>
      <w:r w:rsidDel="00000000" w:rsidR="00000000" w:rsidRPr="00000000">
        <w:rPr>
          <w:rtl w:val="0"/>
        </w:rPr>
      </w:r>
    </w:p>
    <w:p w:rsidR="00000000" w:rsidDel="00000000" w:rsidP="00000000" w:rsidRDefault="00000000" w:rsidRPr="00000000" w14:paraId="000003CE">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Payback B = 5 years</w:t>
      </w:r>
    </w:p>
    <w:p w:rsidR="00000000" w:rsidDel="00000000" w:rsidP="00000000" w:rsidRDefault="00000000" w:rsidRPr="00000000" w14:paraId="000003CF">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3D0">
      <w:pPr>
        <w:rPr>
          <w:rFonts w:ascii="Arial" w:cs="Arial" w:eastAsia="Arial" w:hAnsi="Arial"/>
          <w:b w:val="1"/>
          <w:bCs w:val="1"/>
        </w:rPr>
      </w:pPr>
      <w:r w:rsidDel="00000000" w:rsidR="00000000" w:rsidRPr="00000000">
        <w:rPr>
          <w:rFonts w:ascii="Arial" w:cs="Arial" w:eastAsia="Arial" w:hAnsi="Arial"/>
          <w:b w:val="1"/>
          <w:bCs w:val="1"/>
          <w:rtl w:val="0"/>
        </w:rPr>
        <w:t xml:space="preserve">Project C-Payback Calculation</w:t>
      </w:r>
    </w:p>
    <w:tbl>
      <w:tblPr>
        <w:tblStyle w:val="Table26"/>
        <w:tblW w:w="909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838"/>
        <w:gridCol w:w="3427"/>
        <w:gridCol w:w="3833"/>
        <w:tblGridChange w:id="0">
          <w:tblGrid>
            <w:gridCol w:w="1838"/>
            <w:gridCol w:w="3427"/>
            <w:gridCol w:w="3833"/>
          </w:tblGrid>
        </w:tblGridChange>
      </w:tblGrid>
      <w:tr>
        <w:trPr>
          <w:cantSplit w:val="0"/>
          <w:trHeight w:val="540" w:hRule="atLeast"/>
          <w:tblHeader w:val="0"/>
        </w:trPr>
        <w:tc>
          <w:tcPr/>
          <w:p w:rsidR="00000000" w:rsidDel="00000000" w:rsidP="00000000" w:rsidRDefault="00000000" w:rsidRPr="00000000" w14:paraId="000003D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3D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3D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Cumulative</w:t>
            </w:r>
          </w:p>
        </w:tc>
      </w:tr>
      <w:tr>
        <w:trPr>
          <w:cantSplit w:val="0"/>
          <w:trHeight w:val="525" w:hRule="atLeast"/>
          <w:tblHeader w:val="0"/>
        </w:trPr>
        <w:tc>
          <w:tcPr/>
          <w:p w:rsidR="00000000" w:rsidDel="00000000" w:rsidP="00000000" w:rsidRDefault="00000000" w:rsidRPr="00000000" w14:paraId="000003D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3D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3D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r>
      <w:tr>
        <w:trPr>
          <w:cantSplit w:val="0"/>
          <w:trHeight w:val="540" w:hRule="atLeast"/>
          <w:tblHeader w:val="0"/>
        </w:trPr>
        <w:tc>
          <w:tcPr/>
          <w:p w:rsidR="00000000" w:rsidDel="00000000" w:rsidP="00000000" w:rsidRDefault="00000000" w:rsidRPr="00000000" w14:paraId="000003D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3D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3D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w:t>
            </w:r>
          </w:p>
        </w:tc>
      </w:tr>
      <w:tr>
        <w:trPr>
          <w:cantSplit w:val="0"/>
          <w:trHeight w:val="540" w:hRule="atLeast"/>
          <w:tblHeader w:val="0"/>
        </w:trPr>
        <w:tc>
          <w:tcPr/>
          <w:p w:rsidR="00000000" w:rsidDel="00000000" w:rsidP="00000000" w:rsidRDefault="00000000" w:rsidRPr="00000000" w14:paraId="000003D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3D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w:t>
            </w:r>
          </w:p>
        </w:tc>
        <w:tc>
          <w:tcPr/>
          <w:p w:rsidR="00000000" w:rsidDel="00000000" w:rsidP="00000000" w:rsidRDefault="00000000" w:rsidRPr="00000000" w14:paraId="000003D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35</w:t>
            </w:r>
          </w:p>
        </w:tc>
      </w:tr>
      <w:tr>
        <w:trPr>
          <w:cantSplit w:val="0"/>
          <w:trHeight w:val="525" w:hRule="atLeast"/>
          <w:tblHeader w:val="0"/>
        </w:trPr>
        <w:tc>
          <w:tcPr/>
          <w:p w:rsidR="00000000" w:rsidDel="00000000" w:rsidP="00000000" w:rsidRDefault="00000000" w:rsidRPr="00000000" w14:paraId="000003D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3D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25</w:t>
            </w:r>
          </w:p>
        </w:tc>
        <w:tc>
          <w:tcPr/>
          <w:p w:rsidR="00000000" w:rsidDel="00000000" w:rsidP="00000000" w:rsidRDefault="00000000" w:rsidRPr="00000000" w14:paraId="000003D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60</w:t>
            </w:r>
          </w:p>
        </w:tc>
      </w:tr>
    </w:tbl>
    <w:p w:rsidR="00000000" w:rsidDel="00000000" w:rsidP="00000000" w:rsidRDefault="00000000" w:rsidRPr="00000000" w14:paraId="000003E0">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3E1">
      <w:pPr>
        <w:spacing w:line="360" w:lineRule="auto"/>
        <w:rPr>
          <w:rFonts w:ascii="Arial" w:cs="Arial" w:eastAsia="Arial" w:hAnsi="Arial"/>
        </w:rPr>
      </w:pPr>
      <w:r w:rsidDel="00000000" w:rsidR="00000000" w:rsidRPr="00000000">
        <w:rPr>
          <w:rFonts w:ascii="Arial" w:cs="Arial" w:eastAsia="Arial" w:hAnsi="Arial"/>
          <w:rtl w:val="0"/>
        </w:rPr>
        <w:t xml:space="preserve">Reached 50m during Year 4.</w:t>
      </w:r>
    </w:p>
    <w:p w:rsidR="00000000" w:rsidDel="00000000" w:rsidP="00000000" w:rsidRDefault="00000000" w:rsidRPr="00000000" w14:paraId="000003E2">
      <w:pPr>
        <w:spacing w:line="360" w:lineRule="auto"/>
        <w:rPr>
          <w:rFonts w:ascii="Arial" w:cs="Arial" w:eastAsia="Arial" w:hAnsi="Arial"/>
        </w:rPr>
      </w:pPr>
      <w:r w:rsidDel="00000000" w:rsidR="00000000" w:rsidRPr="00000000">
        <w:rPr>
          <w:rFonts w:ascii="Arial" w:cs="Arial" w:eastAsia="Arial" w:hAnsi="Arial"/>
          <w:rtl w:val="0"/>
        </w:rPr>
        <w:t xml:space="preserve">Needed = 50 – 35 = 15m</w:t>
        <w:br w:type="textWrapping"/>
        <w:t xml:space="preserve">Fraction of Year 4 = 15/25 = </w:t>
      </w:r>
      <w:r w:rsidDel="00000000" w:rsidR="00000000" w:rsidRPr="00000000">
        <w:rPr>
          <w:rFonts w:ascii="Arial" w:cs="Arial" w:eastAsia="Arial" w:hAnsi="Arial"/>
          <w:b w:val="1"/>
          <w:bCs w:val="1"/>
          <w:rtl w:val="0"/>
        </w:rPr>
        <w:t xml:space="preserve">0.6 years</w:t>
      </w:r>
      <w:r w:rsidDel="00000000" w:rsidR="00000000" w:rsidRPr="00000000">
        <w:rPr>
          <w:rtl w:val="0"/>
        </w:rPr>
      </w:r>
    </w:p>
    <w:p w:rsidR="00000000" w:rsidDel="00000000" w:rsidP="00000000" w:rsidRDefault="00000000" w:rsidRPr="00000000" w14:paraId="000003E3">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Payback C = 3.6 years</w:t>
      </w:r>
    </w:p>
    <w:p w:rsidR="00000000" w:rsidDel="00000000" w:rsidP="00000000" w:rsidRDefault="00000000" w:rsidRPr="00000000" w14:paraId="000003E4">
      <w:pPr>
        <w:rPr>
          <w:rFonts w:ascii="Arial" w:cs="Arial" w:eastAsia="Arial" w:hAnsi="Arial"/>
          <w:b w:val="1"/>
          <w:bCs w:val="1"/>
        </w:rPr>
      </w:pPr>
      <w:r w:rsidDel="00000000" w:rsidR="00000000" w:rsidRPr="00000000">
        <w:rPr>
          <w:rFonts w:ascii="Arial" w:cs="Arial" w:eastAsia="Arial" w:hAnsi="Arial"/>
          <w:b w:val="1"/>
          <w:bCs w:val="1"/>
          <w:rtl w:val="0"/>
        </w:rPr>
        <w:t xml:space="preserve">PBP Conclusion</w:t>
      </w:r>
    </w:p>
    <w:tbl>
      <w:tblPr>
        <w:tblStyle w:val="Table27"/>
        <w:tblW w:w="918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35"/>
        <w:gridCol w:w="5552"/>
        <w:tblGridChange w:id="0">
          <w:tblGrid>
            <w:gridCol w:w="3635"/>
            <w:gridCol w:w="5552"/>
          </w:tblGrid>
        </w:tblGridChange>
      </w:tblGrid>
      <w:tr>
        <w:trPr>
          <w:cantSplit w:val="0"/>
          <w:trHeight w:val="581" w:hRule="atLeast"/>
          <w:tblHeader w:val="0"/>
        </w:trPr>
        <w:tc>
          <w:tcPr/>
          <w:p w:rsidR="00000000" w:rsidDel="00000000" w:rsidP="00000000" w:rsidRDefault="00000000" w:rsidRPr="00000000" w14:paraId="000003E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w:t>
            </w:r>
          </w:p>
        </w:tc>
        <w:tc>
          <w:tcPr/>
          <w:p w:rsidR="00000000" w:rsidDel="00000000" w:rsidP="00000000" w:rsidRDefault="00000000" w:rsidRPr="00000000" w14:paraId="000003E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PBP (Years)</w:t>
            </w:r>
          </w:p>
        </w:tc>
      </w:tr>
      <w:tr>
        <w:trPr>
          <w:cantSplit w:val="0"/>
          <w:trHeight w:val="565" w:hRule="atLeast"/>
          <w:tblHeader w:val="0"/>
        </w:trPr>
        <w:tc>
          <w:tcPr/>
          <w:p w:rsidR="00000000" w:rsidDel="00000000" w:rsidP="00000000" w:rsidRDefault="00000000" w:rsidRPr="00000000" w14:paraId="000003E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3E8">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3.4</w:t>
            </w:r>
            <w:r w:rsidDel="00000000" w:rsidR="00000000" w:rsidRPr="00000000">
              <w:rPr>
                <w:rFonts w:ascii="Arial" w:cs="Arial" w:eastAsia="Arial" w:hAnsi="Arial"/>
                <w:rtl w:val="0"/>
              </w:rPr>
              <w:t xml:space="preserve"> (best)</w:t>
            </w:r>
          </w:p>
        </w:tc>
      </w:tr>
      <w:tr>
        <w:trPr>
          <w:cantSplit w:val="0"/>
          <w:trHeight w:val="581" w:hRule="atLeast"/>
          <w:tblHeader w:val="0"/>
        </w:trPr>
        <w:tc>
          <w:tcPr/>
          <w:p w:rsidR="00000000" w:rsidDel="00000000" w:rsidP="00000000" w:rsidRDefault="00000000" w:rsidRPr="00000000" w14:paraId="000003E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3E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5.0 (worst)</w:t>
            </w:r>
          </w:p>
        </w:tc>
      </w:tr>
      <w:tr>
        <w:trPr>
          <w:cantSplit w:val="0"/>
          <w:trHeight w:val="581" w:hRule="atLeast"/>
          <w:tblHeader w:val="0"/>
        </w:trPr>
        <w:tc>
          <w:tcPr/>
          <w:p w:rsidR="00000000" w:rsidDel="00000000" w:rsidP="00000000" w:rsidRDefault="00000000" w:rsidRPr="00000000" w14:paraId="000003E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3E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3.6</w:t>
            </w:r>
          </w:p>
        </w:tc>
      </w:tr>
    </w:tbl>
    <w:p w:rsidR="00000000" w:rsidDel="00000000" w:rsidP="00000000" w:rsidRDefault="00000000" w:rsidRPr="00000000" w14:paraId="000003ED">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3EE">
      <w:pPr>
        <w:spacing w:line="360" w:lineRule="auto"/>
        <w:rPr>
          <w:rFonts w:ascii="Arial" w:cs="Arial" w:eastAsia="Arial" w:hAnsi="Arial"/>
        </w:rPr>
      </w:pPr>
      <w:r w:rsidDel="00000000" w:rsidR="00000000" w:rsidRPr="00000000">
        <w:rPr>
          <w:rFonts w:ascii="Arial" w:cs="Arial" w:eastAsia="Arial" w:hAnsi="Arial"/>
          <w:b w:val="1"/>
          <w:bCs w:val="1"/>
          <w:rtl w:val="0"/>
        </w:rPr>
        <w:t xml:space="preserve">Project A</w:t>
      </w:r>
      <w:r w:rsidDel="00000000" w:rsidR="00000000" w:rsidRPr="00000000">
        <w:rPr>
          <w:rFonts w:ascii="Arial" w:cs="Arial" w:eastAsia="Arial" w:hAnsi="Arial"/>
          <w:rtl w:val="0"/>
        </w:rPr>
        <w:t xml:space="preserve"> recovers investment fastest.</w:t>
        <w:br w:type="textWrapping"/>
      </w:r>
      <w:r w:rsidDel="00000000" w:rsidR="00000000" w:rsidRPr="00000000">
        <w:rPr>
          <w:rFonts w:ascii="Arial" w:cs="Arial" w:eastAsia="Arial" w:hAnsi="Arial"/>
          <w:b w:val="1"/>
          <w:bCs w:val="1"/>
          <w:rtl w:val="0"/>
        </w:rPr>
        <w:t xml:space="preserve">Project C</w:t>
      </w:r>
      <w:r w:rsidDel="00000000" w:rsidR="00000000" w:rsidRPr="00000000">
        <w:rPr>
          <w:rFonts w:ascii="Arial" w:cs="Arial" w:eastAsia="Arial" w:hAnsi="Arial"/>
          <w:rtl w:val="0"/>
        </w:rPr>
        <w:t xml:space="preserve"> is close behind but with higher volatility.</w:t>
      </w:r>
    </w:p>
    <w:p w:rsidR="00000000" w:rsidDel="00000000" w:rsidP="00000000" w:rsidRDefault="00000000" w:rsidRPr="00000000" w14:paraId="000003EF">
      <w:pPr>
        <w:rPr>
          <w:rFonts w:ascii="Arial" w:cs="Arial" w:eastAsia="Arial" w:hAnsi="Arial"/>
          <w:b w:val="1"/>
          <w:bCs w:val="1"/>
          <w:color w:val="4c94d8"/>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3F0">
      <w:pPr>
        <w:pStyle w:val="Heading2"/>
        <w:rPr/>
      </w:pPr>
      <w:bookmarkStart w:colFirst="0" w:colLast="0" w:name="_gswdn745bij6" w:id="44"/>
      <w:bookmarkEnd w:id="44"/>
      <w:r w:rsidDel="00000000" w:rsidR="00000000" w:rsidRPr="00000000">
        <w:rPr>
          <w:rtl w:val="0"/>
        </w:rPr>
        <w:t xml:space="preserve">4.3 Accounting Rate of Return (ARR)</w:t>
      </w:r>
    </w:p>
    <w:p w:rsidR="00000000" w:rsidDel="00000000" w:rsidP="00000000" w:rsidRDefault="00000000" w:rsidRPr="00000000" w14:paraId="000003F1">
      <w:pPr>
        <w:spacing w:line="360" w:lineRule="auto"/>
        <w:rPr>
          <w:rFonts w:ascii="Arial" w:cs="Arial" w:eastAsia="Arial" w:hAnsi="Arial"/>
        </w:rPr>
      </w:pPr>
      <w:r w:rsidDel="00000000" w:rsidR="00000000" w:rsidRPr="00000000">
        <w:rPr>
          <w:rFonts w:ascii="Arial" w:cs="Arial" w:eastAsia="Arial" w:hAnsi="Arial"/>
          <w:b w:val="1"/>
          <w:bCs w:val="1"/>
          <w:rtl w:val="0"/>
        </w:rPr>
        <w:t xml:space="preserve">ARR</w:t>
      </w:r>
      <w:r w:rsidDel="00000000" w:rsidR="00000000" w:rsidRPr="00000000">
        <w:rPr>
          <w:rFonts w:ascii="Arial" w:cs="Arial" w:eastAsia="Arial" w:hAnsi="Arial"/>
          <w:rtl w:val="0"/>
        </w:rPr>
        <w:t xml:space="preserve"> = Average Annual Profit ÷ Initial Investment</w:t>
        <w:br w:type="textWrapping"/>
      </w:r>
      <w:r w:rsidDel="00000000" w:rsidR="00000000" w:rsidRPr="00000000">
        <w:rPr>
          <w:rFonts w:ascii="Arial" w:cs="Arial" w:eastAsia="Arial" w:hAnsi="Arial"/>
          <w:b w:val="1"/>
          <w:bCs w:val="1"/>
          <w:rtl w:val="0"/>
        </w:rPr>
        <w:t xml:space="preserve">Profit </w:t>
      </w:r>
      <w:r w:rsidDel="00000000" w:rsidR="00000000" w:rsidRPr="00000000">
        <w:rPr>
          <w:rFonts w:ascii="Arial" w:cs="Arial" w:eastAsia="Arial" w:hAnsi="Arial"/>
          <w:rtl w:val="0"/>
        </w:rPr>
        <w:t xml:space="preserve">= Cash flow – Depreciation</w:t>
      </w:r>
    </w:p>
    <w:p w:rsidR="00000000" w:rsidDel="00000000" w:rsidP="00000000" w:rsidRDefault="00000000" w:rsidRPr="00000000" w14:paraId="000003F2">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Depreciation</w:t>
      </w:r>
    </w:p>
    <w:p w:rsidR="00000000" w:rsidDel="00000000" w:rsidP="00000000" w:rsidRDefault="00000000" w:rsidRPr="00000000" w14:paraId="000003F3">
      <w:pPr>
        <w:numPr>
          <w:ilvl w:val="0"/>
          <w:numId w:val="3"/>
        </w:numPr>
        <w:spacing w:line="360" w:lineRule="auto"/>
        <w:ind w:left="720" w:hanging="360"/>
        <w:rPr/>
      </w:pPr>
      <w:r w:rsidDel="00000000" w:rsidR="00000000" w:rsidRPr="00000000">
        <w:rPr>
          <w:rFonts w:ascii="Arial" w:cs="Arial" w:eastAsia="Arial" w:hAnsi="Arial"/>
          <w:rtl w:val="0"/>
        </w:rPr>
        <w:t xml:space="preserve">A: 40/5 = </w:t>
      </w:r>
      <w:r w:rsidDel="00000000" w:rsidR="00000000" w:rsidRPr="00000000">
        <w:rPr>
          <w:rFonts w:ascii="Arial" w:cs="Arial" w:eastAsia="Arial" w:hAnsi="Arial"/>
          <w:b w:val="1"/>
          <w:bCs w:val="1"/>
          <w:rtl w:val="0"/>
        </w:rPr>
        <w:t xml:space="preserve">8m</w:t>
      </w:r>
      <w:r w:rsidDel="00000000" w:rsidR="00000000" w:rsidRPr="00000000">
        <w:rPr>
          <w:rtl w:val="0"/>
        </w:rPr>
      </w:r>
    </w:p>
    <w:p w:rsidR="00000000" w:rsidDel="00000000" w:rsidP="00000000" w:rsidRDefault="00000000" w:rsidRPr="00000000" w14:paraId="000003F4">
      <w:pPr>
        <w:numPr>
          <w:ilvl w:val="0"/>
          <w:numId w:val="3"/>
        </w:numPr>
        <w:spacing w:line="360" w:lineRule="auto"/>
        <w:ind w:left="720" w:hanging="360"/>
        <w:rPr/>
      </w:pPr>
      <w:r w:rsidDel="00000000" w:rsidR="00000000" w:rsidRPr="00000000">
        <w:rPr>
          <w:rFonts w:ascii="Arial" w:cs="Arial" w:eastAsia="Arial" w:hAnsi="Arial"/>
          <w:rtl w:val="0"/>
        </w:rPr>
        <w:t xml:space="preserve">B: 30/5 = </w:t>
      </w:r>
      <w:r w:rsidDel="00000000" w:rsidR="00000000" w:rsidRPr="00000000">
        <w:rPr>
          <w:rFonts w:ascii="Arial" w:cs="Arial" w:eastAsia="Arial" w:hAnsi="Arial"/>
          <w:b w:val="1"/>
          <w:bCs w:val="1"/>
          <w:rtl w:val="0"/>
        </w:rPr>
        <w:t xml:space="preserve">6m</w:t>
      </w:r>
      <w:r w:rsidDel="00000000" w:rsidR="00000000" w:rsidRPr="00000000">
        <w:rPr>
          <w:rtl w:val="0"/>
        </w:rPr>
      </w:r>
    </w:p>
    <w:p w:rsidR="00000000" w:rsidDel="00000000" w:rsidP="00000000" w:rsidRDefault="00000000" w:rsidRPr="00000000" w14:paraId="000003F5">
      <w:pPr>
        <w:numPr>
          <w:ilvl w:val="0"/>
          <w:numId w:val="3"/>
        </w:numPr>
        <w:spacing w:line="360" w:lineRule="auto"/>
        <w:ind w:left="720" w:hanging="360"/>
        <w:rPr/>
      </w:pPr>
      <w:r w:rsidDel="00000000" w:rsidR="00000000" w:rsidRPr="00000000">
        <w:rPr>
          <w:rFonts w:ascii="Arial" w:cs="Arial" w:eastAsia="Arial" w:hAnsi="Arial"/>
          <w:rtl w:val="0"/>
        </w:rPr>
        <w:t xml:space="preserve">C: 50/5 = </w:t>
      </w:r>
      <w:r w:rsidDel="00000000" w:rsidR="00000000" w:rsidRPr="00000000">
        <w:rPr>
          <w:rFonts w:ascii="Arial" w:cs="Arial" w:eastAsia="Arial" w:hAnsi="Arial"/>
          <w:b w:val="1"/>
          <w:bCs w:val="1"/>
          <w:rtl w:val="0"/>
        </w:rPr>
        <w:t xml:space="preserve">10m</w:t>
      </w:r>
      <w:r w:rsidDel="00000000" w:rsidR="00000000" w:rsidRPr="00000000">
        <w:rPr>
          <w:rtl w:val="0"/>
        </w:rPr>
      </w:r>
    </w:p>
    <w:p w:rsidR="00000000" w:rsidDel="00000000" w:rsidP="00000000" w:rsidRDefault="00000000" w:rsidRPr="00000000" w14:paraId="000003F6">
      <w:pPr>
        <w:rPr>
          <w:rFonts w:ascii="Arial" w:cs="Arial" w:eastAsia="Arial" w:hAnsi="Arial"/>
          <w:b w:val="1"/>
          <w:bCs w:val="1"/>
        </w:rPr>
      </w:pPr>
      <w:r w:rsidDel="00000000" w:rsidR="00000000" w:rsidRPr="00000000">
        <w:rPr>
          <w:rFonts w:ascii="Arial" w:cs="Arial" w:eastAsia="Arial" w:hAnsi="Arial"/>
          <w:b w:val="1"/>
          <w:bCs w:val="1"/>
          <w:rtl w:val="0"/>
        </w:rPr>
        <w:t xml:space="preserve">Project A-ARR</w:t>
      </w:r>
    </w:p>
    <w:p w:rsidR="00000000" w:rsidDel="00000000" w:rsidP="00000000" w:rsidRDefault="00000000" w:rsidRPr="00000000" w14:paraId="000003F7">
      <w:pPr>
        <w:rPr>
          <w:rFonts w:ascii="Arial" w:cs="Arial" w:eastAsia="Arial" w:hAnsi="Arial"/>
        </w:rPr>
      </w:pPr>
      <w:r w:rsidDel="00000000" w:rsidR="00000000" w:rsidRPr="00000000">
        <w:rPr>
          <w:rFonts w:ascii="Arial" w:cs="Arial" w:eastAsia="Arial" w:hAnsi="Arial"/>
          <w:rtl w:val="0"/>
        </w:rPr>
        <w:t xml:space="preserve">Annual profits:</w:t>
      </w:r>
    </w:p>
    <w:tbl>
      <w:tblPr>
        <w:tblStyle w:val="Table28"/>
        <w:tblW w:w="929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604"/>
        <w:gridCol w:w="3139"/>
        <w:gridCol w:w="4556"/>
        <w:tblGridChange w:id="0">
          <w:tblGrid>
            <w:gridCol w:w="1604"/>
            <w:gridCol w:w="3139"/>
            <w:gridCol w:w="4556"/>
          </w:tblGrid>
        </w:tblGridChange>
      </w:tblGrid>
      <w:tr>
        <w:trPr>
          <w:cantSplit w:val="0"/>
          <w:trHeight w:val="495" w:hRule="atLeast"/>
          <w:tblHeader w:val="0"/>
        </w:trPr>
        <w:tc>
          <w:tcPr/>
          <w:p w:rsidR="00000000" w:rsidDel="00000000" w:rsidP="00000000" w:rsidRDefault="00000000" w:rsidRPr="00000000" w14:paraId="000003F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3F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3F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Profit (Cash – 8)</w:t>
            </w:r>
          </w:p>
        </w:tc>
      </w:tr>
      <w:tr>
        <w:trPr>
          <w:cantSplit w:val="0"/>
          <w:trHeight w:val="481" w:hRule="atLeast"/>
          <w:tblHeader w:val="0"/>
        </w:trPr>
        <w:tc>
          <w:tcPr/>
          <w:p w:rsidR="00000000" w:rsidDel="00000000" w:rsidP="00000000" w:rsidRDefault="00000000" w:rsidRPr="00000000" w14:paraId="000003F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3F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3F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r>
      <w:tr>
        <w:trPr>
          <w:cantSplit w:val="0"/>
          <w:trHeight w:val="495" w:hRule="atLeast"/>
          <w:tblHeader w:val="0"/>
        </w:trPr>
        <w:tc>
          <w:tcPr/>
          <w:p w:rsidR="00000000" w:rsidDel="00000000" w:rsidP="00000000" w:rsidRDefault="00000000" w:rsidRPr="00000000" w14:paraId="000003F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3F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w:t>
            </w:r>
          </w:p>
        </w:tc>
        <w:tc>
          <w:tcPr/>
          <w:p w:rsidR="00000000" w:rsidDel="00000000" w:rsidP="00000000" w:rsidRDefault="00000000" w:rsidRPr="00000000" w14:paraId="0000040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r>
      <w:tr>
        <w:trPr>
          <w:cantSplit w:val="0"/>
          <w:trHeight w:val="495" w:hRule="atLeast"/>
          <w:tblHeader w:val="0"/>
        </w:trPr>
        <w:tc>
          <w:tcPr/>
          <w:p w:rsidR="00000000" w:rsidDel="00000000" w:rsidP="00000000" w:rsidRDefault="00000000" w:rsidRPr="00000000" w14:paraId="0000040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40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14</w:t>
            </w:r>
          </w:p>
        </w:tc>
        <w:tc>
          <w:tcPr/>
          <w:p w:rsidR="00000000" w:rsidDel="00000000" w:rsidP="00000000" w:rsidRDefault="00000000" w:rsidRPr="00000000" w14:paraId="0000040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r>
      <w:tr>
        <w:trPr>
          <w:cantSplit w:val="0"/>
          <w:trHeight w:val="495" w:hRule="atLeast"/>
          <w:tblHeader w:val="0"/>
        </w:trPr>
        <w:tc>
          <w:tcPr/>
          <w:p w:rsidR="00000000" w:rsidDel="00000000" w:rsidP="00000000" w:rsidRDefault="00000000" w:rsidRPr="00000000" w14:paraId="0000040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40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40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r>
      <w:tr>
        <w:trPr>
          <w:cantSplit w:val="0"/>
          <w:trHeight w:val="481" w:hRule="atLeast"/>
          <w:tblHeader w:val="0"/>
        </w:trPr>
        <w:tc>
          <w:tcPr/>
          <w:p w:rsidR="00000000" w:rsidDel="00000000" w:rsidP="00000000" w:rsidRDefault="00000000" w:rsidRPr="00000000" w14:paraId="0000040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40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8</w:t>
            </w:r>
          </w:p>
        </w:tc>
        <w:tc>
          <w:tcPr/>
          <w:p w:rsidR="00000000" w:rsidDel="00000000" w:rsidP="00000000" w:rsidRDefault="00000000" w:rsidRPr="00000000" w14:paraId="0000040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w:t>
            </w:r>
          </w:p>
        </w:tc>
      </w:tr>
    </w:tbl>
    <w:p w:rsidR="00000000" w:rsidDel="00000000" w:rsidP="00000000" w:rsidRDefault="00000000" w:rsidRPr="00000000" w14:paraId="0000040A">
      <w:pPr>
        <w:rPr>
          <w:rFonts w:ascii="Arial" w:cs="Arial" w:eastAsia="Arial" w:hAnsi="Arial"/>
        </w:rPr>
      </w:pPr>
      <w:r w:rsidDel="00000000" w:rsidR="00000000" w:rsidRPr="00000000">
        <w:rPr>
          <w:rtl w:val="0"/>
        </w:rPr>
      </w:r>
    </w:p>
    <w:p w:rsidR="00000000" w:rsidDel="00000000" w:rsidP="00000000" w:rsidRDefault="00000000" w:rsidRPr="00000000" w14:paraId="0000040B">
      <w:pPr>
        <w:rPr>
          <w:rFonts w:ascii="Arial" w:cs="Arial" w:eastAsia="Arial" w:hAnsi="Arial"/>
        </w:rPr>
      </w:pPr>
      <w:r w:rsidDel="00000000" w:rsidR="00000000" w:rsidRPr="00000000">
        <w:rPr>
          <w:rFonts w:ascii="Arial" w:cs="Arial" w:eastAsia="Arial" w:hAnsi="Arial"/>
          <w:rtl w:val="0"/>
        </w:rPr>
        <w:t xml:space="preserve">Average profit = (2 + 4 + 6 + 2 + 0) / 5 = </w:t>
      </w:r>
      <w:r w:rsidDel="00000000" w:rsidR="00000000" w:rsidRPr="00000000">
        <w:rPr>
          <w:rFonts w:ascii="Arial" w:cs="Arial" w:eastAsia="Arial" w:hAnsi="Arial"/>
          <w:b w:val="1"/>
          <w:bCs w:val="1"/>
          <w:rtl w:val="0"/>
        </w:rPr>
        <w:t xml:space="preserve">2.8m</w:t>
      </w:r>
      <w:r w:rsidDel="00000000" w:rsidR="00000000" w:rsidRPr="00000000">
        <w:rPr>
          <w:rtl w:val="0"/>
        </w:rPr>
      </w:r>
    </w:p>
    <w:p w:rsidR="00000000" w:rsidDel="00000000" w:rsidP="00000000" w:rsidRDefault="00000000" w:rsidRPr="00000000" w14:paraId="0000040C">
      <w:pPr>
        <w:rPr>
          <w:rFonts w:ascii="Arial" w:cs="Arial" w:eastAsia="Arial" w:hAnsi="Arial"/>
        </w:rPr>
      </w:pPr>
      <w:r w:rsidDel="00000000" w:rsidR="00000000" w:rsidRPr="00000000">
        <w:rPr>
          <w:rFonts w:ascii="Arial" w:cs="Arial" w:eastAsia="Arial" w:hAnsi="Arial"/>
          <w:rtl w:val="0"/>
        </w:rPr>
        <w:t xml:space="preserve">ARR = 2.8 / 40 = </w:t>
      </w:r>
      <w:r w:rsidDel="00000000" w:rsidR="00000000" w:rsidRPr="00000000">
        <w:rPr>
          <w:rFonts w:ascii="Arial" w:cs="Arial" w:eastAsia="Arial" w:hAnsi="Arial"/>
          <w:b w:val="1"/>
          <w:bCs w:val="1"/>
          <w:rtl w:val="0"/>
        </w:rPr>
        <w:t xml:space="preserve">7%</w:t>
      </w:r>
      <w:r w:rsidDel="00000000" w:rsidR="00000000" w:rsidRPr="00000000">
        <w:rPr>
          <w:rtl w:val="0"/>
        </w:rPr>
      </w:r>
    </w:p>
    <w:p w:rsidR="00000000" w:rsidDel="00000000" w:rsidP="00000000" w:rsidRDefault="00000000" w:rsidRPr="00000000" w14:paraId="0000040D">
      <w:pPr>
        <w:rPr>
          <w:rFonts w:ascii="Arial" w:cs="Arial" w:eastAsia="Arial" w:hAnsi="Arial"/>
          <w:b w:val="1"/>
          <w:bCs w:val="1"/>
        </w:rPr>
      </w:pPr>
      <w:r w:rsidDel="00000000" w:rsidR="00000000" w:rsidRPr="00000000">
        <w:rPr>
          <w:rFonts w:ascii="Arial" w:cs="Arial" w:eastAsia="Arial" w:hAnsi="Arial"/>
          <w:b w:val="1"/>
          <w:bCs w:val="1"/>
          <w:rtl w:val="0"/>
        </w:rPr>
        <w:t xml:space="preserve">Project B—ARR</w:t>
      </w:r>
    </w:p>
    <w:p w:rsidR="00000000" w:rsidDel="00000000" w:rsidP="00000000" w:rsidRDefault="00000000" w:rsidRPr="00000000" w14:paraId="0000040E">
      <w:pPr>
        <w:rPr>
          <w:rFonts w:ascii="Arial" w:cs="Arial" w:eastAsia="Arial" w:hAnsi="Arial"/>
        </w:rPr>
      </w:pPr>
      <w:r w:rsidDel="00000000" w:rsidR="00000000" w:rsidRPr="00000000">
        <w:rPr>
          <w:rFonts w:ascii="Arial" w:cs="Arial" w:eastAsia="Arial" w:hAnsi="Arial"/>
          <w:rtl w:val="0"/>
        </w:rPr>
        <w:t xml:space="preserve">Profit = Cash flow – depreciation = 6 – 6 = </w:t>
      </w:r>
      <w:r w:rsidDel="00000000" w:rsidR="00000000" w:rsidRPr="00000000">
        <w:rPr>
          <w:rFonts w:ascii="Arial" w:cs="Arial" w:eastAsia="Arial" w:hAnsi="Arial"/>
          <w:b w:val="1"/>
          <w:bCs w:val="1"/>
          <w:rtl w:val="0"/>
        </w:rPr>
        <w:t xml:space="preserve">0 each year</w:t>
      </w:r>
      <w:r w:rsidDel="00000000" w:rsidR="00000000" w:rsidRPr="00000000">
        <w:rPr>
          <w:rFonts w:ascii="Arial" w:cs="Arial" w:eastAsia="Arial" w:hAnsi="Arial"/>
          <w:rtl w:val="0"/>
        </w:rPr>
        <w:br w:type="textWrapping"/>
        <w:t xml:space="preserve">Average profit = 0</w:t>
      </w:r>
    </w:p>
    <w:p w:rsidR="00000000" w:rsidDel="00000000" w:rsidP="00000000" w:rsidRDefault="00000000" w:rsidRPr="00000000" w14:paraId="0000040F">
      <w:pPr>
        <w:rPr>
          <w:rFonts w:ascii="Arial" w:cs="Arial" w:eastAsia="Arial" w:hAnsi="Arial"/>
        </w:rPr>
      </w:pPr>
      <w:r w:rsidDel="00000000" w:rsidR="00000000" w:rsidRPr="00000000">
        <w:rPr>
          <w:rFonts w:ascii="Arial" w:cs="Arial" w:eastAsia="Arial" w:hAnsi="Arial"/>
          <w:rtl w:val="0"/>
        </w:rPr>
        <w:t xml:space="preserve">ARR = 0 / 30 = </w:t>
      </w:r>
      <w:r w:rsidDel="00000000" w:rsidR="00000000" w:rsidRPr="00000000">
        <w:rPr>
          <w:rFonts w:ascii="Arial" w:cs="Arial" w:eastAsia="Arial" w:hAnsi="Arial"/>
          <w:b w:val="1"/>
          <w:bCs w:val="1"/>
          <w:rtl w:val="0"/>
        </w:rPr>
        <w:t xml:space="preserve">0%</w:t>
      </w:r>
      <w:r w:rsidDel="00000000" w:rsidR="00000000" w:rsidRPr="00000000">
        <w:rPr>
          <w:rtl w:val="0"/>
        </w:rPr>
      </w:r>
    </w:p>
    <w:p w:rsidR="00000000" w:rsidDel="00000000" w:rsidP="00000000" w:rsidRDefault="00000000" w:rsidRPr="00000000" w14:paraId="00000410">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11">
      <w:pPr>
        <w:rPr>
          <w:rFonts w:ascii="Arial" w:cs="Arial" w:eastAsia="Arial" w:hAnsi="Arial"/>
          <w:b w:val="1"/>
          <w:bCs w:val="1"/>
        </w:rPr>
      </w:pPr>
      <w:r w:rsidDel="00000000" w:rsidR="00000000" w:rsidRPr="00000000">
        <w:rPr>
          <w:rFonts w:ascii="Arial" w:cs="Arial" w:eastAsia="Arial" w:hAnsi="Arial"/>
          <w:b w:val="1"/>
          <w:bCs w:val="1"/>
          <w:rtl w:val="0"/>
        </w:rPr>
        <w:t xml:space="preserve">Project C-ARR</w:t>
      </w:r>
    </w:p>
    <w:tbl>
      <w:tblPr>
        <w:tblStyle w:val="Table29"/>
        <w:tblW w:w="9153.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578"/>
        <w:gridCol w:w="3090"/>
        <w:gridCol w:w="4485"/>
        <w:tblGridChange w:id="0">
          <w:tblGrid>
            <w:gridCol w:w="1578"/>
            <w:gridCol w:w="3090"/>
            <w:gridCol w:w="4485"/>
          </w:tblGrid>
        </w:tblGridChange>
      </w:tblGrid>
      <w:tr>
        <w:trPr>
          <w:cantSplit w:val="0"/>
          <w:trHeight w:val="484" w:hRule="atLeast"/>
          <w:tblHeader w:val="0"/>
        </w:trPr>
        <w:tc>
          <w:tcPr/>
          <w:p w:rsidR="00000000" w:rsidDel="00000000" w:rsidP="00000000" w:rsidRDefault="00000000" w:rsidRPr="00000000" w14:paraId="0000041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41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41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Profit (Cash–10)</w:t>
            </w:r>
          </w:p>
        </w:tc>
      </w:tr>
      <w:tr>
        <w:trPr>
          <w:cantSplit w:val="0"/>
          <w:trHeight w:val="471" w:hRule="atLeast"/>
          <w:tblHeader w:val="0"/>
        </w:trPr>
        <w:tc>
          <w:tcPr/>
          <w:p w:rsidR="00000000" w:rsidDel="00000000" w:rsidP="00000000" w:rsidRDefault="00000000" w:rsidRPr="00000000" w14:paraId="0000041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41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41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r>
      <w:tr>
        <w:trPr>
          <w:cantSplit w:val="0"/>
          <w:trHeight w:val="484" w:hRule="atLeast"/>
          <w:tblHeader w:val="0"/>
        </w:trPr>
        <w:tc>
          <w:tcPr/>
          <w:p w:rsidR="00000000" w:rsidDel="00000000" w:rsidP="00000000" w:rsidRDefault="00000000" w:rsidRPr="00000000" w14:paraId="0000041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41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41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w:t>
            </w:r>
          </w:p>
        </w:tc>
      </w:tr>
      <w:tr>
        <w:trPr>
          <w:cantSplit w:val="0"/>
          <w:trHeight w:val="484" w:hRule="atLeast"/>
          <w:tblHeader w:val="0"/>
        </w:trPr>
        <w:tc>
          <w:tcPr/>
          <w:p w:rsidR="00000000" w:rsidDel="00000000" w:rsidP="00000000" w:rsidRDefault="00000000" w:rsidRPr="00000000" w14:paraId="0000041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41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w:t>
            </w:r>
          </w:p>
        </w:tc>
        <w:tc>
          <w:tcPr/>
          <w:p w:rsidR="00000000" w:rsidDel="00000000" w:rsidP="00000000" w:rsidRDefault="00000000" w:rsidRPr="00000000" w14:paraId="0000041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r>
      <w:tr>
        <w:trPr>
          <w:cantSplit w:val="0"/>
          <w:trHeight w:val="484" w:hRule="atLeast"/>
          <w:tblHeader w:val="0"/>
        </w:trPr>
        <w:tc>
          <w:tcPr/>
          <w:p w:rsidR="00000000" w:rsidDel="00000000" w:rsidP="00000000" w:rsidRDefault="00000000" w:rsidRPr="00000000" w14:paraId="0000041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41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25</w:t>
            </w:r>
          </w:p>
        </w:tc>
        <w:tc>
          <w:tcPr/>
          <w:p w:rsidR="00000000" w:rsidDel="00000000" w:rsidP="00000000" w:rsidRDefault="00000000" w:rsidRPr="00000000" w14:paraId="0000042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w:t>
            </w:r>
          </w:p>
        </w:tc>
      </w:tr>
      <w:tr>
        <w:trPr>
          <w:cantSplit w:val="0"/>
          <w:trHeight w:val="471" w:hRule="atLeast"/>
          <w:tblHeader w:val="0"/>
        </w:trPr>
        <w:tc>
          <w:tcPr/>
          <w:p w:rsidR="00000000" w:rsidDel="00000000" w:rsidP="00000000" w:rsidRDefault="00000000" w:rsidRPr="00000000" w14:paraId="0000042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42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w:t>
            </w:r>
          </w:p>
        </w:tc>
        <w:tc>
          <w:tcPr/>
          <w:p w:rsidR="00000000" w:rsidDel="00000000" w:rsidP="00000000" w:rsidRDefault="00000000" w:rsidRPr="00000000" w14:paraId="0000042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r>
    </w:tbl>
    <w:p w:rsidR="00000000" w:rsidDel="00000000" w:rsidP="00000000" w:rsidRDefault="00000000" w:rsidRPr="00000000" w14:paraId="0000042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25">
      <w:pPr>
        <w:spacing w:line="360" w:lineRule="auto"/>
        <w:rPr>
          <w:rFonts w:ascii="Arial" w:cs="Arial" w:eastAsia="Arial" w:hAnsi="Arial"/>
        </w:rPr>
      </w:pPr>
      <w:r w:rsidDel="00000000" w:rsidR="00000000" w:rsidRPr="00000000">
        <w:rPr>
          <w:rFonts w:ascii="Arial" w:cs="Arial" w:eastAsia="Arial" w:hAnsi="Arial"/>
          <w:rtl w:val="0"/>
        </w:rPr>
        <w:t xml:space="preserve">Average profit = (−5 + 0 + 10 + 15 + 5) / 5 = </w:t>
      </w:r>
      <w:r w:rsidDel="00000000" w:rsidR="00000000" w:rsidRPr="00000000">
        <w:rPr>
          <w:rFonts w:ascii="Arial" w:cs="Arial" w:eastAsia="Arial" w:hAnsi="Arial"/>
          <w:b w:val="1"/>
          <w:bCs w:val="1"/>
          <w:rtl w:val="0"/>
        </w:rPr>
        <w:t xml:space="preserve">5m</w:t>
      </w:r>
      <w:r w:rsidDel="00000000" w:rsidR="00000000" w:rsidRPr="00000000">
        <w:rPr>
          <w:rtl w:val="0"/>
        </w:rPr>
      </w:r>
    </w:p>
    <w:p w:rsidR="00000000" w:rsidDel="00000000" w:rsidP="00000000" w:rsidRDefault="00000000" w:rsidRPr="00000000" w14:paraId="00000426">
      <w:pPr>
        <w:spacing w:line="360" w:lineRule="auto"/>
        <w:rPr>
          <w:rFonts w:ascii="Arial" w:cs="Arial" w:eastAsia="Arial" w:hAnsi="Arial"/>
        </w:rPr>
      </w:pPr>
      <w:r w:rsidDel="00000000" w:rsidR="00000000" w:rsidRPr="00000000">
        <w:rPr>
          <w:rFonts w:ascii="Arial" w:cs="Arial" w:eastAsia="Arial" w:hAnsi="Arial"/>
          <w:rtl w:val="0"/>
        </w:rPr>
        <w:t xml:space="preserve">ARR = 5 / 50 = </w:t>
      </w:r>
      <w:r w:rsidDel="00000000" w:rsidR="00000000" w:rsidRPr="00000000">
        <w:rPr>
          <w:rFonts w:ascii="Arial" w:cs="Arial" w:eastAsia="Arial" w:hAnsi="Arial"/>
          <w:b w:val="1"/>
          <w:bCs w:val="1"/>
          <w:rtl w:val="0"/>
        </w:rPr>
        <w:t xml:space="preserve">10%</w:t>
      </w:r>
      <w:r w:rsidDel="00000000" w:rsidR="00000000" w:rsidRPr="00000000">
        <w:rPr>
          <w:rtl w:val="0"/>
        </w:rPr>
      </w:r>
    </w:p>
    <w:p w:rsidR="00000000" w:rsidDel="00000000" w:rsidP="00000000" w:rsidRDefault="00000000" w:rsidRPr="00000000" w14:paraId="00000427">
      <w:pPr>
        <w:rPr>
          <w:rFonts w:ascii="Arial" w:cs="Arial" w:eastAsia="Arial" w:hAnsi="Arial"/>
        </w:rPr>
      </w:pPr>
      <w:r w:rsidDel="00000000" w:rsidR="00000000" w:rsidRPr="00000000">
        <w:rPr>
          <w:rFonts w:ascii="Arial" w:cs="Arial" w:eastAsia="Arial" w:hAnsi="Arial"/>
          <w:b w:val="1"/>
          <w:bCs w:val="1"/>
          <w:rtl w:val="0"/>
        </w:rPr>
        <w:t xml:space="preserve">ARR Conclusion</w:t>
      </w:r>
      <w:r w:rsidDel="00000000" w:rsidR="00000000" w:rsidRPr="00000000">
        <w:rPr>
          <w:rtl w:val="0"/>
        </w:rPr>
      </w:r>
    </w:p>
    <w:tbl>
      <w:tblPr>
        <w:tblStyle w:val="Table30"/>
        <w:tblW w:w="8788.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99"/>
        <w:gridCol w:w="5089"/>
        <w:tblGridChange w:id="0">
          <w:tblGrid>
            <w:gridCol w:w="3699"/>
            <w:gridCol w:w="5089"/>
          </w:tblGrid>
        </w:tblGridChange>
      </w:tblGrid>
      <w:tr>
        <w:trPr>
          <w:cantSplit w:val="0"/>
          <w:trHeight w:val="515" w:hRule="atLeast"/>
          <w:tblHeader w:val="0"/>
        </w:trPr>
        <w:tc>
          <w:tcPr/>
          <w:p w:rsidR="00000000" w:rsidDel="00000000" w:rsidP="00000000" w:rsidRDefault="00000000" w:rsidRPr="00000000" w14:paraId="0000042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w:t>
            </w:r>
          </w:p>
        </w:tc>
        <w:tc>
          <w:tcPr/>
          <w:p w:rsidR="00000000" w:rsidDel="00000000" w:rsidP="00000000" w:rsidRDefault="00000000" w:rsidRPr="00000000" w14:paraId="0000042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ARR</w:t>
            </w:r>
          </w:p>
        </w:tc>
      </w:tr>
      <w:tr>
        <w:trPr>
          <w:cantSplit w:val="0"/>
          <w:trHeight w:val="502" w:hRule="atLeast"/>
          <w:tblHeader w:val="0"/>
        </w:trPr>
        <w:tc>
          <w:tcPr/>
          <w:p w:rsidR="00000000" w:rsidDel="00000000" w:rsidP="00000000" w:rsidRDefault="00000000" w:rsidRPr="00000000" w14:paraId="0000042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42B">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 (best)</w:t>
            </w:r>
            <w:r w:rsidDel="00000000" w:rsidR="00000000" w:rsidRPr="00000000">
              <w:rPr>
                <w:rtl w:val="0"/>
              </w:rPr>
            </w:r>
          </w:p>
        </w:tc>
      </w:tr>
      <w:tr>
        <w:trPr>
          <w:cantSplit w:val="0"/>
          <w:trHeight w:val="515" w:hRule="atLeast"/>
          <w:tblHeader w:val="0"/>
        </w:trPr>
        <w:tc>
          <w:tcPr/>
          <w:p w:rsidR="00000000" w:rsidDel="00000000" w:rsidP="00000000" w:rsidRDefault="00000000" w:rsidRPr="00000000" w14:paraId="0000042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42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w:t>
            </w:r>
          </w:p>
        </w:tc>
      </w:tr>
      <w:tr>
        <w:trPr>
          <w:cantSplit w:val="0"/>
          <w:trHeight w:val="515" w:hRule="atLeast"/>
          <w:tblHeader w:val="0"/>
        </w:trPr>
        <w:tc>
          <w:tcPr/>
          <w:p w:rsidR="00000000" w:rsidDel="00000000" w:rsidP="00000000" w:rsidRDefault="00000000" w:rsidRPr="00000000" w14:paraId="0000042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42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w:t>
            </w:r>
          </w:p>
        </w:tc>
      </w:tr>
    </w:tbl>
    <w:p w:rsidR="00000000" w:rsidDel="00000000" w:rsidP="00000000" w:rsidRDefault="00000000" w:rsidRPr="00000000" w14:paraId="00000430">
      <w:pPr>
        <w:rPr>
          <w:rFonts w:ascii="Arial" w:cs="Arial" w:eastAsia="Arial" w:hAnsi="Arial"/>
        </w:rPr>
      </w:pPr>
      <w:r w:rsidDel="00000000" w:rsidR="00000000" w:rsidRPr="00000000">
        <w:rPr>
          <w:rtl w:val="0"/>
        </w:rPr>
      </w:r>
    </w:p>
    <w:p w:rsidR="00000000" w:rsidDel="00000000" w:rsidP="00000000" w:rsidRDefault="00000000" w:rsidRPr="00000000" w14:paraId="00000431">
      <w:pPr>
        <w:rPr>
          <w:rFonts w:ascii="Arial" w:cs="Arial" w:eastAsia="Arial" w:hAnsi="Arial"/>
        </w:rPr>
      </w:pPr>
      <w:r w:rsidDel="00000000" w:rsidR="00000000" w:rsidRPr="00000000">
        <w:rPr>
          <w:rFonts w:ascii="Arial" w:cs="Arial" w:eastAsia="Arial" w:hAnsi="Arial"/>
          <w:b w:val="1"/>
          <w:bCs w:val="1"/>
          <w:rtl w:val="0"/>
        </w:rPr>
        <w:t xml:space="preserve">Project C</w:t>
      </w:r>
      <w:r w:rsidDel="00000000" w:rsidR="00000000" w:rsidRPr="00000000">
        <w:rPr>
          <w:rFonts w:ascii="Arial" w:cs="Arial" w:eastAsia="Arial" w:hAnsi="Arial"/>
          <w:rtl w:val="0"/>
        </w:rPr>
        <w:t xml:space="preserve"> is best in accounting profitability terms.</w:t>
      </w:r>
    </w:p>
    <w:p w:rsidR="00000000" w:rsidDel="00000000" w:rsidP="00000000" w:rsidRDefault="00000000" w:rsidRPr="00000000" w14:paraId="00000432">
      <w:pPr>
        <w:rPr>
          <w:rFonts w:ascii="Arial" w:cs="Arial" w:eastAsia="Arial" w:hAnsi="Arial"/>
          <w:b w:val="1"/>
          <w:bCs w:val="1"/>
          <w:color w:val="4c94d8"/>
          <w:sz w:val="26"/>
          <w:szCs w:val="26"/>
        </w:rPr>
      </w:pPr>
      <w:r w:rsidDel="00000000" w:rsidR="00000000" w:rsidRPr="00000000">
        <w:br w:type="page"/>
      </w:r>
      <w:r w:rsidDel="00000000" w:rsidR="00000000" w:rsidRPr="00000000">
        <w:rPr>
          <w:rtl w:val="0"/>
        </w:rPr>
      </w:r>
    </w:p>
    <w:p w:rsidR="00000000" w:rsidDel="00000000" w:rsidP="00000000" w:rsidRDefault="00000000" w:rsidRPr="00000000" w14:paraId="00000433">
      <w:pPr>
        <w:pStyle w:val="Heading2"/>
        <w:rPr/>
      </w:pPr>
      <w:bookmarkStart w:colFirst="0" w:colLast="0" w:name="_oobbkxheiu" w:id="45"/>
      <w:bookmarkEnd w:id="45"/>
      <w:r w:rsidDel="00000000" w:rsidR="00000000" w:rsidRPr="00000000">
        <w:rPr>
          <w:rtl w:val="0"/>
        </w:rPr>
        <w:t xml:space="preserve">4.4 Net Present Value (NPV)</w:t>
      </w:r>
    </w:p>
    <w:p w:rsidR="00000000" w:rsidDel="00000000" w:rsidP="00000000" w:rsidRDefault="00000000" w:rsidRPr="00000000" w14:paraId="00000434">
      <w:pPr>
        <w:rPr>
          <w:rFonts w:ascii="Arial" w:cs="Arial" w:eastAsia="Arial" w:hAnsi="Arial"/>
        </w:rPr>
      </w:pPr>
      <w:r w:rsidDel="00000000" w:rsidR="00000000" w:rsidRPr="00000000">
        <w:rPr>
          <w:rFonts w:ascii="Arial" w:cs="Arial" w:eastAsia="Arial" w:hAnsi="Arial"/>
          <w:rtl w:val="0"/>
        </w:rPr>
        <w:t xml:space="preserve">NPV = Present value of inflows – Initial investment</w:t>
      </w:r>
    </w:p>
    <w:p w:rsidR="00000000" w:rsidDel="00000000" w:rsidP="00000000" w:rsidRDefault="00000000" w:rsidRPr="00000000" w14:paraId="00000435">
      <w:pPr>
        <w:rPr>
          <w:rFonts w:ascii="Arial" w:cs="Arial" w:eastAsia="Arial" w:hAnsi="Arial"/>
        </w:rPr>
      </w:pPr>
      <w:r w:rsidDel="00000000" w:rsidR="00000000" w:rsidRPr="00000000">
        <w:rPr>
          <w:rFonts w:ascii="Arial" w:cs="Arial" w:eastAsia="Arial" w:hAnsi="Arial"/>
          <w:rtl w:val="0"/>
        </w:rPr>
        <w:t xml:space="preserve">Discount factor (10%):</w:t>
      </w:r>
    </w:p>
    <w:tbl>
      <w:tblPr>
        <w:tblStyle w:val="Table31"/>
        <w:tblW w:w="8275.000000000002"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349"/>
        <w:gridCol w:w="1523"/>
        <w:gridCol w:w="1523"/>
        <w:gridCol w:w="1523"/>
        <w:gridCol w:w="1523"/>
        <w:gridCol w:w="834"/>
        <w:tblGridChange w:id="0">
          <w:tblGrid>
            <w:gridCol w:w="1349"/>
            <w:gridCol w:w="1523"/>
            <w:gridCol w:w="1523"/>
            <w:gridCol w:w="1523"/>
            <w:gridCol w:w="1523"/>
            <w:gridCol w:w="834"/>
          </w:tblGrid>
        </w:tblGridChange>
      </w:tblGrid>
      <w:tr>
        <w:trPr>
          <w:cantSplit w:val="0"/>
          <w:trHeight w:val="598" w:hRule="atLeast"/>
          <w:tblHeader w:val="0"/>
        </w:trPr>
        <w:tc>
          <w:tcPr/>
          <w:p w:rsidR="00000000" w:rsidDel="00000000" w:rsidP="00000000" w:rsidRDefault="00000000" w:rsidRPr="00000000" w14:paraId="0000043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43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43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43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43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43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r>
      <w:tr>
        <w:trPr>
          <w:cantSplit w:val="0"/>
          <w:trHeight w:val="581" w:hRule="atLeast"/>
          <w:tblHeader w:val="0"/>
        </w:trPr>
        <w:tc>
          <w:tcPr/>
          <w:p w:rsidR="00000000" w:rsidDel="00000000" w:rsidP="00000000" w:rsidRDefault="00000000" w:rsidRPr="00000000" w14:paraId="0000043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DF</w:t>
            </w:r>
          </w:p>
        </w:tc>
        <w:tc>
          <w:tcPr/>
          <w:p w:rsidR="00000000" w:rsidDel="00000000" w:rsidP="00000000" w:rsidRDefault="00000000" w:rsidRPr="00000000" w14:paraId="0000043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0.909</w:t>
            </w:r>
          </w:p>
        </w:tc>
        <w:tc>
          <w:tcPr/>
          <w:p w:rsidR="00000000" w:rsidDel="00000000" w:rsidP="00000000" w:rsidRDefault="00000000" w:rsidRPr="00000000" w14:paraId="0000043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0.826</w:t>
            </w:r>
          </w:p>
        </w:tc>
        <w:tc>
          <w:tcPr/>
          <w:p w:rsidR="00000000" w:rsidDel="00000000" w:rsidP="00000000" w:rsidRDefault="00000000" w:rsidRPr="00000000" w14:paraId="0000043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0.751</w:t>
            </w:r>
          </w:p>
        </w:tc>
        <w:tc>
          <w:tcPr/>
          <w:p w:rsidR="00000000" w:rsidDel="00000000" w:rsidP="00000000" w:rsidRDefault="00000000" w:rsidRPr="00000000" w14:paraId="0000044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0.683</w:t>
            </w:r>
          </w:p>
        </w:tc>
        <w:tc>
          <w:tcPr/>
          <w:p w:rsidR="00000000" w:rsidDel="00000000" w:rsidP="00000000" w:rsidRDefault="00000000" w:rsidRPr="00000000" w14:paraId="0000044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0.621</w:t>
            </w:r>
          </w:p>
        </w:tc>
      </w:tr>
    </w:tbl>
    <w:p w:rsidR="00000000" w:rsidDel="00000000" w:rsidP="00000000" w:rsidRDefault="00000000" w:rsidRPr="00000000" w14:paraId="00000442">
      <w:pPr>
        <w:rPr>
          <w:rFonts w:ascii="Arial" w:cs="Arial" w:eastAsia="Arial" w:hAnsi="Arial"/>
        </w:rPr>
      </w:pPr>
      <w:r w:rsidDel="00000000" w:rsidR="00000000" w:rsidRPr="00000000">
        <w:rPr>
          <w:rtl w:val="0"/>
        </w:rPr>
      </w:r>
    </w:p>
    <w:p w:rsidR="00000000" w:rsidDel="00000000" w:rsidP="00000000" w:rsidRDefault="00000000" w:rsidRPr="00000000" w14:paraId="00000443">
      <w:pPr>
        <w:rPr>
          <w:rFonts w:ascii="Arial" w:cs="Arial" w:eastAsia="Arial" w:hAnsi="Arial"/>
          <w:b w:val="1"/>
          <w:bCs w:val="1"/>
        </w:rPr>
      </w:pPr>
      <w:r w:rsidDel="00000000" w:rsidR="00000000" w:rsidRPr="00000000">
        <w:rPr>
          <w:rFonts w:ascii="Arial" w:cs="Arial" w:eastAsia="Arial" w:hAnsi="Arial"/>
          <w:b w:val="1"/>
          <w:bCs w:val="1"/>
          <w:rtl w:val="0"/>
        </w:rPr>
        <w:t xml:space="preserve">NPV-Project A</w:t>
      </w:r>
    </w:p>
    <w:tbl>
      <w:tblPr>
        <w:tblStyle w:val="Table32"/>
        <w:tblW w:w="871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976"/>
        <w:gridCol w:w="3638"/>
        <w:gridCol w:w="2098"/>
        <w:tblGridChange w:id="0">
          <w:tblGrid>
            <w:gridCol w:w="2976"/>
            <w:gridCol w:w="3638"/>
            <w:gridCol w:w="2098"/>
          </w:tblGrid>
        </w:tblGridChange>
      </w:tblGrid>
      <w:tr>
        <w:trPr>
          <w:cantSplit w:val="0"/>
          <w:trHeight w:val="476" w:hRule="atLeast"/>
          <w:tblHeader w:val="0"/>
        </w:trPr>
        <w:tc>
          <w:tcPr/>
          <w:p w:rsidR="00000000" w:rsidDel="00000000" w:rsidP="00000000" w:rsidRDefault="00000000" w:rsidRPr="00000000" w14:paraId="0000044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44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44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PV</w:t>
            </w:r>
          </w:p>
        </w:tc>
      </w:tr>
      <w:tr>
        <w:trPr>
          <w:cantSplit w:val="0"/>
          <w:trHeight w:val="463" w:hRule="atLeast"/>
          <w:tblHeader w:val="0"/>
        </w:trPr>
        <w:tc>
          <w:tcPr/>
          <w:p w:rsidR="00000000" w:rsidDel="00000000" w:rsidP="00000000" w:rsidRDefault="00000000" w:rsidRPr="00000000" w14:paraId="0000044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44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44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9.09</w:t>
            </w:r>
          </w:p>
        </w:tc>
      </w:tr>
      <w:tr>
        <w:trPr>
          <w:cantSplit w:val="0"/>
          <w:trHeight w:val="476" w:hRule="atLeast"/>
          <w:tblHeader w:val="0"/>
        </w:trPr>
        <w:tc>
          <w:tcPr/>
          <w:p w:rsidR="00000000" w:rsidDel="00000000" w:rsidP="00000000" w:rsidRDefault="00000000" w:rsidRPr="00000000" w14:paraId="0000044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44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12</w:t>
            </w:r>
          </w:p>
        </w:tc>
        <w:tc>
          <w:tcPr/>
          <w:p w:rsidR="00000000" w:rsidDel="00000000" w:rsidP="00000000" w:rsidRDefault="00000000" w:rsidRPr="00000000" w14:paraId="0000044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9.91</w:t>
            </w:r>
          </w:p>
        </w:tc>
      </w:tr>
      <w:tr>
        <w:trPr>
          <w:cantSplit w:val="0"/>
          <w:trHeight w:val="476" w:hRule="atLeast"/>
          <w:tblHeader w:val="0"/>
        </w:trPr>
        <w:tc>
          <w:tcPr/>
          <w:p w:rsidR="00000000" w:rsidDel="00000000" w:rsidP="00000000" w:rsidRDefault="00000000" w:rsidRPr="00000000" w14:paraId="0000044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44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14</w:t>
            </w:r>
          </w:p>
        </w:tc>
        <w:tc>
          <w:tcPr/>
          <w:p w:rsidR="00000000" w:rsidDel="00000000" w:rsidP="00000000" w:rsidRDefault="00000000" w:rsidRPr="00000000" w14:paraId="0000044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10.51</w:t>
            </w:r>
          </w:p>
        </w:tc>
      </w:tr>
      <w:tr>
        <w:trPr>
          <w:cantSplit w:val="0"/>
          <w:trHeight w:val="476" w:hRule="atLeast"/>
          <w:tblHeader w:val="0"/>
        </w:trPr>
        <w:tc>
          <w:tcPr/>
          <w:p w:rsidR="00000000" w:rsidDel="00000000" w:rsidP="00000000" w:rsidRDefault="00000000" w:rsidRPr="00000000" w14:paraId="0000045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45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45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6.83</w:t>
            </w:r>
          </w:p>
        </w:tc>
      </w:tr>
      <w:tr>
        <w:trPr>
          <w:cantSplit w:val="0"/>
          <w:trHeight w:val="463" w:hRule="atLeast"/>
          <w:tblHeader w:val="0"/>
        </w:trPr>
        <w:tc>
          <w:tcPr/>
          <w:p w:rsidR="00000000" w:rsidDel="00000000" w:rsidP="00000000" w:rsidRDefault="00000000" w:rsidRPr="00000000" w14:paraId="0000045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45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8</w:t>
            </w:r>
          </w:p>
        </w:tc>
        <w:tc>
          <w:tcPr/>
          <w:p w:rsidR="00000000" w:rsidDel="00000000" w:rsidP="00000000" w:rsidRDefault="00000000" w:rsidRPr="00000000" w14:paraId="0000045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4.97</w:t>
            </w:r>
          </w:p>
        </w:tc>
      </w:tr>
      <w:tr>
        <w:trPr>
          <w:cantSplit w:val="0"/>
          <w:trHeight w:val="476" w:hRule="atLeast"/>
          <w:tblHeader w:val="0"/>
        </w:trPr>
        <w:tc>
          <w:tcPr/>
          <w:p w:rsidR="00000000" w:rsidDel="00000000" w:rsidP="00000000" w:rsidRDefault="00000000" w:rsidRPr="00000000" w14:paraId="0000045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Total PV</w:t>
            </w:r>
          </w:p>
        </w:tc>
        <w:tc>
          <w:tcPr/>
          <w:p w:rsidR="00000000" w:rsidDel="00000000" w:rsidP="00000000" w:rsidRDefault="00000000" w:rsidRPr="00000000" w14:paraId="00000457">
            <w:pPr>
              <w:spacing w:after="160" w:line="278.00000000000006"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458">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41.31</w:t>
            </w:r>
            <w:r w:rsidDel="00000000" w:rsidR="00000000" w:rsidRPr="00000000">
              <w:rPr>
                <w:rtl w:val="0"/>
              </w:rPr>
            </w:r>
          </w:p>
        </w:tc>
      </w:tr>
    </w:tbl>
    <w:p w:rsidR="00000000" w:rsidDel="00000000" w:rsidP="00000000" w:rsidRDefault="00000000" w:rsidRPr="00000000" w14:paraId="00000459">
      <w:pPr>
        <w:rPr>
          <w:rFonts w:ascii="Arial" w:cs="Arial" w:eastAsia="Arial" w:hAnsi="Arial"/>
        </w:rPr>
      </w:pPr>
      <w:r w:rsidDel="00000000" w:rsidR="00000000" w:rsidRPr="00000000">
        <w:rPr>
          <w:rtl w:val="0"/>
        </w:rPr>
      </w:r>
    </w:p>
    <w:p w:rsidR="00000000" w:rsidDel="00000000" w:rsidP="00000000" w:rsidRDefault="00000000" w:rsidRPr="00000000" w14:paraId="0000045A">
      <w:pPr>
        <w:rPr>
          <w:rFonts w:ascii="Arial" w:cs="Arial" w:eastAsia="Arial" w:hAnsi="Arial"/>
        </w:rPr>
      </w:pPr>
      <w:r w:rsidDel="00000000" w:rsidR="00000000" w:rsidRPr="00000000">
        <w:rPr>
          <w:rFonts w:ascii="Arial" w:cs="Arial" w:eastAsia="Arial" w:hAnsi="Arial"/>
          <w:rtl w:val="0"/>
        </w:rPr>
        <w:t xml:space="preserve">NPV = 41.31 − 40 = </w:t>
      </w:r>
      <w:r w:rsidDel="00000000" w:rsidR="00000000" w:rsidRPr="00000000">
        <w:rPr>
          <w:rFonts w:ascii="Arial" w:cs="Arial" w:eastAsia="Arial" w:hAnsi="Arial"/>
          <w:b w:val="1"/>
          <w:bCs w:val="1"/>
          <w:rtl w:val="0"/>
        </w:rPr>
        <w:t xml:space="preserve">+1.31m</w:t>
      </w:r>
      <w:r w:rsidDel="00000000" w:rsidR="00000000" w:rsidRPr="00000000">
        <w:rPr>
          <w:rtl w:val="0"/>
        </w:rPr>
      </w:r>
    </w:p>
    <w:p w:rsidR="00000000" w:rsidDel="00000000" w:rsidP="00000000" w:rsidRDefault="00000000" w:rsidRPr="00000000" w14:paraId="0000045B">
      <w:pPr>
        <w:rPr>
          <w:rFonts w:ascii="Arial" w:cs="Arial" w:eastAsia="Arial" w:hAnsi="Arial"/>
          <w:b w:val="1"/>
          <w:bCs w:val="1"/>
        </w:rPr>
      </w:pPr>
      <w:r w:rsidDel="00000000" w:rsidR="00000000" w:rsidRPr="00000000">
        <w:rPr>
          <w:rFonts w:ascii="Arial" w:cs="Arial" w:eastAsia="Arial" w:hAnsi="Arial"/>
          <w:b w:val="1"/>
          <w:bCs w:val="1"/>
          <w:rtl w:val="0"/>
        </w:rPr>
        <w:t xml:space="preserve">NPV-Project B</w:t>
      </w:r>
    </w:p>
    <w:tbl>
      <w:tblPr>
        <w:tblStyle w:val="Table33"/>
        <w:tblW w:w="794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712"/>
        <w:gridCol w:w="3316"/>
        <w:gridCol w:w="1912"/>
        <w:tblGridChange w:id="0">
          <w:tblGrid>
            <w:gridCol w:w="2712"/>
            <w:gridCol w:w="3316"/>
            <w:gridCol w:w="1912"/>
          </w:tblGrid>
        </w:tblGridChange>
      </w:tblGrid>
      <w:tr>
        <w:trPr>
          <w:cantSplit w:val="0"/>
          <w:trHeight w:val="388" w:hRule="atLeast"/>
          <w:tblHeader w:val="0"/>
        </w:trPr>
        <w:tc>
          <w:tcPr/>
          <w:p w:rsidR="00000000" w:rsidDel="00000000" w:rsidP="00000000" w:rsidRDefault="00000000" w:rsidRPr="00000000" w14:paraId="0000045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45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45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PV</w:t>
            </w:r>
          </w:p>
        </w:tc>
      </w:tr>
      <w:tr>
        <w:trPr>
          <w:cantSplit w:val="0"/>
          <w:trHeight w:val="377" w:hRule="atLeast"/>
          <w:tblHeader w:val="0"/>
        </w:trPr>
        <w:tc>
          <w:tcPr/>
          <w:p w:rsidR="00000000" w:rsidDel="00000000" w:rsidP="00000000" w:rsidRDefault="00000000" w:rsidRPr="00000000" w14:paraId="0000045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46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46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5.45</w:t>
            </w:r>
          </w:p>
        </w:tc>
      </w:tr>
      <w:tr>
        <w:trPr>
          <w:cantSplit w:val="0"/>
          <w:trHeight w:val="388" w:hRule="atLeast"/>
          <w:tblHeader w:val="0"/>
        </w:trPr>
        <w:tc>
          <w:tcPr/>
          <w:p w:rsidR="00000000" w:rsidDel="00000000" w:rsidP="00000000" w:rsidRDefault="00000000" w:rsidRPr="00000000" w14:paraId="0000046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46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46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4.96</w:t>
            </w:r>
          </w:p>
        </w:tc>
      </w:tr>
      <w:tr>
        <w:trPr>
          <w:cantSplit w:val="0"/>
          <w:trHeight w:val="388" w:hRule="atLeast"/>
          <w:tblHeader w:val="0"/>
        </w:trPr>
        <w:tc>
          <w:tcPr/>
          <w:p w:rsidR="00000000" w:rsidDel="00000000" w:rsidP="00000000" w:rsidRDefault="00000000" w:rsidRPr="00000000" w14:paraId="0000046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46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46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4.51</w:t>
            </w:r>
          </w:p>
        </w:tc>
      </w:tr>
      <w:tr>
        <w:trPr>
          <w:cantSplit w:val="0"/>
          <w:trHeight w:val="388" w:hRule="atLeast"/>
          <w:tblHeader w:val="0"/>
        </w:trPr>
        <w:tc>
          <w:tcPr/>
          <w:p w:rsidR="00000000" w:rsidDel="00000000" w:rsidP="00000000" w:rsidRDefault="00000000" w:rsidRPr="00000000" w14:paraId="0000046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46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46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4.10</w:t>
            </w:r>
          </w:p>
        </w:tc>
      </w:tr>
      <w:tr>
        <w:trPr>
          <w:cantSplit w:val="0"/>
          <w:trHeight w:val="377" w:hRule="atLeast"/>
          <w:tblHeader w:val="0"/>
        </w:trPr>
        <w:tc>
          <w:tcPr/>
          <w:p w:rsidR="00000000" w:rsidDel="00000000" w:rsidP="00000000" w:rsidRDefault="00000000" w:rsidRPr="00000000" w14:paraId="0000046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46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6</w:t>
            </w:r>
          </w:p>
        </w:tc>
        <w:tc>
          <w:tcPr/>
          <w:p w:rsidR="00000000" w:rsidDel="00000000" w:rsidP="00000000" w:rsidRDefault="00000000" w:rsidRPr="00000000" w14:paraId="0000046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3.73</w:t>
            </w:r>
          </w:p>
        </w:tc>
      </w:tr>
      <w:tr>
        <w:trPr>
          <w:cantSplit w:val="0"/>
          <w:trHeight w:val="388" w:hRule="atLeast"/>
          <w:tblHeader w:val="0"/>
        </w:trPr>
        <w:tc>
          <w:tcPr/>
          <w:p w:rsidR="00000000" w:rsidDel="00000000" w:rsidP="00000000" w:rsidRDefault="00000000" w:rsidRPr="00000000" w14:paraId="0000046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Total PV</w:t>
            </w:r>
          </w:p>
        </w:tc>
        <w:tc>
          <w:tcPr/>
          <w:p w:rsidR="00000000" w:rsidDel="00000000" w:rsidP="00000000" w:rsidRDefault="00000000" w:rsidRPr="00000000" w14:paraId="0000046F">
            <w:pPr>
              <w:spacing w:after="160" w:line="278.00000000000006"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470">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22.75</w:t>
            </w:r>
            <w:r w:rsidDel="00000000" w:rsidR="00000000" w:rsidRPr="00000000">
              <w:rPr>
                <w:rtl w:val="0"/>
              </w:rPr>
            </w:r>
          </w:p>
        </w:tc>
      </w:tr>
    </w:tbl>
    <w:p w:rsidR="00000000" w:rsidDel="00000000" w:rsidP="00000000" w:rsidRDefault="00000000" w:rsidRPr="00000000" w14:paraId="00000471">
      <w:pPr>
        <w:rPr>
          <w:rFonts w:ascii="Arial" w:cs="Arial" w:eastAsia="Arial" w:hAnsi="Arial"/>
        </w:rPr>
      </w:pPr>
      <w:r w:rsidDel="00000000" w:rsidR="00000000" w:rsidRPr="00000000">
        <w:rPr>
          <w:rtl w:val="0"/>
        </w:rPr>
      </w:r>
    </w:p>
    <w:p w:rsidR="00000000" w:rsidDel="00000000" w:rsidP="00000000" w:rsidRDefault="00000000" w:rsidRPr="00000000" w14:paraId="00000472">
      <w:pPr>
        <w:rPr>
          <w:rFonts w:ascii="Arial" w:cs="Arial" w:eastAsia="Arial" w:hAnsi="Arial"/>
        </w:rPr>
      </w:pPr>
      <w:r w:rsidDel="00000000" w:rsidR="00000000" w:rsidRPr="00000000">
        <w:rPr>
          <w:rFonts w:ascii="Arial" w:cs="Arial" w:eastAsia="Arial" w:hAnsi="Arial"/>
          <w:rtl w:val="0"/>
        </w:rPr>
        <w:t xml:space="preserve">NPV = 22.75 − 30 = </w:t>
      </w:r>
      <w:r w:rsidDel="00000000" w:rsidR="00000000" w:rsidRPr="00000000">
        <w:rPr>
          <w:rFonts w:ascii="Arial" w:cs="Arial" w:eastAsia="Arial" w:hAnsi="Arial"/>
          <w:b w:val="1"/>
          <w:bCs w:val="1"/>
          <w:rtl w:val="0"/>
        </w:rPr>
        <w:t xml:space="preserve">−7.25m (negative)</w:t>
      </w:r>
      <w:r w:rsidDel="00000000" w:rsidR="00000000" w:rsidRPr="00000000">
        <w:rPr>
          <w:rtl w:val="0"/>
        </w:rPr>
      </w:r>
    </w:p>
    <w:p w:rsidR="00000000" w:rsidDel="00000000" w:rsidP="00000000" w:rsidRDefault="00000000" w:rsidRPr="00000000" w14:paraId="00000473">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74">
      <w:pPr>
        <w:rPr>
          <w:rFonts w:ascii="Arial" w:cs="Arial" w:eastAsia="Arial" w:hAnsi="Arial"/>
          <w:b w:val="1"/>
          <w:bCs w:val="1"/>
        </w:rPr>
      </w:pPr>
      <w:r w:rsidDel="00000000" w:rsidR="00000000" w:rsidRPr="00000000">
        <w:rPr>
          <w:rFonts w:ascii="Arial" w:cs="Arial" w:eastAsia="Arial" w:hAnsi="Arial"/>
          <w:b w:val="1"/>
          <w:bCs w:val="1"/>
          <w:rtl w:val="0"/>
        </w:rPr>
        <w:t xml:space="preserve">NPV-Project C</w:t>
      </w:r>
    </w:p>
    <w:tbl>
      <w:tblPr>
        <w:tblStyle w:val="Table34"/>
        <w:tblW w:w="8206.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803"/>
        <w:gridCol w:w="3427"/>
        <w:gridCol w:w="1976"/>
        <w:tblGridChange w:id="0">
          <w:tblGrid>
            <w:gridCol w:w="2803"/>
            <w:gridCol w:w="3427"/>
            <w:gridCol w:w="1976"/>
          </w:tblGrid>
        </w:tblGridChange>
      </w:tblGrid>
      <w:tr>
        <w:trPr>
          <w:cantSplit w:val="0"/>
          <w:trHeight w:val="493" w:hRule="atLeast"/>
          <w:tblHeader w:val="0"/>
        </w:trPr>
        <w:tc>
          <w:tcPr/>
          <w:p w:rsidR="00000000" w:rsidDel="00000000" w:rsidP="00000000" w:rsidRDefault="00000000" w:rsidRPr="00000000" w14:paraId="0000047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Year</w:t>
            </w:r>
          </w:p>
        </w:tc>
        <w:tc>
          <w:tcPr/>
          <w:p w:rsidR="00000000" w:rsidDel="00000000" w:rsidP="00000000" w:rsidRDefault="00000000" w:rsidRPr="00000000" w14:paraId="0000047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Cash Flow</w:t>
            </w:r>
          </w:p>
        </w:tc>
        <w:tc>
          <w:tcPr/>
          <w:p w:rsidR="00000000" w:rsidDel="00000000" w:rsidP="00000000" w:rsidRDefault="00000000" w:rsidRPr="00000000" w14:paraId="0000047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PV</w:t>
            </w:r>
          </w:p>
        </w:tc>
      </w:tr>
      <w:tr>
        <w:trPr>
          <w:cantSplit w:val="0"/>
          <w:trHeight w:val="479" w:hRule="atLeast"/>
          <w:tblHeader w:val="0"/>
        </w:trPr>
        <w:tc>
          <w:tcPr/>
          <w:p w:rsidR="00000000" w:rsidDel="00000000" w:rsidP="00000000" w:rsidRDefault="00000000" w:rsidRPr="00000000" w14:paraId="0000047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47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47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4.55</w:t>
            </w:r>
          </w:p>
        </w:tc>
      </w:tr>
      <w:tr>
        <w:trPr>
          <w:cantSplit w:val="0"/>
          <w:trHeight w:val="493" w:hRule="atLeast"/>
          <w:tblHeader w:val="0"/>
        </w:trPr>
        <w:tc>
          <w:tcPr/>
          <w:p w:rsidR="00000000" w:rsidDel="00000000" w:rsidP="00000000" w:rsidRDefault="00000000" w:rsidRPr="00000000" w14:paraId="0000047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47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w:t>
            </w:r>
          </w:p>
        </w:tc>
        <w:tc>
          <w:tcPr/>
          <w:p w:rsidR="00000000" w:rsidDel="00000000" w:rsidP="00000000" w:rsidRDefault="00000000" w:rsidRPr="00000000" w14:paraId="0000047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8.26</w:t>
            </w:r>
          </w:p>
        </w:tc>
      </w:tr>
      <w:tr>
        <w:trPr>
          <w:cantSplit w:val="0"/>
          <w:trHeight w:val="493" w:hRule="atLeast"/>
          <w:tblHeader w:val="0"/>
        </w:trPr>
        <w:tc>
          <w:tcPr/>
          <w:p w:rsidR="00000000" w:rsidDel="00000000" w:rsidP="00000000" w:rsidRDefault="00000000" w:rsidRPr="00000000" w14:paraId="0000047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47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20</w:t>
            </w:r>
          </w:p>
        </w:tc>
        <w:tc>
          <w:tcPr/>
          <w:p w:rsidR="00000000" w:rsidDel="00000000" w:rsidP="00000000" w:rsidRDefault="00000000" w:rsidRPr="00000000" w14:paraId="0000048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15.02</w:t>
            </w:r>
          </w:p>
        </w:tc>
      </w:tr>
      <w:tr>
        <w:trPr>
          <w:cantSplit w:val="0"/>
          <w:trHeight w:val="493" w:hRule="atLeast"/>
          <w:tblHeader w:val="0"/>
        </w:trPr>
        <w:tc>
          <w:tcPr/>
          <w:p w:rsidR="00000000" w:rsidDel="00000000" w:rsidP="00000000" w:rsidRDefault="00000000" w:rsidRPr="00000000" w14:paraId="0000048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48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25</w:t>
            </w:r>
          </w:p>
        </w:tc>
        <w:tc>
          <w:tcPr/>
          <w:p w:rsidR="00000000" w:rsidDel="00000000" w:rsidP="00000000" w:rsidRDefault="00000000" w:rsidRPr="00000000" w14:paraId="0000048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17.08</w:t>
            </w:r>
          </w:p>
        </w:tc>
      </w:tr>
      <w:tr>
        <w:trPr>
          <w:cantSplit w:val="0"/>
          <w:trHeight w:val="479" w:hRule="atLeast"/>
          <w:tblHeader w:val="0"/>
        </w:trPr>
        <w:tc>
          <w:tcPr/>
          <w:p w:rsidR="00000000" w:rsidDel="00000000" w:rsidP="00000000" w:rsidRDefault="00000000" w:rsidRPr="00000000" w14:paraId="0000048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48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15</w:t>
            </w:r>
          </w:p>
        </w:tc>
        <w:tc>
          <w:tcPr/>
          <w:p w:rsidR="00000000" w:rsidDel="00000000" w:rsidP="00000000" w:rsidRDefault="00000000" w:rsidRPr="00000000" w14:paraId="0000048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9.32</w:t>
            </w:r>
          </w:p>
        </w:tc>
      </w:tr>
      <w:tr>
        <w:trPr>
          <w:cantSplit w:val="0"/>
          <w:trHeight w:val="493" w:hRule="atLeast"/>
          <w:tblHeader w:val="0"/>
        </w:trPr>
        <w:tc>
          <w:tcPr/>
          <w:p w:rsidR="00000000" w:rsidDel="00000000" w:rsidP="00000000" w:rsidRDefault="00000000" w:rsidRPr="00000000" w14:paraId="0000048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Total PV</w:t>
            </w:r>
          </w:p>
        </w:tc>
        <w:tc>
          <w:tcPr/>
          <w:p w:rsidR="00000000" w:rsidDel="00000000" w:rsidP="00000000" w:rsidRDefault="00000000" w:rsidRPr="00000000" w14:paraId="00000488">
            <w:pPr>
              <w:spacing w:after="160" w:line="278.00000000000006" w:lineRule="auto"/>
              <w:jc w:val="center"/>
              <w:rPr>
                <w:rFonts w:ascii="Arial" w:cs="Arial" w:eastAsia="Arial" w:hAnsi="Arial"/>
              </w:rPr>
            </w:pPr>
            <w:r w:rsidDel="00000000" w:rsidR="00000000" w:rsidRPr="00000000">
              <w:rPr>
                <w:rtl w:val="0"/>
              </w:rPr>
            </w:r>
          </w:p>
        </w:tc>
        <w:tc>
          <w:tcPr/>
          <w:p w:rsidR="00000000" w:rsidDel="00000000" w:rsidP="00000000" w:rsidRDefault="00000000" w:rsidRPr="00000000" w14:paraId="00000489">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54.23</w:t>
            </w:r>
            <w:r w:rsidDel="00000000" w:rsidR="00000000" w:rsidRPr="00000000">
              <w:rPr>
                <w:rtl w:val="0"/>
              </w:rPr>
            </w:r>
          </w:p>
        </w:tc>
      </w:tr>
    </w:tbl>
    <w:p w:rsidR="00000000" w:rsidDel="00000000" w:rsidP="00000000" w:rsidRDefault="00000000" w:rsidRPr="00000000" w14:paraId="0000048A">
      <w:pPr>
        <w:rPr>
          <w:rFonts w:ascii="Arial" w:cs="Arial" w:eastAsia="Arial" w:hAnsi="Arial"/>
        </w:rPr>
      </w:pPr>
      <w:r w:rsidDel="00000000" w:rsidR="00000000" w:rsidRPr="00000000">
        <w:rPr>
          <w:rtl w:val="0"/>
        </w:rPr>
      </w:r>
    </w:p>
    <w:p w:rsidR="00000000" w:rsidDel="00000000" w:rsidP="00000000" w:rsidRDefault="00000000" w:rsidRPr="00000000" w14:paraId="0000048B">
      <w:pPr>
        <w:rPr>
          <w:rFonts w:ascii="Arial" w:cs="Arial" w:eastAsia="Arial" w:hAnsi="Arial"/>
        </w:rPr>
      </w:pPr>
      <w:r w:rsidDel="00000000" w:rsidR="00000000" w:rsidRPr="00000000">
        <w:rPr>
          <w:rFonts w:ascii="Arial" w:cs="Arial" w:eastAsia="Arial" w:hAnsi="Arial"/>
          <w:rtl w:val="0"/>
        </w:rPr>
        <w:t xml:space="preserve">NPV = 54.23 − 50 = </w:t>
      </w:r>
      <w:r w:rsidDel="00000000" w:rsidR="00000000" w:rsidRPr="00000000">
        <w:rPr>
          <w:rFonts w:ascii="Arial" w:cs="Arial" w:eastAsia="Arial" w:hAnsi="Arial"/>
          <w:b w:val="1"/>
          <w:bCs w:val="1"/>
          <w:rtl w:val="0"/>
        </w:rPr>
        <w:t xml:space="preserve">+4.23m</w:t>
      </w:r>
      <w:r w:rsidDel="00000000" w:rsidR="00000000" w:rsidRPr="00000000">
        <w:rPr>
          <w:rtl w:val="0"/>
        </w:rPr>
      </w:r>
    </w:p>
    <w:p w:rsidR="00000000" w:rsidDel="00000000" w:rsidP="00000000" w:rsidRDefault="00000000" w:rsidRPr="00000000" w14:paraId="0000048C">
      <w:pPr>
        <w:rPr>
          <w:rFonts w:ascii="Arial" w:cs="Arial" w:eastAsia="Arial" w:hAnsi="Arial"/>
          <w:b w:val="1"/>
          <w:bCs w:val="1"/>
        </w:rPr>
      </w:pPr>
      <w:r w:rsidDel="00000000" w:rsidR="00000000" w:rsidRPr="00000000">
        <w:rPr>
          <w:rFonts w:ascii="Arial" w:cs="Arial" w:eastAsia="Arial" w:hAnsi="Arial"/>
          <w:b w:val="1"/>
          <w:bCs w:val="1"/>
          <w:rtl w:val="0"/>
        </w:rPr>
        <w:t xml:space="preserve">NPV Conclusion</w:t>
      </w:r>
    </w:p>
    <w:tbl>
      <w:tblPr>
        <w:tblStyle w:val="Table35"/>
        <w:tblW w:w="733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463"/>
        <w:gridCol w:w="4872"/>
        <w:tblGridChange w:id="0">
          <w:tblGrid>
            <w:gridCol w:w="2463"/>
            <w:gridCol w:w="4872"/>
          </w:tblGrid>
        </w:tblGridChange>
      </w:tblGrid>
      <w:tr>
        <w:trPr>
          <w:cantSplit w:val="0"/>
          <w:trHeight w:val="515" w:hRule="atLeast"/>
          <w:tblHeader w:val="0"/>
        </w:trPr>
        <w:tc>
          <w:tcPr/>
          <w:p w:rsidR="00000000" w:rsidDel="00000000" w:rsidP="00000000" w:rsidRDefault="00000000" w:rsidRPr="00000000" w14:paraId="0000048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w:t>
            </w:r>
          </w:p>
        </w:tc>
        <w:tc>
          <w:tcPr/>
          <w:p w:rsidR="00000000" w:rsidDel="00000000" w:rsidP="00000000" w:rsidRDefault="00000000" w:rsidRPr="00000000" w14:paraId="0000048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NPV</w:t>
            </w:r>
          </w:p>
        </w:tc>
      </w:tr>
      <w:tr>
        <w:trPr>
          <w:cantSplit w:val="0"/>
          <w:trHeight w:val="502" w:hRule="atLeast"/>
          <w:tblHeader w:val="0"/>
        </w:trPr>
        <w:tc>
          <w:tcPr/>
          <w:p w:rsidR="00000000" w:rsidDel="00000000" w:rsidP="00000000" w:rsidRDefault="00000000" w:rsidRPr="00000000" w14:paraId="0000048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490">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£4.23m (best)</w:t>
            </w:r>
            <w:r w:rsidDel="00000000" w:rsidR="00000000" w:rsidRPr="00000000">
              <w:rPr>
                <w:rtl w:val="0"/>
              </w:rPr>
            </w:r>
          </w:p>
        </w:tc>
      </w:tr>
      <w:tr>
        <w:trPr>
          <w:cantSplit w:val="0"/>
          <w:trHeight w:val="515" w:hRule="atLeast"/>
          <w:tblHeader w:val="0"/>
        </w:trPr>
        <w:tc>
          <w:tcPr/>
          <w:p w:rsidR="00000000" w:rsidDel="00000000" w:rsidP="00000000" w:rsidRDefault="00000000" w:rsidRPr="00000000" w14:paraId="0000049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49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£1.31m</w:t>
            </w:r>
          </w:p>
        </w:tc>
      </w:tr>
      <w:tr>
        <w:trPr>
          <w:cantSplit w:val="0"/>
          <w:trHeight w:val="515" w:hRule="atLeast"/>
          <w:tblHeader w:val="0"/>
        </w:trPr>
        <w:tc>
          <w:tcPr/>
          <w:p w:rsidR="00000000" w:rsidDel="00000000" w:rsidP="00000000" w:rsidRDefault="00000000" w:rsidRPr="00000000" w14:paraId="0000049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494">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−£7.25m (reject)</w:t>
            </w:r>
            <w:r w:rsidDel="00000000" w:rsidR="00000000" w:rsidRPr="00000000">
              <w:rPr>
                <w:rtl w:val="0"/>
              </w:rPr>
            </w:r>
          </w:p>
        </w:tc>
      </w:tr>
    </w:tbl>
    <w:p w:rsidR="00000000" w:rsidDel="00000000" w:rsidP="00000000" w:rsidRDefault="00000000" w:rsidRPr="00000000" w14:paraId="00000495">
      <w:pPr>
        <w:rPr>
          <w:rFonts w:ascii="Arial" w:cs="Arial" w:eastAsia="Arial" w:hAnsi="Arial"/>
        </w:rPr>
      </w:pPr>
      <w:r w:rsidDel="00000000" w:rsidR="00000000" w:rsidRPr="00000000">
        <w:rPr>
          <w:rtl w:val="0"/>
        </w:rPr>
      </w:r>
    </w:p>
    <w:p w:rsidR="00000000" w:rsidDel="00000000" w:rsidP="00000000" w:rsidRDefault="00000000" w:rsidRPr="00000000" w14:paraId="00000496">
      <w:pPr>
        <w:rPr>
          <w:rFonts w:ascii="Arial" w:cs="Arial" w:eastAsia="Arial" w:hAnsi="Arial"/>
        </w:rPr>
      </w:pPr>
      <w:r w:rsidDel="00000000" w:rsidR="00000000" w:rsidRPr="00000000">
        <w:rPr>
          <w:rFonts w:ascii="Arial" w:cs="Arial" w:eastAsia="Arial" w:hAnsi="Arial"/>
          <w:b w:val="1"/>
          <w:bCs w:val="1"/>
          <w:rtl w:val="0"/>
        </w:rPr>
        <w:t xml:space="preserve">Project C</w:t>
      </w:r>
      <w:r w:rsidDel="00000000" w:rsidR="00000000" w:rsidRPr="00000000">
        <w:rPr>
          <w:rFonts w:ascii="Arial" w:cs="Arial" w:eastAsia="Arial" w:hAnsi="Arial"/>
          <w:rtl w:val="0"/>
        </w:rPr>
        <w:t xml:space="preserve"> creates the most value.</w:t>
      </w:r>
    </w:p>
    <w:p w:rsidR="00000000" w:rsidDel="00000000" w:rsidP="00000000" w:rsidRDefault="00000000" w:rsidRPr="00000000" w14:paraId="00000497">
      <w:pPr>
        <w:pStyle w:val="Heading2"/>
        <w:rPr/>
      </w:pPr>
      <w:bookmarkStart w:colFirst="0" w:colLast="0" w:name="_v73db93a4n7f" w:id="46"/>
      <w:bookmarkEnd w:id="46"/>
      <w:r w:rsidDel="00000000" w:rsidR="00000000" w:rsidRPr="00000000">
        <w:rPr>
          <w:rtl w:val="0"/>
        </w:rPr>
        <w:t xml:space="preserve">4.5 Profitability Index (PI)</w:t>
      </w:r>
    </w:p>
    <w:p w:rsidR="00000000" w:rsidDel="00000000" w:rsidP="00000000" w:rsidRDefault="00000000" w:rsidRPr="00000000" w14:paraId="00000498">
      <w:pPr>
        <w:rPr>
          <w:rFonts w:ascii="Arial" w:cs="Arial" w:eastAsia="Arial" w:hAnsi="Arial"/>
        </w:rPr>
      </w:pPr>
      <w:r w:rsidDel="00000000" w:rsidR="00000000" w:rsidRPr="00000000">
        <w:rPr>
          <w:rFonts w:ascii="Arial" w:cs="Arial" w:eastAsia="Arial" w:hAnsi="Arial"/>
          <w:b w:val="1"/>
          <w:bCs w:val="1"/>
          <w:rtl w:val="0"/>
        </w:rPr>
        <w:t xml:space="preserve">PI</w:t>
      </w:r>
      <w:r w:rsidDel="00000000" w:rsidR="00000000" w:rsidRPr="00000000">
        <w:rPr>
          <w:rFonts w:ascii="Arial" w:cs="Arial" w:eastAsia="Arial" w:hAnsi="Arial"/>
          <w:rtl w:val="0"/>
        </w:rPr>
        <w:t xml:space="preserve"> = PV of inflows ÷ Initial investment</w:t>
      </w:r>
    </w:p>
    <w:tbl>
      <w:tblPr>
        <w:tblStyle w:val="Table36"/>
        <w:tblW w:w="8117.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766"/>
        <w:gridCol w:w="2955"/>
        <w:gridCol w:w="1401"/>
        <w:gridCol w:w="1995"/>
        <w:tblGridChange w:id="0">
          <w:tblGrid>
            <w:gridCol w:w="1766"/>
            <w:gridCol w:w="2955"/>
            <w:gridCol w:w="1401"/>
            <w:gridCol w:w="1995"/>
          </w:tblGrid>
        </w:tblGridChange>
      </w:tblGrid>
      <w:tr>
        <w:trPr>
          <w:cantSplit w:val="0"/>
          <w:trHeight w:val="577" w:hRule="atLeast"/>
          <w:tblHeader w:val="0"/>
        </w:trPr>
        <w:tc>
          <w:tcPr/>
          <w:p w:rsidR="00000000" w:rsidDel="00000000" w:rsidP="00000000" w:rsidRDefault="00000000" w:rsidRPr="00000000" w14:paraId="0000049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w:t>
            </w:r>
          </w:p>
        </w:tc>
        <w:tc>
          <w:tcPr/>
          <w:p w:rsidR="00000000" w:rsidDel="00000000" w:rsidP="00000000" w:rsidRDefault="00000000" w:rsidRPr="00000000" w14:paraId="0000049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PV of inflows</w:t>
            </w:r>
          </w:p>
        </w:tc>
        <w:tc>
          <w:tcPr/>
          <w:p w:rsidR="00000000" w:rsidDel="00000000" w:rsidP="00000000" w:rsidRDefault="00000000" w:rsidRPr="00000000" w14:paraId="0000049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PI</w:t>
            </w:r>
          </w:p>
        </w:tc>
        <w:tc>
          <w:tcPr/>
          <w:p w:rsidR="00000000" w:rsidDel="00000000" w:rsidP="00000000" w:rsidRDefault="00000000" w:rsidRPr="00000000" w14:paraId="0000049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Ranking</w:t>
            </w:r>
          </w:p>
        </w:tc>
      </w:tr>
      <w:tr>
        <w:trPr>
          <w:cantSplit w:val="0"/>
          <w:trHeight w:val="562" w:hRule="atLeast"/>
          <w:tblHeader w:val="0"/>
        </w:trPr>
        <w:tc>
          <w:tcPr/>
          <w:p w:rsidR="00000000" w:rsidDel="00000000" w:rsidP="00000000" w:rsidRDefault="00000000" w:rsidRPr="00000000" w14:paraId="0000049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49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41.31</w:t>
            </w:r>
          </w:p>
        </w:tc>
        <w:tc>
          <w:tcPr/>
          <w:p w:rsidR="00000000" w:rsidDel="00000000" w:rsidP="00000000" w:rsidRDefault="00000000" w:rsidRPr="00000000" w14:paraId="0000049F">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1.033</w:t>
            </w:r>
            <w:r w:rsidDel="00000000" w:rsidR="00000000" w:rsidRPr="00000000">
              <w:rPr>
                <w:rtl w:val="0"/>
              </w:rPr>
            </w:r>
          </w:p>
        </w:tc>
        <w:tc>
          <w:tcPr/>
          <w:p w:rsidR="00000000" w:rsidDel="00000000" w:rsidP="00000000" w:rsidRDefault="00000000" w:rsidRPr="00000000" w14:paraId="000004A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w:t>
            </w:r>
          </w:p>
        </w:tc>
      </w:tr>
      <w:tr>
        <w:trPr>
          <w:cantSplit w:val="0"/>
          <w:trHeight w:val="577" w:hRule="atLeast"/>
          <w:tblHeader w:val="0"/>
        </w:trPr>
        <w:tc>
          <w:tcPr/>
          <w:p w:rsidR="00000000" w:rsidDel="00000000" w:rsidP="00000000" w:rsidRDefault="00000000" w:rsidRPr="00000000" w14:paraId="000004A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4A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22.75</w:t>
            </w:r>
          </w:p>
        </w:tc>
        <w:tc>
          <w:tcPr/>
          <w:p w:rsidR="00000000" w:rsidDel="00000000" w:rsidP="00000000" w:rsidRDefault="00000000" w:rsidRPr="00000000" w14:paraId="000004A3">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0.758</w:t>
            </w:r>
            <w:r w:rsidDel="00000000" w:rsidR="00000000" w:rsidRPr="00000000">
              <w:rPr>
                <w:rtl w:val="0"/>
              </w:rPr>
            </w:r>
          </w:p>
        </w:tc>
        <w:tc>
          <w:tcPr/>
          <w:p w:rsidR="00000000" w:rsidDel="00000000" w:rsidP="00000000" w:rsidRDefault="00000000" w:rsidRPr="00000000" w14:paraId="000004A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w:t>
            </w:r>
          </w:p>
        </w:tc>
      </w:tr>
      <w:tr>
        <w:trPr>
          <w:cantSplit w:val="0"/>
          <w:trHeight w:val="577" w:hRule="atLeast"/>
          <w:tblHeader w:val="0"/>
        </w:trPr>
        <w:tc>
          <w:tcPr/>
          <w:p w:rsidR="00000000" w:rsidDel="00000000" w:rsidP="00000000" w:rsidRDefault="00000000" w:rsidRPr="00000000" w14:paraId="000004A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4A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54.23</w:t>
            </w:r>
          </w:p>
        </w:tc>
        <w:tc>
          <w:tcPr/>
          <w:p w:rsidR="00000000" w:rsidDel="00000000" w:rsidP="00000000" w:rsidRDefault="00000000" w:rsidRPr="00000000" w14:paraId="000004A7">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1.085</w:t>
            </w:r>
            <w:r w:rsidDel="00000000" w:rsidR="00000000" w:rsidRPr="00000000">
              <w:rPr>
                <w:rtl w:val="0"/>
              </w:rPr>
            </w:r>
          </w:p>
        </w:tc>
        <w:tc>
          <w:tcPr/>
          <w:p w:rsidR="00000000" w:rsidDel="00000000" w:rsidP="00000000" w:rsidRDefault="00000000" w:rsidRPr="00000000" w14:paraId="000004A8">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 (best)</w:t>
            </w:r>
            <w:r w:rsidDel="00000000" w:rsidR="00000000" w:rsidRPr="00000000">
              <w:rPr>
                <w:rtl w:val="0"/>
              </w:rPr>
            </w:r>
          </w:p>
        </w:tc>
      </w:tr>
    </w:tbl>
    <w:p w:rsidR="00000000" w:rsidDel="00000000" w:rsidP="00000000" w:rsidRDefault="00000000" w:rsidRPr="00000000" w14:paraId="000004A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AA">
      <w:pPr>
        <w:spacing w:line="360" w:lineRule="auto"/>
        <w:rPr>
          <w:rFonts w:ascii="Arial" w:cs="Arial" w:eastAsia="Arial" w:hAnsi="Arial"/>
        </w:rPr>
      </w:pPr>
      <w:r w:rsidDel="00000000" w:rsidR="00000000" w:rsidRPr="00000000">
        <w:rPr>
          <w:rFonts w:ascii="Arial" w:cs="Arial" w:eastAsia="Arial" w:hAnsi="Arial"/>
          <w:rtl w:val="0"/>
        </w:rPr>
        <w:t xml:space="preserve">A PI above 1 indicates value creation.</w:t>
        <w:br w:type="textWrapping"/>
        <w:t xml:space="preserve">Projects A and C are acceptable; B must be rejected.</w:t>
      </w:r>
    </w:p>
    <w:p w:rsidR="00000000" w:rsidDel="00000000" w:rsidP="00000000" w:rsidRDefault="00000000" w:rsidRPr="00000000" w14:paraId="000004AB">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AC">
      <w:pPr>
        <w:pStyle w:val="Heading2"/>
        <w:rPr/>
      </w:pPr>
      <w:bookmarkStart w:colFirst="0" w:colLast="0" w:name="_sblru5yx44f0" w:id="47"/>
      <w:bookmarkEnd w:id="47"/>
      <w:r w:rsidDel="00000000" w:rsidR="00000000" w:rsidRPr="00000000">
        <w:rPr>
          <w:rtl w:val="0"/>
        </w:rPr>
        <w:t xml:space="preserve">4.6 Internal Rate of Return (IRR)</w:t>
      </w:r>
    </w:p>
    <w:p w:rsidR="00000000" w:rsidDel="00000000" w:rsidP="00000000" w:rsidRDefault="00000000" w:rsidRPr="00000000" w14:paraId="000004AD">
      <w:pPr>
        <w:spacing w:line="360" w:lineRule="auto"/>
        <w:rPr>
          <w:rFonts w:ascii="Arial" w:cs="Arial" w:eastAsia="Arial" w:hAnsi="Arial"/>
        </w:rPr>
      </w:pPr>
      <w:r w:rsidDel="00000000" w:rsidR="00000000" w:rsidRPr="00000000">
        <w:rPr>
          <w:rFonts w:ascii="Arial" w:cs="Arial" w:eastAsia="Arial" w:hAnsi="Arial"/>
          <w:rtl w:val="0"/>
        </w:rPr>
        <w:t xml:space="preserve">IRR ≈ discount rate where NPV = 0.</w:t>
      </w:r>
    </w:p>
    <w:p w:rsidR="00000000" w:rsidDel="00000000" w:rsidP="00000000" w:rsidRDefault="00000000" w:rsidRPr="00000000" w14:paraId="000004AE">
      <w:pPr>
        <w:spacing w:line="360" w:lineRule="auto"/>
        <w:rPr>
          <w:rFonts w:ascii="Arial" w:cs="Arial" w:eastAsia="Arial" w:hAnsi="Arial"/>
        </w:rPr>
      </w:pPr>
      <w:r w:rsidDel="00000000" w:rsidR="00000000" w:rsidRPr="00000000">
        <w:rPr>
          <w:rFonts w:ascii="Arial" w:cs="Arial" w:eastAsia="Arial" w:hAnsi="Arial"/>
          <w:rtl w:val="0"/>
        </w:rPr>
        <w:t xml:space="preserve">Approximated via interpolation.</w:t>
      </w:r>
    </w:p>
    <w:p w:rsidR="00000000" w:rsidDel="00000000" w:rsidP="00000000" w:rsidRDefault="00000000" w:rsidRPr="00000000" w14:paraId="000004AF">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IRR-Project A</w:t>
      </w:r>
    </w:p>
    <w:p w:rsidR="00000000" w:rsidDel="00000000" w:rsidP="00000000" w:rsidRDefault="00000000" w:rsidRPr="00000000" w14:paraId="000004B0">
      <w:pPr>
        <w:spacing w:line="360" w:lineRule="auto"/>
        <w:rPr>
          <w:rFonts w:ascii="Arial" w:cs="Arial" w:eastAsia="Arial" w:hAnsi="Arial"/>
        </w:rPr>
      </w:pPr>
      <w:r w:rsidDel="00000000" w:rsidR="00000000" w:rsidRPr="00000000">
        <w:rPr>
          <w:rFonts w:ascii="Arial" w:cs="Arial" w:eastAsia="Arial" w:hAnsi="Arial"/>
          <w:rtl w:val="0"/>
        </w:rPr>
        <w:t xml:space="preserve">NPV at 10% = +1.31</w:t>
        <w:br w:type="textWrapping"/>
        <w:t xml:space="preserve">NPV at 15% = −2.18</w:t>
      </w:r>
    </w:p>
    <w:p w:rsidR="00000000" w:rsidDel="00000000" w:rsidP="00000000" w:rsidRDefault="00000000" w:rsidRPr="00000000" w14:paraId="000004B1">
      <w:pPr>
        <w:spacing w:line="360" w:lineRule="auto"/>
        <w:rPr>
          <w:rFonts w:ascii="Arial" w:cs="Arial" w:eastAsia="Arial" w:hAnsi="Arial"/>
        </w:rPr>
      </w:pPr>
      <w:r w:rsidDel="00000000" w:rsidR="00000000" w:rsidRPr="00000000">
        <w:rPr>
          <w:rFonts w:ascii="Arial" w:cs="Arial" w:eastAsia="Arial" w:hAnsi="Arial"/>
          <w:rtl w:val="0"/>
        </w:rPr>
        <w:t xml:space="preserve">IRR ≈ 10 + (1.31/ (1.31 + 2.18)) × 5</w:t>
        <w:br w:type="textWrapping"/>
        <w:t xml:space="preserve">IRR ≈ 10 + 1.9 = </w:t>
      </w:r>
      <w:r w:rsidDel="00000000" w:rsidR="00000000" w:rsidRPr="00000000">
        <w:rPr>
          <w:rFonts w:ascii="Arial" w:cs="Arial" w:eastAsia="Arial" w:hAnsi="Arial"/>
          <w:b w:val="1"/>
          <w:bCs w:val="1"/>
          <w:rtl w:val="0"/>
        </w:rPr>
        <w:t xml:space="preserve">11.9%</w:t>
      </w:r>
      <w:r w:rsidDel="00000000" w:rsidR="00000000" w:rsidRPr="00000000">
        <w:rPr>
          <w:rtl w:val="0"/>
        </w:rPr>
      </w:r>
    </w:p>
    <w:p w:rsidR="00000000" w:rsidDel="00000000" w:rsidP="00000000" w:rsidRDefault="00000000" w:rsidRPr="00000000" w14:paraId="000004B2">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IRR-Project B</w:t>
      </w:r>
    </w:p>
    <w:p w:rsidR="00000000" w:rsidDel="00000000" w:rsidP="00000000" w:rsidRDefault="00000000" w:rsidRPr="00000000" w14:paraId="000004B3">
      <w:pPr>
        <w:spacing w:line="360" w:lineRule="auto"/>
        <w:rPr>
          <w:rFonts w:ascii="Arial" w:cs="Arial" w:eastAsia="Arial" w:hAnsi="Arial"/>
        </w:rPr>
      </w:pPr>
      <w:r w:rsidDel="00000000" w:rsidR="00000000" w:rsidRPr="00000000">
        <w:rPr>
          <w:rFonts w:ascii="Arial" w:cs="Arial" w:eastAsia="Arial" w:hAnsi="Arial"/>
          <w:rtl w:val="0"/>
        </w:rPr>
        <w:t xml:space="preserve">Cash flows constant → IRR = cash flow ÷ investment</w:t>
        <w:br w:type="textWrapping"/>
        <w:t xml:space="preserve">IRR = 6/30 = </w:t>
      </w:r>
      <w:r w:rsidDel="00000000" w:rsidR="00000000" w:rsidRPr="00000000">
        <w:rPr>
          <w:rFonts w:ascii="Arial" w:cs="Arial" w:eastAsia="Arial" w:hAnsi="Arial"/>
          <w:b w:val="1"/>
          <w:bCs w:val="1"/>
          <w:rtl w:val="0"/>
        </w:rPr>
        <w:t xml:space="preserve">20%?</w:t>
      </w:r>
      <w:r w:rsidDel="00000000" w:rsidR="00000000" w:rsidRPr="00000000">
        <w:rPr>
          <w:rFonts w:ascii="Arial" w:cs="Arial" w:eastAsia="Arial" w:hAnsi="Arial"/>
          <w:rtl w:val="0"/>
        </w:rPr>
        <w:br w:type="textWrapping"/>
        <w:t xml:space="preserve">NO — this is ARR style; correct IRR requires discounting.</w:t>
      </w:r>
    </w:p>
    <w:p w:rsidR="00000000" w:rsidDel="00000000" w:rsidP="00000000" w:rsidRDefault="00000000" w:rsidRPr="00000000" w14:paraId="000004B4">
      <w:pPr>
        <w:spacing w:line="360" w:lineRule="auto"/>
        <w:rPr>
          <w:rFonts w:ascii="Arial" w:cs="Arial" w:eastAsia="Arial" w:hAnsi="Arial"/>
        </w:rPr>
      </w:pPr>
      <w:r w:rsidDel="00000000" w:rsidR="00000000" w:rsidRPr="00000000">
        <w:rPr>
          <w:rFonts w:ascii="Arial" w:cs="Arial" w:eastAsia="Arial" w:hAnsi="Arial"/>
          <w:rtl w:val="0"/>
        </w:rPr>
        <w:t xml:space="preserve">Test quickly:</w:t>
      </w:r>
    </w:p>
    <w:p w:rsidR="00000000" w:rsidDel="00000000" w:rsidP="00000000" w:rsidRDefault="00000000" w:rsidRPr="00000000" w14:paraId="000004B5">
      <w:pPr>
        <w:spacing w:line="360" w:lineRule="auto"/>
        <w:rPr>
          <w:rFonts w:ascii="Arial" w:cs="Arial" w:eastAsia="Arial" w:hAnsi="Arial"/>
        </w:rPr>
      </w:pPr>
      <w:r w:rsidDel="00000000" w:rsidR="00000000" w:rsidRPr="00000000">
        <w:rPr>
          <w:rFonts w:ascii="Arial" w:cs="Arial" w:eastAsia="Arial" w:hAnsi="Arial"/>
          <w:rtl w:val="0"/>
        </w:rPr>
        <w:t xml:space="preserve">At 10%: NPV = −7.25</w:t>
        <w:br w:type="textWrapping"/>
        <w:t xml:space="preserve">At 2%: NPV ≈ 6(4.713) − 30 = -1.72</w:t>
        <w:br w:type="textWrapping"/>
        <w:t xml:space="preserve">At 0%: NPV = 30 − 30 = 0</w:t>
      </w:r>
    </w:p>
    <w:p w:rsidR="00000000" w:rsidDel="00000000" w:rsidP="00000000" w:rsidRDefault="00000000" w:rsidRPr="00000000" w14:paraId="000004B6">
      <w:pPr>
        <w:spacing w:line="360" w:lineRule="auto"/>
        <w:rPr>
          <w:rFonts w:ascii="Arial" w:cs="Arial" w:eastAsia="Arial" w:hAnsi="Arial"/>
        </w:rPr>
      </w:pPr>
      <w:r w:rsidDel="00000000" w:rsidR="00000000" w:rsidRPr="00000000">
        <w:rPr>
          <w:rFonts w:ascii="Arial" w:cs="Arial" w:eastAsia="Arial" w:hAnsi="Arial"/>
          <w:rtl w:val="0"/>
        </w:rPr>
        <w:t xml:space="preserve">Thus IRR ≈ </w:t>
      </w:r>
      <w:r w:rsidDel="00000000" w:rsidR="00000000" w:rsidRPr="00000000">
        <w:rPr>
          <w:rFonts w:ascii="Arial" w:cs="Arial" w:eastAsia="Arial" w:hAnsi="Arial"/>
          <w:b w:val="1"/>
          <w:bCs w:val="1"/>
          <w:rtl w:val="0"/>
        </w:rPr>
        <w:t xml:space="preserve">0–2%</w:t>
      </w:r>
      <w:r w:rsidDel="00000000" w:rsidR="00000000" w:rsidRPr="00000000">
        <w:rPr>
          <w:rFonts w:ascii="Arial" w:cs="Arial" w:eastAsia="Arial" w:hAnsi="Arial"/>
          <w:rtl w:val="0"/>
        </w:rPr>
        <w:br w:type="textWrapping"/>
        <w:t xml:space="preserve">Final: </w:t>
      </w:r>
      <w:r w:rsidDel="00000000" w:rsidR="00000000" w:rsidRPr="00000000">
        <w:rPr>
          <w:rFonts w:ascii="Arial" w:cs="Arial" w:eastAsia="Arial" w:hAnsi="Arial"/>
          <w:b w:val="1"/>
          <w:bCs w:val="1"/>
          <w:rtl w:val="0"/>
        </w:rPr>
        <w:t xml:space="preserve">IRR ≈ 1%</w:t>
      </w:r>
      <w:r w:rsidDel="00000000" w:rsidR="00000000" w:rsidRPr="00000000">
        <w:rPr>
          <w:rtl w:val="0"/>
        </w:rPr>
      </w:r>
    </w:p>
    <w:p w:rsidR="00000000" w:rsidDel="00000000" w:rsidP="00000000" w:rsidRDefault="00000000" w:rsidRPr="00000000" w14:paraId="000004B7">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IRR-Project C</w:t>
      </w:r>
    </w:p>
    <w:p w:rsidR="00000000" w:rsidDel="00000000" w:rsidP="00000000" w:rsidRDefault="00000000" w:rsidRPr="00000000" w14:paraId="000004B8">
      <w:pPr>
        <w:spacing w:line="360" w:lineRule="auto"/>
        <w:rPr>
          <w:rFonts w:ascii="Arial" w:cs="Arial" w:eastAsia="Arial" w:hAnsi="Arial"/>
        </w:rPr>
      </w:pPr>
      <w:r w:rsidDel="00000000" w:rsidR="00000000" w:rsidRPr="00000000">
        <w:rPr>
          <w:rFonts w:ascii="Arial" w:cs="Arial" w:eastAsia="Arial" w:hAnsi="Arial"/>
          <w:rtl w:val="0"/>
        </w:rPr>
        <w:t xml:space="preserve">NPV at 10% = +4.23</w:t>
        <w:br w:type="textWrapping"/>
        <w:t xml:space="preserve">NPV at 15% = −5.12</w:t>
      </w:r>
    </w:p>
    <w:p w:rsidR="00000000" w:rsidDel="00000000" w:rsidP="00000000" w:rsidRDefault="00000000" w:rsidRPr="00000000" w14:paraId="000004B9">
      <w:pPr>
        <w:spacing w:line="360" w:lineRule="auto"/>
        <w:rPr>
          <w:rFonts w:ascii="Arial" w:cs="Arial" w:eastAsia="Arial" w:hAnsi="Arial"/>
        </w:rPr>
      </w:pPr>
      <w:r w:rsidDel="00000000" w:rsidR="00000000" w:rsidRPr="00000000">
        <w:rPr>
          <w:rFonts w:ascii="Arial" w:cs="Arial" w:eastAsia="Arial" w:hAnsi="Arial"/>
          <w:rtl w:val="0"/>
        </w:rPr>
        <w:t xml:space="preserve">IRR ≈ 10 + (4.23/ (4.23+5.12)) × 5</w:t>
        <w:br w:type="textWrapping"/>
        <w:t xml:space="preserve">IRR ≈ 10 + 2.3 = </w:t>
      </w:r>
      <w:r w:rsidDel="00000000" w:rsidR="00000000" w:rsidRPr="00000000">
        <w:rPr>
          <w:rFonts w:ascii="Arial" w:cs="Arial" w:eastAsia="Arial" w:hAnsi="Arial"/>
          <w:b w:val="1"/>
          <w:bCs w:val="1"/>
          <w:rtl w:val="0"/>
        </w:rPr>
        <w:t xml:space="preserve">12.3%</w:t>
      </w:r>
      <w:r w:rsidDel="00000000" w:rsidR="00000000" w:rsidRPr="00000000">
        <w:rPr>
          <w:rtl w:val="0"/>
        </w:rPr>
      </w:r>
    </w:p>
    <w:p w:rsidR="00000000" w:rsidDel="00000000" w:rsidP="00000000" w:rsidRDefault="00000000" w:rsidRPr="00000000" w14:paraId="000004BA">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BB">
      <w:pPr>
        <w:rPr>
          <w:rFonts w:ascii="Arial" w:cs="Arial" w:eastAsia="Arial" w:hAnsi="Arial"/>
          <w:b w:val="1"/>
          <w:bCs w:val="1"/>
        </w:rPr>
      </w:pPr>
      <w:r w:rsidDel="00000000" w:rsidR="00000000" w:rsidRPr="00000000">
        <w:rPr>
          <w:rFonts w:ascii="Arial" w:cs="Arial" w:eastAsia="Arial" w:hAnsi="Arial"/>
          <w:b w:val="1"/>
          <w:bCs w:val="1"/>
          <w:rtl w:val="0"/>
        </w:rPr>
        <w:t xml:space="preserve">IRR Conclusion</w:t>
      </w:r>
    </w:p>
    <w:tbl>
      <w:tblPr>
        <w:tblStyle w:val="Table37"/>
        <w:tblW w:w="6295.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054"/>
        <w:gridCol w:w="4241"/>
        <w:tblGridChange w:id="0">
          <w:tblGrid>
            <w:gridCol w:w="2054"/>
            <w:gridCol w:w="4241"/>
          </w:tblGrid>
        </w:tblGridChange>
      </w:tblGrid>
      <w:tr>
        <w:trPr>
          <w:cantSplit w:val="0"/>
          <w:trHeight w:val="496" w:hRule="atLeast"/>
          <w:tblHeader w:val="0"/>
        </w:trPr>
        <w:tc>
          <w:tcPr/>
          <w:p w:rsidR="00000000" w:rsidDel="00000000" w:rsidP="00000000" w:rsidRDefault="00000000" w:rsidRPr="00000000" w14:paraId="000004B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w:t>
            </w:r>
          </w:p>
        </w:tc>
        <w:tc>
          <w:tcPr/>
          <w:p w:rsidR="00000000" w:rsidDel="00000000" w:rsidP="00000000" w:rsidRDefault="00000000" w:rsidRPr="00000000" w14:paraId="000004B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IRR</w:t>
            </w:r>
          </w:p>
        </w:tc>
      </w:tr>
      <w:tr>
        <w:trPr>
          <w:cantSplit w:val="0"/>
          <w:trHeight w:val="482" w:hRule="atLeast"/>
          <w:tblHeader w:val="0"/>
        </w:trPr>
        <w:tc>
          <w:tcPr/>
          <w:p w:rsidR="00000000" w:rsidDel="00000000" w:rsidP="00000000" w:rsidRDefault="00000000" w:rsidRPr="00000000" w14:paraId="000004B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4BF">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12.3% (best)</w:t>
            </w:r>
            <w:r w:rsidDel="00000000" w:rsidR="00000000" w:rsidRPr="00000000">
              <w:rPr>
                <w:rtl w:val="0"/>
              </w:rPr>
            </w:r>
          </w:p>
        </w:tc>
      </w:tr>
      <w:tr>
        <w:trPr>
          <w:cantSplit w:val="0"/>
          <w:trHeight w:val="496" w:hRule="atLeast"/>
          <w:tblHeader w:val="0"/>
        </w:trPr>
        <w:tc>
          <w:tcPr/>
          <w:p w:rsidR="00000000" w:rsidDel="00000000" w:rsidP="00000000" w:rsidRDefault="00000000" w:rsidRPr="00000000" w14:paraId="000004C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4C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11.9%</w:t>
            </w:r>
          </w:p>
        </w:tc>
      </w:tr>
      <w:tr>
        <w:trPr>
          <w:cantSplit w:val="0"/>
          <w:trHeight w:val="496" w:hRule="atLeast"/>
          <w:tblHeader w:val="0"/>
        </w:trPr>
        <w:tc>
          <w:tcPr/>
          <w:p w:rsidR="00000000" w:rsidDel="00000000" w:rsidP="00000000" w:rsidRDefault="00000000" w:rsidRPr="00000000" w14:paraId="000004C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4C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r>
    </w:tbl>
    <w:p w:rsidR="00000000" w:rsidDel="00000000" w:rsidP="00000000" w:rsidRDefault="00000000" w:rsidRPr="00000000" w14:paraId="000004C4">
      <w:pPr>
        <w:rPr>
          <w:rFonts w:ascii="Arial" w:cs="Arial" w:eastAsia="Arial" w:hAnsi="Arial"/>
        </w:rPr>
      </w:pPr>
      <w:r w:rsidDel="00000000" w:rsidR="00000000" w:rsidRPr="00000000">
        <w:rPr>
          <w:rtl w:val="0"/>
        </w:rPr>
      </w:r>
    </w:p>
    <w:p w:rsidR="00000000" w:rsidDel="00000000" w:rsidP="00000000" w:rsidRDefault="00000000" w:rsidRPr="00000000" w14:paraId="000004C5">
      <w:pPr>
        <w:rPr>
          <w:rFonts w:ascii="Arial" w:cs="Arial" w:eastAsia="Arial" w:hAnsi="Arial"/>
        </w:rPr>
      </w:pPr>
      <w:r w:rsidDel="00000000" w:rsidR="00000000" w:rsidRPr="00000000">
        <w:rPr>
          <w:rFonts w:ascii="Arial" w:cs="Arial" w:eastAsia="Arial" w:hAnsi="Arial"/>
          <w:b w:val="1"/>
          <w:bCs w:val="1"/>
          <w:rtl w:val="0"/>
        </w:rPr>
        <w:t xml:space="preserve">Projects A and C</w:t>
      </w:r>
      <w:r w:rsidDel="00000000" w:rsidR="00000000" w:rsidRPr="00000000">
        <w:rPr>
          <w:rFonts w:ascii="Arial" w:cs="Arial" w:eastAsia="Arial" w:hAnsi="Arial"/>
          <w:rtl w:val="0"/>
        </w:rPr>
        <w:t xml:space="preserve"> exceed the 10% required return.</w:t>
      </w:r>
    </w:p>
    <w:p w:rsidR="00000000" w:rsidDel="00000000" w:rsidP="00000000" w:rsidRDefault="00000000" w:rsidRPr="00000000" w14:paraId="000004C6">
      <w:pPr>
        <w:pStyle w:val="Heading2"/>
        <w:rPr/>
      </w:pPr>
      <w:bookmarkStart w:colFirst="0" w:colLast="0" w:name="_1sb7fkv40sum" w:id="48"/>
      <w:bookmarkEnd w:id="48"/>
      <w:r w:rsidDel="00000000" w:rsidR="00000000" w:rsidRPr="00000000">
        <w:rPr>
          <w:rtl w:val="0"/>
        </w:rPr>
        <w:t xml:space="preserve">4.7 Overall Quantitative Comparison</w:t>
      </w:r>
    </w:p>
    <w:tbl>
      <w:tblPr>
        <w:tblStyle w:val="Table38"/>
        <w:tblW w:w="746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773"/>
        <w:gridCol w:w="1524"/>
        <w:gridCol w:w="1524"/>
        <w:gridCol w:w="1544"/>
        <w:gridCol w:w="1097"/>
        <w:tblGridChange w:id="0">
          <w:tblGrid>
            <w:gridCol w:w="1773"/>
            <w:gridCol w:w="1524"/>
            <w:gridCol w:w="1524"/>
            <w:gridCol w:w="1544"/>
            <w:gridCol w:w="1097"/>
          </w:tblGrid>
        </w:tblGridChange>
      </w:tblGrid>
      <w:tr>
        <w:trPr>
          <w:cantSplit w:val="0"/>
          <w:trHeight w:val="558" w:hRule="atLeast"/>
          <w:tblHeader w:val="0"/>
        </w:trPr>
        <w:tc>
          <w:tcPr/>
          <w:p w:rsidR="00000000" w:rsidDel="00000000" w:rsidP="00000000" w:rsidRDefault="00000000" w:rsidRPr="00000000" w14:paraId="000004C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Method</w:t>
            </w:r>
          </w:p>
        </w:tc>
        <w:tc>
          <w:tcPr/>
          <w:p w:rsidR="00000000" w:rsidDel="00000000" w:rsidP="00000000" w:rsidRDefault="00000000" w:rsidRPr="00000000" w14:paraId="000004C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4C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4C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4C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Best</w:t>
            </w:r>
          </w:p>
        </w:tc>
      </w:tr>
      <w:tr>
        <w:trPr>
          <w:cantSplit w:val="0"/>
          <w:trHeight w:val="543" w:hRule="atLeast"/>
          <w:tblHeader w:val="0"/>
        </w:trPr>
        <w:tc>
          <w:tcPr/>
          <w:p w:rsidR="00000000" w:rsidDel="00000000" w:rsidP="00000000" w:rsidRDefault="00000000" w:rsidRPr="00000000" w14:paraId="000004C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Payback</w:t>
            </w:r>
          </w:p>
        </w:tc>
        <w:tc>
          <w:tcPr/>
          <w:p w:rsidR="00000000" w:rsidDel="00000000" w:rsidP="00000000" w:rsidRDefault="00000000" w:rsidRPr="00000000" w14:paraId="000004CD">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3.4 yrs</w:t>
            </w:r>
            <w:r w:rsidDel="00000000" w:rsidR="00000000" w:rsidRPr="00000000">
              <w:rPr>
                <w:rtl w:val="0"/>
              </w:rPr>
            </w:r>
          </w:p>
        </w:tc>
        <w:tc>
          <w:tcPr/>
          <w:p w:rsidR="00000000" w:rsidDel="00000000" w:rsidP="00000000" w:rsidRDefault="00000000" w:rsidRPr="00000000" w14:paraId="000004C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5.0</w:t>
            </w:r>
          </w:p>
        </w:tc>
        <w:tc>
          <w:tcPr/>
          <w:p w:rsidR="00000000" w:rsidDel="00000000" w:rsidP="00000000" w:rsidRDefault="00000000" w:rsidRPr="00000000" w14:paraId="000004C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3.6</w:t>
            </w:r>
          </w:p>
        </w:tc>
        <w:tc>
          <w:tcPr/>
          <w:p w:rsidR="00000000" w:rsidDel="00000000" w:rsidP="00000000" w:rsidRDefault="00000000" w:rsidRPr="00000000" w14:paraId="000004D0">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A</w:t>
            </w: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4D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ARR</w:t>
            </w:r>
          </w:p>
        </w:tc>
        <w:tc>
          <w:tcPr/>
          <w:p w:rsidR="00000000" w:rsidDel="00000000" w:rsidP="00000000" w:rsidRDefault="00000000" w:rsidRPr="00000000" w14:paraId="000004D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w:t>
            </w:r>
          </w:p>
        </w:tc>
        <w:tc>
          <w:tcPr/>
          <w:p w:rsidR="00000000" w:rsidDel="00000000" w:rsidP="00000000" w:rsidRDefault="00000000" w:rsidRPr="00000000" w14:paraId="000004D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w:t>
            </w:r>
          </w:p>
        </w:tc>
        <w:tc>
          <w:tcPr/>
          <w:p w:rsidR="00000000" w:rsidDel="00000000" w:rsidP="00000000" w:rsidRDefault="00000000" w:rsidRPr="00000000" w14:paraId="000004D4">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w:t>
            </w:r>
            <w:r w:rsidDel="00000000" w:rsidR="00000000" w:rsidRPr="00000000">
              <w:rPr>
                <w:rtl w:val="0"/>
              </w:rPr>
            </w:r>
          </w:p>
        </w:tc>
        <w:tc>
          <w:tcPr/>
          <w:p w:rsidR="00000000" w:rsidDel="00000000" w:rsidP="00000000" w:rsidRDefault="00000000" w:rsidRPr="00000000" w14:paraId="000004D5">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C</w:t>
            </w: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4D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NPV</w:t>
            </w:r>
          </w:p>
        </w:tc>
        <w:tc>
          <w:tcPr/>
          <w:p w:rsidR="00000000" w:rsidDel="00000000" w:rsidP="00000000" w:rsidRDefault="00000000" w:rsidRPr="00000000" w14:paraId="000004D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+1.31m</w:t>
            </w:r>
          </w:p>
        </w:tc>
        <w:tc>
          <w:tcPr/>
          <w:p w:rsidR="00000000" w:rsidDel="00000000" w:rsidP="00000000" w:rsidRDefault="00000000" w:rsidRPr="00000000" w14:paraId="000004D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−7.25m</w:t>
            </w:r>
          </w:p>
        </w:tc>
        <w:tc>
          <w:tcPr/>
          <w:p w:rsidR="00000000" w:rsidDel="00000000" w:rsidP="00000000" w:rsidRDefault="00000000" w:rsidRPr="00000000" w14:paraId="000004D9">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+4.23m</w:t>
            </w:r>
            <w:r w:rsidDel="00000000" w:rsidR="00000000" w:rsidRPr="00000000">
              <w:rPr>
                <w:rtl w:val="0"/>
              </w:rPr>
            </w:r>
          </w:p>
        </w:tc>
        <w:tc>
          <w:tcPr/>
          <w:p w:rsidR="00000000" w:rsidDel="00000000" w:rsidP="00000000" w:rsidRDefault="00000000" w:rsidRPr="00000000" w14:paraId="000004DA">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C</w:t>
            </w: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4D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PI</w:t>
            </w:r>
          </w:p>
        </w:tc>
        <w:tc>
          <w:tcPr/>
          <w:p w:rsidR="00000000" w:rsidDel="00000000" w:rsidP="00000000" w:rsidRDefault="00000000" w:rsidRPr="00000000" w14:paraId="000004D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1.03</w:t>
            </w:r>
          </w:p>
        </w:tc>
        <w:tc>
          <w:tcPr/>
          <w:p w:rsidR="00000000" w:rsidDel="00000000" w:rsidP="00000000" w:rsidRDefault="00000000" w:rsidRPr="00000000" w14:paraId="000004D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0.76</w:t>
            </w:r>
          </w:p>
        </w:tc>
        <w:tc>
          <w:tcPr/>
          <w:p w:rsidR="00000000" w:rsidDel="00000000" w:rsidP="00000000" w:rsidRDefault="00000000" w:rsidRPr="00000000" w14:paraId="000004DE">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1.09</w:t>
            </w:r>
            <w:r w:rsidDel="00000000" w:rsidR="00000000" w:rsidRPr="00000000">
              <w:rPr>
                <w:rtl w:val="0"/>
              </w:rPr>
            </w:r>
          </w:p>
        </w:tc>
        <w:tc>
          <w:tcPr/>
          <w:p w:rsidR="00000000" w:rsidDel="00000000" w:rsidP="00000000" w:rsidRDefault="00000000" w:rsidRPr="00000000" w14:paraId="000004DF">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C</w:t>
            </w:r>
            <w:r w:rsidDel="00000000" w:rsidR="00000000" w:rsidRPr="00000000">
              <w:rPr>
                <w:rtl w:val="0"/>
              </w:rPr>
            </w:r>
          </w:p>
        </w:tc>
      </w:tr>
      <w:tr>
        <w:trPr>
          <w:cantSplit w:val="0"/>
          <w:trHeight w:val="543" w:hRule="atLeast"/>
          <w:tblHeader w:val="0"/>
        </w:trPr>
        <w:tc>
          <w:tcPr/>
          <w:p w:rsidR="00000000" w:rsidDel="00000000" w:rsidP="00000000" w:rsidRDefault="00000000" w:rsidRPr="00000000" w14:paraId="000004E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IRR</w:t>
            </w:r>
          </w:p>
        </w:tc>
        <w:tc>
          <w:tcPr/>
          <w:p w:rsidR="00000000" w:rsidDel="00000000" w:rsidP="00000000" w:rsidRDefault="00000000" w:rsidRPr="00000000" w14:paraId="000004E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11.9%</w:t>
            </w:r>
          </w:p>
        </w:tc>
        <w:tc>
          <w:tcPr/>
          <w:p w:rsidR="00000000" w:rsidDel="00000000" w:rsidP="00000000" w:rsidRDefault="00000000" w:rsidRPr="00000000" w14:paraId="000004E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4E3">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12.3%</w:t>
            </w:r>
            <w:r w:rsidDel="00000000" w:rsidR="00000000" w:rsidRPr="00000000">
              <w:rPr>
                <w:rtl w:val="0"/>
              </w:rPr>
            </w:r>
          </w:p>
        </w:tc>
        <w:tc>
          <w:tcPr/>
          <w:p w:rsidR="00000000" w:rsidDel="00000000" w:rsidP="00000000" w:rsidRDefault="00000000" w:rsidRPr="00000000" w14:paraId="000004E4">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C</w:t>
            </w:r>
            <w:r w:rsidDel="00000000" w:rsidR="00000000" w:rsidRPr="00000000">
              <w:rPr>
                <w:rtl w:val="0"/>
              </w:rPr>
            </w:r>
          </w:p>
        </w:tc>
      </w:tr>
    </w:tbl>
    <w:p w:rsidR="00000000" w:rsidDel="00000000" w:rsidP="00000000" w:rsidRDefault="00000000" w:rsidRPr="00000000" w14:paraId="000004E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4E6">
      <w:pPr>
        <w:rPr>
          <w:rFonts w:ascii="Arial" w:cs="Arial" w:eastAsia="Arial" w:hAnsi="Arial"/>
        </w:rPr>
      </w:pPr>
      <w:r w:rsidDel="00000000" w:rsidR="00000000" w:rsidRPr="00000000">
        <w:rPr>
          <w:rFonts w:ascii="Arial" w:cs="Arial" w:eastAsia="Arial" w:hAnsi="Arial"/>
          <w:b w:val="1"/>
          <w:bCs w:val="1"/>
          <w:rtl w:val="0"/>
        </w:rPr>
        <w:t xml:space="preserve">Project C </w:t>
      </w:r>
      <w:r w:rsidDel="00000000" w:rsidR="00000000" w:rsidRPr="00000000">
        <w:rPr>
          <w:rFonts w:ascii="Arial" w:cs="Arial" w:eastAsia="Arial" w:hAnsi="Arial"/>
          <w:rtl w:val="0"/>
        </w:rPr>
        <w:t xml:space="preserve">is the strongest investment based on 4 out of 5 methods.</w:t>
      </w:r>
    </w:p>
    <w:p w:rsidR="00000000" w:rsidDel="00000000" w:rsidP="00000000" w:rsidRDefault="00000000" w:rsidRPr="00000000" w14:paraId="000004E7">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E8">
      <w:pPr>
        <w:pStyle w:val="Heading2"/>
        <w:rPr/>
      </w:pPr>
      <w:bookmarkStart w:colFirst="0" w:colLast="0" w:name="_pz01jjp2vhed" w:id="49"/>
      <w:bookmarkEnd w:id="49"/>
      <w:r w:rsidDel="00000000" w:rsidR="00000000" w:rsidRPr="00000000">
        <w:rPr>
          <w:rtl w:val="0"/>
        </w:rPr>
        <w:t xml:space="preserve">4.8 Qualitative Factors and Risk Considerations</w:t>
      </w:r>
    </w:p>
    <w:p w:rsidR="00000000" w:rsidDel="00000000" w:rsidP="00000000" w:rsidRDefault="00000000" w:rsidRPr="00000000" w14:paraId="000004E9">
      <w:pPr>
        <w:spacing w:line="360" w:lineRule="auto"/>
        <w:jc w:val="both"/>
        <w:rPr>
          <w:rFonts w:ascii="Arial" w:cs="Arial" w:eastAsia="Arial" w:hAnsi="Arial"/>
        </w:rPr>
      </w:pPr>
      <w:r w:rsidDel="00000000" w:rsidR="00000000" w:rsidRPr="00000000">
        <w:rPr>
          <w:rFonts w:ascii="Arial" w:cs="Arial" w:eastAsia="Arial" w:hAnsi="Arial"/>
          <w:rtl w:val="0"/>
        </w:rPr>
        <w:t xml:space="preserve">GE’s current financial distress significantly influences investment decisions.</w:t>
      </w:r>
    </w:p>
    <w:p w:rsidR="00000000" w:rsidDel="00000000" w:rsidP="00000000" w:rsidRDefault="00000000" w:rsidRPr="00000000" w14:paraId="000004EA">
      <w:pPr>
        <w:pStyle w:val="Heading3"/>
        <w:rPr/>
      </w:pPr>
      <w:bookmarkStart w:colFirst="0" w:colLast="0" w:name="_tdzdtsibrmyj" w:id="50"/>
      <w:bookmarkEnd w:id="50"/>
      <w:r w:rsidDel="00000000" w:rsidR="00000000" w:rsidRPr="00000000">
        <w:rPr>
          <w:rtl w:val="0"/>
        </w:rPr>
        <w:t xml:space="preserve">4.8.1 Liquidity Constraints</w:t>
      </w:r>
    </w:p>
    <w:p w:rsidR="00000000" w:rsidDel="00000000" w:rsidP="00000000" w:rsidRDefault="00000000" w:rsidRPr="00000000" w14:paraId="000004EB">
      <w:pPr>
        <w:numPr>
          <w:ilvl w:val="0"/>
          <w:numId w:val="4"/>
        </w:numPr>
        <w:spacing w:line="360" w:lineRule="auto"/>
        <w:ind w:left="720" w:hanging="360"/>
        <w:jc w:val="both"/>
        <w:rPr/>
      </w:pPr>
      <w:r w:rsidDel="00000000" w:rsidR="00000000" w:rsidRPr="00000000">
        <w:rPr>
          <w:rFonts w:ascii="Arial" w:cs="Arial" w:eastAsia="Arial" w:hAnsi="Arial"/>
          <w:rtl w:val="0"/>
        </w:rPr>
        <w:t xml:space="preserve">GE’s liquidity has weakened (quick ratio ~1.03)</w:t>
      </w:r>
    </w:p>
    <w:p w:rsidR="00000000" w:rsidDel="00000000" w:rsidP="00000000" w:rsidRDefault="00000000" w:rsidRPr="00000000" w14:paraId="000004EC">
      <w:pPr>
        <w:numPr>
          <w:ilvl w:val="0"/>
          <w:numId w:val="4"/>
        </w:numPr>
        <w:spacing w:line="360" w:lineRule="auto"/>
        <w:ind w:left="720" w:hanging="360"/>
        <w:jc w:val="both"/>
        <w:rPr/>
      </w:pPr>
      <w:r w:rsidDel="00000000" w:rsidR="00000000" w:rsidRPr="00000000">
        <w:rPr>
          <w:rFonts w:ascii="Arial" w:cs="Arial" w:eastAsia="Arial" w:hAnsi="Arial"/>
          <w:rtl w:val="0"/>
        </w:rPr>
        <w:t xml:space="preserve">Working capital shrank from £147bn → £84bn</w:t>
      </w:r>
    </w:p>
    <w:p w:rsidR="00000000" w:rsidDel="00000000" w:rsidP="00000000" w:rsidRDefault="00000000" w:rsidRPr="00000000" w14:paraId="000004ED">
      <w:pPr>
        <w:numPr>
          <w:ilvl w:val="0"/>
          <w:numId w:val="4"/>
        </w:numPr>
        <w:spacing w:line="360" w:lineRule="auto"/>
        <w:ind w:left="720" w:hanging="360"/>
        <w:jc w:val="both"/>
        <w:rPr/>
      </w:pPr>
      <w:r w:rsidDel="00000000" w:rsidR="00000000" w:rsidRPr="00000000">
        <w:rPr>
          <w:rFonts w:ascii="Arial" w:cs="Arial" w:eastAsia="Arial" w:hAnsi="Arial"/>
          <w:rtl w:val="0"/>
        </w:rPr>
        <w:t xml:space="preserve">CCC remains high at 115 days</w:t>
      </w:r>
    </w:p>
    <w:p w:rsidR="00000000" w:rsidDel="00000000" w:rsidP="00000000" w:rsidRDefault="00000000" w:rsidRPr="00000000" w14:paraId="000004EE">
      <w:pPr>
        <w:numPr>
          <w:ilvl w:val="0"/>
          <w:numId w:val="4"/>
        </w:numPr>
        <w:spacing w:line="360" w:lineRule="auto"/>
        <w:ind w:left="720" w:hanging="360"/>
        <w:jc w:val="both"/>
        <w:rPr/>
      </w:pPr>
      <w:r w:rsidDel="00000000" w:rsidR="00000000" w:rsidRPr="00000000">
        <w:rPr>
          <w:rFonts w:ascii="Arial" w:cs="Arial" w:eastAsia="Arial" w:hAnsi="Arial"/>
          <w:rtl w:val="0"/>
        </w:rPr>
        <w:t xml:space="preserve">Debt servicing is risky due to low interest coverage</w:t>
      </w:r>
    </w:p>
    <w:p w:rsidR="00000000" w:rsidDel="00000000" w:rsidP="00000000" w:rsidRDefault="00000000" w:rsidRPr="00000000" w14:paraId="000004EF">
      <w:pPr>
        <w:spacing w:line="360" w:lineRule="auto"/>
        <w:jc w:val="both"/>
        <w:rPr>
          <w:rFonts w:ascii="Arial" w:cs="Arial" w:eastAsia="Arial" w:hAnsi="Arial"/>
        </w:rPr>
      </w:pPr>
      <w:r w:rsidDel="00000000" w:rsidR="00000000" w:rsidRPr="00000000">
        <w:rPr>
          <w:rFonts w:ascii="Arial" w:cs="Arial" w:eastAsia="Arial" w:hAnsi="Arial"/>
          <w:rtl w:val="0"/>
        </w:rPr>
        <w:t xml:space="preserve">Therefore, projects with faster payback and lower initial cost are more appealing </w:t>
      </w:r>
      <w:r w:rsidDel="00000000" w:rsidR="00000000" w:rsidRPr="00000000">
        <w:rPr>
          <w:rFonts w:ascii="Arial" w:cs="Arial" w:eastAsia="Arial" w:hAnsi="Arial"/>
          <w:b w:val="1"/>
          <w:bCs w:val="1"/>
          <w:rtl w:val="0"/>
        </w:rPr>
        <w:t xml:space="preserve">if</w:t>
      </w:r>
      <w:r w:rsidDel="00000000" w:rsidR="00000000" w:rsidRPr="00000000">
        <w:rPr>
          <w:rFonts w:ascii="Arial" w:cs="Arial" w:eastAsia="Arial" w:hAnsi="Arial"/>
          <w:rtl w:val="0"/>
        </w:rPr>
        <w:t xml:space="preserve"> liquidity is priority.</w:t>
      </w:r>
    </w:p>
    <w:p w:rsidR="00000000" w:rsidDel="00000000" w:rsidP="00000000" w:rsidRDefault="00000000" w:rsidRPr="00000000" w14:paraId="000004F0">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Project A</w:t>
      </w:r>
      <w:r w:rsidDel="00000000" w:rsidR="00000000" w:rsidRPr="00000000">
        <w:rPr>
          <w:rFonts w:ascii="Arial" w:cs="Arial" w:eastAsia="Arial" w:hAnsi="Arial"/>
          <w:rtl w:val="0"/>
        </w:rPr>
        <w:t xml:space="preserve"> offers the fastest payback, but Project C provides superior long-term value.</w:t>
      </w:r>
    </w:p>
    <w:p w:rsidR="00000000" w:rsidDel="00000000" w:rsidP="00000000" w:rsidRDefault="00000000" w:rsidRPr="00000000" w14:paraId="000004F1">
      <w:pPr>
        <w:pStyle w:val="Heading3"/>
        <w:rPr/>
      </w:pPr>
      <w:bookmarkStart w:colFirst="0" w:colLast="0" w:name="_st0nijn2xmnn" w:id="51"/>
      <w:bookmarkEnd w:id="51"/>
      <w:r w:rsidDel="00000000" w:rsidR="00000000" w:rsidRPr="00000000">
        <w:rPr>
          <w:rtl w:val="0"/>
        </w:rPr>
        <w:t xml:space="preserve">4.8.2 Cash Flow Volatility</w:t>
      </w:r>
    </w:p>
    <w:tbl>
      <w:tblPr>
        <w:tblStyle w:val="Table39"/>
        <w:tblW w:w="8491.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1200"/>
        <w:gridCol w:w="2100"/>
        <w:gridCol w:w="5191"/>
        <w:tblGridChange w:id="0">
          <w:tblGrid>
            <w:gridCol w:w="1200"/>
            <w:gridCol w:w="2100"/>
            <w:gridCol w:w="5191"/>
          </w:tblGrid>
        </w:tblGridChange>
      </w:tblGrid>
      <w:tr>
        <w:trPr>
          <w:cantSplit w:val="0"/>
          <w:trHeight w:val="561" w:hRule="atLeast"/>
          <w:tblHeader w:val="0"/>
        </w:trPr>
        <w:tc>
          <w:tcPr/>
          <w:p w:rsidR="00000000" w:rsidDel="00000000" w:rsidP="00000000" w:rsidRDefault="00000000" w:rsidRPr="00000000" w14:paraId="000004F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w:t>
            </w:r>
          </w:p>
        </w:tc>
        <w:tc>
          <w:tcPr/>
          <w:p w:rsidR="00000000" w:rsidDel="00000000" w:rsidP="00000000" w:rsidRDefault="00000000" w:rsidRPr="00000000" w14:paraId="000004F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Volatility</w:t>
            </w:r>
          </w:p>
        </w:tc>
        <w:tc>
          <w:tcPr/>
          <w:p w:rsidR="00000000" w:rsidDel="00000000" w:rsidP="00000000" w:rsidRDefault="00000000" w:rsidRPr="00000000" w14:paraId="000004F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Comment</w:t>
            </w:r>
          </w:p>
        </w:tc>
      </w:tr>
      <w:tr>
        <w:trPr>
          <w:cantSplit w:val="0"/>
          <w:trHeight w:val="546" w:hRule="atLeast"/>
          <w:tblHeader w:val="0"/>
        </w:trPr>
        <w:tc>
          <w:tcPr/>
          <w:p w:rsidR="00000000" w:rsidDel="00000000" w:rsidP="00000000" w:rsidRDefault="00000000" w:rsidRPr="00000000" w14:paraId="000004F5">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A</w:t>
            </w:r>
          </w:p>
        </w:tc>
        <w:tc>
          <w:tcPr/>
          <w:p w:rsidR="00000000" w:rsidDel="00000000" w:rsidP="00000000" w:rsidRDefault="00000000" w:rsidRPr="00000000" w14:paraId="000004F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Low–Moderate</w:t>
            </w:r>
          </w:p>
        </w:tc>
        <w:tc>
          <w:tcPr/>
          <w:p w:rsidR="00000000" w:rsidDel="00000000" w:rsidP="00000000" w:rsidRDefault="00000000" w:rsidRPr="00000000" w14:paraId="000004F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Stable pattern</w:t>
            </w:r>
          </w:p>
        </w:tc>
      </w:tr>
      <w:tr>
        <w:trPr>
          <w:cantSplit w:val="0"/>
          <w:trHeight w:val="561" w:hRule="atLeast"/>
          <w:tblHeader w:val="0"/>
        </w:trPr>
        <w:tc>
          <w:tcPr/>
          <w:p w:rsidR="00000000" w:rsidDel="00000000" w:rsidP="00000000" w:rsidRDefault="00000000" w:rsidRPr="00000000" w14:paraId="000004F8">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B</w:t>
            </w:r>
          </w:p>
        </w:tc>
        <w:tc>
          <w:tcPr/>
          <w:p w:rsidR="00000000" w:rsidDel="00000000" w:rsidP="00000000" w:rsidRDefault="00000000" w:rsidRPr="00000000" w14:paraId="000004F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Very Low</w:t>
            </w:r>
          </w:p>
        </w:tc>
        <w:tc>
          <w:tcPr/>
          <w:p w:rsidR="00000000" w:rsidDel="00000000" w:rsidP="00000000" w:rsidRDefault="00000000" w:rsidRPr="00000000" w14:paraId="000004F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Uniform inflows but low returns</w:t>
            </w:r>
          </w:p>
        </w:tc>
      </w:tr>
      <w:tr>
        <w:trPr>
          <w:cantSplit w:val="0"/>
          <w:trHeight w:val="561" w:hRule="atLeast"/>
          <w:tblHeader w:val="0"/>
        </w:trPr>
        <w:tc>
          <w:tcPr/>
          <w:p w:rsidR="00000000" w:rsidDel="00000000" w:rsidP="00000000" w:rsidRDefault="00000000" w:rsidRPr="00000000" w14:paraId="000004FB">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w:t>
            </w:r>
          </w:p>
        </w:tc>
        <w:tc>
          <w:tcPr/>
          <w:p w:rsidR="00000000" w:rsidDel="00000000" w:rsidP="00000000" w:rsidRDefault="00000000" w:rsidRPr="00000000" w14:paraId="000004FC">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High</w:t>
            </w:r>
            <w:r w:rsidDel="00000000" w:rsidR="00000000" w:rsidRPr="00000000">
              <w:rPr>
                <w:rtl w:val="0"/>
              </w:rPr>
            </w:r>
          </w:p>
        </w:tc>
        <w:tc>
          <w:tcPr/>
          <w:p w:rsidR="00000000" w:rsidDel="00000000" w:rsidP="00000000" w:rsidRDefault="00000000" w:rsidRPr="00000000" w14:paraId="000004FD">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Large swings: 5 → 10 → 20 → 25 → 15</w:t>
            </w:r>
          </w:p>
        </w:tc>
      </w:tr>
    </w:tbl>
    <w:p w:rsidR="00000000" w:rsidDel="00000000" w:rsidP="00000000" w:rsidRDefault="00000000" w:rsidRPr="00000000" w14:paraId="000004FE">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4FF">
      <w:pPr>
        <w:spacing w:line="360" w:lineRule="auto"/>
        <w:rPr>
          <w:rFonts w:ascii="Arial" w:cs="Arial" w:eastAsia="Arial" w:hAnsi="Arial"/>
        </w:rPr>
      </w:pPr>
      <w:r w:rsidDel="00000000" w:rsidR="00000000" w:rsidRPr="00000000">
        <w:rPr>
          <w:rFonts w:ascii="Arial" w:cs="Arial" w:eastAsia="Arial" w:hAnsi="Arial"/>
          <w:rtl w:val="0"/>
        </w:rPr>
        <w:t xml:space="preserve">Under financial distress, firms avoid volatile projects (Umar, 2023).</w:t>
        <w:br w:type="textWrapping"/>
        <w:t xml:space="preserve">Thus </w:t>
      </w:r>
      <w:r w:rsidDel="00000000" w:rsidR="00000000" w:rsidRPr="00000000">
        <w:rPr>
          <w:rFonts w:ascii="Arial" w:cs="Arial" w:eastAsia="Arial" w:hAnsi="Arial"/>
          <w:b w:val="1"/>
          <w:bCs w:val="1"/>
          <w:rtl w:val="0"/>
        </w:rPr>
        <w:t xml:space="preserve">Project C carries higher risk</w:t>
      </w:r>
      <w:r w:rsidDel="00000000" w:rsidR="00000000" w:rsidRPr="00000000">
        <w:rPr>
          <w:rFonts w:ascii="Arial" w:cs="Arial" w:eastAsia="Arial" w:hAnsi="Arial"/>
          <w:rtl w:val="0"/>
        </w:rPr>
        <w:t xml:space="preserve">, but also higher value creation.</w:t>
      </w:r>
    </w:p>
    <w:p w:rsidR="00000000" w:rsidDel="00000000" w:rsidP="00000000" w:rsidRDefault="00000000" w:rsidRPr="00000000" w14:paraId="00000500">
      <w:pPr>
        <w:pStyle w:val="Heading3"/>
        <w:rPr/>
      </w:pPr>
      <w:bookmarkStart w:colFirst="0" w:colLast="0" w:name="_56dtu1k3eh0y" w:id="52"/>
      <w:bookmarkEnd w:id="52"/>
      <w:r w:rsidDel="00000000" w:rsidR="00000000" w:rsidRPr="00000000">
        <w:rPr>
          <w:rtl w:val="0"/>
        </w:rPr>
        <w:t xml:space="preserve">4.8.3 Strategic Fit</w:t>
      </w:r>
    </w:p>
    <w:p w:rsidR="00000000" w:rsidDel="00000000" w:rsidP="00000000" w:rsidRDefault="00000000" w:rsidRPr="00000000" w14:paraId="00000501">
      <w:pPr>
        <w:spacing w:line="360" w:lineRule="auto"/>
        <w:rPr>
          <w:rFonts w:ascii="Arial" w:cs="Arial" w:eastAsia="Arial" w:hAnsi="Arial"/>
        </w:rPr>
      </w:pPr>
      <w:r w:rsidDel="00000000" w:rsidR="00000000" w:rsidRPr="00000000">
        <w:rPr>
          <w:rFonts w:ascii="Arial" w:cs="Arial" w:eastAsia="Arial" w:hAnsi="Arial"/>
          <w:rtl w:val="0"/>
        </w:rPr>
        <w:t xml:space="preserve">The accelerating cash flow profile of project C indicates growth orientation- useful in regaining the lost competitiveness in the long term (Bachmann, 2009).</w:t>
        <w:br w:type="textWrapping"/>
        <w:t xml:space="preserve">Project B appears stagnant and strategically unappealing.</w:t>
      </w:r>
    </w:p>
    <w:p w:rsidR="00000000" w:rsidDel="00000000" w:rsidP="00000000" w:rsidRDefault="00000000" w:rsidRPr="00000000" w14:paraId="00000502">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503">
      <w:pPr>
        <w:pStyle w:val="Heading2"/>
        <w:rPr/>
      </w:pPr>
      <w:bookmarkStart w:colFirst="0" w:colLast="0" w:name="_ej4kqndaeozo" w:id="53"/>
      <w:bookmarkEnd w:id="53"/>
      <w:r w:rsidDel="00000000" w:rsidR="00000000" w:rsidRPr="00000000">
        <w:rPr>
          <w:rtl w:val="0"/>
        </w:rPr>
        <w:t xml:space="preserve">4.9 Capital Rationing Decision (Maximum Available = £60m)</w:t>
      </w:r>
    </w:p>
    <w:p w:rsidR="00000000" w:rsidDel="00000000" w:rsidP="00000000" w:rsidRDefault="00000000" w:rsidRPr="00000000" w14:paraId="00000504">
      <w:pPr>
        <w:spacing w:line="360" w:lineRule="auto"/>
        <w:rPr>
          <w:rFonts w:ascii="Arial" w:cs="Arial" w:eastAsia="Arial" w:hAnsi="Arial"/>
        </w:rPr>
      </w:pPr>
      <w:r w:rsidDel="00000000" w:rsidR="00000000" w:rsidRPr="00000000">
        <w:rPr>
          <w:rFonts w:ascii="Arial" w:cs="Arial" w:eastAsia="Arial" w:hAnsi="Arial"/>
          <w:rtl w:val="0"/>
        </w:rPr>
        <w:t xml:space="preserve">GE cannot invest in all three projects.</w:t>
        <w:br w:type="textWrapping"/>
        <w:t xml:space="preserve">Total cost if selecting A + C = £40m + £50m = £90m → </w:t>
      </w:r>
      <w:r w:rsidDel="00000000" w:rsidR="00000000" w:rsidRPr="00000000">
        <w:rPr>
          <w:rFonts w:ascii="Arial" w:cs="Arial" w:eastAsia="Arial" w:hAnsi="Arial"/>
          <w:b w:val="1"/>
          <w:bCs w:val="1"/>
          <w:rtl w:val="0"/>
        </w:rPr>
        <w:t xml:space="preserve">exceeds limit</w:t>
      </w:r>
      <w:r w:rsidDel="00000000" w:rsidR="00000000" w:rsidRPr="00000000">
        <w:rPr>
          <w:rFonts w:ascii="Arial" w:cs="Arial" w:eastAsia="Arial" w:hAnsi="Arial"/>
          <w:rtl w:val="0"/>
        </w:rPr>
        <w:br w:type="textWrapping"/>
        <w:t xml:space="preserve">Total cost if selecting A + B = £70m → </w:t>
      </w:r>
      <w:r w:rsidDel="00000000" w:rsidR="00000000" w:rsidRPr="00000000">
        <w:rPr>
          <w:rFonts w:ascii="Arial" w:cs="Arial" w:eastAsia="Arial" w:hAnsi="Arial"/>
          <w:b w:val="1"/>
          <w:bCs w:val="1"/>
          <w:rtl w:val="0"/>
        </w:rPr>
        <w:t xml:space="preserve">exceeds limit</w:t>
      </w:r>
      <w:r w:rsidDel="00000000" w:rsidR="00000000" w:rsidRPr="00000000">
        <w:rPr>
          <w:rFonts w:ascii="Arial" w:cs="Arial" w:eastAsia="Arial" w:hAnsi="Arial"/>
          <w:rtl w:val="0"/>
        </w:rPr>
        <w:br w:type="textWrapping"/>
        <w:t xml:space="preserve">Total cost if selecting B + C = £80m → </w:t>
      </w:r>
      <w:r w:rsidDel="00000000" w:rsidR="00000000" w:rsidRPr="00000000">
        <w:rPr>
          <w:rFonts w:ascii="Arial" w:cs="Arial" w:eastAsia="Arial" w:hAnsi="Arial"/>
          <w:b w:val="1"/>
          <w:bCs w:val="1"/>
          <w:rtl w:val="0"/>
        </w:rPr>
        <w:t xml:space="preserve">exceeds limit</w:t>
      </w:r>
      <w:r w:rsidDel="00000000" w:rsidR="00000000" w:rsidRPr="00000000">
        <w:rPr>
          <w:rtl w:val="0"/>
        </w:rPr>
      </w:r>
    </w:p>
    <w:p w:rsidR="00000000" w:rsidDel="00000000" w:rsidP="00000000" w:rsidRDefault="00000000" w:rsidRPr="00000000" w14:paraId="00000505">
      <w:pPr>
        <w:rPr>
          <w:rFonts w:ascii="Arial" w:cs="Arial" w:eastAsia="Arial" w:hAnsi="Arial"/>
        </w:rPr>
      </w:pPr>
      <w:r w:rsidDel="00000000" w:rsidR="00000000" w:rsidRPr="00000000">
        <w:rPr>
          <w:rFonts w:ascii="Arial" w:cs="Arial" w:eastAsia="Arial" w:hAnsi="Arial"/>
          <w:rtl w:val="0"/>
        </w:rPr>
        <w:t xml:space="preserve">Thus, GE can fund:</w:t>
      </w:r>
    </w:p>
    <w:p w:rsidR="00000000" w:rsidDel="00000000" w:rsidP="00000000" w:rsidRDefault="00000000" w:rsidRPr="00000000" w14:paraId="00000506">
      <w:pPr>
        <w:numPr>
          <w:ilvl w:val="0"/>
          <w:numId w:val="5"/>
        </w:numPr>
        <w:ind w:left="720" w:hanging="360"/>
        <w:rPr/>
      </w:pPr>
      <w:r w:rsidDel="00000000" w:rsidR="00000000" w:rsidRPr="00000000">
        <w:rPr>
          <w:rFonts w:ascii="Arial" w:cs="Arial" w:eastAsia="Arial" w:hAnsi="Arial"/>
          <w:b w:val="1"/>
          <w:bCs w:val="1"/>
          <w:rtl w:val="0"/>
        </w:rPr>
        <w:t xml:space="preserve">A alone</w:t>
      </w:r>
      <w:r w:rsidDel="00000000" w:rsidR="00000000" w:rsidRPr="00000000">
        <w:rPr>
          <w:rFonts w:ascii="Arial" w:cs="Arial" w:eastAsia="Arial" w:hAnsi="Arial"/>
          <w:rtl w:val="0"/>
        </w:rPr>
        <w:t xml:space="preserve">, or</w:t>
      </w:r>
    </w:p>
    <w:p w:rsidR="00000000" w:rsidDel="00000000" w:rsidP="00000000" w:rsidRDefault="00000000" w:rsidRPr="00000000" w14:paraId="00000507">
      <w:pPr>
        <w:numPr>
          <w:ilvl w:val="0"/>
          <w:numId w:val="5"/>
        </w:numPr>
        <w:ind w:left="720" w:hanging="360"/>
        <w:rPr/>
      </w:pPr>
      <w:r w:rsidDel="00000000" w:rsidR="00000000" w:rsidRPr="00000000">
        <w:rPr>
          <w:rFonts w:ascii="Arial" w:cs="Arial" w:eastAsia="Arial" w:hAnsi="Arial"/>
          <w:b w:val="1"/>
          <w:bCs w:val="1"/>
          <w:rtl w:val="0"/>
        </w:rPr>
        <w:t xml:space="preserve">C alone</w:t>
      </w:r>
      <w:r w:rsidDel="00000000" w:rsidR="00000000" w:rsidRPr="00000000">
        <w:rPr>
          <w:rFonts w:ascii="Arial" w:cs="Arial" w:eastAsia="Arial" w:hAnsi="Arial"/>
          <w:rtl w:val="0"/>
        </w:rPr>
        <w:t xml:space="preserve">, or</w:t>
      </w:r>
    </w:p>
    <w:p w:rsidR="00000000" w:rsidDel="00000000" w:rsidP="00000000" w:rsidRDefault="00000000" w:rsidRPr="00000000" w14:paraId="00000508">
      <w:pPr>
        <w:numPr>
          <w:ilvl w:val="0"/>
          <w:numId w:val="5"/>
        </w:numPr>
        <w:ind w:left="720" w:hanging="360"/>
        <w:rPr/>
      </w:pPr>
      <w:r w:rsidDel="00000000" w:rsidR="00000000" w:rsidRPr="00000000">
        <w:rPr>
          <w:rFonts w:ascii="Arial" w:cs="Arial" w:eastAsia="Arial" w:hAnsi="Arial"/>
          <w:b w:val="1"/>
          <w:bCs w:val="1"/>
          <w:rtl w:val="0"/>
        </w:rPr>
        <w:t xml:space="preserve">B alone</w:t>
      </w:r>
      <w:r w:rsidDel="00000000" w:rsidR="00000000" w:rsidRPr="00000000">
        <w:rPr>
          <w:rFonts w:ascii="Arial" w:cs="Arial" w:eastAsia="Arial" w:hAnsi="Arial"/>
          <w:rtl w:val="0"/>
        </w:rPr>
        <w:t xml:space="preserve"> (undesirable), or</w:t>
      </w:r>
    </w:p>
    <w:p w:rsidR="00000000" w:rsidDel="00000000" w:rsidP="00000000" w:rsidRDefault="00000000" w:rsidRPr="00000000" w14:paraId="00000509">
      <w:pPr>
        <w:numPr>
          <w:ilvl w:val="0"/>
          <w:numId w:val="5"/>
        </w:numPr>
        <w:ind w:left="720" w:hanging="360"/>
        <w:rPr/>
      </w:pPr>
      <w:r w:rsidDel="00000000" w:rsidR="00000000" w:rsidRPr="00000000">
        <w:rPr>
          <w:rFonts w:ascii="Arial" w:cs="Arial" w:eastAsia="Arial" w:hAnsi="Arial"/>
          <w:rtl w:val="0"/>
        </w:rPr>
        <w:t xml:space="preserve">A combination of smaller projects if they fit (only B+C? No.)</w:t>
      </w:r>
    </w:p>
    <w:p w:rsidR="00000000" w:rsidDel="00000000" w:rsidP="00000000" w:rsidRDefault="00000000" w:rsidRPr="00000000" w14:paraId="0000050A">
      <w:pPr>
        <w:rPr>
          <w:rFonts w:ascii="Arial" w:cs="Arial" w:eastAsia="Arial" w:hAnsi="Arial"/>
        </w:rPr>
      </w:pPr>
      <w:r w:rsidDel="00000000" w:rsidR="00000000" w:rsidRPr="00000000">
        <w:rPr>
          <w:rFonts w:ascii="Arial" w:cs="Arial" w:eastAsia="Arial" w:hAnsi="Arial"/>
          <w:rtl w:val="0"/>
        </w:rPr>
        <w:t xml:space="preserve">Because the maximum capital allowed is £60m, </w:t>
      </w:r>
      <w:r w:rsidDel="00000000" w:rsidR="00000000" w:rsidRPr="00000000">
        <w:rPr>
          <w:rFonts w:ascii="Arial" w:cs="Arial" w:eastAsia="Arial" w:hAnsi="Arial"/>
          <w:b w:val="1"/>
          <w:bCs w:val="1"/>
          <w:rtl w:val="0"/>
        </w:rPr>
        <w:t xml:space="preserve">only one of A or C can be chosen</w:t>
      </w:r>
      <w:r w:rsidDel="00000000" w:rsidR="00000000" w:rsidRPr="00000000">
        <w:rPr>
          <w:rFonts w:ascii="Arial" w:cs="Arial" w:eastAsia="Arial" w:hAnsi="Arial"/>
          <w:rtl w:val="0"/>
        </w:rPr>
        <w:t xml:space="preserve">.</w:t>
      </w:r>
    </w:p>
    <w:p w:rsidR="00000000" w:rsidDel="00000000" w:rsidP="00000000" w:rsidRDefault="00000000" w:rsidRPr="00000000" w14:paraId="0000050B">
      <w:pPr>
        <w:pStyle w:val="Heading2"/>
        <w:rPr/>
      </w:pPr>
      <w:bookmarkStart w:colFirst="0" w:colLast="0" w:name="_z3fh5ahhv8ym" w:id="54"/>
      <w:bookmarkEnd w:id="54"/>
      <w:r w:rsidDel="00000000" w:rsidR="00000000" w:rsidRPr="00000000">
        <w:rPr>
          <w:rtl w:val="0"/>
        </w:rPr>
        <w:t xml:space="preserve">4.10 Final Recommendation</w:t>
      </w:r>
    </w:p>
    <w:p w:rsidR="00000000" w:rsidDel="00000000" w:rsidP="00000000" w:rsidRDefault="00000000" w:rsidRPr="00000000" w14:paraId="0000050C">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Reject Project B</w:t>
      </w:r>
    </w:p>
    <w:p w:rsidR="00000000" w:rsidDel="00000000" w:rsidP="00000000" w:rsidRDefault="00000000" w:rsidRPr="00000000" w14:paraId="0000050D">
      <w:pPr>
        <w:numPr>
          <w:ilvl w:val="0"/>
          <w:numId w:val="6"/>
        </w:numPr>
        <w:spacing w:line="360" w:lineRule="auto"/>
        <w:ind w:left="720" w:hanging="360"/>
        <w:rPr/>
      </w:pPr>
      <w:r w:rsidDel="00000000" w:rsidR="00000000" w:rsidRPr="00000000">
        <w:rPr>
          <w:rFonts w:ascii="Arial" w:cs="Arial" w:eastAsia="Arial" w:hAnsi="Arial"/>
          <w:rtl w:val="0"/>
        </w:rPr>
        <w:t xml:space="preserve">Lowest returns: negative NPV, PI&lt;1, ARR=0, IRR ≈ 1%</w:t>
      </w:r>
    </w:p>
    <w:p w:rsidR="00000000" w:rsidDel="00000000" w:rsidP="00000000" w:rsidRDefault="00000000" w:rsidRPr="00000000" w14:paraId="0000050E">
      <w:pPr>
        <w:numPr>
          <w:ilvl w:val="0"/>
          <w:numId w:val="6"/>
        </w:numPr>
        <w:spacing w:line="360" w:lineRule="auto"/>
        <w:ind w:left="720" w:hanging="360"/>
        <w:rPr/>
      </w:pPr>
      <w:r w:rsidDel="00000000" w:rsidR="00000000" w:rsidRPr="00000000">
        <w:rPr>
          <w:rFonts w:ascii="Arial" w:cs="Arial" w:eastAsia="Arial" w:hAnsi="Arial"/>
          <w:rtl w:val="0"/>
        </w:rPr>
        <w:t xml:space="preserve">Does not align with GE’s strategic renewal or cash needs</w:t>
      </w:r>
    </w:p>
    <w:p w:rsidR="00000000" w:rsidDel="00000000" w:rsidP="00000000" w:rsidRDefault="00000000" w:rsidRPr="00000000" w14:paraId="0000050F">
      <w:pPr>
        <w:rPr>
          <w:rFonts w:ascii="Arial" w:cs="Arial" w:eastAsia="Arial" w:hAnsi="Arial"/>
          <w:b w:val="1"/>
          <w:bCs w:val="1"/>
        </w:rPr>
      </w:pPr>
      <w:r w:rsidDel="00000000" w:rsidR="00000000" w:rsidRPr="00000000">
        <w:rPr>
          <w:rFonts w:ascii="Arial" w:cs="Arial" w:eastAsia="Arial" w:hAnsi="Arial"/>
          <w:b w:val="1"/>
          <w:bCs w:val="1"/>
          <w:rtl w:val="0"/>
        </w:rPr>
        <w:t xml:space="preserve">Decision between A and C</w:t>
      </w:r>
    </w:p>
    <w:tbl>
      <w:tblPr>
        <w:tblStyle w:val="Table40"/>
        <w:tblW w:w="883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2500"/>
        <w:gridCol w:w="1967"/>
        <w:gridCol w:w="4372"/>
        <w:tblGridChange w:id="0">
          <w:tblGrid>
            <w:gridCol w:w="2500"/>
            <w:gridCol w:w="1967"/>
            <w:gridCol w:w="4372"/>
          </w:tblGrid>
        </w:tblGridChange>
      </w:tblGrid>
      <w:tr>
        <w:trPr>
          <w:cantSplit w:val="0"/>
          <w:trHeight w:val="536" w:hRule="atLeast"/>
          <w:tblHeader w:val="0"/>
        </w:trPr>
        <w:tc>
          <w:tcPr/>
          <w:p w:rsidR="00000000" w:rsidDel="00000000" w:rsidP="00000000" w:rsidRDefault="00000000" w:rsidRPr="00000000" w14:paraId="0000051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Criteria</w:t>
            </w:r>
          </w:p>
        </w:tc>
        <w:tc>
          <w:tcPr/>
          <w:p w:rsidR="00000000" w:rsidDel="00000000" w:rsidP="00000000" w:rsidRDefault="00000000" w:rsidRPr="00000000" w14:paraId="00000511">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 A</w:t>
            </w:r>
          </w:p>
        </w:tc>
        <w:tc>
          <w:tcPr/>
          <w:p w:rsidR="00000000" w:rsidDel="00000000" w:rsidP="00000000" w:rsidRDefault="00000000" w:rsidRPr="00000000" w14:paraId="0000051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Project C</w:t>
            </w:r>
          </w:p>
        </w:tc>
      </w:tr>
      <w:tr>
        <w:trPr>
          <w:cantSplit w:val="0"/>
          <w:trHeight w:val="521" w:hRule="atLeast"/>
          <w:tblHeader w:val="0"/>
        </w:trPr>
        <w:tc>
          <w:tcPr/>
          <w:p w:rsidR="00000000" w:rsidDel="00000000" w:rsidP="00000000" w:rsidRDefault="00000000" w:rsidRPr="00000000" w14:paraId="0000051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NPV</w:t>
            </w:r>
          </w:p>
        </w:tc>
        <w:tc>
          <w:tcPr/>
          <w:p w:rsidR="00000000" w:rsidDel="00000000" w:rsidP="00000000" w:rsidRDefault="00000000" w:rsidRPr="00000000" w14:paraId="00000514">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+1.31m</w:t>
            </w:r>
          </w:p>
        </w:tc>
        <w:tc>
          <w:tcPr/>
          <w:p w:rsidR="00000000" w:rsidDel="00000000" w:rsidP="00000000" w:rsidRDefault="00000000" w:rsidRPr="00000000" w14:paraId="00000515">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+4.23m</w:t>
            </w:r>
            <w:r w:rsidDel="00000000" w:rsidR="00000000" w:rsidRPr="00000000">
              <w:rPr>
                <w:rtl w:val="0"/>
              </w:rPr>
            </w:r>
          </w:p>
        </w:tc>
      </w:tr>
      <w:tr>
        <w:trPr>
          <w:cantSplit w:val="0"/>
          <w:trHeight w:val="536" w:hRule="atLeast"/>
          <w:tblHeader w:val="0"/>
        </w:trPr>
        <w:tc>
          <w:tcPr/>
          <w:p w:rsidR="00000000" w:rsidDel="00000000" w:rsidP="00000000" w:rsidRDefault="00000000" w:rsidRPr="00000000" w14:paraId="00000516">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PI</w:t>
            </w:r>
          </w:p>
        </w:tc>
        <w:tc>
          <w:tcPr/>
          <w:p w:rsidR="00000000" w:rsidDel="00000000" w:rsidP="00000000" w:rsidRDefault="00000000" w:rsidRPr="00000000" w14:paraId="00000517">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1.03</w:t>
            </w:r>
          </w:p>
        </w:tc>
        <w:tc>
          <w:tcPr/>
          <w:p w:rsidR="00000000" w:rsidDel="00000000" w:rsidP="00000000" w:rsidRDefault="00000000" w:rsidRPr="00000000" w14:paraId="00000518">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1.09</w:t>
            </w:r>
            <w:r w:rsidDel="00000000" w:rsidR="00000000" w:rsidRPr="00000000">
              <w:rPr>
                <w:rtl w:val="0"/>
              </w:rPr>
            </w:r>
          </w:p>
        </w:tc>
      </w:tr>
      <w:tr>
        <w:trPr>
          <w:cantSplit w:val="0"/>
          <w:trHeight w:val="536" w:hRule="atLeast"/>
          <w:tblHeader w:val="0"/>
        </w:trPr>
        <w:tc>
          <w:tcPr/>
          <w:p w:rsidR="00000000" w:rsidDel="00000000" w:rsidP="00000000" w:rsidRDefault="00000000" w:rsidRPr="00000000" w14:paraId="00000519">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IRR</w:t>
            </w:r>
          </w:p>
        </w:tc>
        <w:tc>
          <w:tcPr/>
          <w:p w:rsidR="00000000" w:rsidDel="00000000" w:rsidP="00000000" w:rsidRDefault="00000000" w:rsidRPr="00000000" w14:paraId="0000051A">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11.9%</w:t>
            </w:r>
          </w:p>
        </w:tc>
        <w:tc>
          <w:tcPr/>
          <w:p w:rsidR="00000000" w:rsidDel="00000000" w:rsidP="00000000" w:rsidRDefault="00000000" w:rsidRPr="00000000" w14:paraId="0000051B">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12.3%</w:t>
            </w:r>
            <w:r w:rsidDel="00000000" w:rsidR="00000000" w:rsidRPr="00000000">
              <w:rPr>
                <w:rtl w:val="0"/>
              </w:rPr>
            </w:r>
          </w:p>
        </w:tc>
      </w:tr>
      <w:tr>
        <w:trPr>
          <w:cantSplit w:val="0"/>
          <w:trHeight w:val="536" w:hRule="atLeast"/>
          <w:tblHeader w:val="0"/>
        </w:trPr>
        <w:tc>
          <w:tcPr/>
          <w:p w:rsidR="00000000" w:rsidDel="00000000" w:rsidP="00000000" w:rsidRDefault="00000000" w:rsidRPr="00000000" w14:paraId="0000051C">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Payback</w:t>
            </w:r>
          </w:p>
        </w:tc>
        <w:tc>
          <w:tcPr/>
          <w:p w:rsidR="00000000" w:rsidDel="00000000" w:rsidP="00000000" w:rsidRDefault="00000000" w:rsidRPr="00000000" w14:paraId="0000051D">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3.4 yrs</w:t>
            </w:r>
            <w:r w:rsidDel="00000000" w:rsidR="00000000" w:rsidRPr="00000000">
              <w:rPr>
                <w:rtl w:val="0"/>
              </w:rPr>
            </w:r>
          </w:p>
        </w:tc>
        <w:tc>
          <w:tcPr/>
          <w:p w:rsidR="00000000" w:rsidDel="00000000" w:rsidP="00000000" w:rsidRDefault="00000000" w:rsidRPr="00000000" w14:paraId="0000051E">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3.6 yrs</w:t>
            </w:r>
          </w:p>
        </w:tc>
      </w:tr>
      <w:tr>
        <w:trPr>
          <w:cantSplit w:val="0"/>
          <w:trHeight w:val="521" w:hRule="atLeast"/>
          <w:tblHeader w:val="0"/>
        </w:trPr>
        <w:tc>
          <w:tcPr/>
          <w:p w:rsidR="00000000" w:rsidDel="00000000" w:rsidP="00000000" w:rsidRDefault="00000000" w:rsidRPr="00000000" w14:paraId="0000051F">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Risk</w:t>
            </w:r>
          </w:p>
        </w:tc>
        <w:tc>
          <w:tcPr/>
          <w:p w:rsidR="00000000" w:rsidDel="00000000" w:rsidP="00000000" w:rsidRDefault="00000000" w:rsidRPr="00000000" w14:paraId="00000520">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Low</w:t>
            </w:r>
          </w:p>
        </w:tc>
        <w:tc>
          <w:tcPr/>
          <w:p w:rsidR="00000000" w:rsidDel="00000000" w:rsidP="00000000" w:rsidRDefault="00000000" w:rsidRPr="00000000" w14:paraId="00000521">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Higher volatility</w:t>
            </w:r>
            <w:r w:rsidDel="00000000" w:rsidR="00000000" w:rsidRPr="00000000">
              <w:rPr>
                <w:rtl w:val="0"/>
              </w:rPr>
            </w:r>
          </w:p>
        </w:tc>
      </w:tr>
      <w:tr>
        <w:trPr>
          <w:cantSplit w:val="0"/>
          <w:trHeight w:val="536" w:hRule="atLeast"/>
          <w:tblHeader w:val="0"/>
        </w:trPr>
        <w:tc>
          <w:tcPr/>
          <w:p w:rsidR="00000000" w:rsidDel="00000000" w:rsidP="00000000" w:rsidRDefault="00000000" w:rsidRPr="00000000" w14:paraId="00000522">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Strategic Fit</w:t>
            </w:r>
          </w:p>
        </w:tc>
        <w:tc>
          <w:tcPr/>
          <w:p w:rsidR="00000000" w:rsidDel="00000000" w:rsidP="00000000" w:rsidRDefault="00000000" w:rsidRPr="00000000" w14:paraId="00000523">
            <w:pPr>
              <w:spacing w:after="160" w:line="278.00000000000006" w:lineRule="auto"/>
              <w:jc w:val="center"/>
              <w:rPr>
                <w:rFonts w:ascii="Arial" w:cs="Arial" w:eastAsia="Arial" w:hAnsi="Arial"/>
              </w:rPr>
            </w:pPr>
            <w:r w:rsidDel="00000000" w:rsidR="00000000" w:rsidRPr="00000000">
              <w:rPr>
                <w:rFonts w:ascii="Arial" w:cs="Arial" w:eastAsia="Arial" w:hAnsi="Arial"/>
                <w:rtl w:val="0"/>
              </w:rPr>
              <w:t xml:space="preserve">Moderate</w:t>
            </w:r>
          </w:p>
        </w:tc>
        <w:tc>
          <w:tcPr/>
          <w:p w:rsidR="00000000" w:rsidDel="00000000" w:rsidP="00000000" w:rsidRDefault="00000000" w:rsidRPr="00000000" w14:paraId="00000524">
            <w:pPr>
              <w:spacing w:after="160" w:line="278.00000000000006" w:lineRule="auto"/>
              <w:jc w:val="center"/>
              <w:rPr>
                <w:rFonts w:ascii="Arial" w:cs="Arial" w:eastAsia="Arial" w:hAnsi="Arial"/>
              </w:rPr>
            </w:pPr>
            <w:r w:rsidDel="00000000" w:rsidR="00000000" w:rsidRPr="00000000">
              <w:rPr>
                <w:rFonts w:ascii="Arial" w:cs="Arial" w:eastAsia="Arial" w:hAnsi="Arial"/>
                <w:b w:val="1"/>
                <w:bCs w:val="1"/>
                <w:rtl w:val="0"/>
              </w:rPr>
              <w:t xml:space="preserve">High (growth-oriented)</w:t>
            </w:r>
            <w:r w:rsidDel="00000000" w:rsidR="00000000" w:rsidRPr="00000000">
              <w:rPr>
                <w:rtl w:val="0"/>
              </w:rPr>
            </w:r>
          </w:p>
        </w:tc>
      </w:tr>
    </w:tbl>
    <w:p w:rsidR="00000000" w:rsidDel="00000000" w:rsidP="00000000" w:rsidRDefault="00000000" w:rsidRPr="00000000" w14:paraId="00000525">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Which aligns best with GE’s situation?</w:t>
      </w:r>
    </w:p>
    <w:p w:rsidR="00000000" w:rsidDel="00000000" w:rsidP="00000000" w:rsidRDefault="00000000" w:rsidRPr="00000000" w14:paraId="00000526">
      <w:pPr>
        <w:spacing w:line="360" w:lineRule="auto"/>
        <w:jc w:val="both"/>
        <w:rPr>
          <w:rFonts w:ascii="Arial" w:cs="Arial" w:eastAsia="Arial" w:hAnsi="Arial"/>
        </w:rPr>
      </w:pPr>
      <w:r w:rsidDel="00000000" w:rsidR="00000000" w:rsidRPr="00000000">
        <w:rPr>
          <w:rFonts w:ascii="Arial" w:cs="Arial" w:eastAsia="Arial" w:hAnsi="Arial"/>
          <w:rtl w:val="0"/>
        </w:rPr>
        <w:t xml:space="preserve">GE is in financial distress but seeking long-term recovery. Turnaround literature (Schoenberg et al., 2013; Umar, 2023) suggests:</w:t>
      </w:r>
    </w:p>
    <w:p w:rsidR="00000000" w:rsidDel="00000000" w:rsidP="00000000" w:rsidRDefault="00000000" w:rsidRPr="00000000" w14:paraId="00000527">
      <w:pPr>
        <w:spacing w:line="360" w:lineRule="auto"/>
        <w:jc w:val="both"/>
        <w:rPr>
          <w:rFonts w:ascii="Arial" w:cs="Arial" w:eastAsia="Arial" w:hAnsi="Arial"/>
        </w:rPr>
      </w:pP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Short-term survival requires liquidity actions (already addressed in Section 2).</w:t>
        <w:br w:type="textWrapping"/>
      </w:r>
      <w:r w:rsidDel="00000000" w:rsidR="00000000" w:rsidRPr="00000000">
        <w:rPr>
          <w:rFonts w:ascii="Quattrocento Sans" w:cs="Quattrocento Sans" w:eastAsia="Quattrocento Sans" w:hAnsi="Quattrocento Sans"/>
          <w:rtl w:val="0"/>
        </w:rPr>
        <w:t xml:space="preserve">✔</w:t>
      </w:r>
      <w:r w:rsidDel="00000000" w:rsidR="00000000" w:rsidRPr="00000000">
        <w:rPr>
          <w:rFonts w:ascii="Arial" w:cs="Arial" w:eastAsia="Arial" w:hAnsi="Arial"/>
          <w:rtl w:val="0"/>
        </w:rPr>
        <w:t xml:space="preserve"> Long-term success requires value-creating investments and strategic repositioning.</w:t>
      </w:r>
    </w:p>
    <w:p w:rsidR="00000000" w:rsidDel="00000000" w:rsidP="00000000" w:rsidRDefault="00000000" w:rsidRPr="00000000" w14:paraId="00000528">
      <w:pPr>
        <w:spacing w:line="360" w:lineRule="auto"/>
        <w:jc w:val="both"/>
        <w:rPr>
          <w:rFonts w:ascii="Arial" w:cs="Arial" w:eastAsia="Arial" w:hAnsi="Arial"/>
        </w:rPr>
      </w:pPr>
      <w:r w:rsidDel="00000000" w:rsidR="00000000" w:rsidRPr="00000000">
        <w:rPr>
          <w:rFonts w:ascii="Arial" w:cs="Arial" w:eastAsia="Arial" w:hAnsi="Arial"/>
          <w:rtl w:val="0"/>
        </w:rPr>
        <w:t xml:space="preserve">Project C has:</w:t>
      </w:r>
    </w:p>
    <w:p w:rsidR="00000000" w:rsidDel="00000000" w:rsidP="00000000" w:rsidRDefault="00000000" w:rsidRPr="00000000" w14:paraId="00000529">
      <w:pPr>
        <w:numPr>
          <w:ilvl w:val="0"/>
          <w:numId w:val="10"/>
        </w:numPr>
        <w:spacing w:line="360" w:lineRule="auto"/>
        <w:ind w:left="720" w:hanging="360"/>
        <w:jc w:val="both"/>
        <w:rPr/>
      </w:pPr>
      <w:r w:rsidDel="00000000" w:rsidR="00000000" w:rsidRPr="00000000">
        <w:rPr>
          <w:rFonts w:ascii="Arial" w:cs="Arial" w:eastAsia="Arial" w:hAnsi="Arial"/>
          <w:rtl w:val="0"/>
        </w:rPr>
        <w:t xml:space="preserve">Highest NPV</w:t>
      </w:r>
    </w:p>
    <w:p w:rsidR="00000000" w:rsidDel="00000000" w:rsidP="00000000" w:rsidRDefault="00000000" w:rsidRPr="00000000" w14:paraId="0000052A">
      <w:pPr>
        <w:numPr>
          <w:ilvl w:val="0"/>
          <w:numId w:val="10"/>
        </w:numPr>
        <w:spacing w:line="360" w:lineRule="auto"/>
        <w:ind w:left="720" w:hanging="360"/>
        <w:jc w:val="both"/>
        <w:rPr/>
      </w:pPr>
      <w:r w:rsidDel="00000000" w:rsidR="00000000" w:rsidRPr="00000000">
        <w:rPr>
          <w:rFonts w:ascii="Arial" w:cs="Arial" w:eastAsia="Arial" w:hAnsi="Arial"/>
          <w:rtl w:val="0"/>
        </w:rPr>
        <w:t xml:space="preserve">Highest IRR</w:t>
      </w:r>
    </w:p>
    <w:p w:rsidR="00000000" w:rsidDel="00000000" w:rsidP="00000000" w:rsidRDefault="00000000" w:rsidRPr="00000000" w14:paraId="0000052B">
      <w:pPr>
        <w:numPr>
          <w:ilvl w:val="0"/>
          <w:numId w:val="10"/>
        </w:numPr>
        <w:spacing w:line="360" w:lineRule="auto"/>
        <w:ind w:left="720" w:hanging="360"/>
        <w:jc w:val="both"/>
        <w:rPr/>
      </w:pPr>
      <w:r w:rsidDel="00000000" w:rsidR="00000000" w:rsidRPr="00000000">
        <w:rPr>
          <w:rFonts w:ascii="Arial" w:cs="Arial" w:eastAsia="Arial" w:hAnsi="Arial"/>
          <w:rtl w:val="0"/>
        </w:rPr>
        <w:t xml:space="preserve">Best PI</w:t>
      </w:r>
    </w:p>
    <w:p w:rsidR="00000000" w:rsidDel="00000000" w:rsidP="00000000" w:rsidRDefault="00000000" w:rsidRPr="00000000" w14:paraId="0000052C">
      <w:pPr>
        <w:numPr>
          <w:ilvl w:val="0"/>
          <w:numId w:val="10"/>
        </w:numPr>
        <w:spacing w:line="360" w:lineRule="auto"/>
        <w:ind w:left="720" w:hanging="360"/>
        <w:jc w:val="both"/>
        <w:rPr/>
      </w:pPr>
      <w:r w:rsidDel="00000000" w:rsidR="00000000" w:rsidRPr="00000000">
        <w:rPr>
          <w:rFonts w:ascii="Arial" w:cs="Arial" w:eastAsia="Arial" w:hAnsi="Arial"/>
          <w:rtl w:val="0"/>
        </w:rPr>
        <w:t xml:space="preserve">Strongest accounting returns</w:t>
      </w:r>
    </w:p>
    <w:p w:rsidR="00000000" w:rsidDel="00000000" w:rsidP="00000000" w:rsidRDefault="00000000" w:rsidRPr="00000000" w14:paraId="0000052D">
      <w:pPr>
        <w:numPr>
          <w:ilvl w:val="0"/>
          <w:numId w:val="10"/>
        </w:numPr>
        <w:spacing w:line="360" w:lineRule="auto"/>
        <w:ind w:left="720" w:hanging="360"/>
        <w:jc w:val="both"/>
        <w:rPr/>
      </w:pPr>
      <w:r w:rsidDel="00000000" w:rsidR="00000000" w:rsidRPr="00000000">
        <w:rPr>
          <w:rFonts w:ascii="Arial" w:cs="Arial" w:eastAsia="Arial" w:hAnsi="Arial"/>
          <w:rtl w:val="0"/>
        </w:rPr>
        <w:t xml:space="preserve">High long-term value despite volatility</w:t>
      </w:r>
    </w:p>
    <w:p w:rsidR="00000000" w:rsidDel="00000000" w:rsidP="00000000" w:rsidRDefault="00000000" w:rsidRPr="00000000" w14:paraId="0000052E">
      <w:pPr>
        <w:spacing w:line="36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Final Recommendation: Select Project C</w:t>
      </w:r>
    </w:p>
    <w:p w:rsidR="00000000" w:rsidDel="00000000" w:rsidP="00000000" w:rsidRDefault="00000000" w:rsidRPr="00000000" w14:paraId="0000052F">
      <w:pPr>
        <w:spacing w:line="360" w:lineRule="auto"/>
        <w:jc w:val="both"/>
        <w:rPr>
          <w:rFonts w:ascii="Arial" w:cs="Arial" w:eastAsia="Arial" w:hAnsi="Arial"/>
        </w:rPr>
      </w:pPr>
      <w:r w:rsidDel="00000000" w:rsidR="00000000" w:rsidRPr="00000000">
        <w:rPr>
          <w:rFonts w:ascii="Arial" w:cs="Arial" w:eastAsia="Arial" w:hAnsi="Arial"/>
          <w:b w:val="1"/>
          <w:bCs w:val="1"/>
          <w:rtl w:val="0"/>
        </w:rPr>
        <w:t xml:space="preserve">Project C</w:t>
      </w:r>
      <w:r w:rsidDel="00000000" w:rsidR="00000000" w:rsidRPr="00000000">
        <w:rPr>
          <w:rFonts w:ascii="Arial" w:cs="Arial" w:eastAsia="Arial" w:hAnsi="Arial"/>
          <w:rtl w:val="0"/>
        </w:rPr>
        <w:t xml:space="preserve"> is recommended because it maximises shareholder wealth, provides strong future returns, and supports strategic renewal. </w:t>
      </w:r>
    </w:p>
    <w:p w:rsidR="00000000" w:rsidDel="00000000" w:rsidP="00000000" w:rsidRDefault="00000000" w:rsidRPr="00000000" w14:paraId="00000530">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531">
      <w:pPr>
        <w:pStyle w:val="Heading1"/>
        <w:spacing w:line="360" w:lineRule="auto"/>
        <w:rPr/>
      </w:pPr>
      <w:r w:rsidDel="00000000" w:rsidR="00000000" w:rsidRPr="00000000">
        <w:rPr>
          <w:rtl w:val="0"/>
        </w:rPr>
        <w:t xml:space="preserve">References</w:t>
      </w:r>
    </w:p>
    <w:p w:rsidR="00000000" w:rsidDel="00000000" w:rsidP="00000000" w:rsidRDefault="00000000" w:rsidRPr="00000000" w14:paraId="00000532">
      <w:pPr>
        <w:spacing w:line="360" w:lineRule="auto"/>
        <w:jc w:val="both"/>
        <w:rPr>
          <w:rFonts w:ascii="Arial" w:cs="Arial" w:eastAsia="Arial" w:hAnsi="Arial"/>
        </w:rPr>
      </w:pPr>
      <w:r w:rsidDel="00000000" w:rsidR="00000000" w:rsidRPr="00000000">
        <w:rPr>
          <w:rFonts w:ascii="Arial" w:cs="Arial" w:eastAsia="Arial" w:hAnsi="Arial"/>
          <w:rtl w:val="0"/>
        </w:rPr>
        <w:t xml:space="preserve">Mujtaba, A. (2025) ‘Strategic Financial Management in the Era of Globalization: The Role of Capital Budgeting in Multinational Corporations’, Journal of Contemporary Research in Social Sciences.</w:t>
      </w:r>
    </w:p>
    <w:p w:rsidR="00000000" w:rsidDel="00000000" w:rsidP="00000000" w:rsidRDefault="00000000" w:rsidRPr="00000000" w14:paraId="00000533">
      <w:pPr>
        <w:spacing w:line="360" w:lineRule="auto"/>
        <w:jc w:val="both"/>
        <w:rPr>
          <w:rFonts w:ascii="Arial" w:cs="Arial" w:eastAsia="Arial" w:hAnsi="Arial"/>
        </w:rPr>
      </w:pPr>
      <w:r w:rsidDel="00000000" w:rsidR="00000000" w:rsidRPr="00000000">
        <w:rPr>
          <w:rFonts w:ascii="Arial" w:cs="Arial" w:eastAsia="Arial" w:hAnsi="Arial"/>
          <w:rtl w:val="0"/>
        </w:rPr>
        <w:t xml:space="preserve">Sudarsanam, S. and Lai, J. (2001) ‘Corporate financial distress and turnaround strategies: An empirical analysis’, British Journal of Management, 12(3), pp. 183–199. </w:t>
      </w:r>
    </w:p>
    <w:p w:rsidR="00000000" w:rsidDel="00000000" w:rsidP="00000000" w:rsidRDefault="00000000" w:rsidRPr="00000000" w14:paraId="00000534">
      <w:pPr>
        <w:spacing w:line="360" w:lineRule="auto"/>
        <w:jc w:val="both"/>
        <w:rPr>
          <w:rFonts w:ascii="Arial" w:cs="Arial" w:eastAsia="Arial" w:hAnsi="Arial"/>
        </w:rPr>
      </w:pPr>
      <w:r w:rsidDel="00000000" w:rsidR="00000000" w:rsidRPr="00000000">
        <w:rPr>
          <w:rFonts w:ascii="Arial" w:cs="Arial" w:eastAsia="Arial" w:hAnsi="Arial"/>
          <w:rtl w:val="0"/>
        </w:rPr>
        <w:t xml:space="preserve">Umar, M.A. (2023) ‘Corporate restructuring: A strategy for improving organizational performance’, International Journal of Business Strategy. </w:t>
      </w:r>
    </w:p>
    <w:p w:rsidR="00000000" w:rsidDel="00000000" w:rsidP="00000000" w:rsidRDefault="00000000" w:rsidRPr="00000000" w14:paraId="00000535">
      <w:pPr>
        <w:spacing w:line="360" w:lineRule="auto"/>
        <w:jc w:val="both"/>
        <w:rPr>
          <w:rFonts w:ascii="Arial" w:cs="Arial" w:eastAsia="Arial" w:hAnsi="Arial"/>
        </w:rPr>
      </w:pPr>
      <w:r w:rsidDel="00000000" w:rsidR="00000000" w:rsidRPr="00000000">
        <w:rPr>
          <w:rFonts w:ascii="Arial" w:cs="Arial" w:eastAsia="Arial" w:hAnsi="Arial"/>
          <w:rtl w:val="0"/>
        </w:rPr>
        <w:t xml:space="preserve">Schoenberg, R., Collier, N. and Bowman, C. (2013) ‘Strategies for business turnaround and recovery: A review and synthesis’, Journal of Strategy and Management, 6(3), pp. 286–301. </w:t>
      </w:r>
    </w:p>
    <w:p w:rsidR="00000000" w:rsidDel="00000000" w:rsidP="00000000" w:rsidRDefault="00000000" w:rsidRPr="00000000" w14:paraId="00000536">
      <w:pPr>
        <w:spacing w:line="360" w:lineRule="auto"/>
        <w:jc w:val="both"/>
        <w:rPr>
          <w:rFonts w:ascii="Arial" w:cs="Arial" w:eastAsia="Arial" w:hAnsi="Arial"/>
        </w:rPr>
      </w:pPr>
      <w:r w:rsidDel="00000000" w:rsidR="00000000" w:rsidRPr="00000000">
        <w:rPr>
          <w:rFonts w:ascii="Arial" w:cs="Arial" w:eastAsia="Arial" w:hAnsi="Arial"/>
          <w:rtl w:val="0"/>
        </w:rPr>
        <w:t xml:space="preserve">Bhattacharya, H. (2014) Working Capital Management: Strategies and Techniques. New Delhi: PHI Learning Pvt. Ltd. </w:t>
      </w:r>
    </w:p>
    <w:p w:rsidR="00000000" w:rsidDel="00000000" w:rsidP="00000000" w:rsidRDefault="00000000" w:rsidRPr="00000000" w14:paraId="00000537">
      <w:pPr>
        <w:spacing w:line="360" w:lineRule="auto"/>
        <w:jc w:val="both"/>
        <w:rPr>
          <w:rFonts w:ascii="Arial" w:cs="Arial" w:eastAsia="Arial" w:hAnsi="Arial"/>
        </w:rPr>
      </w:pPr>
      <w:r w:rsidDel="00000000" w:rsidR="00000000" w:rsidRPr="00000000">
        <w:rPr>
          <w:rFonts w:ascii="Arial" w:cs="Arial" w:eastAsia="Arial" w:hAnsi="Arial"/>
          <w:rtl w:val="0"/>
        </w:rPr>
        <w:t xml:space="preserve">Laitinen, E.K. (2011) ‘Effect of reorganization actions on the financial performance of small entrepreneurial distressed firms’, Journal of Asia Business Studies, 5(1), pp. 73–91. </w:t>
      </w:r>
    </w:p>
    <w:p w:rsidR="00000000" w:rsidDel="00000000" w:rsidP="00000000" w:rsidRDefault="00000000" w:rsidRPr="00000000" w14:paraId="00000538">
      <w:pPr>
        <w:spacing w:line="360" w:lineRule="auto"/>
        <w:jc w:val="both"/>
        <w:rPr>
          <w:rFonts w:ascii="Arial" w:cs="Arial" w:eastAsia="Arial" w:hAnsi="Arial"/>
        </w:rPr>
      </w:pPr>
      <w:r w:rsidDel="00000000" w:rsidR="00000000" w:rsidRPr="00000000">
        <w:rPr>
          <w:rFonts w:ascii="Arial" w:cs="Arial" w:eastAsia="Arial" w:hAnsi="Arial"/>
          <w:rtl w:val="0"/>
        </w:rPr>
        <w:t xml:space="preserve">Bachmann, C. (2009) ‘Sustainable performance increase and strategic turnaround management: Current corporate restructuring experiences in the Romanian market’, Journal of Strategy and Management, 2(3), pp. 234–250. </w:t>
      </w:r>
    </w:p>
    <w:p w:rsidR="00000000" w:rsidDel="00000000" w:rsidP="00000000" w:rsidRDefault="00000000" w:rsidRPr="00000000" w14:paraId="00000539">
      <w:pPr>
        <w:spacing w:line="360" w:lineRule="auto"/>
        <w:jc w:val="both"/>
        <w:rPr>
          <w:rFonts w:ascii="Arial" w:cs="Arial" w:eastAsia="Arial" w:hAnsi="Arial"/>
        </w:rPr>
      </w:pPr>
      <w:r w:rsidDel="00000000" w:rsidR="00000000" w:rsidRPr="00000000">
        <w:rPr>
          <w:rFonts w:ascii="Arial" w:cs="Arial" w:eastAsia="Arial" w:hAnsi="Arial"/>
          <w:rtl w:val="0"/>
        </w:rPr>
        <w:t xml:space="preserve">Mutunga, C.M. (2013) Implementation of Turnaround Strategies at Kenya Broadcasting Corporation. Nairobi: University of Nairobi. </w:t>
      </w:r>
    </w:p>
    <w:p w:rsidR="00000000" w:rsidDel="00000000" w:rsidP="00000000" w:rsidRDefault="00000000" w:rsidRPr="00000000" w14:paraId="0000053A">
      <w:pPr>
        <w:spacing w:line="360" w:lineRule="auto"/>
        <w:jc w:val="both"/>
        <w:rPr>
          <w:rFonts w:ascii="Arial" w:cs="Arial" w:eastAsia="Arial" w:hAnsi="Arial"/>
        </w:rPr>
      </w:pPr>
      <w:r w:rsidDel="00000000" w:rsidR="00000000" w:rsidRPr="00000000">
        <w:rPr>
          <w:rFonts w:ascii="Arial" w:cs="Arial" w:eastAsia="Arial" w:hAnsi="Arial"/>
          <w:rtl w:val="0"/>
        </w:rPr>
        <w:t xml:space="preserve">Tayles, M., Pike, R.H. and Sofian, S. (2007) ‘Intellectual capital, management accounting practices and corporate performance: Perceptions of managers’, Management Decision, 45(3), pp. 1169–1188. Available at: https://www.emerald.com/insight/content/doi/10.1108/09513570710762575/full/html (Accessed Date: 16 November, 2025).</w:t>
      </w:r>
    </w:p>
    <w:p w:rsidR="00000000" w:rsidDel="00000000" w:rsidP="00000000" w:rsidRDefault="00000000" w:rsidRPr="00000000" w14:paraId="0000053B">
      <w:pPr>
        <w:spacing w:line="360" w:lineRule="auto"/>
        <w:jc w:val="both"/>
        <w:rPr>
          <w:rFonts w:ascii="Arial" w:cs="Arial" w:eastAsia="Arial" w:hAnsi="Arial"/>
        </w:rPr>
      </w:pPr>
      <w:r w:rsidDel="00000000" w:rsidR="00000000" w:rsidRPr="00000000">
        <w:rPr>
          <w:rFonts w:ascii="Arial" w:cs="Arial" w:eastAsia="Arial" w:hAnsi="Arial"/>
          <w:rtl w:val="0"/>
        </w:rPr>
        <w:t xml:space="preserve">Edmunds, J.C. (1983) ‘Working capital management in multinational companies: An integrated approach’, Journal of International Business Studies, 14(1), pp. 113–123. </w:t>
      </w:r>
    </w:p>
    <w:p w:rsidR="00000000" w:rsidDel="00000000" w:rsidP="00000000" w:rsidRDefault="00000000" w:rsidRPr="00000000" w14:paraId="0000053C">
      <w:pPr>
        <w:spacing w:line="360" w:lineRule="auto"/>
        <w:jc w:val="both"/>
        <w:rPr>
          <w:rFonts w:ascii="Arial" w:cs="Arial" w:eastAsia="Arial" w:hAnsi="Arial"/>
        </w:rPr>
      </w:pPr>
      <w:r w:rsidDel="00000000" w:rsidR="00000000" w:rsidRPr="00000000">
        <w:rPr>
          <w:rFonts w:ascii="Arial" w:cs="Arial" w:eastAsia="Arial" w:hAnsi="Arial"/>
          <w:rtl w:val="0"/>
        </w:rPr>
        <w:t xml:space="preserve">Olausson, O. and Nilsson, T. (2024) Bankruptcy Prediction for Swedish SMEs: Assessing Altman’s Z″-Score in the Wake of COVID-19. Lund University. </w:t>
      </w:r>
    </w:p>
    <w:p w:rsidR="00000000" w:rsidDel="00000000" w:rsidP="00000000" w:rsidRDefault="00000000" w:rsidRPr="00000000" w14:paraId="0000053D">
      <w:pPr>
        <w:spacing w:line="360" w:lineRule="auto"/>
        <w:jc w:val="both"/>
        <w:rPr>
          <w:rFonts w:ascii="Arial" w:cs="Arial" w:eastAsia="Arial" w:hAnsi="Arial"/>
        </w:rPr>
      </w:pPr>
      <w:r w:rsidDel="00000000" w:rsidR="00000000" w:rsidRPr="00000000">
        <w:rPr>
          <w:rFonts w:ascii="Arial" w:cs="Arial" w:eastAsia="Arial" w:hAnsi="Arial"/>
          <w:rtl w:val="0"/>
        </w:rPr>
        <w:t xml:space="preserve">McPhail, R., Chan, X.W. (Carys), May, R. and Wilkinson, A. (2024) ‘Post-COVID remote working and its impact on people, productivity, and the planet: an exploratory scoping review’, </w:t>
      </w:r>
      <w:r w:rsidDel="00000000" w:rsidR="00000000" w:rsidRPr="00000000">
        <w:rPr>
          <w:rFonts w:ascii="Arial" w:cs="Arial" w:eastAsia="Arial" w:hAnsi="Arial"/>
          <w:i w:val="1"/>
          <w:iCs w:val="1"/>
          <w:rtl w:val="0"/>
        </w:rPr>
        <w:t xml:space="preserve">The International Journal of Human Resource Management</w:t>
      </w:r>
      <w:r w:rsidDel="00000000" w:rsidR="00000000" w:rsidRPr="00000000">
        <w:rPr>
          <w:rFonts w:ascii="Arial" w:cs="Arial" w:eastAsia="Arial" w:hAnsi="Arial"/>
          <w:rtl w:val="0"/>
        </w:rPr>
        <w:t xml:space="preserve">, pp. 154–182.</w:t>
      </w:r>
    </w:p>
    <w:p w:rsidR="00000000" w:rsidDel="00000000" w:rsidP="00000000" w:rsidRDefault="00000000" w:rsidRPr="00000000" w14:paraId="0000053E">
      <w:pPr>
        <w:spacing w:line="360" w:lineRule="auto"/>
        <w:jc w:val="both"/>
        <w:rPr>
          <w:rFonts w:ascii="Arial" w:cs="Arial" w:eastAsia="Arial" w:hAnsi="Arial"/>
        </w:rPr>
      </w:pPr>
      <w:r w:rsidDel="00000000" w:rsidR="00000000" w:rsidRPr="00000000">
        <w:rPr>
          <w:rFonts w:ascii="Arial" w:cs="Arial" w:eastAsia="Arial" w:hAnsi="Arial"/>
          <w:rtl w:val="0"/>
        </w:rPr>
        <w:t xml:space="preserve">Martins, D.R. (2024) Evaluating Financial Distress in Portuguese Firms: Revisiting Altman’s Z-Score Model. Universidade Católica Portuguesa. </w:t>
      </w:r>
    </w:p>
    <w:p w:rsidR="00000000" w:rsidDel="00000000" w:rsidP="00000000" w:rsidRDefault="00000000" w:rsidRPr="00000000" w14:paraId="0000053F">
      <w:pPr>
        <w:spacing w:line="360" w:lineRule="auto"/>
        <w:jc w:val="both"/>
        <w:rPr>
          <w:rFonts w:ascii="Arial" w:cs="Arial" w:eastAsia="Arial" w:hAnsi="Arial"/>
        </w:rPr>
      </w:pPr>
      <w:r w:rsidDel="00000000" w:rsidR="00000000" w:rsidRPr="00000000">
        <w:rPr>
          <w:rFonts w:ascii="Arial" w:cs="Arial" w:eastAsia="Arial" w:hAnsi="Arial"/>
          <w:rtl w:val="0"/>
        </w:rPr>
        <w:t xml:space="preserve">Gracheva, R. (2023) Managing the Firm’s Financial Distress: The Bialetti Case. University of Padua. </w:t>
      </w:r>
    </w:p>
    <w:p w:rsidR="00000000" w:rsidDel="00000000" w:rsidP="00000000" w:rsidRDefault="00000000" w:rsidRPr="00000000" w14:paraId="00000540">
      <w:pPr>
        <w:spacing w:line="360" w:lineRule="auto"/>
        <w:jc w:val="both"/>
        <w:rPr>
          <w:rFonts w:ascii="Arial" w:cs="Arial" w:eastAsia="Arial" w:hAnsi="Arial"/>
        </w:rPr>
      </w:pPr>
      <w:r w:rsidDel="00000000" w:rsidR="00000000" w:rsidRPr="00000000">
        <w:rPr>
          <w:rFonts w:ascii="Arial" w:cs="Arial" w:eastAsia="Arial" w:hAnsi="Arial"/>
          <w:rtl w:val="0"/>
        </w:rPr>
        <w:t xml:space="preserve">Swaminathan, R. (2024) An Exploratory Study in Building Business Resilience: A Research Study Across Impact SME Sectors of the Indian Economy. ProQuest Dissertations. </w:t>
      </w:r>
    </w:p>
    <w:p w:rsidR="00000000" w:rsidDel="00000000" w:rsidP="00000000" w:rsidRDefault="00000000" w:rsidRPr="00000000" w14:paraId="00000541">
      <w:pPr>
        <w:rPr/>
      </w:pPr>
      <w:r w:rsidDel="00000000" w:rsidR="00000000" w:rsidRPr="00000000">
        <w:rPr>
          <w:rtl w:val="0"/>
        </w:rPr>
      </w:r>
    </w:p>
    <w:sectPr>
      <w:footerReference r:id="rId7" w:type="default"/>
      <w:footerReference r:id="rId8" w:type="firs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Arial"/>
  <w:font w:name="Times New Roman"/>
  <w:font w:name="Georgia"/>
  <w:font w:name="Cambria Math"/>
  <w:font w:name="Quattrocento Sans"/>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2">
    <w:pPr>
      <w:keepNext w:val="0"/>
      <w:keepLines w:val="0"/>
      <w:pageBreakBefore w:val="0"/>
      <w:widowControl w:val="1"/>
      <w:pBdr>
        <w:top w:color="d9d9d9" w:space="1" w:sz="4" w:val="single"/>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 </w:t>
    </w:r>
    <w:r w:rsidDel="00000000" w:rsidR="00000000" w:rsidRPr="00000000">
      <w:rPr>
        <w:rFonts w:ascii="Aptos" w:cs="Aptos" w:eastAsia="Aptos" w:hAnsi="Aptos"/>
        <w:b w:val="0"/>
        <w:bCs w:val="0"/>
        <w:i w:val="0"/>
        <w:iCs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5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4">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b w:val="1"/>
      <w:bCs w:val="1"/>
      <w:color w:val="215e99"/>
      <w:sz w:val="30"/>
      <w:szCs w:val="30"/>
    </w:rPr>
  </w:style>
  <w:style w:type="paragraph" w:styleId="Heading2">
    <w:name w:val="heading 2"/>
    <w:basedOn w:val="Normal"/>
    <w:next w:val="Normal"/>
    <w:pPr>
      <w:spacing w:line="240" w:lineRule="auto"/>
    </w:pPr>
    <w:rPr>
      <w:rFonts w:ascii="Arial" w:cs="Arial" w:eastAsia="Arial" w:hAnsi="Arial"/>
      <w:b w:val="1"/>
      <w:bCs w:val="1"/>
      <w:color w:val="4c94d8"/>
      <w:sz w:val="26"/>
      <w:szCs w:val="26"/>
    </w:rPr>
  </w:style>
  <w:style w:type="paragraph" w:styleId="Heading3">
    <w:name w:val="heading 3"/>
    <w:basedOn w:val="Normal"/>
    <w:next w:val="Normal"/>
    <w:pPr>
      <w:spacing w:line="240" w:lineRule="auto"/>
    </w:pPr>
    <w:rPr>
      <w:rFonts w:ascii="Arial" w:cs="Arial" w:eastAsia="Arial" w:hAnsi="Arial"/>
      <w:b w:val="1"/>
      <w:bCs w:val="1"/>
      <w:sz w:val="25"/>
      <w:szCs w:val="25"/>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bCs w:val="1"/>
      <w:sz w:val="20"/>
      <w:szCs w:val="20"/>
    </w:rPr>
  </w:style>
  <w:style w:type="paragraph" w:styleId="Heading6">
    <w:name w:val="heading 6"/>
    <w:basedOn w:val="Normal"/>
    <w:next w:val="Normal"/>
    <w:pPr>
      <w:spacing w:line="240" w:lineRule="auto"/>
    </w:pPr>
    <w:rPr>
      <w:rFonts w:ascii="Times New Roman" w:cs="Times New Roman" w:eastAsia="Times New Roman" w:hAnsi="Times New Roman"/>
      <w:b w:val="1"/>
      <w:bCs w:val="1"/>
      <w:sz w:val="15"/>
      <w:szCs w:val="15"/>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2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3">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7">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8">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9">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40">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