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3F23D" w14:textId="77777777" w:rsidR="003D1B88" w:rsidRPr="00F4799C" w:rsidRDefault="003D1B88" w:rsidP="003D1B88">
      <w:pPr>
        <w:jc w:val="center"/>
        <w:rPr>
          <w:rFonts w:asciiTheme="minorBidi" w:hAnsiTheme="minorBidi"/>
        </w:rPr>
      </w:pPr>
      <w:r w:rsidRPr="00F4799C">
        <w:rPr>
          <w:rFonts w:asciiTheme="minorBidi" w:hAnsiTheme="minorBidi"/>
          <w:noProof/>
        </w:rPr>
        <w:drawing>
          <wp:inline distT="0" distB="0" distL="0" distR="0" wp14:anchorId="60FC3975" wp14:editId="47353517">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6F111F6" w14:textId="77777777" w:rsidR="003D1B88" w:rsidRPr="00F4799C" w:rsidRDefault="003D1B88" w:rsidP="003D1B88">
      <w:pPr>
        <w:jc w:val="center"/>
        <w:rPr>
          <w:rFonts w:asciiTheme="minorBidi" w:hAnsiTheme="minorBidi"/>
        </w:rPr>
      </w:pPr>
    </w:p>
    <w:p w14:paraId="094AD154" w14:textId="77777777" w:rsidR="003D1B88" w:rsidRDefault="003D1B88" w:rsidP="003D1B88">
      <w:pPr>
        <w:rPr>
          <w:rFonts w:asciiTheme="minorBidi" w:hAnsiTheme="minorBidi"/>
          <w:b/>
          <w:bCs/>
          <w:sz w:val="28"/>
          <w:szCs w:val="28"/>
        </w:rPr>
      </w:pPr>
    </w:p>
    <w:p w14:paraId="164D3785" w14:textId="77777777" w:rsidR="003D1B88" w:rsidRPr="002D209E" w:rsidRDefault="003D1B88" w:rsidP="003D1B88">
      <w:pPr>
        <w:spacing w:line="360" w:lineRule="auto"/>
        <w:jc w:val="center"/>
        <w:rPr>
          <w:rFonts w:ascii="Arial" w:hAnsi="Arial" w:cs="Arial"/>
          <w:b/>
          <w:bCs/>
        </w:rPr>
      </w:pPr>
      <w:r w:rsidRPr="002D209E">
        <w:rPr>
          <w:rFonts w:ascii="Arial" w:hAnsi="Arial" w:cs="Arial"/>
          <w:b/>
          <w:bCs/>
        </w:rPr>
        <w:t>Student Name: Rainak Zabin</w:t>
      </w:r>
    </w:p>
    <w:p w14:paraId="2B579F0B" w14:textId="77777777" w:rsidR="003D1B88" w:rsidRPr="002D209E" w:rsidRDefault="003D1B88" w:rsidP="003D1B88">
      <w:pPr>
        <w:spacing w:line="360" w:lineRule="auto"/>
        <w:jc w:val="center"/>
        <w:rPr>
          <w:rFonts w:ascii="Arial" w:hAnsi="Arial" w:cs="Arial"/>
          <w:b/>
          <w:bCs/>
        </w:rPr>
      </w:pPr>
    </w:p>
    <w:p w14:paraId="5B7D2589" w14:textId="77777777" w:rsidR="003D1B88" w:rsidRPr="002D209E" w:rsidRDefault="003D1B88" w:rsidP="003D1B88">
      <w:pPr>
        <w:spacing w:line="360" w:lineRule="auto"/>
        <w:jc w:val="center"/>
        <w:rPr>
          <w:rFonts w:ascii="Arial" w:hAnsi="Arial" w:cs="Arial"/>
          <w:b/>
          <w:bCs/>
        </w:rPr>
      </w:pPr>
      <w:r w:rsidRPr="002D209E">
        <w:rPr>
          <w:rFonts w:ascii="Arial" w:hAnsi="Arial" w:cs="Arial"/>
          <w:b/>
          <w:bCs/>
        </w:rPr>
        <w:t>Student ID: 2522511</w:t>
      </w:r>
    </w:p>
    <w:p w14:paraId="6B15EFFA" w14:textId="77777777" w:rsidR="003D1B88" w:rsidRPr="002D209E" w:rsidRDefault="003D1B88" w:rsidP="003D1B88">
      <w:pPr>
        <w:spacing w:line="360" w:lineRule="auto"/>
        <w:rPr>
          <w:rFonts w:ascii="Arial" w:hAnsi="Arial" w:cs="Arial"/>
        </w:rPr>
      </w:pPr>
    </w:p>
    <w:p w14:paraId="43A449A6" w14:textId="470EFD01" w:rsidR="003D1B88" w:rsidRPr="002D209E" w:rsidRDefault="003D1B88" w:rsidP="003D1B88">
      <w:pPr>
        <w:spacing w:line="360" w:lineRule="auto"/>
        <w:jc w:val="center"/>
        <w:rPr>
          <w:rFonts w:ascii="Arial" w:hAnsi="Arial" w:cs="Arial"/>
          <w:b/>
          <w:bCs/>
        </w:rPr>
      </w:pPr>
      <w:r w:rsidRPr="002D209E">
        <w:rPr>
          <w:rFonts w:ascii="Arial" w:hAnsi="Arial" w:cs="Arial"/>
          <w:b/>
          <w:bCs/>
        </w:rPr>
        <w:t xml:space="preserve">Module Name: </w:t>
      </w:r>
      <w:r>
        <w:rPr>
          <w:rFonts w:ascii="Arial" w:hAnsi="Arial" w:cs="Arial"/>
          <w:b/>
          <w:bCs/>
        </w:rPr>
        <w:t>Financial</w:t>
      </w:r>
      <w:r w:rsidRPr="002D209E">
        <w:rPr>
          <w:rFonts w:ascii="Arial" w:hAnsi="Arial" w:cs="Arial"/>
          <w:b/>
          <w:bCs/>
        </w:rPr>
        <w:t xml:space="preserve"> Management</w:t>
      </w:r>
    </w:p>
    <w:p w14:paraId="10AA3AA7" w14:textId="77777777" w:rsidR="003D1B88" w:rsidRPr="002D209E" w:rsidRDefault="003D1B88" w:rsidP="003D1B88">
      <w:pPr>
        <w:spacing w:line="360" w:lineRule="auto"/>
        <w:jc w:val="center"/>
        <w:rPr>
          <w:rFonts w:ascii="Arial" w:hAnsi="Arial" w:cs="Arial"/>
          <w:b/>
          <w:bCs/>
        </w:rPr>
      </w:pPr>
    </w:p>
    <w:p w14:paraId="6D98C7DF" w14:textId="6C2CDB87" w:rsidR="003D1B88" w:rsidRPr="002D209E" w:rsidRDefault="003D1B88" w:rsidP="003D1B88">
      <w:pPr>
        <w:spacing w:line="360" w:lineRule="auto"/>
        <w:jc w:val="center"/>
        <w:rPr>
          <w:rFonts w:ascii="Arial" w:hAnsi="Arial" w:cs="Arial"/>
          <w:b/>
          <w:bCs/>
        </w:rPr>
      </w:pPr>
      <w:r w:rsidRPr="002D209E">
        <w:rPr>
          <w:rFonts w:ascii="Arial" w:hAnsi="Arial" w:cs="Arial"/>
          <w:b/>
          <w:bCs/>
        </w:rPr>
        <w:t>Module Code: LCMB70</w:t>
      </w:r>
      <w:r>
        <w:rPr>
          <w:rFonts w:ascii="Arial" w:hAnsi="Arial" w:cs="Arial"/>
          <w:b/>
          <w:bCs/>
        </w:rPr>
        <w:t>0</w:t>
      </w:r>
      <w:r w:rsidRPr="002D209E">
        <w:rPr>
          <w:rFonts w:ascii="Arial" w:hAnsi="Arial" w:cs="Arial"/>
          <w:b/>
          <w:bCs/>
        </w:rPr>
        <w:t>2</w:t>
      </w:r>
    </w:p>
    <w:p w14:paraId="1938A07D" w14:textId="77777777" w:rsidR="003D1B88" w:rsidRPr="002D209E" w:rsidRDefault="003D1B88" w:rsidP="003D1B88">
      <w:pPr>
        <w:spacing w:line="360" w:lineRule="auto"/>
        <w:jc w:val="center"/>
        <w:rPr>
          <w:rFonts w:ascii="Arial" w:hAnsi="Arial" w:cs="Arial"/>
          <w:b/>
          <w:bCs/>
        </w:rPr>
      </w:pPr>
    </w:p>
    <w:p w14:paraId="2C71933C" w14:textId="7BE12ED8" w:rsidR="003D1B88" w:rsidRDefault="003D1B88" w:rsidP="003D1B88">
      <w:pPr>
        <w:spacing w:line="360" w:lineRule="auto"/>
        <w:jc w:val="center"/>
        <w:rPr>
          <w:rFonts w:ascii="Arial" w:hAnsi="Arial" w:cs="Arial"/>
          <w:b/>
          <w:bCs/>
        </w:rPr>
      </w:pPr>
      <w:r w:rsidRPr="002D209E">
        <w:rPr>
          <w:rFonts w:ascii="Arial" w:hAnsi="Arial" w:cs="Arial"/>
          <w:b/>
          <w:bCs/>
        </w:rPr>
        <w:t>Assessment Title:</w:t>
      </w:r>
      <w:r>
        <w:rPr>
          <w:rFonts w:ascii="Arial" w:hAnsi="Arial" w:cs="Arial"/>
          <w:b/>
          <w:bCs/>
        </w:rPr>
        <w:t xml:space="preserve"> </w:t>
      </w:r>
      <w:r w:rsidR="0088371E">
        <w:rPr>
          <w:rFonts w:ascii="Arial" w:hAnsi="Arial" w:cs="Arial"/>
          <w:b/>
          <w:bCs/>
        </w:rPr>
        <w:t xml:space="preserve">Financial Performance and management of </w:t>
      </w:r>
      <w:r w:rsidR="00B07A92" w:rsidRPr="00B07A92">
        <w:rPr>
          <w:rFonts w:ascii="Arial" w:hAnsi="Arial" w:cs="Arial"/>
          <w:b/>
          <w:bCs/>
        </w:rPr>
        <w:t>Toyota Motor Corporation</w:t>
      </w:r>
    </w:p>
    <w:p w14:paraId="584150CA" w14:textId="725188B7" w:rsidR="0088371E" w:rsidRPr="002D209E" w:rsidRDefault="0088371E" w:rsidP="003D1B88">
      <w:pPr>
        <w:spacing w:line="360" w:lineRule="auto"/>
        <w:jc w:val="center"/>
        <w:rPr>
          <w:rFonts w:ascii="Arial" w:hAnsi="Arial" w:cs="Arial"/>
          <w:b/>
          <w:bCs/>
        </w:rPr>
      </w:pPr>
      <w:r>
        <w:rPr>
          <w:rFonts w:ascii="Arial" w:hAnsi="Arial" w:cs="Arial"/>
          <w:b/>
          <w:bCs/>
        </w:rPr>
        <w:t>Topic: Strategic CFO Challenge</w:t>
      </w:r>
    </w:p>
    <w:p w14:paraId="1C2A24A3" w14:textId="77777777" w:rsidR="003D1B88" w:rsidRPr="002D209E" w:rsidRDefault="003D1B88" w:rsidP="003D1B88">
      <w:pPr>
        <w:spacing w:line="360" w:lineRule="auto"/>
        <w:jc w:val="center"/>
        <w:rPr>
          <w:rFonts w:ascii="Arial" w:hAnsi="Arial" w:cs="Arial"/>
          <w:b/>
          <w:bCs/>
        </w:rPr>
      </w:pPr>
    </w:p>
    <w:p w14:paraId="17CC51C4" w14:textId="7E8AF0DF" w:rsidR="003D1B88" w:rsidRPr="002D209E" w:rsidRDefault="004E6201" w:rsidP="00B821FB">
      <w:pPr>
        <w:spacing w:line="360" w:lineRule="auto"/>
        <w:jc w:val="center"/>
        <w:rPr>
          <w:rFonts w:ascii="Arial" w:hAnsi="Arial" w:cs="Arial"/>
          <w:b/>
          <w:bCs/>
        </w:rPr>
      </w:pPr>
      <w:r>
        <w:rPr>
          <w:rFonts w:ascii="Arial" w:hAnsi="Arial" w:cs="Arial"/>
          <w:b/>
          <w:bCs/>
        </w:rPr>
        <w:t>Submitted to</w:t>
      </w:r>
      <w:r w:rsidR="003D1B88" w:rsidRPr="002D209E">
        <w:rPr>
          <w:rFonts w:ascii="Arial" w:hAnsi="Arial" w:cs="Arial"/>
          <w:b/>
          <w:bCs/>
        </w:rPr>
        <w:t xml:space="preserve">: </w:t>
      </w:r>
      <w:r w:rsidR="002C436C">
        <w:rPr>
          <w:rFonts w:ascii="Arial" w:hAnsi="Arial" w:cs="Arial"/>
          <w:b/>
          <w:bCs/>
        </w:rPr>
        <w:t xml:space="preserve">MD. Kalam / </w:t>
      </w:r>
      <w:r w:rsidR="00B821FB" w:rsidRPr="00B821FB">
        <w:rPr>
          <w:rFonts w:ascii="Arial" w:hAnsi="Arial" w:cs="Arial"/>
          <w:b/>
          <w:bCs/>
        </w:rPr>
        <w:t>Shengfeng Mei</w:t>
      </w:r>
      <w:r w:rsidR="00B821FB">
        <w:rPr>
          <w:rFonts w:ascii="Arial" w:hAnsi="Arial" w:cs="Arial"/>
          <w:b/>
          <w:bCs/>
        </w:rPr>
        <w:t xml:space="preserve"> / </w:t>
      </w:r>
      <w:r w:rsidR="00B821FB" w:rsidRPr="00B821FB">
        <w:rPr>
          <w:rFonts w:ascii="Arial" w:hAnsi="Arial" w:cs="Arial"/>
          <w:b/>
          <w:bCs/>
        </w:rPr>
        <w:t>Patrick Yeboah</w:t>
      </w:r>
    </w:p>
    <w:p w14:paraId="2FD8166D" w14:textId="77777777" w:rsidR="003D1B88" w:rsidRPr="002D209E" w:rsidRDefault="003D1B88" w:rsidP="003D1B88">
      <w:pPr>
        <w:spacing w:line="360" w:lineRule="auto"/>
        <w:rPr>
          <w:rFonts w:ascii="Arial" w:hAnsi="Arial" w:cs="Arial"/>
          <w:b/>
          <w:bCs/>
        </w:rPr>
      </w:pPr>
    </w:p>
    <w:p w14:paraId="0FE119BC" w14:textId="2B936A26" w:rsidR="003D1B88" w:rsidRPr="002D209E" w:rsidRDefault="003D1B88" w:rsidP="003D1B88">
      <w:pPr>
        <w:spacing w:line="360" w:lineRule="auto"/>
        <w:jc w:val="center"/>
        <w:rPr>
          <w:rFonts w:ascii="Arial" w:hAnsi="Arial" w:cs="Arial"/>
          <w:b/>
          <w:bCs/>
        </w:rPr>
      </w:pPr>
      <w:r w:rsidRPr="002D209E">
        <w:rPr>
          <w:rFonts w:ascii="Arial" w:hAnsi="Arial" w:cs="Arial"/>
          <w:b/>
          <w:bCs/>
        </w:rPr>
        <w:t xml:space="preserve">Work Count: </w:t>
      </w:r>
      <w:r>
        <w:rPr>
          <w:rFonts w:ascii="Arial" w:hAnsi="Arial" w:cs="Arial"/>
          <w:b/>
          <w:bCs/>
        </w:rPr>
        <w:t>5000</w:t>
      </w:r>
    </w:p>
    <w:p w14:paraId="49A4F55F" w14:textId="77777777" w:rsidR="003D1B88" w:rsidRPr="002D209E" w:rsidRDefault="003D1B88" w:rsidP="001B5227">
      <w:pPr>
        <w:spacing w:line="360" w:lineRule="auto"/>
        <w:rPr>
          <w:rFonts w:ascii="Arial" w:hAnsi="Arial" w:cs="Arial"/>
          <w:b/>
          <w:bCs/>
        </w:rPr>
      </w:pPr>
    </w:p>
    <w:p w14:paraId="312699F0" w14:textId="7B4A325D" w:rsidR="004156C8" w:rsidRDefault="003D1B88" w:rsidP="003D1B88">
      <w:pPr>
        <w:rPr>
          <w:rFonts w:ascii="Arial" w:hAnsi="Arial" w:cs="Arial"/>
          <w:b/>
          <w:bCs/>
        </w:rPr>
      </w:pPr>
      <w:r>
        <w:rPr>
          <w:rFonts w:ascii="Arial" w:hAnsi="Arial" w:cs="Arial"/>
          <w:b/>
          <w:bCs/>
        </w:rPr>
        <w:t xml:space="preserve">                                                             </w:t>
      </w:r>
      <w:r w:rsidRPr="002D209E">
        <w:rPr>
          <w:rFonts w:ascii="Arial" w:hAnsi="Arial" w:cs="Arial"/>
          <w:b/>
          <w:bCs/>
        </w:rPr>
        <w:t>Term</w:t>
      </w:r>
      <w:r w:rsidR="001B5227">
        <w:rPr>
          <w:rFonts w:ascii="Arial" w:hAnsi="Arial" w:cs="Arial"/>
          <w:b/>
          <w:bCs/>
        </w:rPr>
        <w:t xml:space="preserve"> 1 </w:t>
      </w:r>
    </w:p>
    <w:p w14:paraId="75F87EB7" w14:textId="77777777" w:rsidR="00EC4751" w:rsidRDefault="00EC4751" w:rsidP="003D1B88">
      <w:pPr>
        <w:rPr>
          <w:rFonts w:ascii="Arial" w:hAnsi="Arial" w:cs="Arial"/>
          <w:b/>
          <w:bCs/>
        </w:rPr>
      </w:pPr>
    </w:p>
    <w:p w14:paraId="013E440C" w14:textId="0B601CBA" w:rsidR="00496592" w:rsidRDefault="00496592" w:rsidP="00722D70">
      <w:pPr>
        <w:rPr>
          <w:b/>
          <w:bCs/>
        </w:rPr>
      </w:pPr>
      <w:r>
        <w:rPr>
          <w:b/>
          <w:bCs/>
        </w:rPr>
        <w:t xml:space="preserve">                                                        </w:t>
      </w:r>
      <w:r w:rsidR="00472ED2" w:rsidRPr="00472ED2">
        <w:rPr>
          <w:rFonts w:ascii="Arial" w:eastAsia="Arial" w:hAnsi="Arial" w:cs="Arial"/>
          <w:b/>
          <w:bCs/>
        </w:rPr>
        <w:t>Submission</w:t>
      </w:r>
      <w:r w:rsidR="00472ED2">
        <w:rPr>
          <w:b/>
          <w:bCs/>
        </w:rPr>
        <w:t xml:space="preserve"> </w:t>
      </w:r>
      <w:r>
        <w:rPr>
          <w:b/>
          <w:bCs/>
        </w:rPr>
        <w:t>date: 24</w:t>
      </w:r>
      <w:r w:rsidRPr="00496592">
        <w:rPr>
          <w:b/>
          <w:bCs/>
          <w:vertAlign w:val="superscript"/>
        </w:rPr>
        <w:t>th</w:t>
      </w:r>
      <w:r>
        <w:rPr>
          <w:b/>
          <w:bCs/>
        </w:rPr>
        <w:t xml:space="preserve"> April 2026</w:t>
      </w:r>
    </w:p>
    <w:p w14:paraId="76053B8B" w14:textId="77777777" w:rsidR="00DC3C3E" w:rsidRPr="00DC3C3E" w:rsidRDefault="00DC3C3E" w:rsidP="00DC3C3E">
      <w:pPr>
        <w:rPr>
          <w:b/>
          <w:bCs/>
        </w:rPr>
      </w:pPr>
      <w:r w:rsidRPr="00DC3C3E">
        <w:rPr>
          <w:b/>
          <w:bCs/>
        </w:rPr>
        <w:lastRenderedPageBreak/>
        <w:t>Table of Contents</w:t>
      </w:r>
    </w:p>
    <w:p w14:paraId="41CA3803" w14:textId="53592275" w:rsidR="00DC3C3E" w:rsidRPr="00DC3C3E" w:rsidRDefault="00DC3C3E" w:rsidP="00DC3C3E">
      <w:pPr>
        <w:rPr>
          <w:b/>
          <w:bCs/>
        </w:rPr>
      </w:pPr>
      <w:r w:rsidRPr="00DC3C3E">
        <w:rPr>
          <w:b/>
          <w:bCs/>
        </w:rPr>
        <w:t>Table of Contents</w:t>
      </w:r>
      <w:r w:rsidRPr="00DC3C3E">
        <w:rPr>
          <w:b/>
          <w:bCs/>
        </w:rPr>
        <w:tab/>
        <w:t>2</w:t>
      </w:r>
      <w:r w:rsidR="00EA3A77">
        <w:rPr>
          <w:b/>
          <w:bCs/>
        </w:rPr>
        <w:t>-3</w:t>
      </w:r>
    </w:p>
    <w:p w14:paraId="05D38FF4" w14:textId="2C6A12AD" w:rsidR="00DC3C3E" w:rsidRPr="00DC3C3E" w:rsidRDefault="00DC3C3E" w:rsidP="00DC3C3E">
      <w:pPr>
        <w:rPr>
          <w:b/>
          <w:bCs/>
        </w:rPr>
      </w:pPr>
      <w:r w:rsidRPr="00DC3C3E">
        <w:rPr>
          <w:b/>
          <w:bCs/>
        </w:rPr>
        <w:t>List of Tables</w:t>
      </w:r>
      <w:proofErr w:type="gramStart"/>
      <w:r w:rsidRPr="00DC3C3E">
        <w:rPr>
          <w:b/>
          <w:bCs/>
        </w:rPr>
        <w:tab/>
      </w:r>
      <w:r w:rsidR="00EA3A77">
        <w:rPr>
          <w:b/>
          <w:bCs/>
        </w:rPr>
        <w:t xml:space="preserve">  4</w:t>
      </w:r>
      <w:proofErr w:type="gramEnd"/>
    </w:p>
    <w:p w14:paraId="20463459" w14:textId="77777777" w:rsidR="00DC3C3E" w:rsidRPr="00DC3C3E" w:rsidRDefault="00DC3C3E" w:rsidP="00DC3C3E">
      <w:pPr>
        <w:rPr>
          <w:b/>
          <w:bCs/>
        </w:rPr>
      </w:pPr>
      <w:r w:rsidRPr="00DC3C3E">
        <w:rPr>
          <w:b/>
          <w:bCs/>
        </w:rPr>
        <w:t>List of Figures</w:t>
      </w:r>
      <w:r w:rsidRPr="00DC3C3E">
        <w:rPr>
          <w:b/>
          <w:bCs/>
        </w:rPr>
        <w:tab/>
        <w:t>4</w:t>
      </w:r>
    </w:p>
    <w:p w14:paraId="4052F05B" w14:textId="77777777" w:rsidR="00DC3C3E" w:rsidRPr="00DC3C3E" w:rsidRDefault="00DC3C3E" w:rsidP="00DC3C3E">
      <w:pPr>
        <w:rPr>
          <w:b/>
          <w:bCs/>
        </w:rPr>
      </w:pPr>
      <w:r w:rsidRPr="00DC3C3E">
        <w:rPr>
          <w:b/>
          <w:bCs/>
        </w:rPr>
        <w:t>1. Introduction</w:t>
      </w:r>
      <w:r w:rsidRPr="00DC3C3E">
        <w:rPr>
          <w:b/>
          <w:bCs/>
        </w:rPr>
        <w:tab/>
        <w:t>5</w:t>
      </w:r>
    </w:p>
    <w:p w14:paraId="48DBAB79" w14:textId="77777777" w:rsidR="00DC3C3E" w:rsidRPr="00DC3C3E" w:rsidRDefault="00DC3C3E" w:rsidP="00DC3C3E">
      <w:pPr>
        <w:rPr>
          <w:b/>
          <w:bCs/>
        </w:rPr>
      </w:pPr>
      <w:r w:rsidRPr="00DC3C3E">
        <w:rPr>
          <w:b/>
          <w:bCs/>
        </w:rPr>
        <w:t>2. Financial Health Check (Ratio Analysis)</w:t>
      </w:r>
      <w:r w:rsidRPr="00DC3C3E">
        <w:rPr>
          <w:b/>
          <w:bCs/>
        </w:rPr>
        <w:tab/>
        <w:t>6</w:t>
      </w:r>
    </w:p>
    <w:p w14:paraId="2E4E27AF" w14:textId="77777777" w:rsidR="00DC3C3E" w:rsidRPr="00DC3C3E" w:rsidRDefault="00DC3C3E" w:rsidP="00DC3C3E">
      <w:pPr>
        <w:rPr>
          <w:b/>
          <w:bCs/>
        </w:rPr>
      </w:pPr>
      <w:r w:rsidRPr="00DC3C3E">
        <w:rPr>
          <w:b/>
          <w:bCs/>
        </w:rPr>
        <w:t>2.1 Profitability Analysis</w:t>
      </w:r>
      <w:r w:rsidRPr="00DC3C3E">
        <w:rPr>
          <w:b/>
          <w:bCs/>
        </w:rPr>
        <w:tab/>
        <w:t>7</w:t>
      </w:r>
    </w:p>
    <w:p w14:paraId="07553F8A" w14:textId="77777777" w:rsidR="00DC3C3E" w:rsidRPr="00DC3C3E" w:rsidRDefault="00DC3C3E" w:rsidP="00DC3C3E">
      <w:pPr>
        <w:rPr>
          <w:b/>
          <w:bCs/>
        </w:rPr>
      </w:pPr>
      <w:r w:rsidRPr="00DC3C3E">
        <w:rPr>
          <w:b/>
          <w:bCs/>
        </w:rPr>
        <w:t>2.2 Liquidity and Efficiency Analysis</w:t>
      </w:r>
      <w:r w:rsidRPr="00DC3C3E">
        <w:rPr>
          <w:b/>
          <w:bCs/>
        </w:rPr>
        <w:tab/>
        <w:t>8</w:t>
      </w:r>
    </w:p>
    <w:p w14:paraId="6C73583D" w14:textId="77777777" w:rsidR="00DC3C3E" w:rsidRPr="00DC3C3E" w:rsidRDefault="00DC3C3E" w:rsidP="00DC3C3E">
      <w:pPr>
        <w:rPr>
          <w:b/>
          <w:bCs/>
        </w:rPr>
      </w:pPr>
      <w:r w:rsidRPr="00DC3C3E">
        <w:rPr>
          <w:b/>
          <w:bCs/>
        </w:rPr>
        <w:t>2.3 Gearing and Investment Ratios</w:t>
      </w:r>
      <w:r w:rsidRPr="00DC3C3E">
        <w:rPr>
          <w:b/>
          <w:bCs/>
        </w:rPr>
        <w:tab/>
        <w:t>9</w:t>
      </w:r>
    </w:p>
    <w:p w14:paraId="200D0476" w14:textId="13E77B42" w:rsidR="00DC3C3E" w:rsidRPr="00DC3C3E" w:rsidRDefault="00DC3C3E" w:rsidP="00DC3C3E">
      <w:pPr>
        <w:rPr>
          <w:b/>
          <w:bCs/>
        </w:rPr>
      </w:pPr>
      <w:r w:rsidRPr="00DC3C3E">
        <w:rPr>
          <w:b/>
          <w:bCs/>
        </w:rPr>
        <w:t>2.4 Key Trends, Strengths and Threats</w:t>
      </w:r>
      <w:r w:rsidRPr="00DC3C3E">
        <w:rPr>
          <w:b/>
          <w:bCs/>
        </w:rPr>
        <w:tab/>
        <w:t>1</w:t>
      </w:r>
      <w:r w:rsidR="00DD2F06">
        <w:rPr>
          <w:b/>
          <w:bCs/>
        </w:rPr>
        <w:t>3</w:t>
      </w:r>
    </w:p>
    <w:p w14:paraId="2E70F6B7" w14:textId="77777777" w:rsidR="00DC3C3E" w:rsidRPr="00DC3C3E" w:rsidRDefault="00DC3C3E" w:rsidP="00DC3C3E">
      <w:pPr>
        <w:rPr>
          <w:b/>
          <w:bCs/>
        </w:rPr>
      </w:pPr>
      <w:r w:rsidRPr="00DC3C3E">
        <w:rPr>
          <w:b/>
          <w:bCs/>
        </w:rPr>
        <w:t>3. Working Capital Management Analysis</w:t>
      </w:r>
      <w:r w:rsidRPr="00DC3C3E">
        <w:rPr>
          <w:b/>
          <w:bCs/>
        </w:rPr>
        <w:tab/>
        <w:t>12</w:t>
      </w:r>
    </w:p>
    <w:p w14:paraId="3EB587C6" w14:textId="77777777" w:rsidR="00DC3C3E" w:rsidRPr="00DC3C3E" w:rsidRDefault="00DC3C3E" w:rsidP="00DC3C3E">
      <w:pPr>
        <w:rPr>
          <w:b/>
          <w:bCs/>
        </w:rPr>
      </w:pPr>
      <w:r w:rsidRPr="00DC3C3E">
        <w:rPr>
          <w:b/>
          <w:bCs/>
        </w:rPr>
        <w:t>3.1 Cash Operating Cycle Assessment</w:t>
      </w:r>
      <w:r w:rsidRPr="00DC3C3E">
        <w:rPr>
          <w:b/>
          <w:bCs/>
        </w:rPr>
        <w:tab/>
        <w:t>12</w:t>
      </w:r>
    </w:p>
    <w:p w14:paraId="552680BC" w14:textId="77777777" w:rsidR="00DC3C3E" w:rsidRPr="00DC3C3E" w:rsidRDefault="00DC3C3E" w:rsidP="00DC3C3E">
      <w:pPr>
        <w:rPr>
          <w:b/>
          <w:bCs/>
        </w:rPr>
      </w:pPr>
      <w:r w:rsidRPr="00DC3C3E">
        <w:rPr>
          <w:b/>
          <w:bCs/>
        </w:rPr>
        <w:t>3.2 Practical Strategies for Improving Liquidity</w:t>
      </w:r>
      <w:r w:rsidRPr="00DC3C3E">
        <w:rPr>
          <w:b/>
          <w:bCs/>
        </w:rPr>
        <w:tab/>
        <w:t>12</w:t>
      </w:r>
    </w:p>
    <w:p w14:paraId="412582EA" w14:textId="77777777" w:rsidR="00DC3C3E" w:rsidRPr="00DC3C3E" w:rsidRDefault="00DC3C3E" w:rsidP="00DC3C3E">
      <w:pPr>
        <w:rPr>
          <w:b/>
          <w:bCs/>
        </w:rPr>
      </w:pPr>
      <w:r w:rsidRPr="00DC3C3E">
        <w:rPr>
          <w:b/>
          <w:bCs/>
        </w:rPr>
        <w:t>3.3 Short-term vs Long-term Financing Options</w:t>
      </w:r>
      <w:r w:rsidRPr="00DC3C3E">
        <w:rPr>
          <w:b/>
          <w:bCs/>
        </w:rPr>
        <w:tab/>
        <w:t>13</w:t>
      </w:r>
    </w:p>
    <w:p w14:paraId="571C23F2" w14:textId="77777777" w:rsidR="00DC3C3E" w:rsidRPr="00DC3C3E" w:rsidRDefault="00DC3C3E" w:rsidP="00DC3C3E">
      <w:pPr>
        <w:rPr>
          <w:b/>
          <w:bCs/>
        </w:rPr>
      </w:pPr>
      <w:r w:rsidRPr="00DC3C3E">
        <w:rPr>
          <w:b/>
          <w:bCs/>
        </w:rPr>
        <w:t>4. Strategic Financial Restructuring Plan</w:t>
      </w:r>
      <w:r w:rsidRPr="00DC3C3E">
        <w:rPr>
          <w:b/>
          <w:bCs/>
        </w:rPr>
        <w:tab/>
        <w:t>15</w:t>
      </w:r>
    </w:p>
    <w:p w14:paraId="6D9BEC0E" w14:textId="77777777" w:rsidR="00DC3C3E" w:rsidRPr="00DC3C3E" w:rsidRDefault="00DC3C3E" w:rsidP="00DC3C3E">
      <w:pPr>
        <w:rPr>
          <w:b/>
          <w:bCs/>
        </w:rPr>
      </w:pPr>
      <w:r w:rsidRPr="00DC3C3E">
        <w:rPr>
          <w:b/>
          <w:bCs/>
        </w:rPr>
        <w:t>4.1 Recommended Restructuring Options</w:t>
      </w:r>
      <w:r w:rsidRPr="00DC3C3E">
        <w:rPr>
          <w:b/>
          <w:bCs/>
        </w:rPr>
        <w:tab/>
        <w:t>15</w:t>
      </w:r>
    </w:p>
    <w:p w14:paraId="11BBB991" w14:textId="77777777" w:rsidR="00DC3C3E" w:rsidRPr="00DC3C3E" w:rsidRDefault="00DC3C3E" w:rsidP="00DC3C3E">
      <w:pPr>
        <w:rPr>
          <w:b/>
          <w:bCs/>
        </w:rPr>
      </w:pPr>
      <w:r w:rsidRPr="00DC3C3E">
        <w:rPr>
          <w:b/>
          <w:bCs/>
        </w:rPr>
        <w:t>4.2 What This Means for Shareholders, Debt, and Flexibility</w:t>
      </w:r>
      <w:r w:rsidRPr="00DC3C3E">
        <w:rPr>
          <w:b/>
          <w:bCs/>
        </w:rPr>
        <w:tab/>
        <w:t>16</w:t>
      </w:r>
    </w:p>
    <w:p w14:paraId="69CAB97A" w14:textId="77777777" w:rsidR="00DC3C3E" w:rsidRPr="00DC3C3E" w:rsidRDefault="00DC3C3E" w:rsidP="00DC3C3E">
      <w:pPr>
        <w:rPr>
          <w:b/>
          <w:bCs/>
        </w:rPr>
      </w:pPr>
      <w:r w:rsidRPr="00DC3C3E">
        <w:rPr>
          <w:b/>
          <w:bCs/>
        </w:rPr>
        <w:t>4.3 International and Ethical Considerations</w:t>
      </w:r>
      <w:r w:rsidRPr="00DC3C3E">
        <w:rPr>
          <w:b/>
          <w:bCs/>
        </w:rPr>
        <w:tab/>
        <w:t>16</w:t>
      </w:r>
    </w:p>
    <w:p w14:paraId="213A7A4E" w14:textId="77777777" w:rsidR="00DC3C3E" w:rsidRPr="00DC3C3E" w:rsidRDefault="00DC3C3E" w:rsidP="00DC3C3E">
      <w:pPr>
        <w:rPr>
          <w:b/>
          <w:bCs/>
        </w:rPr>
      </w:pPr>
      <w:r w:rsidRPr="00DC3C3E">
        <w:rPr>
          <w:b/>
          <w:bCs/>
        </w:rPr>
        <w:t>5. Investment Appraisal and Capital Budgeting Decisions</w:t>
      </w:r>
      <w:r w:rsidRPr="00DC3C3E">
        <w:rPr>
          <w:b/>
          <w:bCs/>
        </w:rPr>
        <w:tab/>
        <w:t>18</w:t>
      </w:r>
    </w:p>
    <w:p w14:paraId="5B72B4E9" w14:textId="77777777" w:rsidR="00DC3C3E" w:rsidRPr="00DC3C3E" w:rsidRDefault="00DC3C3E" w:rsidP="00DC3C3E">
      <w:pPr>
        <w:rPr>
          <w:b/>
          <w:bCs/>
        </w:rPr>
      </w:pPr>
      <w:r w:rsidRPr="00DC3C3E">
        <w:rPr>
          <w:b/>
          <w:bCs/>
        </w:rPr>
        <w:t>5.1 Project Details and Calculations</w:t>
      </w:r>
      <w:r w:rsidRPr="00DC3C3E">
        <w:rPr>
          <w:b/>
          <w:bCs/>
        </w:rPr>
        <w:tab/>
        <w:t>18</w:t>
      </w:r>
    </w:p>
    <w:p w14:paraId="5A933FC9" w14:textId="77777777" w:rsidR="00DC3C3E" w:rsidRPr="00DC3C3E" w:rsidRDefault="00DC3C3E" w:rsidP="00DC3C3E">
      <w:pPr>
        <w:rPr>
          <w:b/>
          <w:bCs/>
        </w:rPr>
      </w:pPr>
      <w:r w:rsidRPr="00DC3C3E">
        <w:rPr>
          <w:b/>
          <w:bCs/>
        </w:rPr>
        <w:t>5.1.1 Payback Period (PBP)</w:t>
      </w:r>
      <w:r w:rsidRPr="00DC3C3E">
        <w:rPr>
          <w:b/>
          <w:bCs/>
        </w:rPr>
        <w:tab/>
        <w:t>18</w:t>
      </w:r>
    </w:p>
    <w:p w14:paraId="5E02E67F" w14:textId="77777777" w:rsidR="00DC3C3E" w:rsidRPr="00DC3C3E" w:rsidRDefault="00DC3C3E" w:rsidP="00DC3C3E">
      <w:pPr>
        <w:rPr>
          <w:b/>
          <w:bCs/>
        </w:rPr>
      </w:pPr>
      <w:r w:rsidRPr="00DC3C3E">
        <w:rPr>
          <w:b/>
          <w:bCs/>
        </w:rPr>
        <w:t>5.1.2 Accounting Rate of Return (ARR)</w:t>
      </w:r>
      <w:r w:rsidRPr="00DC3C3E">
        <w:rPr>
          <w:b/>
          <w:bCs/>
        </w:rPr>
        <w:tab/>
        <w:t>18</w:t>
      </w:r>
    </w:p>
    <w:p w14:paraId="3051863B" w14:textId="77777777" w:rsidR="00DC3C3E" w:rsidRPr="00DC3C3E" w:rsidRDefault="00DC3C3E" w:rsidP="00DC3C3E">
      <w:pPr>
        <w:rPr>
          <w:b/>
          <w:bCs/>
        </w:rPr>
      </w:pPr>
      <w:r w:rsidRPr="00DC3C3E">
        <w:rPr>
          <w:b/>
          <w:bCs/>
        </w:rPr>
        <w:t>5.1.3 Net Present Value (NPV)</w:t>
      </w:r>
      <w:r w:rsidRPr="00DC3C3E">
        <w:rPr>
          <w:b/>
          <w:bCs/>
        </w:rPr>
        <w:tab/>
        <w:t>19</w:t>
      </w:r>
    </w:p>
    <w:p w14:paraId="42975515" w14:textId="77777777" w:rsidR="00DC3C3E" w:rsidRPr="00DC3C3E" w:rsidRDefault="00DC3C3E" w:rsidP="00DC3C3E">
      <w:pPr>
        <w:rPr>
          <w:b/>
          <w:bCs/>
        </w:rPr>
      </w:pPr>
      <w:r w:rsidRPr="00DC3C3E">
        <w:rPr>
          <w:b/>
          <w:bCs/>
        </w:rPr>
        <w:t>5.1.4 Profitability Index (PI) and IRR</w:t>
      </w:r>
      <w:r w:rsidRPr="00DC3C3E">
        <w:rPr>
          <w:b/>
          <w:bCs/>
        </w:rPr>
        <w:tab/>
        <w:t>19</w:t>
      </w:r>
    </w:p>
    <w:p w14:paraId="42A7E3B1" w14:textId="77777777" w:rsidR="00DC3C3E" w:rsidRPr="00DC3C3E" w:rsidRDefault="00DC3C3E" w:rsidP="00DC3C3E">
      <w:pPr>
        <w:rPr>
          <w:b/>
          <w:bCs/>
        </w:rPr>
      </w:pPr>
      <w:r w:rsidRPr="00DC3C3E">
        <w:rPr>
          <w:b/>
          <w:bCs/>
        </w:rPr>
        <w:t>5.2 Which Project, and Why?</w:t>
      </w:r>
      <w:r w:rsidRPr="00DC3C3E">
        <w:rPr>
          <w:b/>
          <w:bCs/>
        </w:rPr>
        <w:tab/>
        <w:t>20</w:t>
      </w:r>
    </w:p>
    <w:p w14:paraId="3DD6C7B4" w14:textId="77777777" w:rsidR="00DC3C3E" w:rsidRPr="00DC3C3E" w:rsidRDefault="00DC3C3E" w:rsidP="00DC3C3E">
      <w:pPr>
        <w:rPr>
          <w:b/>
          <w:bCs/>
        </w:rPr>
      </w:pPr>
      <w:r w:rsidRPr="00DC3C3E">
        <w:rPr>
          <w:b/>
          <w:bCs/>
        </w:rPr>
        <w:t>5.3 What If We Can Invest in More Than One?</w:t>
      </w:r>
      <w:r w:rsidRPr="00DC3C3E">
        <w:rPr>
          <w:b/>
          <w:bCs/>
        </w:rPr>
        <w:tab/>
        <w:t>21</w:t>
      </w:r>
    </w:p>
    <w:p w14:paraId="73B82C63" w14:textId="77777777" w:rsidR="00DC3C3E" w:rsidRPr="00DC3C3E" w:rsidRDefault="00DC3C3E" w:rsidP="00DC3C3E">
      <w:pPr>
        <w:rPr>
          <w:b/>
          <w:bCs/>
        </w:rPr>
      </w:pPr>
      <w:r w:rsidRPr="00DC3C3E">
        <w:rPr>
          <w:b/>
          <w:bCs/>
        </w:rPr>
        <w:t>6. Conclusion</w:t>
      </w:r>
      <w:r w:rsidRPr="00DC3C3E">
        <w:rPr>
          <w:b/>
          <w:bCs/>
        </w:rPr>
        <w:tab/>
        <w:t>22</w:t>
      </w:r>
    </w:p>
    <w:p w14:paraId="7B8BD6A9" w14:textId="77777777" w:rsidR="00DC3C3E" w:rsidRPr="00DC3C3E" w:rsidRDefault="00DC3C3E" w:rsidP="00DC3C3E">
      <w:pPr>
        <w:rPr>
          <w:b/>
          <w:bCs/>
        </w:rPr>
      </w:pPr>
      <w:r w:rsidRPr="00DC3C3E">
        <w:rPr>
          <w:b/>
          <w:bCs/>
        </w:rPr>
        <w:t>References</w:t>
      </w:r>
      <w:r w:rsidRPr="00DC3C3E">
        <w:rPr>
          <w:b/>
          <w:bCs/>
        </w:rPr>
        <w:tab/>
        <w:t>24</w:t>
      </w:r>
    </w:p>
    <w:p w14:paraId="3EB7059C" w14:textId="77777777" w:rsidR="00DC3C3E" w:rsidRPr="00DC3C3E" w:rsidRDefault="00DC3C3E" w:rsidP="00DC3C3E">
      <w:pPr>
        <w:rPr>
          <w:b/>
          <w:bCs/>
        </w:rPr>
      </w:pPr>
      <w:r w:rsidRPr="00DC3C3E">
        <w:rPr>
          <w:b/>
          <w:bCs/>
        </w:rPr>
        <w:lastRenderedPageBreak/>
        <w:t>Appendices</w:t>
      </w:r>
      <w:r w:rsidRPr="00DC3C3E">
        <w:rPr>
          <w:b/>
          <w:bCs/>
        </w:rPr>
        <w:tab/>
        <w:t>26</w:t>
      </w:r>
    </w:p>
    <w:p w14:paraId="0E5F0106" w14:textId="77777777" w:rsidR="00DC3C3E" w:rsidRPr="00DC3C3E" w:rsidRDefault="00DC3C3E" w:rsidP="00DC3C3E">
      <w:r w:rsidRPr="00DC3C3E">
        <w:t>Appendix A: Ratio Formulas Used</w:t>
      </w:r>
      <w:r w:rsidRPr="00DC3C3E">
        <w:tab/>
        <w:t>26</w:t>
      </w:r>
    </w:p>
    <w:p w14:paraId="6431A445" w14:textId="7535832A" w:rsidR="00DC3C3E" w:rsidRPr="006150A3" w:rsidRDefault="00DC3C3E" w:rsidP="00DC3C3E">
      <w:r w:rsidRPr="00DC3C3E">
        <w:t xml:space="preserve">Appendix B: Investment </w:t>
      </w:r>
      <w:r w:rsidR="00DF62E1" w:rsidRPr="00DC3C3E">
        <w:t xml:space="preserve">Appraisal </w:t>
      </w:r>
      <w:r w:rsidR="00DF62E1">
        <w:t>Calculations</w:t>
      </w:r>
      <w:r w:rsidRPr="00DC3C3E">
        <w:tab/>
        <w:t>26</w:t>
      </w:r>
    </w:p>
    <w:p w14:paraId="5F77D2B1" w14:textId="77777777" w:rsidR="00DC3C3E" w:rsidRDefault="00DC3C3E" w:rsidP="00DC3C3E">
      <w:pPr>
        <w:rPr>
          <w:b/>
          <w:bCs/>
        </w:rPr>
      </w:pPr>
      <w:r w:rsidRPr="00DC3C3E">
        <w:rPr>
          <w:b/>
          <w:bCs/>
        </w:rPr>
        <w:t> </w:t>
      </w:r>
    </w:p>
    <w:p w14:paraId="13682158" w14:textId="77777777" w:rsidR="00DF62E1" w:rsidRDefault="00DF62E1" w:rsidP="00DC3C3E">
      <w:pPr>
        <w:rPr>
          <w:b/>
          <w:bCs/>
        </w:rPr>
      </w:pPr>
    </w:p>
    <w:p w14:paraId="05EEF741" w14:textId="77777777" w:rsidR="00DF62E1" w:rsidRDefault="00DF62E1" w:rsidP="00DC3C3E">
      <w:pPr>
        <w:rPr>
          <w:b/>
          <w:bCs/>
        </w:rPr>
      </w:pPr>
    </w:p>
    <w:p w14:paraId="275C847C" w14:textId="77777777" w:rsidR="00DF62E1" w:rsidRDefault="00DF62E1" w:rsidP="00DC3C3E">
      <w:pPr>
        <w:rPr>
          <w:b/>
          <w:bCs/>
        </w:rPr>
      </w:pPr>
    </w:p>
    <w:p w14:paraId="4BE3CB3D" w14:textId="77777777" w:rsidR="00DF62E1" w:rsidRDefault="00DF62E1" w:rsidP="00DC3C3E">
      <w:pPr>
        <w:rPr>
          <w:b/>
          <w:bCs/>
        </w:rPr>
      </w:pPr>
    </w:p>
    <w:p w14:paraId="6DED555E" w14:textId="77777777" w:rsidR="00DF62E1" w:rsidRDefault="00DF62E1" w:rsidP="00DC3C3E">
      <w:pPr>
        <w:rPr>
          <w:b/>
          <w:bCs/>
        </w:rPr>
      </w:pPr>
    </w:p>
    <w:p w14:paraId="68ECA4DB" w14:textId="77777777" w:rsidR="00DF62E1" w:rsidRDefault="00DF62E1" w:rsidP="00DC3C3E">
      <w:pPr>
        <w:rPr>
          <w:b/>
          <w:bCs/>
        </w:rPr>
      </w:pPr>
    </w:p>
    <w:p w14:paraId="3A625F43" w14:textId="77777777" w:rsidR="00DF62E1" w:rsidRDefault="00DF62E1" w:rsidP="00DC3C3E">
      <w:pPr>
        <w:rPr>
          <w:b/>
          <w:bCs/>
        </w:rPr>
      </w:pPr>
    </w:p>
    <w:p w14:paraId="31347A88" w14:textId="77777777" w:rsidR="00DF62E1" w:rsidRDefault="00DF62E1" w:rsidP="00DC3C3E">
      <w:pPr>
        <w:rPr>
          <w:b/>
          <w:bCs/>
        </w:rPr>
      </w:pPr>
    </w:p>
    <w:p w14:paraId="4725AA1E" w14:textId="77777777" w:rsidR="00DF62E1" w:rsidRDefault="00DF62E1" w:rsidP="00DC3C3E">
      <w:pPr>
        <w:rPr>
          <w:b/>
          <w:bCs/>
        </w:rPr>
      </w:pPr>
    </w:p>
    <w:p w14:paraId="02A66CD7" w14:textId="77777777" w:rsidR="00DF62E1" w:rsidRDefault="00DF62E1" w:rsidP="00DC3C3E">
      <w:pPr>
        <w:rPr>
          <w:b/>
          <w:bCs/>
        </w:rPr>
      </w:pPr>
    </w:p>
    <w:p w14:paraId="29E5E604" w14:textId="77777777" w:rsidR="00DF62E1" w:rsidRDefault="00DF62E1" w:rsidP="00DC3C3E">
      <w:pPr>
        <w:rPr>
          <w:b/>
          <w:bCs/>
        </w:rPr>
      </w:pPr>
    </w:p>
    <w:p w14:paraId="23CA808E" w14:textId="77777777" w:rsidR="00DF62E1" w:rsidRDefault="00DF62E1" w:rsidP="00DC3C3E">
      <w:pPr>
        <w:rPr>
          <w:b/>
          <w:bCs/>
        </w:rPr>
      </w:pPr>
    </w:p>
    <w:p w14:paraId="203E3769" w14:textId="77777777" w:rsidR="00DF62E1" w:rsidRDefault="00DF62E1" w:rsidP="00DC3C3E">
      <w:pPr>
        <w:rPr>
          <w:b/>
          <w:bCs/>
        </w:rPr>
      </w:pPr>
    </w:p>
    <w:p w14:paraId="7A802CB7" w14:textId="77777777" w:rsidR="00DF62E1" w:rsidRDefault="00DF62E1" w:rsidP="00DC3C3E">
      <w:pPr>
        <w:rPr>
          <w:b/>
          <w:bCs/>
        </w:rPr>
      </w:pPr>
    </w:p>
    <w:p w14:paraId="1D3EC4D7" w14:textId="77777777" w:rsidR="00DF62E1" w:rsidRDefault="00DF62E1" w:rsidP="00DC3C3E">
      <w:pPr>
        <w:rPr>
          <w:b/>
          <w:bCs/>
        </w:rPr>
      </w:pPr>
    </w:p>
    <w:p w14:paraId="2F1E7F9F" w14:textId="77777777" w:rsidR="00DF62E1" w:rsidRDefault="00DF62E1" w:rsidP="00DC3C3E">
      <w:pPr>
        <w:rPr>
          <w:b/>
          <w:bCs/>
        </w:rPr>
      </w:pPr>
    </w:p>
    <w:p w14:paraId="292D7FE9" w14:textId="77777777" w:rsidR="00DF62E1" w:rsidRDefault="00DF62E1" w:rsidP="00DC3C3E">
      <w:pPr>
        <w:rPr>
          <w:b/>
          <w:bCs/>
        </w:rPr>
      </w:pPr>
    </w:p>
    <w:p w14:paraId="39F72C4E" w14:textId="77777777" w:rsidR="00DF62E1" w:rsidRDefault="00DF62E1" w:rsidP="00DC3C3E">
      <w:pPr>
        <w:rPr>
          <w:b/>
          <w:bCs/>
        </w:rPr>
      </w:pPr>
    </w:p>
    <w:p w14:paraId="6804B52B" w14:textId="77777777" w:rsidR="00DF62E1" w:rsidRDefault="00DF62E1" w:rsidP="00DC3C3E">
      <w:pPr>
        <w:rPr>
          <w:b/>
          <w:bCs/>
        </w:rPr>
      </w:pPr>
    </w:p>
    <w:p w14:paraId="7FD4EE2E" w14:textId="77777777" w:rsidR="00DF62E1" w:rsidRDefault="00DF62E1" w:rsidP="00DC3C3E">
      <w:pPr>
        <w:rPr>
          <w:b/>
          <w:bCs/>
        </w:rPr>
      </w:pPr>
    </w:p>
    <w:p w14:paraId="0985706A" w14:textId="77777777" w:rsidR="00DF62E1" w:rsidRDefault="00DF62E1" w:rsidP="00DC3C3E">
      <w:pPr>
        <w:rPr>
          <w:b/>
          <w:bCs/>
        </w:rPr>
      </w:pPr>
    </w:p>
    <w:p w14:paraId="42B428DD" w14:textId="77777777" w:rsidR="00DF62E1" w:rsidRDefault="00DF62E1" w:rsidP="00DC3C3E">
      <w:pPr>
        <w:rPr>
          <w:b/>
          <w:bCs/>
        </w:rPr>
      </w:pPr>
    </w:p>
    <w:p w14:paraId="0448978E" w14:textId="77777777" w:rsidR="00DF62E1" w:rsidRDefault="00DF62E1" w:rsidP="00DC3C3E">
      <w:pPr>
        <w:rPr>
          <w:b/>
          <w:bCs/>
        </w:rPr>
      </w:pPr>
    </w:p>
    <w:p w14:paraId="1DF52311" w14:textId="77777777" w:rsidR="00DF62E1" w:rsidRPr="00DC3C3E" w:rsidRDefault="00DF62E1" w:rsidP="00DC3C3E">
      <w:pPr>
        <w:rPr>
          <w:b/>
          <w:bCs/>
        </w:rPr>
      </w:pPr>
    </w:p>
    <w:p w14:paraId="12DAB229" w14:textId="77777777" w:rsidR="00DC3C3E" w:rsidRPr="00DC3C3E" w:rsidRDefault="00DC3C3E" w:rsidP="00DC3C3E">
      <w:pPr>
        <w:rPr>
          <w:b/>
          <w:bCs/>
        </w:rPr>
      </w:pPr>
      <w:r w:rsidRPr="00DC3C3E">
        <w:rPr>
          <w:b/>
          <w:bCs/>
        </w:rPr>
        <w:lastRenderedPageBreak/>
        <w:t>List of Tables</w:t>
      </w:r>
    </w:p>
    <w:p w14:paraId="6AF18AE9" w14:textId="77777777" w:rsidR="00DC3C3E" w:rsidRPr="00DC3C3E" w:rsidRDefault="00DC3C3E" w:rsidP="00DC3C3E">
      <w:r w:rsidRPr="00DC3C3E">
        <w:t>Table 1: Financial Summary of Toyota Industries Corporation (FY2021–FY2025)</w:t>
      </w:r>
    </w:p>
    <w:p w14:paraId="4F6AF971" w14:textId="77777777" w:rsidR="00DC3C3E" w:rsidRPr="00DC3C3E" w:rsidRDefault="00DC3C3E" w:rsidP="00DC3C3E">
      <w:r w:rsidRPr="00DC3C3E">
        <w:t>Table 2: Profitability Ratios (FY2021–FY2025)</w:t>
      </w:r>
    </w:p>
    <w:p w14:paraId="55F03400" w14:textId="25E881DF" w:rsidR="00DC3C3E" w:rsidRPr="00DC3C3E" w:rsidRDefault="00DC3C3E" w:rsidP="00DC3C3E">
      <w:r w:rsidRPr="00DC3C3E">
        <w:t>Table 3: Liquidity Ratios (FY2024 vs FY2025)</w:t>
      </w:r>
    </w:p>
    <w:p w14:paraId="7B07B691" w14:textId="279FC1E1" w:rsidR="00DC3C3E" w:rsidRPr="00DC3C3E" w:rsidRDefault="00DC3C3E" w:rsidP="00DC3C3E">
      <w:r w:rsidRPr="00DC3C3E">
        <w:t>Table 4: Gearing and Ratios (FY2024 vs FY2025)</w:t>
      </w:r>
    </w:p>
    <w:p w14:paraId="71F3DF52" w14:textId="77777777" w:rsidR="00DC3C3E" w:rsidRPr="00DC3C3E" w:rsidRDefault="00DC3C3E" w:rsidP="00DC3C3E">
      <w:r w:rsidRPr="00DC3C3E">
        <w:t>Table 5: Estimated Cash Operating Cycle (FY2024 vs FY2025)</w:t>
      </w:r>
    </w:p>
    <w:p w14:paraId="33CB365D" w14:textId="77777777" w:rsidR="00DC3C3E" w:rsidRPr="00DC3C3E" w:rsidRDefault="00DC3C3E" w:rsidP="00DC3C3E">
      <w:r w:rsidRPr="00DC3C3E">
        <w:t>Table 6: Comparative Summary of All Three Projects</w:t>
      </w:r>
    </w:p>
    <w:p w14:paraId="15F16514" w14:textId="77777777" w:rsidR="00DC3C3E" w:rsidRPr="00DC3C3E" w:rsidRDefault="00DC3C3E" w:rsidP="00DC3C3E">
      <w:r w:rsidRPr="00DC3C3E">
        <w:t>Table 7: Capital Rationing – Comparing Project Combinations</w:t>
      </w:r>
    </w:p>
    <w:p w14:paraId="68BF7B31" w14:textId="77777777" w:rsidR="00DC3C3E" w:rsidRPr="00DC3C3E" w:rsidRDefault="00DC3C3E" w:rsidP="00DC3C3E">
      <w:pPr>
        <w:rPr>
          <w:b/>
          <w:bCs/>
        </w:rPr>
      </w:pPr>
      <w:r w:rsidRPr="00DC3C3E">
        <w:rPr>
          <w:b/>
          <w:bCs/>
        </w:rPr>
        <w:t> </w:t>
      </w:r>
    </w:p>
    <w:p w14:paraId="14E5F938" w14:textId="77777777" w:rsidR="00DC3C3E" w:rsidRPr="00DC3C3E" w:rsidRDefault="00DC3C3E" w:rsidP="00DC3C3E">
      <w:pPr>
        <w:rPr>
          <w:b/>
          <w:bCs/>
        </w:rPr>
      </w:pPr>
      <w:r w:rsidRPr="00DC3C3E">
        <w:rPr>
          <w:b/>
          <w:bCs/>
        </w:rPr>
        <w:t>List of Figures</w:t>
      </w:r>
    </w:p>
    <w:p w14:paraId="55969AD5" w14:textId="77777777" w:rsidR="00DC3C3E" w:rsidRPr="00DC3C3E" w:rsidRDefault="00DC3C3E" w:rsidP="00DC3C3E">
      <w:r w:rsidRPr="00DC3C3E">
        <w:t>Figure 1: Net Sales Trend (FY2021–FY2025)</w:t>
      </w:r>
    </w:p>
    <w:p w14:paraId="0DBEADC8" w14:textId="77777777" w:rsidR="00DC3C3E" w:rsidRPr="00DC3C3E" w:rsidRDefault="00DC3C3E" w:rsidP="00DC3C3E">
      <w:r w:rsidRPr="00DC3C3E">
        <w:t>Figure 2: Profitability Ratios Trend Chart</w:t>
      </w:r>
    </w:p>
    <w:p w14:paraId="671D814F" w14:textId="77777777" w:rsidR="00DC3C3E" w:rsidRPr="00DC3C3E" w:rsidRDefault="00DC3C3E" w:rsidP="00DC3C3E">
      <w:r w:rsidRPr="00DC3C3E">
        <w:t>Figure 3: Segment Revenue Breakdown (FY2025)</w:t>
      </w:r>
    </w:p>
    <w:p w14:paraId="71F6A19E" w14:textId="77777777" w:rsidR="00DC3C3E" w:rsidRPr="00DC3C3E" w:rsidRDefault="00DC3C3E" w:rsidP="00DC3C3E">
      <w:r w:rsidRPr="00DC3C3E">
        <w:t>Figure 4: Cash Flow Comparison (FY2024 vs FY2025)</w:t>
      </w:r>
    </w:p>
    <w:p w14:paraId="1C8863BB" w14:textId="1DA31626" w:rsidR="00DC3C3E" w:rsidRPr="00DC3C3E" w:rsidRDefault="00DC3C3E" w:rsidP="00DC3C3E">
      <w:r w:rsidRPr="00DC3C3E">
        <w:t>Figure 5: NPV Comparison of Projects A, B, and C</w:t>
      </w:r>
    </w:p>
    <w:p w14:paraId="43398561" w14:textId="77777777" w:rsidR="00DC3C3E" w:rsidRDefault="00DC3C3E" w:rsidP="00DC3C3E">
      <w:pPr>
        <w:rPr>
          <w:b/>
          <w:bCs/>
        </w:rPr>
      </w:pPr>
    </w:p>
    <w:p w14:paraId="7E010117" w14:textId="77777777" w:rsidR="00DC3C3E" w:rsidRDefault="00DC3C3E" w:rsidP="00DC3C3E">
      <w:pPr>
        <w:rPr>
          <w:b/>
          <w:bCs/>
        </w:rPr>
      </w:pPr>
    </w:p>
    <w:p w14:paraId="4D0CED01" w14:textId="77777777" w:rsidR="00DC3C3E" w:rsidRDefault="00DC3C3E" w:rsidP="00DC3C3E">
      <w:pPr>
        <w:rPr>
          <w:b/>
          <w:bCs/>
        </w:rPr>
      </w:pPr>
    </w:p>
    <w:p w14:paraId="3C793435" w14:textId="77777777" w:rsidR="00DC3C3E" w:rsidRDefault="00DC3C3E" w:rsidP="00DC3C3E">
      <w:pPr>
        <w:rPr>
          <w:b/>
          <w:bCs/>
        </w:rPr>
      </w:pPr>
    </w:p>
    <w:p w14:paraId="79B59BE0" w14:textId="77777777" w:rsidR="00DC3C3E" w:rsidRDefault="00DC3C3E" w:rsidP="00722D70">
      <w:pPr>
        <w:rPr>
          <w:b/>
          <w:bCs/>
        </w:rPr>
      </w:pPr>
    </w:p>
    <w:p w14:paraId="51E5E47E" w14:textId="77777777" w:rsidR="00DF62E1" w:rsidRDefault="00DF62E1" w:rsidP="00722D70">
      <w:pPr>
        <w:rPr>
          <w:b/>
          <w:bCs/>
        </w:rPr>
      </w:pPr>
    </w:p>
    <w:p w14:paraId="4F32C0D8" w14:textId="77777777" w:rsidR="00DF62E1" w:rsidRDefault="00DF62E1" w:rsidP="00722D70">
      <w:pPr>
        <w:rPr>
          <w:b/>
          <w:bCs/>
        </w:rPr>
      </w:pPr>
    </w:p>
    <w:p w14:paraId="1740C271" w14:textId="77777777" w:rsidR="00DF62E1" w:rsidRDefault="00DF62E1" w:rsidP="00722D70">
      <w:pPr>
        <w:rPr>
          <w:b/>
          <w:bCs/>
        </w:rPr>
      </w:pPr>
    </w:p>
    <w:p w14:paraId="2E13C9E6" w14:textId="77777777" w:rsidR="00DF62E1" w:rsidRDefault="00DF62E1" w:rsidP="00722D70">
      <w:pPr>
        <w:rPr>
          <w:b/>
          <w:bCs/>
        </w:rPr>
      </w:pPr>
    </w:p>
    <w:p w14:paraId="41D5ABA3" w14:textId="77777777" w:rsidR="00DF62E1" w:rsidRDefault="00DF62E1" w:rsidP="00722D70">
      <w:pPr>
        <w:rPr>
          <w:b/>
          <w:bCs/>
        </w:rPr>
      </w:pPr>
    </w:p>
    <w:p w14:paraId="07761E1F" w14:textId="77777777" w:rsidR="00DF62E1" w:rsidRDefault="00DF62E1" w:rsidP="00722D70">
      <w:pPr>
        <w:rPr>
          <w:b/>
          <w:bCs/>
        </w:rPr>
      </w:pPr>
    </w:p>
    <w:p w14:paraId="749AB3A4" w14:textId="77777777" w:rsidR="00DF62E1" w:rsidRDefault="00DF62E1" w:rsidP="00722D70">
      <w:pPr>
        <w:rPr>
          <w:b/>
          <w:bCs/>
        </w:rPr>
      </w:pPr>
    </w:p>
    <w:p w14:paraId="5AA88EC4" w14:textId="77777777" w:rsidR="00DF62E1" w:rsidRDefault="00DF62E1" w:rsidP="00722D70">
      <w:pPr>
        <w:rPr>
          <w:b/>
          <w:bCs/>
        </w:rPr>
      </w:pPr>
    </w:p>
    <w:p w14:paraId="28EE9154" w14:textId="3766B189" w:rsidR="00722D70" w:rsidRPr="00A10ABE" w:rsidRDefault="00722D70" w:rsidP="00722D70">
      <w:pPr>
        <w:rPr>
          <w:b/>
          <w:bCs/>
        </w:rPr>
      </w:pPr>
      <w:r w:rsidRPr="00A10ABE">
        <w:rPr>
          <w:b/>
          <w:bCs/>
        </w:rPr>
        <w:lastRenderedPageBreak/>
        <w:t>1. Introduction</w:t>
      </w:r>
    </w:p>
    <w:p w14:paraId="634A0946" w14:textId="77777777" w:rsidR="00722D70" w:rsidRDefault="00722D70" w:rsidP="00722D70"/>
    <w:p w14:paraId="2A52A064" w14:textId="2BCDD726" w:rsidR="00722D70" w:rsidRPr="00722D70" w:rsidRDefault="00722D70" w:rsidP="00722D70">
      <w:pPr>
        <w:rPr>
          <w:rFonts w:ascii="Times New Roman" w:hAnsi="Times New Roman" w:cs="Times New Roman"/>
        </w:rPr>
      </w:pPr>
      <w:r w:rsidRPr="00722D70">
        <w:rPr>
          <w:rFonts w:ascii="Times New Roman" w:hAnsi="Times New Roman" w:cs="Times New Roman"/>
        </w:rPr>
        <w:t xml:space="preserve">Financial strategy is essential to maintaining competitive advantage and guaranteeing long-term success in the modern global automotive sector. A thorough financial and strategic analysis of Toyota Motor Corporation during the previous five years is provided in this study. The goal of the Chief Financial Officer (CFO) position is to review Toyota's operational effectiveness, critically </w:t>
      </w:r>
      <w:r w:rsidR="00A10ABE" w:rsidRPr="00722D70">
        <w:rPr>
          <w:rFonts w:ascii="Times New Roman" w:hAnsi="Times New Roman" w:cs="Times New Roman"/>
        </w:rPr>
        <w:t>analyse</w:t>
      </w:r>
      <w:r w:rsidRPr="00722D70">
        <w:rPr>
          <w:rFonts w:ascii="Times New Roman" w:hAnsi="Times New Roman" w:cs="Times New Roman"/>
        </w:rPr>
        <w:t xml:space="preserve"> its financial performance, and suggest ways to increase shareholder value.</w:t>
      </w:r>
    </w:p>
    <w:p w14:paraId="3EDFEDA0" w14:textId="191F80D8" w:rsidR="00722D70" w:rsidRDefault="00A10ABE" w:rsidP="00722D70">
      <w:r w:rsidRPr="00A10ABE">
        <w:t>Toyota is one of the world’s largest automotive manufacturers, recognised for its innovation, reliability, and operational excellence through the Toyota Production System (TPS). While the company has historically led in hybrid vehicle technology, the global shift toward fully electric vehicles (EVs) presents new strategic and financial challenges.</w:t>
      </w:r>
      <w:r w:rsidR="000560CB">
        <w:t xml:space="preserve"> </w:t>
      </w:r>
      <w:r w:rsidR="000560CB" w:rsidRPr="000560CB">
        <w:t>Toyota’s profitability improved significantly after FY2023 due to operational efficiency gains (Toyota Motor Corporation, 2025).</w:t>
      </w:r>
    </w:p>
    <w:p w14:paraId="72246C19" w14:textId="3CA5E3B1" w:rsidR="00722D70" w:rsidRDefault="00A10ABE" w:rsidP="00722D70">
      <w:r w:rsidRPr="00A10ABE">
        <w:t>This document is organized into four main sections: analysis of financial health, management of working capital, strategic restructuring of finances, and assessment of investments. Techniques for capital budgeting are utilized to assess prospective investment choices, guaranteeing they align with long-term financial goals.</w:t>
      </w:r>
    </w:p>
    <w:p w14:paraId="3DB220A5" w14:textId="77777777" w:rsidR="00FC79E2" w:rsidRDefault="00FC79E2" w:rsidP="00722D70"/>
    <w:p w14:paraId="5C2FE792" w14:textId="77777777" w:rsidR="00FC79E2" w:rsidRDefault="00FC79E2" w:rsidP="00722D70"/>
    <w:p w14:paraId="39415B5F" w14:textId="77777777" w:rsidR="00FC79E2" w:rsidRDefault="00FC79E2" w:rsidP="00722D70"/>
    <w:p w14:paraId="13E571A9" w14:textId="77777777" w:rsidR="00FC79E2" w:rsidRDefault="00FC79E2" w:rsidP="00722D70"/>
    <w:p w14:paraId="72EA7BD9" w14:textId="77777777" w:rsidR="00FC79E2" w:rsidRDefault="00FC79E2" w:rsidP="00722D70"/>
    <w:p w14:paraId="57AF557B" w14:textId="77777777" w:rsidR="00FC79E2" w:rsidRDefault="00FC79E2" w:rsidP="00722D70"/>
    <w:p w14:paraId="52B50787" w14:textId="77777777" w:rsidR="00FC79E2" w:rsidRDefault="00FC79E2" w:rsidP="00722D70"/>
    <w:p w14:paraId="2FD16341" w14:textId="77777777" w:rsidR="00FC79E2" w:rsidRDefault="00FC79E2" w:rsidP="00722D70"/>
    <w:p w14:paraId="4BCA8359" w14:textId="77777777" w:rsidR="00FC79E2" w:rsidRDefault="00FC79E2" w:rsidP="00722D70"/>
    <w:p w14:paraId="163B4E02" w14:textId="77777777" w:rsidR="00FC79E2" w:rsidRDefault="00FC79E2" w:rsidP="00722D70"/>
    <w:p w14:paraId="4C3317B8" w14:textId="77777777" w:rsidR="00FC79E2" w:rsidRDefault="00FC79E2" w:rsidP="00722D70"/>
    <w:p w14:paraId="2BCE6F14" w14:textId="77777777" w:rsidR="00FC79E2" w:rsidRDefault="00FC79E2" w:rsidP="00722D70"/>
    <w:p w14:paraId="65D7B316" w14:textId="77777777" w:rsidR="00FC79E2" w:rsidRDefault="00FC79E2" w:rsidP="00722D70"/>
    <w:p w14:paraId="1A1861D9" w14:textId="77777777" w:rsidR="00FC79E2" w:rsidRDefault="00FC79E2" w:rsidP="00722D70"/>
    <w:p w14:paraId="517B4E79" w14:textId="77777777" w:rsidR="00DF62E1" w:rsidRDefault="00DF62E1" w:rsidP="00722D70"/>
    <w:p w14:paraId="1034BFBB" w14:textId="729553FA" w:rsidR="00FC79E2" w:rsidRDefault="00FC79E2" w:rsidP="00722D70">
      <w:pPr>
        <w:rPr>
          <w:b/>
          <w:bCs/>
        </w:rPr>
      </w:pPr>
      <w:r w:rsidRPr="00FC79E2">
        <w:rPr>
          <w:b/>
          <w:bCs/>
        </w:rPr>
        <w:t>2. Financial Health Check</w:t>
      </w:r>
    </w:p>
    <w:p w14:paraId="5C683CFF" w14:textId="77777777" w:rsidR="00DF62E1" w:rsidRDefault="00DF62E1" w:rsidP="00722D70">
      <w:pPr>
        <w:rPr>
          <w:b/>
          <w:bCs/>
        </w:rPr>
      </w:pPr>
    </w:p>
    <w:p w14:paraId="55F72831" w14:textId="48657B37" w:rsidR="00DF62E1" w:rsidRPr="00DF62E1" w:rsidRDefault="00436B9D" w:rsidP="00DF62E1">
      <w:r w:rsidRPr="00DF62E1">
        <w:t>Analysing</w:t>
      </w:r>
      <w:r w:rsidR="00DF62E1" w:rsidRPr="00DF62E1">
        <w:t xml:space="preserve"> financial statements over several years offers an in-depth insight into a firm's growth, stability, and overall financial wellbeing. Toyota Motor Corporation's financial results over five years, from FY2021 to FY2025, showcase its capability to adjust to evolving market dynamics, tackle obstacles, and sustain its status as a worldwide leader in the automotive sector. Toyota's earnings demonstrate a steady increase throughout the five-year span. Beginning in FY2021, revenue consistently rose annually, with especially significant growth noted in FY2024 and FY2025. This expansion can be linked to heightened worldwide demand, enhanced product variety, and pricing tactics. The firm’s capacity to grow its sales amid global economic uncertainties demonstrates its robust market presence and brand strength.</w:t>
      </w:r>
    </w:p>
    <w:p w14:paraId="05CDCF00" w14:textId="77777777" w:rsidR="00DF62E1" w:rsidRPr="00DF62E1" w:rsidRDefault="00DF62E1" w:rsidP="00DF62E1">
      <w:pPr>
        <w:rPr>
          <w:b/>
          <w:bCs/>
        </w:rPr>
      </w:pPr>
    </w:p>
    <w:p w14:paraId="4029457B" w14:textId="4B32C21C" w:rsidR="00DF62E1" w:rsidRPr="00DF62E1" w:rsidRDefault="00DF62E1" w:rsidP="00DF62E1">
      <w:r w:rsidRPr="00DF62E1">
        <w:t>Regarding profitability, Toyota saw moderate increases in FY2021 and FY2022, followed by a small decrease in FY2023. This decrease could be associated with external influences like interruptions in the supply chain, increasing costs of raw materials, and worldwide economic forces. Nonetheless, the company showed a robust rebound in FY2024, featuring a notable rise in both operating profit and net profit. This growth trajectory persisted into FY2025, reflecting better cost control and operational effectiveness. Toyota’s overall assets rose consistently during the five-year span, indicating growth in its operations and investment efforts. The increase in assets shows that the company is consistently investing in its production capabilities, technology, and worldwide infrastructure. A solid asset foundation boosts the organization's capacity to produce future income and maintain long-term expansion.</w:t>
      </w:r>
    </w:p>
    <w:p w14:paraId="4569B564" w14:textId="230147EB" w:rsidR="009A5310" w:rsidRDefault="00DF62E1" w:rsidP="009A5310">
      <w:r w:rsidRPr="00DF62E1">
        <w:t xml:space="preserve">Operating cash flow stayed robust during the period, showing a significant rise in FY2024 and FY2025. The firm’s capacity to produce steady cash flow from its main activities reflects financial robustness and operational reliability. Robust cash flow also offers Toyota the ability to finance investments, settle debt, and pay dividends to stockholders. </w:t>
      </w:r>
      <w:r>
        <w:t>D</w:t>
      </w:r>
      <w:r w:rsidRPr="00DF62E1">
        <w:t xml:space="preserve">espite facing challenges in FY2023, the company’s quick recovery highlights its resilience and </w:t>
      </w:r>
      <w:r w:rsidRPr="00DF62E1">
        <w:t>effective</w:t>
      </w:r>
      <w:r w:rsidRPr="00EB2D09">
        <w:t xml:space="preserve"> </w:t>
      </w:r>
      <w:proofErr w:type="gramStart"/>
      <w:r w:rsidRPr="00EB2D09">
        <w:t>Financial</w:t>
      </w:r>
      <w:proofErr w:type="gramEnd"/>
      <w:r w:rsidR="00EB2D09" w:rsidRPr="00EB2D09">
        <w:t xml:space="preserve"> ratio interpretation is essential for evaluating corporate performance trends (Investopedia, 2025).</w:t>
      </w:r>
    </w:p>
    <w:p w14:paraId="58AFB8E1" w14:textId="673D5114" w:rsidR="006150A3" w:rsidRDefault="000E34A2" w:rsidP="009A5310">
      <w:r w:rsidRPr="000E34A2">
        <w:t xml:space="preserve">The five-year financial assessment of Toyota Motor Corporation shows an organization that is both robust and focused on growth. Despite external challenges affecting performance in FY2023, the robust recovery in following years illustrates Toyota's capacity to adapt and enhance. With growing revenues, expanding profitability, and </w:t>
      </w:r>
      <w:r w:rsidRPr="000E34A2">
        <w:lastRenderedPageBreak/>
        <w:t>robust cash flow production, the company is primed for enduring long-term achievement</w:t>
      </w:r>
    </w:p>
    <w:p w14:paraId="0DB8B285" w14:textId="405BD9C2" w:rsidR="006150A3" w:rsidRDefault="006150A3" w:rsidP="006150A3">
      <w:pPr>
        <w:jc w:val="center"/>
      </w:pPr>
      <w:r>
        <w:rPr>
          <w:noProof/>
        </w:rPr>
        <w:drawing>
          <wp:inline distT="0" distB="0" distL="0" distR="0" wp14:anchorId="1EBDC8F6" wp14:editId="21C14FD8">
            <wp:extent cx="3609931" cy="5010150"/>
            <wp:effectExtent l="0" t="0" r="0" b="0"/>
            <wp:docPr id="1251879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879446" name="Picture 1251879446"/>
                    <pic:cNvPicPr/>
                  </pic:nvPicPr>
                  <pic:blipFill>
                    <a:blip r:embed="rId6">
                      <a:extLst>
                        <a:ext uri="{28A0092B-C50C-407E-A947-70E740481C1C}">
                          <a14:useLocalDpi xmlns:a14="http://schemas.microsoft.com/office/drawing/2010/main" val="0"/>
                        </a:ext>
                      </a:extLst>
                    </a:blip>
                    <a:stretch>
                      <a:fillRect/>
                    </a:stretch>
                  </pic:blipFill>
                  <pic:spPr>
                    <a:xfrm>
                      <a:off x="0" y="0"/>
                      <a:ext cx="3620099" cy="5024261"/>
                    </a:xfrm>
                    <a:prstGeom prst="rect">
                      <a:avLst/>
                    </a:prstGeom>
                  </pic:spPr>
                </pic:pic>
              </a:graphicData>
            </a:graphic>
          </wp:inline>
        </w:drawing>
      </w:r>
    </w:p>
    <w:p w14:paraId="36BA1CFB" w14:textId="6043F994" w:rsidR="009058B4" w:rsidRDefault="009058B4" w:rsidP="009A5310"/>
    <w:p w14:paraId="7236E471" w14:textId="2795C5C9" w:rsidR="009058B4" w:rsidRPr="009058B4" w:rsidRDefault="00663406" w:rsidP="009058B4">
      <w:pPr>
        <w:rPr>
          <w:b/>
          <w:bCs/>
          <w:lang w:val="en-US"/>
        </w:rPr>
      </w:pPr>
      <w:r>
        <w:rPr>
          <w:b/>
          <w:bCs/>
          <w:lang w:val="en-US"/>
        </w:rPr>
        <w:t xml:space="preserve">Table 1 - </w:t>
      </w:r>
      <w:r w:rsidR="009058B4" w:rsidRPr="009058B4">
        <w:rPr>
          <w:b/>
          <w:bCs/>
          <w:lang w:val="en-US"/>
        </w:rPr>
        <w:t>Toyota Motor Corporation – 5-Year Financial Summary (¥ Billion)</w:t>
      </w:r>
    </w:p>
    <w:p w14:paraId="3EE6CA99" w14:textId="77777777" w:rsidR="009058B4" w:rsidRPr="009058B4" w:rsidRDefault="009058B4" w:rsidP="009058B4">
      <w:pPr>
        <w:rPr>
          <w:lang w:val="en-US"/>
        </w:rPr>
      </w:pPr>
      <w:r w:rsidRPr="009058B4">
        <w:rPr>
          <w:lang w:val="en-US"/>
        </w:rPr>
        <w:t>Note: FY2025 figures are provisional ranges based on latest available estimates, as final audited annual report values are not explicitly provided in the dataset.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4"/>
        <w:gridCol w:w="1234"/>
        <w:gridCol w:w="1291"/>
        <w:gridCol w:w="1234"/>
        <w:gridCol w:w="1234"/>
        <w:gridCol w:w="1291"/>
        <w:gridCol w:w="1234"/>
      </w:tblGrid>
      <w:tr w:rsidR="009058B4" w:rsidRPr="009058B4" w14:paraId="12DC1BAC" w14:textId="77777777" w:rsidTr="009058B4">
        <w:tc>
          <w:tcPr>
            <w:tcW w:w="1234" w:type="dxa"/>
            <w:hideMark/>
          </w:tcPr>
          <w:p w14:paraId="36F719B0" w14:textId="77777777" w:rsidR="009058B4" w:rsidRPr="009058B4" w:rsidRDefault="009058B4" w:rsidP="009058B4">
            <w:pPr>
              <w:rPr>
                <w:b/>
                <w:bCs/>
                <w:lang w:val="en-US"/>
              </w:rPr>
            </w:pPr>
            <w:r w:rsidRPr="009058B4">
              <w:rPr>
                <w:b/>
                <w:bCs/>
                <w:lang w:val="en-US"/>
              </w:rPr>
              <w:t>Fiscal Year</w:t>
            </w:r>
          </w:p>
        </w:tc>
        <w:tc>
          <w:tcPr>
            <w:tcW w:w="1234" w:type="dxa"/>
            <w:hideMark/>
          </w:tcPr>
          <w:p w14:paraId="40A14111" w14:textId="77777777" w:rsidR="009058B4" w:rsidRPr="009058B4" w:rsidRDefault="009058B4" w:rsidP="009058B4">
            <w:pPr>
              <w:rPr>
                <w:b/>
                <w:bCs/>
                <w:lang w:val="en-US"/>
              </w:rPr>
            </w:pPr>
            <w:r w:rsidRPr="009058B4">
              <w:rPr>
                <w:b/>
                <w:bCs/>
                <w:lang w:val="en-US"/>
              </w:rPr>
              <w:t>Revenue (¥ bn)</w:t>
            </w:r>
          </w:p>
        </w:tc>
        <w:tc>
          <w:tcPr>
            <w:tcW w:w="1234" w:type="dxa"/>
            <w:hideMark/>
          </w:tcPr>
          <w:p w14:paraId="0549F1A3" w14:textId="77777777" w:rsidR="009058B4" w:rsidRPr="009058B4" w:rsidRDefault="009058B4" w:rsidP="009058B4">
            <w:pPr>
              <w:rPr>
                <w:b/>
                <w:bCs/>
                <w:lang w:val="en-US"/>
              </w:rPr>
            </w:pPr>
            <w:r w:rsidRPr="009058B4">
              <w:rPr>
                <w:b/>
                <w:bCs/>
                <w:lang w:val="en-US"/>
              </w:rPr>
              <w:t>Operating Income (¥ bn)</w:t>
            </w:r>
          </w:p>
        </w:tc>
        <w:tc>
          <w:tcPr>
            <w:tcW w:w="1234" w:type="dxa"/>
            <w:hideMark/>
          </w:tcPr>
          <w:p w14:paraId="00C7A022" w14:textId="77777777" w:rsidR="009058B4" w:rsidRPr="009058B4" w:rsidRDefault="009058B4" w:rsidP="009058B4">
            <w:pPr>
              <w:rPr>
                <w:b/>
                <w:bCs/>
                <w:lang w:val="en-US"/>
              </w:rPr>
            </w:pPr>
            <w:r w:rsidRPr="009058B4">
              <w:rPr>
                <w:b/>
                <w:bCs/>
                <w:lang w:val="en-US"/>
              </w:rPr>
              <w:t>Net Income (¥ bn)</w:t>
            </w:r>
          </w:p>
        </w:tc>
        <w:tc>
          <w:tcPr>
            <w:tcW w:w="1234" w:type="dxa"/>
            <w:hideMark/>
          </w:tcPr>
          <w:p w14:paraId="0556E862" w14:textId="77777777" w:rsidR="009058B4" w:rsidRPr="009058B4" w:rsidRDefault="009058B4" w:rsidP="009058B4">
            <w:pPr>
              <w:rPr>
                <w:b/>
                <w:bCs/>
                <w:lang w:val="en-US"/>
              </w:rPr>
            </w:pPr>
            <w:r w:rsidRPr="009058B4">
              <w:rPr>
                <w:b/>
                <w:bCs/>
                <w:lang w:val="en-US"/>
              </w:rPr>
              <w:t>Total Assets (¥ bn)</w:t>
            </w:r>
          </w:p>
        </w:tc>
        <w:tc>
          <w:tcPr>
            <w:tcW w:w="1234" w:type="dxa"/>
            <w:hideMark/>
          </w:tcPr>
          <w:p w14:paraId="721DBBA3" w14:textId="77777777" w:rsidR="009058B4" w:rsidRPr="009058B4" w:rsidRDefault="009058B4" w:rsidP="009058B4">
            <w:pPr>
              <w:rPr>
                <w:b/>
                <w:bCs/>
                <w:lang w:val="en-US"/>
              </w:rPr>
            </w:pPr>
            <w:r w:rsidRPr="009058B4">
              <w:rPr>
                <w:b/>
                <w:bCs/>
                <w:lang w:val="en-US"/>
              </w:rPr>
              <w:t>Operating Cash Flow (¥ bn)</w:t>
            </w:r>
          </w:p>
        </w:tc>
        <w:tc>
          <w:tcPr>
            <w:tcW w:w="1234" w:type="dxa"/>
            <w:hideMark/>
          </w:tcPr>
          <w:p w14:paraId="79B43EDA" w14:textId="77777777" w:rsidR="009058B4" w:rsidRPr="009058B4" w:rsidRDefault="009058B4" w:rsidP="009058B4">
            <w:pPr>
              <w:rPr>
                <w:b/>
                <w:bCs/>
                <w:lang w:val="en-US"/>
              </w:rPr>
            </w:pPr>
            <w:r w:rsidRPr="009058B4">
              <w:rPr>
                <w:b/>
                <w:bCs/>
                <w:lang w:val="en-US"/>
              </w:rPr>
              <w:t>EPS (¥)</w:t>
            </w:r>
          </w:p>
        </w:tc>
      </w:tr>
      <w:tr w:rsidR="009058B4" w:rsidRPr="009058B4" w14:paraId="5315E188" w14:textId="77777777" w:rsidTr="009058B4">
        <w:tc>
          <w:tcPr>
            <w:tcW w:w="1234" w:type="dxa"/>
            <w:hideMark/>
          </w:tcPr>
          <w:p w14:paraId="211E4D4F" w14:textId="77777777" w:rsidR="009058B4" w:rsidRPr="009058B4" w:rsidRDefault="009058B4" w:rsidP="009058B4">
            <w:pPr>
              <w:rPr>
                <w:lang w:val="en-US"/>
              </w:rPr>
            </w:pPr>
            <w:r w:rsidRPr="009058B4">
              <w:rPr>
                <w:lang w:val="en-US"/>
              </w:rPr>
              <w:t>FY2021</w:t>
            </w:r>
          </w:p>
        </w:tc>
        <w:tc>
          <w:tcPr>
            <w:tcW w:w="1234" w:type="dxa"/>
            <w:hideMark/>
          </w:tcPr>
          <w:p w14:paraId="22888F8A" w14:textId="77777777" w:rsidR="009058B4" w:rsidRPr="009058B4" w:rsidRDefault="009058B4" w:rsidP="009058B4">
            <w:pPr>
              <w:rPr>
                <w:lang w:val="en-US"/>
              </w:rPr>
            </w:pPr>
            <w:r w:rsidRPr="009058B4">
              <w:rPr>
                <w:lang w:val="en-US"/>
              </w:rPr>
              <w:t>27,210</w:t>
            </w:r>
          </w:p>
        </w:tc>
        <w:tc>
          <w:tcPr>
            <w:tcW w:w="1234" w:type="dxa"/>
            <w:hideMark/>
          </w:tcPr>
          <w:p w14:paraId="6BF771AE" w14:textId="77777777" w:rsidR="009058B4" w:rsidRPr="009058B4" w:rsidRDefault="009058B4" w:rsidP="009058B4">
            <w:pPr>
              <w:rPr>
                <w:lang w:val="en-US"/>
              </w:rPr>
            </w:pPr>
            <w:r w:rsidRPr="009058B4">
              <w:rPr>
                <w:lang w:val="en-US"/>
              </w:rPr>
              <w:t>2,200</w:t>
            </w:r>
          </w:p>
        </w:tc>
        <w:tc>
          <w:tcPr>
            <w:tcW w:w="1234" w:type="dxa"/>
            <w:hideMark/>
          </w:tcPr>
          <w:p w14:paraId="0ED1042B" w14:textId="77777777" w:rsidR="009058B4" w:rsidRPr="009058B4" w:rsidRDefault="009058B4" w:rsidP="009058B4">
            <w:pPr>
              <w:rPr>
                <w:lang w:val="en-US"/>
              </w:rPr>
            </w:pPr>
            <w:r w:rsidRPr="009058B4">
              <w:rPr>
                <w:lang w:val="en-US"/>
              </w:rPr>
              <w:t>2,280</w:t>
            </w:r>
          </w:p>
        </w:tc>
        <w:tc>
          <w:tcPr>
            <w:tcW w:w="1234" w:type="dxa"/>
            <w:hideMark/>
          </w:tcPr>
          <w:p w14:paraId="0399A517" w14:textId="77777777" w:rsidR="009058B4" w:rsidRPr="009058B4" w:rsidRDefault="009058B4" w:rsidP="009058B4">
            <w:pPr>
              <w:rPr>
                <w:lang w:val="en-US"/>
              </w:rPr>
            </w:pPr>
            <w:r w:rsidRPr="009058B4">
              <w:rPr>
                <w:lang w:val="en-US"/>
              </w:rPr>
              <w:t>62,270</w:t>
            </w:r>
          </w:p>
        </w:tc>
        <w:tc>
          <w:tcPr>
            <w:tcW w:w="1234" w:type="dxa"/>
            <w:hideMark/>
          </w:tcPr>
          <w:p w14:paraId="385F1110" w14:textId="77777777" w:rsidR="009058B4" w:rsidRPr="009058B4" w:rsidRDefault="009058B4" w:rsidP="009058B4">
            <w:pPr>
              <w:rPr>
                <w:lang w:val="en-US"/>
              </w:rPr>
            </w:pPr>
            <w:r w:rsidRPr="009058B4">
              <w:rPr>
                <w:lang w:val="en-US"/>
              </w:rPr>
              <w:t>3,390</w:t>
            </w:r>
          </w:p>
        </w:tc>
        <w:tc>
          <w:tcPr>
            <w:tcW w:w="1234" w:type="dxa"/>
            <w:hideMark/>
          </w:tcPr>
          <w:p w14:paraId="321E6503" w14:textId="77777777" w:rsidR="009058B4" w:rsidRPr="009058B4" w:rsidRDefault="009058B4" w:rsidP="009058B4">
            <w:pPr>
              <w:rPr>
                <w:lang w:val="en-US"/>
              </w:rPr>
            </w:pPr>
            <w:r w:rsidRPr="009058B4">
              <w:rPr>
                <w:lang w:val="en-US"/>
              </w:rPr>
              <w:t>440</w:t>
            </w:r>
          </w:p>
        </w:tc>
      </w:tr>
      <w:tr w:rsidR="009058B4" w:rsidRPr="009058B4" w14:paraId="48C88A06" w14:textId="77777777" w:rsidTr="009058B4">
        <w:tc>
          <w:tcPr>
            <w:tcW w:w="1234" w:type="dxa"/>
            <w:hideMark/>
          </w:tcPr>
          <w:p w14:paraId="0979F627" w14:textId="77777777" w:rsidR="009058B4" w:rsidRPr="009058B4" w:rsidRDefault="009058B4" w:rsidP="009058B4">
            <w:pPr>
              <w:rPr>
                <w:lang w:val="en-US"/>
              </w:rPr>
            </w:pPr>
            <w:r w:rsidRPr="009058B4">
              <w:rPr>
                <w:lang w:val="en-US"/>
              </w:rPr>
              <w:t>FY2022</w:t>
            </w:r>
          </w:p>
        </w:tc>
        <w:tc>
          <w:tcPr>
            <w:tcW w:w="1234" w:type="dxa"/>
            <w:hideMark/>
          </w:tcPr>
          <w:p w14:paraId="26E4DE2E" w14:textId="77777777" w:rsidR="009058B4" w:rsidRPr="009058B4" w:rsidRDefault="009058B4" w:rsidP="009058B4">
            <w:pPr>
              <w:rPr>
                <w:lang w:val="en-US"/>
              </w:rPr>
            </w:pPr>
            <w:r w:rsidRPr="009058B4">
              <w:rPr>
                <w:lang w:val="en-US"/>
              </w:rPr>
              <w:t>31,380</w:t>
            </w:r>
          </w:p>
        </w:tc>
        <w:tc>
          <w:tcPr>
            <w:tcW w:w="1234" w:type="dxa"/>
            <w:hideMark/>
          </w:tcPr>
          <w:p w14:paraId="352C6467" w14:textId="77777777" w:rsidR="009058B4" w:rsidRPr="009058B4" w:rsidRDefault="009058B4" w:rsidP="009058B4">
            <w:pPr>
              <w:rPr>
                <w:lang w:val="en-US"/>
              </w:rPr>
            </w:pPr>
            <w:r w:rsidRPr="009058B4">
              <w:rPr>
                <w:lang w:val="en-US"/>
              </w:rPr>
              <w:t>2,990</w:t>
            </w:r>
          </w:p>
        </w:tc>
        <w:tc>
          <w:tcPr>
            <w:tcW w:w="1234" w:type="dxa"/>
            <w:hideMark/>
          </w:tcPr>
          <w:p w14:paraId="03148728" w14:textId="77777777" w:rsidR="009058B4" w:rsidRPr="009058B4" w:rsidRDefault="009058B4" w:rsidP="009058B4">
            <w:pPr>
              <w:rPr>
                <w:lang w:val="en-US"/>
              </w:rPr>
            </w:pPr>
            <w:r w:rsidRPr="009058B4">
              <w:rPr>
                <w:lang w:val="en-US"/>
              </w:rPr>
              <w:t>2,850</w:t>
            </w:r>
          </w:p>
        </w:tc>
        <w:tc>
          <w:tcPr>
            <w:tcW w:w="1234" w:type="dxa"/>
            <w:hideMark/>
          </w:tcPr>
          <w:p w14:paraId="4591C4CD" w14:textId="77777777" w:rsidR="009058B4" w:rsidRPr="009058B4" w:rsidRDefault="009058B4" w:rsidP="009058B4">
            <w:pPr>
              <w:rPr>
                <w:lang w:val="en-US"/>
              </w:rPr>
            </w:pPr>
            <w:r w:rsidRPr="009058B4">
              <w:rPr>
                <w:lang w:val="en-US"/>
              </w:rPr>
              <w:t>67,050</w:t>
            </w:r>
          </w:p>
        </w:tc>
        <w:tc>
          <w:tcPr>
            <w:tcW w:w="1234" w:type="dxa"/>
            <w:hideMark/>
          </w:tcPr>
          <w:p w14:paraId="0437B9F4" w14:textId="77777777" w:rsidR="009058B4" w:rsidRPr="009058B4" w:rsidRDefault="009058B4" w:rsidP="009058B4">
            <w:pPr>
              <w:rPr>
                <w:lang w:val="en-US"/>
              </w:rPr>
            </w:pPr>
            <w:r w:rsidRPr="009058B4">
              <w:rPr>
                <w:lang w:val="en-US"/>
              </w:rPr>
              <w:t>4,410</w:t>
            </w:r>
          </w:p>
        </w:tc>
        <w:tc>
          <w:tcPr>
            <w:tcW w:w="1234" w:type="dxa"/>
            <w:hideMark/>
          </w:tcPr>
          <w:p w14:paraId="68E58913" w14:textId="77777777" w:rsidR="009058B4" w:rsidRPr="009058B4" w:rsidRDefault="009058B4" w:rsidP="009058B4">
            <w:pPr>
              <w:rPr>
                <w:lang w:val="en-US"/>
              </w:rPr>
            </w:pPr>
            <w:r w:rsidRPr="009058B4">
              <w:rPr>
                <w:lang w:val="en-US"/>
              </w:rPr>
              <w:t>750</w:t>
            </w:r>
          </w:p>
        </w:tc>
      </w:tr>
      <w:tr w:rsidR="009058B4" w:rsidRPr="009058B4" w14:paraId="34BF6996" w14:textId="77777777" w:rsidTr="009058B4">
        <w:tc>
          <w:tcPr>
            <w:tcW w:w="1234" w:type="dxa"/>
            <w:hideMark/>
          </w:tcPr>
          <w:p w14:paraId="5063E624" w14:textId="77777777" w:rsidR="009058B4" w:rsidRPr="009058B4" w:rsidRDefault="009058B4" w:rsidP="009058B4">
            <w:pPr>
              <w:rPr>
                <w:lang w:val="en-US"/>
              </w:rPr>
            </w:pPr>
            <w:r w:rsidRPr="009058B4">
              <w:rPr>
                <w:lang w:val="en-US"/>
              </w:rPr>
              <w:t>FY2023</w:t>
            </w:r>
          </w:p>
        </w:tc>
        <w:tc>
          <w:tcPr>
            <w:tcW w:w="1234" w:type="dxa"/>
            <w:hideMark/>
          </w:tcPr>
          <w:p w14:paraId="2380C461" w14:textId="77777777" w:rsidR="009058B4" w:rsidRPr="009058B4" w:rsidRDefault="009058B4" w:rsidP="009058B4">
            <w:pPr>
              <w:rPr>
                <w:lang w:val="en-US"/>
              </w:rPr>
            </w:pPr>
            <w:r w:rsidRPr="009058B4">
              <w:rPr>
                <w:lang w:val="en-US"/>
              </w:rPr>
              <w:t>37,150</w:t>
            </w:r>
          </w:p>
        </w:tc>
        <w:tc>
          <w:tcPr>
            <w:tcW w:w="1234" w:type="dxa"/>
            <w:hideMark/>
          </w:tcPr>
          <w:p w14:paraId="1DFA73CA" w14:textId="77777777" w:rsidR="009058B4" w:rsidRPr="009058B4" w:rsidRDefault="009058B4" w:rsidP="009058B4">
            <w:pPr>
              <w:rPr>
                <w:lang w:val="en-US"/>
              </w:rPr>
            </w:pPr>
            <w:r w:rsidRPr="009058B4">
              <w:rPr>
                <w:lang w:val="en-US"/>
              </w:rPr>
              <w:t>2,730</w:t>
            </w:r>
          </w:p>
        </w:tc>
        <w:tc>
          <w:tcPr>
            <w:tcW w:w="1234" w:type="dxa"/>
            <w:hideMark/>
          </w:tcPr>
          <w:p w14:paraId="2C38C8DA" w14:textId="77777777" w:rsidR="009058B4" w:rsidRPr="009058B4" w:rsidRDefault="009058B4" w:rsidP="009058B4">
            <w:pPr>
              <w:rPr>
                <w:lang w:val="en-US"/>
              </w:rPr>
            </w:pPr>
            <w:r w:rsidRPr="009058B4">
              <w:rPr>
                <w:lang w:val="en-US"/>
              </w:rPr>
              <w:t>2,450</w:t>
            </w:r>
          </w:p>
        </w:tc>
        <w:tc>
          <w:tcPr>
            <w:tcW w:w="1234" w:type="dxa"/>
            <w:hideMark/>
          </w:tcPr>
          <w:p w14:paraId="197E1D14" w14:textId="77777777" w:rsidR="009058B4" w:rsidRPr="009058B4" w:rsidRDefault="009058B4" w:rsidP="009058B4">
            <w:pPr>
              <w:rPr>
                <w:lang w:val="en-US"/>
              </w:rPr>
            </w:pPr>
            <w:r w:rsidRPr="009058B4">
              <w:rPr>
                <w:lang w:val="en-US"/>
              </w:rPr>
              <w:t>74,470</w:t>
            </w:r>
          </w:p>
        </w:tc>
        <w:tc>
          <w:tcPr>
            <w:tcW w:w="1234" w:type="dxa"/>
            <w:hideMark/>
          </w:tcPr>
          <w:p w14:paraId="162E3F7E" w14:textId="77777777" w:rsidR="009058B4" w:rsidRPr="009058B4" w:rsidRDefault="009058B4" w:rsidP="009058B4">
            <w:pPr>
              <w:rPr>
                <w:lang w:val="en-US"/>
              </w:rPr>
            </w:pPr>
            <w:r w:rsidRPr="009058B4">
              <w:rPr>
                <w:lang w:val="en-US"/>
              </w:rPr>
              <w:t>3,620</w:t>
            </w:r>
          </w:p>
        </w:tc>
        <w:tc>
          <w:tcPr>
            <w:tcW w:w="1234" w:type="dxa"/>
            <w:hideMark/>
          </w:tcPr>
          <w:p w14:paraId="0746733C" w14:textId="77777777" w:rsidR="009058B4" w:rsidRPr="009058B4" w:rsidRDefault="009058B4" w:rsidP="009058B4">
            <w:pPr>
              <w:rPr>
                <w:lang w:val="en-US"/>
              </w:rPr>
            </w:pPr>
            <w:r w:rsidRPr="009058B4">
              <w:rPr>
                <w:lang w:val="en-US"/>
              </w:rPr>
              <w:t>680</w:t>
            </w:r>
          </w:p>
        </w:tc>
      </w:tr>
      <w:tr w:rsidR="009058B4" w:rsidRPr="009058B4" w14:paraId="4B268813" w14:textId="77777777" w:rsidTr="009058B4">
        <w:tc>
          <w:tcPr>
            <w:tcW w:w="1234" w:type="dxa"/>
            <w:hideMark/>
          </w:tcPr>
          <w:p w14:paraId="2E428073" w14:textId="77777777" w:rsidR="009058B4" w:rsidRPr="009058B4" w:rsidRDefault="009058B4" w:rsidP="009058B4">
            <w:pPr>
              <w:rPr>
                <w:lang w:val="en-US"/>
              </w:rPr>
            </w:pPr>
            <w:r w:rsidRPr="009058B4">
              <w:rPr>
                <w:lang w:val="en-US"/>
              </w:rPr>
              <w:lastRenderedPageBreak/>
              <w:t>FY2024</w:t>
            </w:r>
          </w:p>
        </w:tc>
        <w:tc>
          <w:tcPr>
            <w:tcW w:w="1234" w:type="dxa"/>
            <w:hideMark/>
          </w:tcPr>
          <w:p w14:paraId="48469744" w14:textId="77777777" w:rsidR="009058B4" w:rsidRPr="009058B4" w:rsidRDefault="009058B4" w:rsidP="009058B4">
            <w:pPr>
              <w:rPr>
                <w:lang w:val="en-US"/>
              </w:rPr>
            </w:pPr>
            <w:r w:rsidRPr="009058B4">
              <w:rPr>
                <w:lang w:val="en-US"/>
              </w:rPr>
              <w:t>45,100</w:t>
            </w:r>
          </w:p>
        </w:tc>
        <w:tc>
          <w:tcPr>
            <w:tcW w:w="1234" w:type="dxa"/>
            <w:hideMark/>
          </w:tcPr>
          <w:p w14:paraId="5725DD39" w14:textId="77777777" w:rsidR="009058B4" w:rsidRPr="009058B4" w:rsidRDefault="009058B4" w:rsidP="009058B4">
            <w:pPr>
              <w:rPr>
                <w:lang w:val="en-US"/>
              </w:rPr>
            </w:pPr>
            <w:r w:rsidRPr="009058B4">
              <w:rPr>
                <w:lang w:val="en-US"/>
              </w:rPr>
              <w:t>5,350</w:t>
            </w:r>
          </w:p>
        </w:tc>
        <w:tc>
          <w:tcPr>
            <w:tcW w:w="1234" w:type="dxa"/>
            <w:hideMark/>
          </w:tcPr>
          <w:p w14:paraId="62A4C585" w14:textId="77777777" w:rsidR="009058B4" w:rsidRPr="009058B4" w:rsidRDefault="009058B4" w:rsidP="009058B4">
            <w:pPr>
              <w:rPr>
                <w:lang w:val="en-US"/>
              </w:rPr>
            </w:pPr>
            <w:r w:rsidRPr="009058B4">
              <w:rPr>
                <w:lang w:val="en-US"/>
              </w:rPr>
              <w:t>4,940</w:t>
            </w:r>
          </w:p>
        </w:tc>
        <w:tc>
          <w:tcPr>
            <w:tcW w:w="1234" w:type="dxa"/>
            <w:hideMark/>
          </w:tcPr>
          <w:p w14:paraId="663A7C25" w14:textId="77777777" w:rsidR="009058B4" w:rsidRPr="009058B4" w:rsidRDefault="009058B4" w:rsidP="009058B4">
            <w:pPr>
              <w:rPr>
                <w:lang w:val="en-US"/>
              </w:rPr>
            </w:pPr>
            <w:r w:rsidRPr="009058B4">
              <w:rPr>
                <w:lang w:val="en-US"/>
              </w:rPr>
              <w:t>87,050</w:t>
            </w:r>
          </w:p>
        </w:tc>
        <w:tc>
          <w:tcPr>
            <w:tcW w:w="1234" w:type="dxa"/>
            <w:hideMark/>
          </w:tcPr>
          <w:p w14:paraId="6CB988CE" w14:textId="77777777" w:rsidR="009058B4" w:rsidRPr="009058B4" w:rsidRDefault="009058B4" w:rsidP="009058B4">
            <w:pPr>
              <w:rPr>
                <w:lang w:val="en-US"/>
              </w:rPr>
            </w:pPr>
            <w:r w:rsidRPr="009058B4">
              <w:rPr>
                <w:lang w:val="en-US"/>
              </w:rPr>
              <w:t>6,980</w:t>
            </w:r>
          </w:p>
        </w:tc>
        <w:tc>
          <w:tcPr>
            <w:tcW w:w="1234" w:type="dxa"/>
            <w:hideMark/>
          </w:tcPr>
          <w:p w14:paraId="24C24039" w14:textId="77777777" w:rsidR="009058B4" w:rsidRPr="009058B4" w:rsidRDefault="009058B4" w:rsidP="009058B4">
            <w:pPr>
              <w:rPr>
                <w:lang w:val="en-US"/>
              </w:rPr>
            </w:pPr>
            <w:r w:rsidRPr="009058B4">
              <w:rPr>
                <w:lang w:val="en-US"/>
              </w:rPr>
              <w:t>1,600</w:t>
            </w:r>
          </w:p>
        </w:tc>
      </w:tr>
      <w:tr w:rsidR="009058B4" w:rsidRPr="009058B4" w14:paraId="4AF5454C" w14:textId="77777777" w:rsidTr="009058B4">
        <w:tc>
          <w:tcPr>
            <w:tcW w:w="1234" w:type="dxa"/>
            <w:hideMark/>
          </w:tcPr>
          <w:p w14:paraId="203F11AD" w14:textId="77777777" w:rsidR="009058B4" w:rsidRPr="009058B4" w:rsidRDefault="009058B4" w:rsidP="009058B4">
            <w:pPr>
              <w:rPr>
                <w:lang w:val="en-US"/>
              </w:rPr>
            </w:pPr>
            <w:r w:rsidRPr="009058B4">
              <w:rPr>
                <w:lang w:val="en-US"/>
              </w:rPr>
              <w:t>FY2025*</w:t>
            </w:r>
          </w:p>
        </w:tc>
        <w:tc>
          <w:tcPr>
            <w:tcW w:w="1234" w:type="dxa"/>
            <w:hideMark/>
          </w:tcPr>
          <w:p w14:paraId="2E95EC58" w14:textId="77777777" w:rsidR="009058B4" w:rsidRPr="009058B4" w:rsidRDefault="009058B4" w:rsidP="009058B4">
            <w:pPr>
              <w:rPr>
                <w:lang w:val="en-US"/>
              </w:rPr>
            </w:pPr>
            <w:r w:rsidRPr="009058B4">
              <w:rPr>
                <w:lang w:val="en-US"/>
              </w:rPr>
              <w:t>48,000–50,000</w:t>
            </w:r>
          </w:p>
        </w:tc>
        <w:tc>
          <w:tcPr>
            <w:tcW w:w="1234" w:type="dxa"/>
            <w:hideMark/>
          </w:tcPr>
          <w:p w14:paraId="4898C548" w14:textId="77777777" w:rsidR="009058B4" w:rsidRPr="009058B4" w:rsidRDefault="009058B4" w:rsidP="009058B4">
            <w:pPr>
              <w:rPr>
                <w:lang w:val="en-US"/>
              </w:rPr>
            </w:pPr>
            <w:r w:rsidRPr="009058B4">
              <w:rPr>
                <w:lang w:val="en-US"/>
              </w:rPr>
              <w:t>5,500–6,000</w:t>
            </w:r>
          </w:p>
        </w:tc>
        <w:tc>
          <w:tcPr>
            <w:tcW w:w="1234" w:type="dxa"/>
            <w:hideMark/>
          </w:tcPr>
          <w:p w14:paraId="27D548C7" w14:textId="77777777" w:rsidR="009058B4" w:rsidRPr="009058B4" w:rsidRDefault="009058B4" w:rsidP="009058B4">
            <w:pPr>
              <w:rPr>
                <w:lang w:val="en-US"/>
              </w:rPr>
            </w:pPr>
            <w:r w:rsidRPr="009058B4">
              <w:rPr>
                <w:lang w:val="en-US"/>
              </w:rPr>
              <w:t>5,000–5,500</w:t>
            </w:r>
          </w:p>
        </w:tc>
        <w:tc>
          <w:tcPr>
            <w:tcW w:w="1234" w:type="dxa"/>
            <w:hideMark/>
          </w:tcPr>
          <w:p w14:paraId="3C55CA2B" w14:textId="77777777" w:rsidR="009058B4" w:rsidRPr="009058B4" w:rsidRDefault="009058B4" w:rsidP="009058B4">
            <w:pPr>
              <w:rPr>
                <w:lang w:val="en-US"/>
              </w:rPr>
            </w:pPr>
            <w:r w:rsidRPr="009058B4">
              <w:rPr>
                <w:lang w:val="en-US"/>
              </w:rPr>
              <w:t>90,000+</w:t>
            </w:r>
          </w:p>
        </w:tc>
        <w:tc>
          <w:tcPr>
            <w:tcW w:w="1234" w:type="dxa"/>
            <w:hideMark/>
          </w:tcPr>
          <w:p w14:paraId="42399F39" w14:textId="77777777" w:rsidR="009058B4" w:rsidRPr="009058B4" w:rsidRDefault="009058B4" w:rsidP="009058B4">
            <w:pPr>
              <w:rPr>
                <w:lang w:val="en-US"/>
              </w:rPr>
            </w:pPr>
            <w:r w:rsidRPr="009058B4">
              <w:rPr>
                <w:lang w:val="en-US"/>
              </w:rPr>
              <w:t>7,000+</w:t>
            </w:r>
          </w:p>
        </w:tc>
        <w:tc>
          <w:tcPr>
            <w:tcW w:w="1234" w:type="dxa"/>
            <w:hideMark/>
          </w:tcPr>
          <w:p w14:paraId="379E321D" w14:textId="77777777" w:rsidR="009058B4" w:rsidRPr="009058B4" w:rsidRDefault="009058B4" w:rsidP="009058B4">
            <w:pPr>
              <w:rPr>
                <w:lang w:val="en-US"/>
              </w:rPr>
            </w:pPr>
            <w:r w:rsidRPr="009058B4">
              <w:rPr>
                <w:lang w:val="en-US"/>
              </w:rPr>
              <w:t>1,700 (est.)</w:t>
            </w:r>
          </w:p>
        </w:tc>
      </w:tr>
    </w:tbl>
    <w:p w14:paraId="3E704861" w14:textId="77777777" w:rsidR="009058B4" w:rsidRPr="009058B4" w:rsidRDefault="009058B4" w:rsidP="009058B4">
      <w:pPr>
        <w:rPr>
          <w:lang w:val="en-US"/>
        </w:rPr>
      </w:pPr>
    </w:p>
    <w:p w14:paraId="0297DC3A" w14:textId="0C91B592" w:rsidR="009A5310" w:rsidRPr="009A5310" w:rsidRDefault="009A5310" w:rsidP="009A5310">
      <w:pPr>
        <w:rPr>
          <w:b/>
          <w:bCs/>
        </w:rPr>
      </w:pPr>
      <w:r w:rsidRPr="009A5310">
        <w:rPr>
          <w:b/>
          <w:bCs/>
        </w:rPr>
        <w:t>2.1 Profitability Analysis</w:t>
      </w:r>
    </w:p>
    <w:p w14:paraId="6FC2ACC6" w14:textId="6917C731" w:rsidR="00861CA4" w:rsidRDefault="00861CA4" w:rsidP="00861CA4">
      <w:r w:rsidRPr="00861CA4">
        <w:t xml:space="preserve">Toyota has consistently increased its revenue over the last five years thanks to robust worldwide demand, especially in North America and Asia. Despite changes in the economy, the company's diverse product line, which includes commercial vehicles, SUVs, and hybrid cars, has helped to maintain revenue stability. However, </w:t>
      </w:r>
      <w:proofErr w:type="gramStart"/>
      <w:r w:rsidRPr="00861CA4">
        <w:t>a number of</w:t>
      </w:r>
      <w:proofErr w:type="gramEnd"/>
      <w:r w:rsidRPr="00861CA4">
        <w:t xml:space="preserve"> factors have contributed to the moderate volatility of profitability, including rising raw material costs (e.g. The g. disruptions to global supply chains; currency fluctuations, especially the weakening of the Japanese yen; and an increase in R&amp;D expenditures.</w:t>
      </w:r>
    </w:p>
    <w:p w14:paraId="5D82F5F8" w14:textId="77777777" w:rsidR="006150A3" w:rsidRDefault="006150A3" w:rsidP="00722D70"/>
    <w:p w14:paraId="534F5F25" w14:textId="0F4A230E" w:rsidR="006150A3" w:rsidRDefault="006150A3" w:rsidP="006150A3">
      <w:pPr>
        <w:jc w:val="right"/>
      </w:pPr>
      <w:r>
        <w:rPr>
          <w:noProof/>
        </w:rPr>
        <w:drawing>
          <wp:inline distT="0" distB="0" distL="0" distR="0" wp14:anchorId="2A2F90C0" wp14:editId="514D7DA9">
            <wp:extent cx="5175250" cy="4065203"/>
            <wp:effectExtent l="0" t="0" r="6350" b="0"/>
            <wp:docPr id="649027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027567" name="Picture 649027567"/>
                    <pic:cNvPicPr/>
                  </pic:nvPicPr>
                  <pic:blipFill>
                    <a:blip r:embed="rId7">
                      <a:extLst>
                        <a:ext uri="{28A0092B-C50C-407E-A947-70E740481C1C}">
                          <a14:useLocalDpi xmlns:a14="http://schemas.microsoft.com/office/drawing/2010/main" val="0"/>
                        </a:ext>
                      </a:extLst>
                    </a:blip>
                    <a:stretch>
                      <a:fillRect/>
                    </a:stretch>
                  </pic:blipFill>
                  <pic:spPr>
                    <a:xfrm>
                      <a:off x="0" y="0"/>
                      <a:ext cx="5180153" cy="4069055"/>
                    </a:xfrm>
                    <a:prstGeom prst="rect">
                      <a:avLst/>
                    </a:prstGeom>
                  </pic:spPr>
                </pic:pic>
              </a:graphicData>
            </a:graphic>
          </wp:inline>
        </w:drawing>
      </w:r>
    </w:p>
    <w:p w14:paraId="2AB4B140" w14:textId="77777777" w:rsidR="0034230E" w:rsidRDefault="0034230E" w:rsidP="00663406"/>
    <w:p w14:paraId="2F9D0642" w14:textId="18FFDC57" w:rsidR="00663406" w:rsidRPr="00663406" w:rsidRDefault="00663406" w:rsidP="00663406">
      <w:r w:rsidRPr="00663406">
        <w:br/>
      </w:r>
      <w:r>
        <w:rPr>
          <w:b/>
          <w:bCs/>
        </w:rPr>
        <w:t xml:space="preserve">Table 2 </w:t>
      </w:r>
      <w:r w:rsidR="00D24364">
        <w:rPr>
          <w:b/>
          <w:bCs/>
        </w:rPr>
        <w:t>–</w:t>
      </w:r>
      <w:r>
        <w:rPr>
          <w:b/>
          <w:bCs/>
        </w:rPr>
        <w:t xml:space="preserve"> </w:t>
      </w:r>
      <w:r w:rsidRPr="00663406">
        <w:rPr>
          <w:b/>
          <w:bCs/>
        </w:rPr>
        <w:t>5</w:t>
      </w:r>
      <w:r w:rsidR="00D24364">
        <w:rPr>
          <w:b/>
          <w:bCs/>
        </w:rPr>
        <w:t xml:space="preserve"> </w:t>
      </w:r>
      <w:r w:rsidRPr="00663406">
        <w:rPr>
          <w:b/>
          <w:bCs/>
        </w:rPr>
        <w:t>Year Profitability Ratio Analysis (FY2021–FY2025*)</w:t>
      </w:r>
    </w:p>
    <w:tbl>
      <w:tblPr>
        <w:tblW w:w="895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87"/>
        <w:gridCol w:w="915"/>
        <w:gridCol w:w="915"/>
        <w:gridCol w:w="915"/>
        <w:gridCol w:w="915"/>
        <w:gridCol w:w="1703"/>
      </w:tblGrid>
      <w:tr w:rsidR="00663406" w:rsidRPr="00663406" w14:paraId="42EFA423" w14:textId="77777777" w:rsidTr="00D24364">
        <w:trPr>
          <w:trHeight w:val="512"/>
          <w:tblHeader/>
          <w:tblCellSpacing w:w="15" w:type="dxa"/>
        </w:trPr>
        <w:tc>
          <w:tcPr>
            <w:tcW w:w="0" w:type="auto"/>
            <w:vAlign w:val="center"/>
            <w:hideMark/>
          </w:tcPr>
          <w:p w14:paraId="3605EDFD" w14:textId="77777777" w:rsidR="00663406" w:rsidRPr="00663406" w:rsidRDefault="00663406" w:rsidP="00663406">
            <w:pPr>
              <w:rPr>
                <w:b/>
                <w:bCs/>
              </w:rPr>
            </w:pPr>
            <w:r w:rsidRPr="00663406">
              <w:rPr>
                <w:b/>
                <w:bCs/>
              </w:rPr>
              <w:lastRenderedPageBreak/>
              <w:t>Ratio / Year</w:t>
            </w:r>
          </w:p>
        </w:tc>
        <w:tc>
          <w:tcPr>
            <w:tcW w:w="885" w:type="dxa"/>
            <w:vAlign w:val="center"/>
            <w:hideMark/>
          </w:tcPr>
          <w:p w14:paraId="1C87DEDA" w14:textId="77777777" w:rsidR="00663406" w:rsidRPr="00663406" w:rsidRDefault="00663406" w:rsidP="00663406">
            <w:pPr>
              <w:rPr>
                <w:b/>
                <w:bCs/>
              </w:rPr>
            </w:pPr>
            <w:r w:rsidRPr="00663406">
              <w:rPr>
                <w:b/>
                <w:bCs/>
              </w:rPr>
              <w:t>FY2021</w:t>
            </w:r>
          </w:p>
        </w:tc>
        <w:tc>
          <w:tcPr>
            <w:tcW w:w="885" w:type="dxa"/>
            <w:vAlign w:val="center"/>
            <w:hideMark/>
          </w:tcPr>
          <w:p w14:paraId="237CFFCE" w14:textId="77777777" w:rsidR="00663406" w:rsidRPr="00663406" w:rsidRDefault="00663406" w:rsidP="00663406">
            <w:pPr>
              <w:rPr>
                <w:b/>
                <w:bCs/>
              </w:rPr>
            </w:pPr>
            <w:r w:rsidRPr="00663406">
              <w:rPr>
                <w:b/>
                <w:bCs/>
              </w:rPr>
              <w:t>FY2022</w:t>
            </w:r>
          </w:p>
        </w:tc>
        <w:tc>
          <w:tcPr>
            <w:tcW w:w="0" w:type="auto"/>
            <w:vAlign w:val="center"/>
            <w:hideMark/>
          </w:tcPr>
          <w:p w14:paraId="0D6E3491" w14:textId="77777777" w:rsidR="00663406" w:rsidRPr="00663406" w:rsidRDefault="00663406" w:rsidP="00663406">
            <w:pPr>
              <w:rPr>
                <w:b/>
                <w:bCs/>
              </w:rPr>
            </w:pPr>
            <w:r w:rsidRPr="00663406">
              <w:rPr>
                <w:b/>
                <w:bCs/>
              </w:rPr>
              <w:t>FY2023</w:t>
            </w:r>
          </w:p>
        </w:tc>
        <w:tc>
          <w:tcPr>
            <w:tcW w:w="0" w:type="auto"/>
            <w:vAlign w:val="center"/>
            <w:hideMark/>
          </w:tcPr>
          <w:p w14:paraId="57E35107" w14:textId="77777777" w:rsidR="00663406" w:rsidRPr="00663406" w:rsidRDefault="00663406" w:rsidP="00663406">
            <w:pPr>
              <w:rPr>
                <w:b/>
                <w:bCs/>
              </w:rPr>
            </w:pPr>
            <w:r w:rsidRPr="00663406">
              <w:rPr>
                <w:b/>
                <w:bCs/>
              </w:rPr>
              <w:t>FY2024</w:t>
            </w:r>
          </w:p>
        </w:tc>
        <w:tc>
          <w:tcPr>
            <w:tcW w:w="0" w:type="auto"/>
            <w:vAlign w:val="center"/>
            <w:hideMark/>
          </w:tcPr>
          <w:p w14:paraId="46A855C8" w14:textId="77777777" w:rsidR="00663406" w:rsidRPr="00663406" w:rsidRDefault="00663406" w:rsidP="00663406">
            <w:pPr>
              <w:rPr>
                <w:b/>
                <w:bCs/>
              </w:rPr>
            </w:pPr>
            <w:r w:rsidRPr="00663406">
              <w:rPr>
                <w:b/>
                <w:bCs/>
              </w:rPr>
              <w:t>FY2025*</w:t>
            </w:r>
          </w:p>
        </w:tc>
      </w:tr>
      <w:tr w:rsidR="00663406" w:rsidRPr="00663406" w14:paraId="4E42AE88" w14:textId="77777777" w:rsidTr="00D24364">
        <w:trPr>
          <w:trHeight w:val="522"/>
          <w:tblCellSpacing w:w="15" w:type="dxa"/>
        </w:trPr>
        <w:tc>
          <w:tcPr>
            <w:tcW w:w="0" w:type="auto"/>
            <w:vAlign w:val="center"/>
            <w:hideMark/>
          </w:tcPr>
          <w:p w14:paraId="7E789B51" w14:textId="77777777" w:rsidR="00663406" w:rsidRPr="00663406" w:rsidRDefault="00663406" w:rsidP="00663406">
            <w:r w:rsidRPr="00663406">
              <w:t>Operating Margin (%)</w:t>
            </w:r>
          </w:p>
        </w:tc>
        <w:tc>
          <w:tcPr>
            <w:tcW w:w="0" w:type="auto"/>
            <w:vAlign w:val="center"/>
            <w:hideMark/>
          </w:tcPr>
          <w:p w14:paraId="73EB7300" w14:textId="77777777" w:rsidR="00663406" w:rsidRPr="00663406" w:rsidRDefault="00663406" w:rsidP="00663406">
            <w:r w:rsidRPr="00663406">
              <w:t>8.1%</w:t>
            </w:r>
          </w:p>
        </w:tc>
        <w:tc>
          <w:tcPr>
            <w:tcW w:w="0" w:type="auto"/>
            <w:vAlign w:val="center"/>
            <w:hideMark/>
          </w:tcPr>
          <w:p w14:paraId="2AA7BB84" w14:textId="77777777" w:rsidR="00663406" w:rsidRPr="00663406" w:rsidRDefault="00663406" w:rsidP="00663406">
            <w:r w:rsidRPr="00663406">
              <w:t>9.5%</w:t>
            </w:r>
          </w:p>
        </w:tc>
        <w:tc>
          <w:tcPr>
            <w:tcW w:w="0" w:type="auto"/>
            <w:vAlign w:val="center"/>
            <w:hideMark/>
          </w:tcPr>
          <w:p w14:paraId="7FD17BCF" w14:textId="77777777" w:rsidR="00663406" w:rsidRPr="00663406" w:rsidRDefault="00663406" w:rsidP="00663406">
            <w:r w:rsidRPr="00663406">
              <w:t>7.3%</w:t>
            </w:r>
          </w:p>
        </w:tc>
        <w:tc>
          <w:tcPr>
            <w:tcW w:w="0" w:type="auto"/>
            <w:vAlign w:val="center"/>
            <w:hideMark/>
          </w:tcPr>
          <w:p w14:paraId="2287B1A2" w14:textId="77777777" w:rsidR="00663406" w:rsidRPr="00663406" w:rsidRDefault="00663406" w:rsidP="00663406">
            <w:r w:rsidRPr="00663406">
              <w:t>11.9%</w:t>
            </w:r>
          </w:p>
        </w:tc>
        <w:tc>
          <w:tcPr>
            <w:tcW w:w="0" w:type="auto"/>
            <w:vAlign w:val="center"/>
            <w:hideMark/>
          </w:tcPr>
          <w:p w14:paraId="4AB64A06" w14:textId="77777777" w:rsidR="00663406" w:rsidRPr="00663406" w:rsidRDefault="00663406" w:rsidP="00663406">
            <w:r w:rsidRPr="00663406">
              <w:t>11.5% – 12.0%</w:t>
            </w:r>
          </w:p>
        </w:tc>
      </w:tr>
      <w:tr w:rsidR="00663406" w:rsidRPr="00663406" w14:paraId="1C20D0FA" w14:textId="77777777" w:rsidTr="00D24364">
        <w:trPr>
          <w:trHeight w:val="522"/>
          <w:tblCellSpacing w:w="15" w:type="dxa"/>
        </w:trPr>
        <w:tc>
          <w:tcPr>
            <w:tcW w:w="0" w:type="auto"/>
            <w:vAlign w:val="center"/>
            <w:hideMark/>
          </w:tcPr>
          <w:p w14:paraId="6F2E75E3" w14:textId="77777777" w:rsidR="00663406" w:rsidRPr="00663406" w:rsidRDefault="00663406" w:rsidP="00663406">
            <w:r w:rsidRPr="00663406">
              <w:t>Net Profit Margin (%)</w:t>
            </w:r>
          </w:p>
        </w:tc>
        <w:tc>
          <w:tcPr>
            <w:tcW w:w="0" w:type="auto"/>
            <w:vAlign w:val="center"/>
            <w:hideMark/>
          </w:tcPr>
          <w:p w14:paraId="646D878A" w14:textId="77777777" w:rsidR="00663406" w:rsidRPr="00663406" w:rsidRDefault="00663406" w:rsidP="00663406">
            <w:r w:rsidRPr="00663406">
              <w:t>8.4%</w:t>
            </w:r>
          </w:p>
        </w:tc>
        <w:tc>
          <w:tcPr>
            <w:tcW w:w="0" w:type="auto"/>
            <w:vAlign w:val="center"/>
            <w:hideMark/>
          </w:tcPr>
          <w:p w14:paraId="58F59F8F" w14:textId="77777777" w:rsidR="00663406" w:rsidRPr="00663406" w:rsidRDefault="00663406" w:rsidP="00663406">
            <w:r w:rsidRPr="00663406">
              <w:t>9.1%</w:t>
            </w:r>
          </w:p>
        </w:tc>
        <w:tc>
          <w:tcPr>
            <w:tcW w:w="0" w:type="auto"/>
            <w:vAlign w:val="center"/>
            <w:hideMark/>
          </w:tcPr>
          <w:p w14:paraId="61F71666" w14:textId="77777777" w:rsidR="00663406" w:rsidRPr="00663406" w:rsidRDefault="00663406" w:rsidP="00663406">
            <w:r w:rsidRPr="00663406">
              <w:t>6.6%</w:t>
            </w:r>
          </w:p>
        </w:tc>
        <w:tc>
          <w:tcPr>
            <w:tcW w:w="0" w:type="auto"/>
            <w:vAlign w:val="center"/>
            <w:hideMark/>
          </w:tcPr>
          <w:p w14:paraId="5F234502" w14:textId="77777777" w:rsidR="00663406" w:rsidRPr="00663406" w:rsidRDefault="00663406" w:rsidP="00663406">
            <w:r w:rsidRPr="00663406">
              <w:t>11.0%</w:t>
            </w:r>
          </w:p>
        </w:tc>
        <w:tc>
          <w:tcPr>
            <w:tcW w:w="0" w:type="auto"/>
            <w:vAlign w:val="center"/>
            <w:hideMark/>
          </w:tcPr>
          <w:p w14:paraId="671B4487" w14:textId="77777777" w:rsidR="00663406" w:rsidRPr="00663406" w:rsidRDefault="00663406" w:rsidP="00663406">
            <w:r w:rsidRPr="00663406">
              <w:t>10.4% – 11.0%</w:t>
            </w:r>
          </w:p>
        </w:tc>
      </w:tr>
      <w:tr w:rsidR="00663406" w:rsidRPr="00663406" w14:paraId="143B59B8" w14:textId="77777777" w:rsidTr="00D24364">
        <w:trPr>
          <w:trHeight w:val="522"/>
          <w:tblCellSpacing w:w="15" w:type="dxa"/>
        </w:trPr>
        <w:tc>
          <w:tcPr>
            <w:tcW w:w="0" w:type="auto"/>
            <w:vAlign w:val="center"/>
            <w:hideMark/>
          </w:tcPr>
          <w:p w14:paraId="31FDC9CF" w14:textId="77777777" w:rsidR="00663406" w:rsidRPr="00663406" w:rsidRDefault="00663406" w:rsidP="00663406">
            <w:r w:rsidRPr="00663406">
              <w:t>Return on Assets (ROA, %)</w:t>
            </w:r>
          </w:p>
        </w:tc>
        <w:tc>
          <w:tcPr>
            <w:tcW w:w="0" w:type="auto"/>
            <w:vAlign w:val="center"/>
            <w:hideMark/>
          </w:tcPr>
          <w:p w14:paraId="7033CC82" w14:textId="77777777" w:rsidR="00663406" w:rsidRPr="00663406" w:rsidRDefault="00663406" w:rsidP="00663406">
            <w:r w:rsidRPr="00663406">
              <w:t>3.7%</w:t>
            </w:r>
          </w:p>
        </w:tc>
        <w:tc>
          <w:tcPr>
            <w:tcW w:w="0" w:type="auto"/>
            <w:vAlign w:val="center"/>
            <w:hideMark/>
          </w:tcPr>
          <w:p w14:paraId="0E398DEB" w14:textId="77777777" w:rsidR="00663406" w:rsidRPr="00663406" w:rsidRDefault="00663406" w:rsidP="00663406">
            <w:r w:rsidRPr="00663406">
              <w:t>4.2%</w:t>
            </w:r>
          </w:p>
        </w:tc>
        <w:tc>
          <w:tcPr>
            <w:tcW w:w="0" w:type="auto"/>
            <w:vAlign w:val="center"/>
            <w:hideMark/>
          </w:tcPr>
          <w:p w14:paraId="5106190E" w14:textId="77777777" w:rsidR="00663406" w:rsidRPr="00663406" w:rsidRDefault="00663406" w:rsidP="00663406">
            <w:r w:rsidRPr="00663406">
              <w:t>3.3%</w:t>
            </w:r>
          </w:p>
        </w:tc>
        <w:tc>
          <w:tcPr>
            <w:tcW w:w="0" w:type="auto"/>
            <w:vAlign w:val="center"/>
            <w:hideMark/>
          </w:tcPr>
          <w:p w14:paraId="71FC2020" w14:textId="77777777" w:rsidR="00663406" w:rsidRPr="00663406" w:rsidRDefault="00663406" w:rsidP="00663406">
            <w:r w:rsidRPr="00663406">
              <w:t>5.7%</w:t>
            </w:r>
          </w:p>
        </w:tc>
        <w:tc>
          <w:tcPr>
            <w:tcW w:w="0" w:type="auto"/>
            <w:vAlign w:val="center"/>
            <w:hideMark/>
          </w:tcPr>
          <w:p w14:paraId="706956FF" w14:textId="77777777" w:rsidR="00663406" w:rsidRPr="00663406" w:rsidRDefault="00663406" w:rsidP="00663406">
            <w:r w:rsidRPr="00663406">
              <w:t>5.6% – 6.1%</w:t>
            </w:r>
          </w:p>
        </w:tc>
      </w:tr>
      <w:tr w:rsidR="00663406" w:rsidRPr="00663406" w14:paraId="0D495609" w14:textId="77777777" w:rsidTr="00D24364">
        <w:trPr>
          <w:trHeight w:val="522"/>
          <w:tblCellSpacing w:w="15" w:type="dxa"/>
        </w:trPr>
        <w:tc>
          <w:tcPr>
            <w:tcW w:w="0" w:type="auto"/>
            <w:vAlign w:val="center"/>
            <w:hideMark/>
          </w:tcPr>
          <w:p w14:paraId="43ED9CAB" w14:textId="77777777" w:rsidR="00663406" w:rsidRPr="00663406" w:rsidRDefault="00663406" w:rsidP="00663406">
            <w:r w:rsidRPr="00663406">
              <w:t>Operating Cash Flow Margin (%)</w:t>
            </w:r>
          </w:p>
        </w:tc>
        <w:tc>
          <w:tcPr>
            <w:tcW w:w="0" w:type="auto"/>
            <w:vAlign w:val="center"/>
            <w:hideMark/>
          </w:tcPr>
          <w:p w14:paraId="0DA02823" w14:textId="77777777" w:rsidR="00663406" w:rsidRPr="00663406" w:rsidRDefault="00663406" w:rsidP="00663406">
            <w:r w:rsidRPr="00663406">
              <w:t>12.5%</w:t>
            </w:r>
          </w:p>
        </w:tc>
        <w:tc>
          <w:tcPr>
            <w:tcW w:w="0" w:type="auto"/>
            <w:vAlign w:val="center"/>
            <w:hideMark/>
          </w:tcPr>
          <w:p w14:paraId="54307C4A" w14:textId="77777777" w:rsidR="00663406" w:rsidRPr="00663406" w:rsidRDefault="00663406" w:rsidP="00663406">
            <w:r w:rsidRPr="00663406">
              <w:t>14.1%</w:t>
            </w:r>
          </w:p>
        </w:tc>
        <w:tc>
          <w:tcPr>
            <w:tcW w:w="0" w:type="auto"/>
            <w:vAlign w:val="center"/>
            <w:hideMark/>
          </w:tcPr>
          <w:p w14:paraId="631CF7DA" w14:textId="77777777" w:rsidR="00663406" w:rsidRPr="00663406" w:rsidRDefault="00663406" w:rsidP="00663406">
            <w:r w:rsidRPr="00663406">
              <w:t>9.7%</w:t>
            </w:r>
          </w:p>
        </w:tc>
        <w:tc>
          <w:tcPr>
            <w:tcW w:w="0" w:type="auto"/>
            <w:vAlign w:val="center"/>
            <w:hideMark/>
          </w:tcPr>
          <w:p w14:paraId="695D3F48" w14:textId="77777777" w:rsidR="00663406" w:rsidRPr="00663406" w:rsidRDefault="00663406" w:rsidP="00663406">
            <w:r w:rsidRPr="00663406">
              <w:t>15.5%</w:t>
            </w:r>
          </w:p>
        </w:tc>
        <w:tc>
          <w:tcPr>
            <w:tcW w:w="0" w:type="auto"/>
            <w:vAlign w:val="center"/>
            <w:hideMark/>
          </w:tcPr>
          <w:p w14:paraId="3951AC3C" w14:textId="77777777" w:rsidR="00663406" w:rsidRPr="00663406" w:rsidRDefault="00663406" w:rsidP="00663406">
            <w:r w:rsidRPr="00663406">
              <w:t>14.0%+</w:t>
            </w:r>
          </w:p>
        </w:tc>
      </w:tr>
    </w:tbl>
    <w:p w14:paraId="1226C65A" w14:textId="77777777" w:rsidR="00E062AE" w:rsidRDefault="00E062AE" w:rsidP="00973A9C"/>
    <w:p w14:paraId="25C65F0C" w14:textId="720B1A0D" w:rsid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Pr>
          <w:rFonts w:ascii="Arial" w:eastAsia="Times New Roman" w:hAnsi="Arial" w:cs="Arial"/>
          <w:b/>
          <w:bCs/>
          <w:color w:val="0A0A0A"/>
          <w:kern w:val="0"/>
          <w:lang w:eastAsia="en-GB"/>
          <w14:ligatures w14:val="none"/>
        </w:rPr>
        <w:t xml:space="preserve">Table 3 – </w:t>
      </w:r>
      <w:r w:rsidRPr="00D24364">
        <w:rPr>
          <w:rFonts w:ascii="Arial" w:eastAsia="Times New Roman" w:hAnsi="Arial" w:cs="Arial"/>
          <w:b/>
          <w:bCs/>
          <w:color w:val="0A0A0A"/>
          <w:kern w:val="0"/>
          <w:lang w:eastAsia="en-GB"/>
          <w14:ligatures w14:val="none"/>
        </w:rPr>
        <w:t>5</w:t>
      </w:r>
      <w:r>
        <w:rPr>
          <w:rFonts w:ascii="Arial" w:eastAsia="Times New Roman" w:hAnsi="Arial" w:cs="Arial"/>
          <w:b/>
          <w:bCs/>
          <w:color w:val="0A0A0A"/>
          <w:kern w:val="0"/>
          <w:lang w:eastAsia="en-GB"/>
          <w14:ligatures w14:val="none"/>
        </w:rPr>
        <w:t xml:space="preserve"> </w:t>
      </w:r>
      <w:r w:rsidRPr="00D24364">
        <w:rPr>
          <w:rFonts w:ascii="Arial" w:eastAsia="Times New Roman" w:hAnsi="Arial" w:cs="Arial"/>
          <w:b/>
          <w:bCs/>
          <w:color w:val="0A0A0A"/>
          <w:kern w:val="0"/>
          <w:lang w:eastAsia="en-GB"/>
          <w14:ligatures w14:val="none"/>
        </w:rPr>
        <w:t>Year Liquidity Ratio Analysis (FY2021–FY2025*)</w:t>
      </w:r>
      <w:r w:rsidR="007E5DA1">
        <w:rPr>
          <w:rFonts w:ascii="Arial" w:eastAsia="Times New Roman" w:hAnsi="Arial" w:cs="Arial"/>
          <w:b/>
          <w:bCs/>
          <w:color w:val="0A0A0A"/>
          <w:kern w:val="0"/>
          <w:lang w:eastAsia="en-GB"/>
          <w14:ligatures w14:val="none"/>
        </w:rPr>
        <w:t xml:space="preserve"> </w:t>
      </w:r>
    </w:p>
    <w:p w14:paraId="3AB67B4F" w14:textId="77777777" w:rsidR="007E5DA1" w:rsidRDefault="007E5DA1" w:rsidP="00D24364">
      <w:pPr>
        <w:shd w:val="clear" w:color="auto" w:fill="FFFFFF"/>
        <w:spacing w:after="0" w:line="360" w:lineRule="atLeast"/>
        <w:rPr>
          <w:rFonts w:ascii="Arial" w:eastAsia="Times New Roman" w:hAnsi="Arial" w:cs="Arial"/>
          <w:b/>
          <w:bCs/>
          <w:color w:val="0A0A0A"/>
          <w:kern w:val="0"/>
          <w:lang w:eastAsia="en-GB"/>
          <w14:ligatures w14:val="none"/>
        </w:rPr>
      </w:pPr>
    </w:p>
    <w:p w14:paraId="35D8D117" w14:textId="7A91EF9A" w:rsidR="007E5DA1" w:rsidRPr="005D04FA" w:rsidRDefault="005D04FA" w:rsidP="00D24364">
      <w:pPr>
        <w:shd w:val="clear" w:color="auto" w:fill="FFFFFF"/>
        <w:spacing w:after="0" w:line="360" w:lineRule="atLeast"/>
        <w:rPr>
          <w:rFonts w:ascii="Arial" w:eastAsia="Times New Roman" w:hAnsi="Arial" w:cs="Arial"/>
          <w:color w:val="0A0A0A"/>
          <w:kern w:val="0"/>
          <w:lang w:eastAsia="en-GB"/>
          <w14:ligatures w14:val="none"/>
        </w:rPr>
      </w:pPr>
      <w:r w:rsidRPr="005D04FA">
        <w:rPr>
          <w:rFonts w:ascii="Arial" w:eastAsia="Times New Roman" w:hAnsi="Arial" w:cs="Arial"/>
          <w:color w:val="0A0A0A"/>
          <w:kern w:val="0"/>
          <w:lang w:eastAsia="en-GB"/>
          <w14:ligatures w14:val="none"/>
        </w:rPr>
        <w:t>Financial indicators called liquidity ratios are used to evaluate a company's capacity to pay its short-term debts with its short-term assets. Because they reveal whether a company has sufficient liquid assets to cover its current obligations without experiencing financial difficulties, they are a crucial component of financial statement analysis. Liquidity ratios, to put it simply, assess a company's short-term cash flow and financial stability. Liquidity management is particularly crucial for a business like Toyota Motor Corporation because of its extensive worldwide operations, supply chain obligations, and high working capital needs in the production and financing of automobiles.</w:t>
      </w:r>
    </w:p>
    <w:p w14:paraId="40E4AED8"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p>
    <w:tbl>
      <w:tblPr>
        <w:tblW w:w="901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2"/>
        <w:gridCol w:w="1393"/>
        <w:gridCol w:w="1393"/>
        <w:gridCol w:w="1393"/>
        <w:gridCol w:w="1393"/>
        <w:gridCol w:w="1408"/>
      </w:tblGrid>
      <w:tr w:rsidR="00D24364" w:rsidRPr="00D24364" w14:paraId="4861DBF0" w14:textId="77777777" w:rsidTr="00D24364">
        <w:trPr>
          <w:trHeight w:val="411"/>
          <w:tblHeader/>
          <w:tblCellSpacing w:w="15" w:type="dxa"/>
        </w:trPr>
        <w:tc>
          <w:tcPr>
            <w:tcW w:w="0" w:type="auto"/>
            <w:vAlign w:val="center"/>
            <w:hideMark/>
          </w:tcPr>
          <w:p w14:paraId="46391890"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Ratio / Year</w:t>
            </w:r>
          </w:p>
        </w:tc>
        <w:tc>
          <w:tcPr>
            <w:tcW w:w="0" w:type="auto"/>
            <w:vAlign w:val="center"/>
            <w:hideMark/>
          </w:tcPr>
          <w:p w14:paraId="177037EA"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FY2021</w:t>
            </w:r>
          </w:p>
        </w:tc>
        <w:tc>
          <w:tcPr>
            <w:tcW w:w="0" w:type="auto"/>
            <w:vAlign w:val="center"/>
            <w:hideMark/>
          </w:tcPr>
          <w:p w14:paraId="471DB931"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FY2022</w:t>
            </w:r>
          </w:p>
        </w:tc>
        <w:tc>
          <w:tcPr>
            <w:tcW w:w="0" w:type="auto"/>
            <w:vAlign w:val="center"/>
            <w:hideMark/>
          </w:tcPr>
          <w:p w14:paraId="5A565495"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FY2023</w:t>
            </w:r>
          </w:p>
        </w:tc>
        <w:tc>
          <w:tcPr>
            <w:tcW w:w="0" w:type="auto"/>
            <w:vAlign w:val="center"/>
            <w:hideMark/>
          </w:tcPr>
          <w:p w14:paraId="3CF7B26B"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FY2024</w:t>
            </w:r>
          </w:p>
        </w:tc>
        <w:tc>
          <w:tcPr>
            <w:tcW w:w="0" w:type="auto"/>
            <w:vAlign w:val="center"/>
            <w:hideMark/>
          </w:tcPr>
          <w:p w14:paraId="058487FE" w14:textId="77777777" w:rsidR="00D24364" w:rsidRPr="00D24364" w:rsidRDefault="00D24364" w:rsidP="00D24364">
            <w:pPr>
              <w:shd w:val="clear" w:color="auto" w:fill="FFFFFF"/>
              <w:spacing w:after="0" w:line="360" w:lineRule="atLeast"/>
              <w:rPr>
                <w:rFonts w:ascii="Arial" w:eastAsia="Times New Roman" w:hAnsi="Arial" w:cs="Arial"/>
                <w:b/>
                <w:bCs/>
                <w:color w:val="0A0A0A"/>
                <w:kern w:val="0"/>
                <w:lang w:eastAsia="en-GB"/>
                <w14:ligatures w14:val="none"/>
              </w:rPr>
            </w:pPr>
            <w:r w:rsidRPr="00D24364">
              <w:rPr>
                <w:rFonts w:ascii="Arial" w:eastAsia="Times New Roman" w:hAnsi="Arial" w:cs="Arial"/>
                <w:b/>
                <w:bCs/>
                <w:color w:val="0A0A0A"/>
                <w:kern w:val="0"/>
                <w:lang w:eastAsia="en-GB"/>
                <w14:ligatures w14:val="none"/>
              </w:rPr>
              <w:t>FY2025*</w:t>
            </w:r>
          </w:p>
        </w:tc>
      </w:tr>
      <w:tr w:rsidR="00D24364" w:rsidRPr="00D24364" w14:paraId="3A2B1CFE" w14:textId="77777777" w:rsidTr="00D24364">
        <w:trPr>
          <w:trHeight w:val="411"/>
          <w:tblCellSpacing w:w="15" w:type="dxa"/>
        </w:trPr>
        <w:tc>
          <w:tcPr>
            <w:tcW w:w="0" w:type="auto"/>
            <w:vAlign w:val="center"/>
            <w:hideMark/>
          </w:tcPr>
          <w:p w14:paraId="6D3F56A8"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Current Ratio (x)</w:t>
            </w:r>
          </w:p>
        </w:tc>
        <w:tc>
          <w:tcPr>
            <w:tcW w:w="0" w:type="auto"/>
            <w:vAlign w:val="center"/>
            <w:hideMark/>
          </w:tcPr>
          <w:p w14:paraId="31EC6E62"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1.10 – 1.15</w:t>
            </w:r>
          </w:p>
        </w:tc>
        <w:tc>
          <w:tcPr>
            <w:tcW w:w="0" w:type="auto"/>
            <w:vAlign w:val="center"/>
            <w:hideMark/>
          </w:tcPr>
          <w:p w14:paraId="5653691C"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1.15 – 1.20</w:t>
            </w:r>
          </w:p>
        </w:tc>
        <w:tc>
          <w:tcPr>
            <w:tcW w:w="0" w:type="auto"/>
            <w:vAlign w:val="center"/>
            <w:hideMark/>
          </w:tcPr>
          <w:p w14:paraId="58F44A43"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1.10 – 1.15</w:t>
            </w:r>
          </w:p>
        </w:tc>
        <w:tc>
          <w:tcPr>
            <w:tcW w:w="0" w:type="auto"/>
            <w:vAlign w:val="center"/>
            <w:hideMark/>
          </w:tcPr>
          <w:p w14:paraId="2ED1C62E"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1.20 – 1.25</w:t>
            </w:r>
          </w:p>
        </w:tc>
        <w:tc>
          <w:tcPr>
            <w:tcW w:w="0" w:type="auto"/>
            <w:vAlign w:val="center"/>
            <w:hideMark/>
          </w:tcPr>
          <w:p w14:paraId="40ACA462"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1.20 – 1.30</w:t>
            </w:r>
          </w:p>
        </w:tc>
      </w:tr>
      <w:tr w:rsidR="00D24364" w:rsidRPr="00D24364" w14:paraId="034A098C" w14:textId="77777777" w:rsidTr="00D24364">
        <w:trPr>
          <w:trHeight w:val="411"/>
          <w:tblCellSpacing w:w="15" w:type="dxa"/>
        </w:trPr>
        <w:tc>
          <w:tcPr>
            <w:tcW w:w="0" w:type="auto"/>
            <w:vAlign w:val="center"/>
            <w:hideMark/>
          </w:tcPr>
          <w:p w14:paraId="23040A80"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Quick Ratio (x)</w:t>
            </w:r>
          </w:p>
        </w:tc>
        <w:tc>
          <w:tcPr>
            <w:tcW w:w="0" w:type="auto"/>
            <w:vAlign w:val="center"/>
            <w:hideMark/>
          </w:tcPr>
          <w:p w14:paraId="6D139C40"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0.95 – 1.00</w:t>
            </w:r>
          </w:p>
        </w:tc>
        <w:tc>
          <w:tcPr>
            <w:tcW w:w="0" w:type="auto"/>
            <w:vAlign w:val="center"/>
            <w:hideMark/>
          </w:tcPr>
          <w:p w14:paraId="245E3598"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1.00 – 1.05</w:t>
            </w:r>
          </w:p>
        </w:tc>
        <w:tc>
          <w:tcPr>
            <w:tcW w:w="0" w:type="auto"/>
            <w:vAlign w:val="center"/>
            <w:hideMark/>
          </w:tcPr>
          <w:p w14:paraId="4D3AC2E3"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0.95 – 1.00</w:t>
            </w:r>
          </w:p>
        </w:tc>
        <w:tc>
          <w:tcPr>
            <w:tcW w:w="0" w:type="auto"/>
            <w:vAlign w:val="center"/>
            <w:hideMark/>
          </w:tcPr>
          <w:p w14:paraId="625360EB"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1.05 – 1.10</w:t>
            </w:r>
          </w:p>
        </w:tc>
        <w:tc>
          <w:tcPr>
            <w:tcW w:w="0" w:type="auto"/>
            <w:vAlign w:val="center"/>
            <w:hideMark/>
          </w:tcPr>
          <w:p w14:paraId="33BA0B23"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1.05 – 1.15</w:t>
            </w:r>
          </w:p>
        </w:tc>
      </w:tr>
      <w:tr w:rsidR="00D24364" w:rsidRPr="00D24364" w14:paraId="0DFE4D9C" w14:textId="77777777" w:rsidTr="00D24364">
        <w:trPr>
          <w:trHeight w:val="400"/>
          <w:tblCellSpacing w:w="15" w:type="dxa"/>
        </w:trPr>
        <w:tc>
          <w:tcPr>
            <w:tcW w:w="0" w:type="auto"/>
            <w:vAlign w:val="center"/>
            <w:hideMark/>
          </w:tcPr>
          <w:p w14:paraId="4A5CEC71"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Cash Ratio (x)</w:t>
            </w:r>
          </w:p>
        </w:tc>
        <w:tc>
          <w:tcPr>
            <w:tcW w:w="0" w:type="auto"/>
            <w:vAlign w:val="center"/>
            <w:hideMark/>
          </w:tcPr>
          <w:p w14:paraId="69E787D0"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0.35 – 0.40</w:t>
            </w:r>
          </w:p>
        </w:tc>
        <w:tc>
          <w:tcPr>
            <w:tcW w:w="0" w:type="auto"/>
            <w:vAlign w:val="center"/>
            <w:hideMark/>
          </w:tcPr>
          <w:p w14:paraId="72522275"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0.40 – 0.45</w:t>
            </w:r>
          </w:p>
        </w:tc>
        <w:tc>
          <w:tcPr>
            <w:tcW w:w="0" w:type="auto"/>
            <w:vAlign w:val="center"/>
            <w:hideMark/>
          </w:tcPr>
          <w:p w14:paraId="5400D1EC"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0.35 – 0.40</w:t>
            </w:r>
          </w:p>
        </w:tc>
        <w:tc>
          <w:tcPr>
            <w:tcW w:w="0" w:type="auto"/>
            <w:vAlign w:val="center"/>
            <w:hideMark/>
          </w:tcPr>
          <w:p w14:paraId="3E822878"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0.45 – 0.50</w:t>
            </w:r>
          </w:p>
        </w:tc>
        <w:tc>
          <w:tcPr>
            <w:tcW w:w="0" w:type="auto"/>
            <w:vAlign w:val="center"/>
            <w:hideMark/>
          </w:tcPr>
          <w:p w14:paraId="2257665A" w14:textId="77777777" w:rsidR="00D24364" w:rsidRPr="00D24364" w:rsidRDefault="00D24364" w:rsidP="00D24364">
            <w:pPr>
              <w:shd w:val="clear" w:color="auto" w:fill="FFFFFF"/>
              <w:spacing w:after="0" w:line="360" w:lineRule="atLeast"/>
              <w:rPr>
                <w:rFonts w:ascii="Arial" w:eastAsia="Times New Roman" w:hAnsi="Arial" w:cs="Arial"/>
                <w:color w:val="0A0A0A"/>
                <w:kern w:val="0"/>
                <w:lang w:eastAsia="en-GB"/>
                <w14:ligatures w14:val="none"/>
              </w:rPr>
            </w:pPr>
            <w:r w:rsidRPr="00D24364">
              <w:rPr>
                <w:rFonts w:ascii="Arial" w:eastAsia="Times New Roman" w:hAnsi="Arial" w:cs="Arial"/>
                <w:color w:val="0A0A0A"/>
                <w:kern w:val="0"/>
                <w:lang w:eastAsia="en-GB"/>
                <w14:ligatures w14:val="none"/>
              </w:rPr>
              <w:t>0.45 – 0.55</w:t>
            </w:r>
          </w:p>
        </w:tc>
      </w:tr>
    </w:tbl>
    <w:p w14:paraId="02E0F81F" w14:textId="77777777" w:rsidR="00D24364" w:rsidRDefault="00D2436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6E7EAB7C" w14:textId="5681FA41"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br/>
      </w:r>
      <w:r>
        <w:rPr>
          <w:rFonts w:ascii="Arial" w:eastAsia="Times New Roman" w:hAnsi="Arial" w:cs="Arial"/>
          <w:b/>
          <w:bCs/>
          <w:color w:val="0A0A0A"/>
          <w:kern w:val="0"/>
          <w:lang w:eastAsia="en-GB"/>
          <w14:ligatures w14:val="none"/>
        </w:rPr>
        <w:t xml:space="preserve">Table 4- </w:t>
      </w:r>
      <w:r w:rsidRPr="00DF4FFA">
        <w:rPr>
          <w:rFonts w:ascii="Arial" w:eastAsia="Times New Roman" w:hAnsi="Arial" w:cs="Arial"/>
          <w:b/>
          <w:bCs/>
          <w:color w:val="0A0A0A"/>
          <w:kern w:val="0"/>
          <w:lang w:eastAsia="en-GB"/>
          <w14:ligatures w14:val="none"/>
        </w:rPr>
        <w:t>5</w:t>
      </w:r>
      <w:r>
        <w:rPr>
          <w:rFonts w:ascii="Arial" w:eastAsia="Times New Roman" w:hAnsi="Arial" w:cs="Arial"/>
          <w:b/>
          <w:bCs/>
          <w:color w:val="0A0A0A"/>
          <w:kern w:val="0"/>
          <w:lang w:eastAsia="en-GB"/>
          <w14:ligatures w14:val="none"/>
        </w:rPr>
        <w:t xml:space="preserve"> </w:t>
      </w:r>
      <w:r w:rsidRPr="00DF4FFA">
        <w:rPr>
          <w:rFonts w:ascii="Arial" w:eastAsia="Times New Roman" w:hAnsi="Arial" w:cs="Arial"/>
          <w:b/>
          <w:bCs/>
          <w:color w:val="0A0A0A"/>
          <w:kern w:val="0"/>
          <w:lang w:eastAsia="en-GB"/>
          <w14:ligatures w14:val="none"/>
        </w:rPr>
        <w:t>Year Efficiency and Gearing Ratio Analysis (FY2021–FY2025*)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42"/>
        <w:gridCol w:w="1270"/>
        <w:gridCol w:w="1270"/>
        <w:gridCol w:w="1270"/>
        <w:gridCol w:w="1270"/>
        <w:gridCol w:w="1294"/>
      </w:tblGrid>
      <w:tr w:rsidR="00DF4FFA" w:rsidRPr="00DF4FFA" w14:paraId="6494697E" w14:textId="77777777" w:rsidTr="00DF4FFA">
        <w:trPr>
          <w:tblHeader/>
          <w:tblCellSpacing w:w="15" w:type="dxa"/>
        </w:trPr>
        <w:tc>
          <w:tcPr>
            <w:tcW w:w="0" w:type="auto"/>
            <w:vAlign w:val="center"/>
            <w:hideMark/>
          </w:tcPr>
          <w:p w14:paraId="0C85B5FA"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Ratio / Year</w:t>
            </w:r>
          </w:p>
        </w:tc>
        <w:tc>
          <w:tcPr>
            <w:tcW w:w="0" w:type="auto"/>
            <w:vAlign w:val="center"/>
            <w:hideMark/>
          </w:tcPr>
          <w:p w14:paraId="00A2EA1A"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FY2021</w:t>
            </w:r>
          </w:p>
        </w:tc>
        <w:tc>
          <w:tcPr>
            <w:tcW w:w="0" w:type="auto"/>
            <w:vAlign w:val="center"/>
            <w:hideMark/>
          </w:tcPr>
          <w:p w14:paraId="04FB965B"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FY2022</w:t>
            </w:r>
          </w:p>
        </w:tc>
        <w:tc>
          <w:tcPr>
            <w:tcW w:w="0" w:type="auto"/>
            <w:vAlign w:val="center"/>
            <w:hideMark/>
          </w:tcPr>
          <w:p w14:paraId="42C3C94C"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FY2023</w:t>
            </w:r>
          </w:p>
        </w:tc>
        <w:tc>
          <w:tcPr>
            <w:tcW w:w="0" w:type="auto"/>
            <w:vAlign w:val="center"/>
            <w:hideMark/>
          </w:tcPr>
          <w:p w14:paraId="6C0E3C56"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FY2024</w:t>
            </w:r>
          </w:p>
        </w:tc>
        <w:tc>
          <w:tcPr>
            <w:tcW w:w="0" w:type="auto"/>
            <w:vAlign w:val="center"/>
            <w:hideMark/>
          </w:tcPr>
          <w:p w14:paraId="792D9405" w14:textId="77777777"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r w:rsidRPr="00DF4FFA">
              <w:rPr>
                <w:rFonts w:ascii="Arial" w:eastAsia="Times New Roman" w:hAnsi="Arial" w:cs="Arial"/>
                <w:b/>
                <w:bCs/>
                <w:color w:val="0A0A0A"/>
                <w:kern w:val="0"/>
                <w:lang w:eastAsia="en-GB"/>
                <w14:ligatures w14:val="none"/>
              </w:rPr>
              <w:t>FY2025*</w:t>
            </w:r>
          </w:p>
        </w:tc>
      </w:tr>
      <w:tr w:rsidR="00DF4FFA" w:rsidRPr="00DF4FFA" w14:paraId="6DC42E30" w14:textId="77777777" w:rsidTr="00DF4FFA">
        <w:trPr>
          <w:tblCellSpacing w:w="15" w:type="dxa"/>
        </w:trPr>
        <w:tc>
          <w:tcPr>
            <w:tcW w:w="0" w:type="auto"/>
            <w:vAlign w:val="center"/>
            <w:hideMark/>
          </w:tcPr>
          <w:p w14:paraId="2C9FF359"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Asset Turnover (x)</w:t>
            </w:r>
          </w:p>
        </w:tc>
        <w:tc>
          <w:tcPr>
            <w:tcW w:w="0" w:type="auto"/>
            <w:vAlign w:val="center"/>
            <w:hideMark/>
          </w:tcPr>
          <w:p w14:paraId="0F475861"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0.44</w:t>
            </w:r>
          </w:p>
        </w:tc>
        <w:tc>
          <w:tcPr>
            <w:tcW w:w="0" w:type="auto"/>
            <w:vAlign w:val="center"/>
            <w:hideMark/>
          </w:tcPr>
          <w:p w14:paraId="3F1639CF"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0.47</w:t>
            </w:r>
          </w:p>
        </w:tc>
        <w:tc>
          <w:tcPr>
            <w:tcW w:w="0" w:type="auto"/>
            <w:vAlign w:val="center"/>
            <w:hideMark/>
          </w:tcPr>
          <w:p w14:paraId="52B4995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0.50</w:t>
            </w:r>
          </w:p>
        </w:tc>
        <w:tc>
          <w:tcPr>
            <w:tcW w:w="0" w:type="auto"/>
            <w:vAlign w:val="center"/>
            <w:hideMark/>
          </w:tcPr>
          <w:p w14:paraId="756C2C1F"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0.52</w:t>
            </w:r>
          </w:p>
        </w:tc>
        <w:tc>
          <w:tcPr>
            <w:tcW w:w="0" w:type="auto"/>
            <w:vAlign w:val="center"/>
            <w:hideMark/>
          </w:tcPr>
          <w:p w14:paraId="51E588F6"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0.53 – 0.55</w:t>
            </w:r>
          </w:p>
        </w:tc>
      </w:tr>
      <w:tr w:rsidR="00DF4FFA" w:rsidRPr="00DF4FFA" w14:paraId="1B7A2015" w14:textId="77777777" w:rsidTr="00DF4FFA">
        <w:trPr>
          <w:tblCellSpacing w:w="15" w:type="dxa"/>
        </w:trPr>
        <w:tc>
          <w:tcPr>
            <w:tcW w:w="0" w:type="auto"/>
            <w:vAlign w:val="center"/>
            <w:hideMark/>
          </w:tcPr>
          <w:p w14:paraId="1A2CEC10"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Inventory Turnover (x)</w:t>
            </w:r>
          </w:p>
        </w:tc>
        <w:tc>
          <w:tcPr>
            <w:tcW w:w="0" w:type="auto"/>
            <w:vAlign w:val="center"/>
            <w:hideMark/>
          </w:tcPr>
          <w:p w14:paraId="4868E8C5"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10.0 – 10.5</w:t>
            </w:r>
          </w:p>
        </w:tc>
        <w:tc>
          <w:tcPr>
            <w:tcW w:w="0" w:type="auto"/>
            <w:vAlign w:val="center"/>
            <w:hideMark/>
          </w:tcPr>
          <w:p w14:paraId="7BB6A7ED"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10.5 – 11.0</w:t>
            </w:r>
          </w:p>
        </w:tc>
        <w:tc>
          <w:tcPr>
            <w:tcW w:w="0" w:type="auto"/>
            <w:vAlign w:val="center"/>
            <w:hideMark/>
          </w:tcPr>
          <w:p w14:paraId="2955318D"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9.5 – 10.0</w:t>
            </w:r>
          </w:p>
        </w:tc>
        <w:tc>
          <w:tcPr>
            <w:tcW w:w="0" w:type="auto"/>
            <w:vAlign w:val="center"/>
            <w:hideMark/>
          </w:tcPr>
          <w:p w14:paraId="445AAAD7"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11.0 – 11.5</w:t>
            </w:r>
          </w:p>
        </w:tc>
        <w:tc>
          <w:tcPr>
            <w:tcW w:w="0" w:type="auto"/>
            <w:vAlign w:val="center"/>
            <w:hideMark/>
          </w:tcPr>
          <w:p w14:paraId="6558D1E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11.0 – 12.0</w:t>
            </w:r>
          </w:p>
        </w:tc>
      </w:tr>
      <w:tr w:rsidR="00DF4FFA" w:rsidRPr="00DF4FFA" w14:paraId="09120315" w14:textId="77777777" w:rsidTr="00DF4FFA">
        <w:trPr>
          <w:tblCellSpacing w:w="15" w:type="dxa"/>
        </w:trPr>
        <w:tc>
          <w:tcPr>
            <w:tcW w:w="0" w:type="auto"/>
            <w:vAlign w:val="center"/>
            <w:hideMark/>
          </w:tcPr>
          <w:p w14:paraId="372D74D6"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Receivables Turnover (x)</w:t>
            </w:r>
          </w:p>
        </w:tc>
        <w:tc>
          <w:tcPr>
            <w:tcW w:w="0" w:type="auto"/>
            <w:vAlign w:val="center"/>
            <w:hideMark/>
          </w:tcPr>
          <w:p w14:paraId="65E7F9DA"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6.5 – 7.0</w:t>
            </w:r>
          </w:p>
        </w:tc>
        <w:tc>
          <w:tcPr>
            <w:tcW w:w="0" w:type="auto"/>
            <w:vAlign w:val="center"/>
            <w:hideMark/>
          </w:tcPr>
          <w:p w14:paraId="0F68FE4F"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7.0 – 7.5</w:t>
            </w:r>
          </w:p>
        </w:tc>
        <w:tc>
          <w:tcPr>
            <w:tcW w:w="0" w:type="auto"/>
            <w:vAlign w:val="center"/>
            <w:hideMark/>
          </w:tcPr>
          <w:p w14:paraId="49F0D592"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6.5 – 7.0</w:t>
            </w:r>
          </w:p>
        </w:tc>
        <w:tc>
          <w:tcPr>
            <w:tcW w:w="0" w:type="auto"/>
            <w:vAlign w:val="center"/>
            <w:hideMark/>
          </w:tcPr>
          <w:p w14:paraId="373E16B5"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7.5 – 8.0</w:t>
            </w:r>
          </w:p>
        </w:tc>
        <w:tc>
          <w:tcPr>
            <w:tcW w:w="0" w:type="auto"/>
            <w:vAlign w:val="center"/>
            <w:hideMark/>
          </w:tcPr>
          <w:p w14:paraId="63FA0155"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7.5 – 8.5</w:t>
            </w:r>
          </w:p>
        </w:tc>
      </w:tr>
      <w:tr w:rsidR="00DF4FFA" w:rsidRPr="00DF4FFA" w14:paraId="1578BCF1" w14:textId="77777777" w:rsidTr="00DF4FFA">
        <w:trPr>
          <w:tblCellSpacing w:w="15" w:type="dxa"/>
        </w:trPr>
        <w:tc>
          <w:tcPr>
            <w:tcW w:w="0" w:type="auto"/>
            <w:vAlign w:val="center"/>
            <w:hideMark/>
          </w:tcPr>
          <w:p w14:paraId="130CF102"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lastRenderedPageBreak/>
              <w:t>Total Asset Turnover (x)</w:t>
            </w:r>
          </w:p>
        </w:tc>
        <w:tc>
          <w:tcPr>
            <w:tcW w:w="0" w:type="auto"/>
            <w:vAlign w:val="center"/>
            <w:hideMark/>
          </w:tcPr>
          <w:p w14:paraId="72868BED"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0.44</w:t>
            </w:r>
          </w:p>
        </w:tc>
        <w:tc>
          <w:tcPr>
            <w:tcW w:w="0" w:type="auto"/>
            <w:vAlign w:val="center"/>
            <w:hideMark/>
          </w:tcPr>
          <w:p w14:paraId="2EB2F7C3"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0.47</w:t>
            </w:r>
          </w:p>
        </w:tc>
        <w:tc>
          <w:tcPr>
            <w:tcW w:w="0" w:type="auto"/>
            <w:vAlign w:val="center"/>
            <w:hideMark/>
          </w:tcPr>
          <w:p w14:paraId="22D7C6A3"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0.50</w:t>
            </w:r>
          </w:p>
        </w:tc>
        <w:tc>
          <w:tcPr>
            <w:tcW w:w="0" w:type="auto"/>
            <w:vAlign w:val="center"/>
            <w:hideMark/>
          </w:tcPr>
          <w:p w14:paraId="4AEC2A0A"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0.52</w:t>
            </w:r>
          </w:p>
        </w:tc>
        <w:tc>
          <w:tcPr>
            <w:tcW w:w="0" w:type="auto"/>
            <w:vAlign w:val="center"/>
            <w:hideMark/>
          </w:tcPr>
          <w:p w14:paraId="61159EC4"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0.53 – 0.55</w:t>
            </w:r>
          </w:p>
        </w:tc>
      </w:tr>
      <w:tr w:rsidR="00DF4FFA" w:rsidRPr="00DF4FFA" w14:paraId="1F2A3293" w14:textId="77777777" w:rsidTr="00DF4FFA">
        <w:trPr>
          <w:tblCellSpacing w:w="15" w:type="dxa"/>
        </w:trPr>
        <w:tc>
          <w:tcPr>
            <w:tcW w:w="0" w:type="auto"/>
            <w:vAlign w:val="center"/>
            <w:hideMark/>
          </w:tcPr>
          <w:p w14:paraId="53F52711"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Debt-to-Equity Ratio (x)</w:t>
            </w:r>
          </w:p>
        </w:tc>
        <w:tc>
          <w:tcPr>
            <w:tcW w:w="0" w:type="auto"/>
            <w:vAlign w:val="center"/>
            <w:hideMark/>
          </w:tcPr>
          <w:p w14:paraId="7EE895E2"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1.70 – 1.80</w:t>
            </w:r>
          </w:p>
        </w:tc>
        <w:tc>
          <w:tcPr>
            <w:tcW w:w="0" w:type="auto"/>
            <w:vAlign w:val="center"/>
            <w:hideMark/>
          </w:tcPr>
          <w:p w14:paraId="3BCAEFB8"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1.75 – 1.85</w:t>
            </w:r>
          </w:p>
        </w:tc>
        <w:tc>
          <w:tcPr>
            <w:tcW w:w="0" w:type="auto"/>
            <w:vAlign w:val="center"/>
            <w:hideMark/>
          </w:tcPr>
          <w:p w14:paraId="735B3FF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1.80 – 1.90</w:t>
            </w:r>
          </w:p>
        </w:tc>
        <w:tc>
          <w:tcPr>
            <w:tcW w:w="0" w:type="auto"/>
            <w:vAlign w:val="center"/>
            <w:hideMark/>
          </w:tcPr>
          <w:p w14:paraId="0EB26DB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1.60 – 1.70</w:t>
            </w:r>
          </w:p>
        </w:tc>
        <w:tc>
          <w:tcPr>
            <w:tcW w:w="0" w:type="auto"/>
            <w:vAlign w:val="center"/>
            <w:hideMark/>
          </w:tcPr>
          <w:p w14:paraId="6E2867FC"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1.55 – 1.65</w:t>
            </w:r>
          </w:p>
        </w:tc>
      </w:tr>
      <w:tr w:rsidR="00DF4FFA" w:rsidRPr="00DF4FFA" w14:paraId="771C368A" w14:textId="77777777" w:rsidTr="00DF4FFA">
        <w:trPr>
          <w:tblCellSpacing w:w="15" w:type="dxa"/>
        </w:trPr>
        <w:tc>
          <w:tcPr>
            <w:tcW w:w="0" w:type="auto"/>
            <w:vAlign w:val="center"/>
            <w:hideMark/>
          </w:tcPr>
          <w:p w14:paraId="30E2E6FA"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Debt Ratio (%)</w:t>
            </w:r>
          </w:p>
        </w:tc>
        <w:tc>
          <w:tcPr>
            <w:tcW w:w="0" w:type="auto"/>
            <w:vAlign w:val="center"/>
            <w:hideMark/>
          </w:tcPr>
          <w:p w14:paraId="0BC3D9C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63% – 65%</w:t>
            </w:r>
          </w:p>
        </w:tc>
        <w:tc>
          <w:tcPr>
            <w:tcW w:w="0" w:type="auto"/>
            <w:vAlign w:val="center"/>
            <w:hideMark/>
          </w:tcPr>
          <w:p w14:paraId="7386F378"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64% – 66%</w:t>
            </w:r>
          </w:p>
        </w:tc>
        <w:tc>
          <w:tcPr>
            <w:tcW w:w="0" w:type="auto"/>
            <w:vAlign w:val="center"/>
            <w:hideMark/>
          </w:tcPr>
          <w:p w14:paraId="1B3741AD"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65% – 67%</w:t>
            </w:r>
          </w:p>
        </w:tc>
        <w:tc>
          <w:tcPr>
            <w:tcW w:w="0" w:type="auto"/>
            <w:vAlign w:val="center"/>
            <w:hideMark/>
          </w:tcPr>
          <w:p w14:paraId="31DF3FB9"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61% – 63%</w:t>
            </w:r>
          </w:p>
        </w:tc>
        <w:tc>
          <w:tcPr>
            <w:tcW w:w="0" w:type="auto"/>
            <w:vAlign w:val="center"/>
            <w:hideMark/>
          </w:tcPr>
          <w:p w14:paraId="5C9C66AF"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60% – 62%</w:t>
            </w:r>
          </w:p>
        </w:tc>
      </w:tr>
      <w:tr w:rsidR="00DF4FFA" w:rsidRPr="00DF4FFA" w14:paraId="2BD31D6B" w14:textId="77777777" w:rsidTr="00DF4FFA">
        <w:trPr>
          <w:tblCellSpacing w:w="15" w:type="dxa"/>
        </w:trPr>
        <w:tc>
          <w:tcPr>
            <w:tcW w:w="0" w:type="auto"/>
            <w:vAlign w:val="center"/>
            <w:hideMark/>
          </w:tcPr>
          <w:p w14:paraId="10654CB7"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Interest Coverage (x)</w:t>
            </w:r>
          </w:p>
        </w:tc>
        <w:tc>
          <w:tcPr>
            <w:tcW w:w="0" w:type="auto"/>
            <w:vAlign w:val="center"/>
            <w:hideMark/>
          </w:tcPr>
          <w:p w14:paraId="193CB045"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8.0 – 9.0</w:t>
            </w:r>
          </w:p>
        </w:tc>
        <w:tc>
          <w:tcPr>
            <w:tcW w:w="0" w:type="auto"/>
            <w:vAlign w:val="center"/>
            <w:hideMark/>
          </w:tcPr>
          <w:p w14:paraId="48430BDA"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9.0 – 10.0</w:t>
            </w:r>
          </w:p>
        </w:tc>
        <w:tc>
          <w:tcPr>
            <w:tcW w:w="0" w:type="auto"/>
            <w:vAlign w:val="center"/>
            <w:hideMark/>
          </w:tcPr>
          <w:p w14:paraId="4F2A7A4B"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7.5 – 8.5</w:t>
            </w:r>
          </w:p>
        </w:tc>
        <w:tc>
          <w:tcPr>
            <w:tcW w:w="0" w:type="auto"/>
            <w:vAlign w:val="center"/>
            <w:hideMark/>
          </w:tcPr>
          <w:p w14:paraId="2BA26FC1"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11.0 – 12.0</w:t>
            </w:r>
          </w:p>
        </w:tc>
        <w:tc>
          <w:tcPr>
            <w:tcW w:w="0" w:type="auto"/>
            <w:vAlign w:val="center"/>
            <w:hideMark/>
          </w:tcPr>
          <w:p w14:paraId="11A61728" w14:textId="77777777" w:rsidR="00DF4FFA" w:rsidRPr="00DF4FFA" w:rsidRDefault="00DF4FFA" w:rsidP="00DF4FFA">
            <w:pPr>
              <w:shd w:val="clear" w:color="auto" w:fill="FFFFFF"/>
              <w:spacing w:after="0" w:line="360" w:lineRule="atLeast"/>
              <w:rPr>
                <w:rFonts w:ascii="Arial" w:eastAsia="Times New Roman" w:hAnsi="Arial" w:cs="Arial"/>
                <w:color w:val="0A0A0A"/>
                <w:kern w:val="0"/>
                <w:lang w:eastAsia="en-GB"/>
                <w14:ligatures w14:val="none"/>
              </w:rPr>
            </w:pPr>
            <w:r w:rsidRPr="00DF4FFA">
              <w:rPr>
                <w:rFonts w:ascii="Arial" w:eastAsia="Times New Roman" w:hAnsi="Arial" w:cs="Arial"/>
                <w:color w:val="0A0A0A"/>
                <w:kern w:val="0"/>
                <w:lang w:eastAsia="en-GB"/>
                <w14:ligatures w14:val="none"/>
              </w:rPr>
              <w:t>11.5 – 13.0</w:t>
            </w:r>
          </w:p>
        </w:tc>
      </w:tr>
    </w:tbl>
    <w:p w14:paraId="5BA9AB00" w14:textId="6BA31FA1" w:rsidR="00DF4FFA" w:rsidRPr="00DF4FFA" w:rsidRDefault="00DF4FFA" w:rsidP="00DF4FFA">
      <w:pPr>
        <w:shd w:val="clear" w:color="auto" w:fill="FFFFFF"/>
        <w:spacing w:after="0" w:line="360" w:lineRule="atLeast"/>
        <w:rPr>
          <w:rFonts w:ascii="Arial" w:eastAsia="Times New Roman" w:hAnsi="Arial" w:cs="Arial"/>
          <w:b/>
          <w:bCs/>
          <w:color w:val="0A0A0A"/>
          <w:kern w:val="0"/>
          <w:lang w:eastAsia="en-GB"/>
          <w14:ligatures w14:val="none"/>
        </w:rPr>
      </w:pPr>
    </w:p>
    <w:p w14:paraId="63EAC3B9" w14:textId="77777777" w:rsidR="00D24364" w:rsidRDefault="00D2436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0FC13533" w14:textId="40AC8DDA" w:rsid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Pr>
          <w:rFonts w:ascii="Arial" w:eastAsia="Times New Roman" w:hAnsi="Arial" w:cs="Arial"/>
          <w:b/>
          <w:bCs/>
          <w:color w:val="0A0A0A"/>
          <w:kern w:val="0"/>
          <w:lang w:eastAsia="en-GB"/>
          <w14:ligatures w14:val="none"/>
        </w:rPr>
        <w:t xml:space="preserve">Table 5 – </w:t>
      </w:r>
      <w:r w:rsidRPr="00443474">
        <w:rPr>
          <w:rFonts w:ascii="Arial" w:eastAsia="Times New Roman" w:hAnsi="Arial" w:cs="Arial"/>
          <w:b/>
          <w:bCs/>
          <w:color w:val="0A0A0A"/>
          <w:kern w:val="0"/>
          <w:lang w:eastAsia="en-GB"/>
          <w14:ligatures w14:val="none"/>
        </w:rPr>
        <w:t>5</w:t>
      </w:r>
      <w:r>
        <w:rPr>
          <w:rFonts w:ascii="Arial" w:eastAsia="Times New Roman" w:hAnsi="Arial" w:cs="Arial"/>
          <w:b/>
          <w:bCs/>
          <w:color w:val="0A0A0A"/>
          <w:kern w:val="0"/>
          <w:lang w:eastAsia="en-GB"/>
          <w14:ligatures w14:val="none"/>
        </w:rPr>
        <w:t xml:space="preserve"> </w:t>
      </w:r>
      <w:r w:rsidRPr="00443474">
        <w:rPr>
          <w:rFonts w:ascii="Arial" w:eastAsia="Times New Roman" w:hAnsi="Arial" w:cs="Arial"/>
          <w:b/>
          <w:bCs/>
          <w:color w:val="0A0A0A"/>
          <w:kern w:val="0"/>
          <w:lang w:eastAsia="en-GB"/>
          <w14:ligatures w14:val="none"/>
        </w:rPr>
        <w:t>Year Investment Ratio Analysis (FY2021–FY2025*)</w:t>
      </w:r>
    </w:p>
    <w:p w14:paraId="46B552F6" w14:textId="77777777" w:rsidR="007E5DA1" w:rsidRDefault="007E5DA1" w:rsidP="00443474">
      <w:pPr>
        <w:shd w:val="clear" w:color="auto" w:fill="FFFFFF"/>
        <w:spacing w:after="0" w:line="360" w:lineRule="atLeast"/>
        <w:rPr>
          <w:rFonts w:ascii="Arial" w:eastAsia="Times New Roman" w:hAnsi="Arial" w:cs="Arial"/>
          <w:b/>
          <w:bCs/>
          <w:color w:val="0A0A0A"/>
          <w:kern w:val="0"/>
          <w:lang w:eastAsia="en-GB"/>
          <w14:ligatures w14:val="none"/>
        </w:rPr>
      </w:pPr>
    </w:p>
    <w:p w14:paraId="0BC8E732" w14:textId="77777777" w:rsidR="005D04FA" w:rsidRPr="005D04FA" w:rsidRDefault="005D04FA" w:rsidP="005D04FA">
      <w:pPr>
        <w:shd w:val="clear" w:color="auto" w:fill="FFFFFF"/>
        <w:spacing w:after="0" w:line="360" w:lineRule="atLeast"/>
        <w:rPr>
          <w:rFonts w:ascii="Arial" w:eastAsia="Times New Roman" w:hAnsi="Arial" w:cs="Arial"/>
          <w:color w:val="0A0A0A"/>
          <w:kern w:val="0"/>
          <w:lang w:eastAsia="en-GB"/>
          <w14:ligatures w14:val="none"/>
        </w:rPr>
      </w:pPr>
      <w:r w:rsidRPr="005D04FA">
        <w:rPr>
          <w:rFonts w:ascii="Arial" w:eastAsia="Times New Roman" w:hAnsi="Arial" w:cs="Arial"/>
          <w:color w:val="0A0A0A"/>
          <w:kern w:val="0"/>
          <w:lang w:eastAsia="en-GB"/>
          <w14:ligatures w14:val="none"/>
        </w:rPr>
        <w:t>Investment ratios are financial indicators utilized to assess the returns produced for shareholders and the general appeal of a company as an investment prospect. These ratios assist investors in assessing how efficiently a company utilizes its profits to generate value and if it offers adequate returns relative to the associated risk. A 5-year investment ratio appraisal offers a comprehensive perspective on the development of shareholder wealth, growth in earnings, and trends in market performance.</w:t>
      </w:r>
      <w:r w:rsidRPr="005D04FA">
        <w:rPr>
          <w:rFonts w:ascii="Arial" w:eastAsia="Times New Roman" w:hAnsi="Arial" w:cs="Arial"/>
          <w:color w:val="0A0A0A"/>
          <w:kern w:val="0"/>
          <w:lang w:eastAsia="en-GB"/>
          <w14:ligatures w14:val="none"/>
        </w:rPr>
        <w:br/>
      </w:r>
    </w:p>
    <w:p w14:paraId="355A27F4" w14:textId="77777777" w:rsidR="005D04FA" w:rsidRPr="005D04FA" w:rsidRDefault="005D04FA" w:rsidP="005D04FA">
      <w:pPr>
        <w:shd w:val="clear" w:color="auto" w:fill="FFFFFF"/>
        <w:spacing w:after="0" w:line="360" w:lineRule="atLeast"/>
        <w:rPr>
          <w:rFonts w:ascii="Arial" w:eastAsia="Times New Roman" w:hAnsi="Arial" w:cs="Arial"/>
          <w:color w:val="0A0A0A"/>
          <w:kern w:val="0"/>
          <w:lang w:eastAsia="en-GB"/>
          <w14:ligatures w14:val="none"/>
        </w:rPr>
      </w:pPr>
      <w:r w:rsidRPr="005D04FA">
        <w:rPr>
          <w:rFonts w:ascii="Arial" w:eastAsia="Times New Roman" w:hAnsi="Arial" w:cs="Arial"/>
          <w:color w:val="0A0A0A"/>
          <w:kern w:val="0"/>
          <w:lang w:eastAsia="en-GB"/>
          <w14:ligatures w14:val="none"/>
        </w:rPr>
        <w:t>For a worldwide automotive giant like Toyota Motor Corporation, investment ratios hold significant importance as the firm functions in a capital-heavy sector where enduring investor trust relies on steady earnings, reliable dividends, and sustainable development.</w:t>
      </w:r>
    </w:p>
    <w:p w14:paraId="2A1556C9" w14:textId="4E379A58" w:rsidR="006150A3" w:rsidRPr="007E5DA1" w:rsidRDefault="006150A3" w:rsidP="006150A3">
      <w:pPr>
        <w:shd w:val="clear" w:color="auto" w:fill="FFFFFF"/>
        <w:spacing w:after="0" w:line="360" w:lineRule="atLeast"/>
        <w:jc w:val="center"/>
        <w:rPr>
          <w:rFonts w:ascii="Arial" w:eastAsia="Times New Roman" w:hAnsi="Arial" w:cs="Arial"/>
          <w:color w:val="0A0A0A"/>
          <w:kern w:val="0"/>
          <w:lang w:eastAsia="en-GB"/>
          <w14:ligatures w14:val="none"/>
        </w:rPr>
      </w:pPr>
      <w:r>
        <w:rPr>
          <w:rFonts w:ascii="Arial" w:eastAsia="Times New Roman" w:hAnsi="Arial" w:cs="Arial"/>
          <w:noProof/>
          <w:color w:val="0A0A0A"/>
          <w:kern w:val="0"/>
          <w:lang w:eastAsia="en-GB"/>
        </w:rPr>
        <w:lastRenderedPageBreak/>
        <w:drawing>
          <wp:inline distT="0" distB="0" distL="0" distR="0" wp14:anchorId="46291176" wp14:editId="2FA4AB57">
            <wp:extent cx="3670300" cy="5093935"/>
            <wp:effectExtent l="0" t="0" r="6350" b="0"/>
            <wp:docPr id="6177794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79474" name="Picture 617779474"/>
                    <pic:cNvPicPr/>
                  </pic:nvPicPr>
                  <pic:blipFill>
                    <a:blip r:embed="rId8">
                      <a:extLst>
                        <a:ext uri="{28A0092B-C50C-407E-A947-70E740481C1C}">
                          <a14:useLocalDpi xmlns:a14="http://schemas.microsoft.com/office/drawing/2010/main" val="0"/>
                        </a:ext>
                      </a:extLst>
                    </a:blip>
                    <a:stretch>
                      <a:fillRect/>
                    </a:stretch>
                  </pic:blipFill>
                  <pic:spPr>
                    <a:xfrm>
                      <a:off x="0" y="0"/>
                      <a:ext cx="3678002" cy="5104624"/>
                    </a:xfrm>
                    <a:prstGeom prst="rect">
                      <a:avLst/>
                    </a:prstGeom>
                  </pic:spPr>
                </pic:pic>
              </a:graphicData>
            </a:graphic>
          </wp:inline>
        </w:drawing>
      </w:r>
    </w:p>
    <w:p w14:paraId="00417781" w14:textId="77777777" w:rsidR="007E5DA1" w:rsidRPr="00443474" w:rsidRDefault="007E5DA1" w:rsidP="00443474">
      <w:pPr>
        <w:shd w:val="clear" w:color="auto" w:fill="FFFFFF"/>
        <w:spacing w:after="0" w:line="360" w:lineRule="atLeast"/>
        <w:rPr>
          <w:rFonts w:ascii="Arial" w:eastAsia="Times New Roman" w:hAnsi="Arial" w:cs="Arial"/>
          <w:b/>
          <w:bCs/>
          <w:color w:val="0A0A0A"/>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38"/>
        <w:gridCol w:w="1287"/>
        <w:gridCol w:w="1287"/>
        <w:gridCol w:w="1287"/>
        <w:gridCol w:w="1287"/>
        <w:gridCol w:w="1330"/>
      </w:tblGrid>
      <w:tr w:rsidR="00443474" w:rsidRPr="00443474" w14:paraId="6E464C7F" w14:textId="77777777" w:rsidTr="00443474">
        <w:trPr>
          <w:tblHeader/>
          <w:tblCellSpacing w:w="15" w:type="dxa"/>
        </w:trPr>
        <w:tc>
          <w:tcPr>
            <w:tcW w:w="0" w:type="auto"/>
            <w:vAlign w:val="center"/>
            <w:hideMark/>
          </w:tcPr>
          <w:p w14:paraId="02229C3B"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Ratio / Year</w:t>
            </w:r>
          </w:p>
        </w:tc>
        <w:tc>
          <w:tcPr>
            <w:tcW w:w="0" w:type="auto"/>
            <w:vAlign w:val="center"/>
            <w:hideMark/>
          </w:tcPr>
          <w:p w14:paraId="04D0277A"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FY2021</w:t>
            </w:r>
          </w:p>
        </w:tc>
        <w:tc>
          <w:tcPr>
            <w:tcW w:w="0" w:type="auto"/>
            <w:vAlign w:val="center"/>
            <w:hideMark/>
          </w:tcPr>
          <w:p w14:paraId="408734F6"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FY2022</w:t>
            </w:r>
          </w:p>
        </w:tc>
        <w:tc>
          <w:tcPr>
            <w:tcW w:w="0" w:type="auto"/>
            <w:vAlign w:val="center"/>
            <w:hideMark/>
          </w:tcPr>
          <w:p w14:paraId="1E079056"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FY2023</w:t>
            </w:r>
          </w:p>
        </w:tc>
        <w:tc>
          <w:tcPr>
            <w:tcW w:w="0" w:type="auto"/>
            <w:vAlign w:val="center"/>
            <w:hideMark/>
          </w:tcPr>
          <w:p w14:paraId="2338E8AB"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FY2024</w:t>
            </w:r>
          </w:p>
        </w:tc>
        <w:tc>
          <w:tcPr>
            <w:tcW w:w="0" w:type="auto"/>
            <w:vAlign w:val="center"/>
            <w:hideMark/>
          </w:tcPr>
          <w:p w14:paraId="5942AF27" w14:textId="77777777" w:rsidR="00443474" w:rsidRPr="00443474" w:rsidRDefault="00443474" w:rsidP="00443474">
            <w:pPr>
              <w:shd w:val="clear" w:color="auto" w:fill="FFFFFF"/>
              <w:spacing w:after="0" w:line="360" w:lineRule="atLeast"/>
              <w:rPr>
                <w:rFonts w:ascii="Arial" w:eastAsia="Times New Roman" w:hAnsi="Arial" w:cs="Arial"/>
                <w:b/>
                <w:bCs/>
                <w:color w:val="0A0A0A"/>
                <w:kern w:val="0"/>
                <w:lang w:eastAsia="en-GB"/>
                <w14:ligatures w14:val="none"/>
              </w:rPr>
            </w:pPr>
            <w:r w:rsidRPr="00443474">
              <w:rPr>
                <w:rFonts w:ascii="Arial" w:eastAsia="Times New Roman" w:hAnsi="Arial" w:cs="Arial"/>
                <w:b/>
                <w:bCs/>
                <w:color w:val="0A0A0A"/>
                <w:kern w:val="0"/>
                <w:lang w:eastAsia="en-GB"/>
                <w14:ligatures w14:val="none"/>
              </w:rPr>
              <w:t>FY2025*</w:t>
            </w:r>
          </w:p>
        </w:tc>
      </w:tr>
      <w:tr w:rsidR="00443474" w:rsidRPr="00443474" w14:paraId="4AEB86B1" w14:textId="77777777" w:rsidTr="00443474">
        <w:trPr>
          <w:tblCellSpacing w:w="15" w:type="dxa"/>
        </w:trPr>
        <w:tc>
          <w:tcPr>
            <w:tcW w:w="0" w:type="auto"/>
            <w:vAlign w:val="center"/>
            <w:hideMark/>
          </w:tcPr>
          <w:p w14:paraId="19F1A278"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Earnings Per Share (¥)</w:t>
            </w:r>
          </w:p>
        </w:tc>
        <w:tc>
          <w:tcPr>
            <w:tcW w:w="0" w:type="auto"/>
            <w:vAlign w:val="center"/>
            <w:hideMark/>
          </w:tcPr>
          <w:p w14:paraId="65F292A9"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440</w:t>
            </w:r>
          </w:p>
        </w:tc>
        <w:tc>
          <w:tcPr>
            <w:tcW w:w="0" w:type="auto"/>
            <w:vAlign w:val="center"/>
            <w:hideMark/>
          </w:tcPr>
          <w:p w14:paraId="25F138A9"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750</w:t>
            </w:r>
          </w:p>
        </w:tc>
        <w:tc>
          <w:tcPr>
            <w:tcW w:w="0" w:type="auto"/>
            <w:vAlign w:val="center"/>
            <w:hideMark/>
          </w:tcPr>
          <w:p w14:paraId="32176803"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680</w:t>
            </w:r>
          </w:p>
        </w:tc>
        <w:tc>
          <w:tcPr>
            <w:tcW w:w="0" w:type="auto"/>
            <w:vAlign w:val="center"/>
            <w:hideMark/>
          </w:tcPr>
          <w:p w14:paraId="46FE12E8"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1,600</w:t>
            </w:r>
          </w:p>
        </w:tc>
        <w:tc>
          <w:tcPr>
            <w:tcW w:w="0" w:type="auto"/>
            <w:vAlign w:val="center"/>
            <w:hideMark/>
          </w:tcPr>
          <w:p w14:paraId="1C2823A1"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1,700 (est.)</w:t>
            </w:r>
          </w:p>
        </w:tc>
      </w:tr>
      <w:tr w:rsidR="00443474" w:rsidRPr="00443474" w14:paraId="4198487C" w14:textId="77777777" w:rsidTr="00443474">
        <w:trPr>
          <w:tblCellSpacing w:w="15" w:type="dxa"/>
        </w:trPr>
        <w:tc>
          <w:tcPr>
            <w:tcW w:w="0" w:type="auto"/>
            <w:vAlign w:val="center"/>
            <w:hideMark/>
          </w:tcPr>
          <w:p w14:paraId="489B1EC6"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Dividend Per Share (¥)</w:t>
            </w:r>
          </w:p>
        </w:tc>
        <w:tc>
          <w:tcPr>
            <w:tcW w:w="0" w:type="auto"/>
            <w:vAlign w:val="center"/>
            <w:hideMark/>
          </w:tcPr>
          <w:p w14:paraId="01F8700B"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240 – 260</w:t>
            </w:r>
          </w:p>
        </w:tc>
        <w:tc>
          <w:tcPr>
            <w:tcW w:w="0" w:type="auto"/>
            <w:vAlign w:val="center"/>
            <w:hideMark/>
          </w:tcPr>
          <w:p w14:paraId="32EF0EDE"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260 – 280</w:t>
            </w:r>
          </w:p>
        </w:tc>
        <w:tc>
          <w:tcPr>
            <w:tcW w:w="0" w:type="auto"/>
            <w:vAlign w:val="center"/>
            <w:hideMark/>
          </w:tcPr>
          <w:p w14:paraId="181A2F53"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270 – 290</w:t>
            </w:r>
          </w:p>
        </w:tc>
        <w:tc>
          <w:tcPr>
            <w:tcW w:w="0" w:type="auto"/>
            <w:vAlign w:val="center"/>
            <w:hideMark/>
          </w:tcPr>
          <w:p w14:paraId="3F963102"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300 – 320</w:t>
            </w:r>
          </w:p>
        </w:tc>
        <w:tc>
          <w:tcPr>
            <w:tcW w:w="0" w:type="auto"/>
            <w:vAlign w:val="center"/>
            <w:hideMark/>
          </w:tcPr>
          <w:p w14:paraId="7FE2F9DB"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320 – 350</w:t>
            </w:r>
          </w:p>
        </w:tc>
      </w:tr>
      <w:tr w:rsidR="00443474" w:rsidRPr="00443474" w14:paraId="0A5631F2" w14:textId="77777777" w:rsidTr="00443474">
        <w:trPr>
          <w:tblCellSpacing w:w="15" w:type="dxa"/>
        </w:trPr>
        <w:tc>
          <w:tcPr>
            <w:tcW w:w="0" w:type="auto"/>
            <w:vAlign w:val="center"/>
            <w:hideMark/>
          </w:tcPr>
          <w:p w14:paraId="0A2195B1"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Dividend Payout Ratio (%)</w:t>
            </w:r>
          </w:p>
        </w:tc>
        <w:tc>
          <w:tcPr>
            <w:tcW w:w="0" w:type="auto"/>
            <w:vAlign w:val="center"/>
            <w:hideMark/>
          </w:tcPr>
          <w:p w14:paraId="45785635"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55% – 60%</w:t>
            </w:r>
          </w:p>
        </w:tc>
        <w:tc>
          <w:tcPr>
            <w:tcW w:w="0" w:type="auto"/>
            <w:vAlign w:val="center"/>
            <w:hideMark/>
          </w:tcPr>
          <w:p w14:paraId="348FFDDB"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35% – 40%</w:t>
            </w:r>
          </w:p>
        </w:tc>
        <w:tc>
          <w:tcPr>
            <w:tcW w:w="0" w:type="auto"/>
            <w:vAlign w:val="center"/>
            <w:hideMark/>
          </w:tcPr>
          <w:p w14:paraId="130A82CB"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40% – 45%</w:t>
            </w:r>
          </w:p>
        </w:tc>
        <w:tc>
          <w:tcPr>
            <w:tcW w:w="0" w:type="auto"/>
            <w:vAlign w:val="center"/>
            <w:hideMark/>
          </w:tcPr>
          <w:p w14:paraId="15485D1F"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18% – 22%</w:t>
            </w:r>
          </w:p>
        </w:tc>
        <w:tc>
          <w:tcPr>
            <w:tcW w:w="0" w:type="auto"/>
            <w:vAlign w:val="center"/>
            <w:hideMark/>
          </w:tcPr>
          <w:p w14:paraId="14292AA8"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18% – 22%</w:t>
            </w:r>
          </w:p>
        </w:tc>
      </w:tr>
      <w:tr w:rsidR="00443474" w:rsidRPr="00443474" w14:paraId="4144463B" w14:textId="77777777" w:rsidTr="00443474">
        <w:trPr>
          <w:tblCellSpacing w:w="15" w:type="dxa"/>
        </w:trPr>
        <w:tc>
          <w:tcPr>
            <w:tcW w:w="0" w:type="auto"/>
            <w:vAlign w:val="center"/>
            <w:hideMark/>
          </w:tcPr>
          <w:p w14:paraId="27C6CC42"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Price/Earnings Ratio (x)</w:t>
            </w:r>
          </w:p>
        </w:tc>
        <w:tc>
          <w:tcPr>
            <w:tcW w:w="0" w:type="auto"/>
            <w:vAlign w:val="center"/>
            <w:hideMark/>
          </w:tcPr>
          <w:p w14:paraId="1096D46D"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20 – 22</w:t>
            </w:r>
          </w:p>
        </w:tc>
        <w:tc>
          <w:tcPr>
            <w:tcW w:w="0" w:type="auto"/>
            <w:vAlign w:val="center"/>
            <w:hideMark/>
          </w:tcPr>
          <w:p w14:paraId="056001EA"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16 – 18</w:t>
            </w:r>
          </w:p>
        </w:tc>
        <w:tc>
          <w:tcPr>
            <w:tcW w:w="0" w:type="auto"/>
            <w:vAlign w:val="center"/>
            <w:hideMark/>
          </w:tcPr>
          <w:p w14:paraId="4F3616D8"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17 – 19</w:t>
            </w:r>
          </w:p>
        </w:tc>
        <w:tc>
          <w:tcPr>
            <w:tcW w:w="0" w:type="auto"/>
            <w:vAlign w:val="center"/>
            <w:hideMark/>
          </w:tcPr>
          <w:p w14:paraId="69173615"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14 – 16</w:t>
            </w:r>
          </w:p>
        </w:tc>
        <w:tc>
          <w:tcPr>
            <w:tcW w:w="0" w:type="auto"/>
            <w:vAlign w:val="center"/>
            <w:hideMark/>
          </w:tcPr>
          <w:p w14:paraId="3A82A6C2"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14 – 16</w:t>
            </w:r>
          </w:p>
        </w:tc>
      </w:tr>
      <w:tr w:rsidR="00443474" w:rsidRPr="00443474" w14:paraId="02C45BD4" w14:textId="77777777" w:rsidTr="00443474">
        <w:trPr>
          <w:tblCellSpacing w:w="15" w:type="dxa"/>
        </w:trPr>
        <w:tc>
          <w:tcPr>
            <w:tcW w:w="0" w:type="auto"/>
            <w:vAlign w:val="center"/>
            <w:hideMark/>
          </w:tcPr>
          <w:p w14:paraId="73471288"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Dividend Yield (%)</w:t>
            </w:r>
          </w:p>
        </w:tc>
        <w:tc>
          <w:tcPr>
            <w:tcW w:w="0" w:type="auto"/>
            <w:vAlign w:val="center"/>
            <w:hideMark/>
          </w:tcPr>
          <w:p w14:paraId="089EE817"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2.5% – 3.0%</w:t>
            </w:r>
          </w:p>
        </w:tc>
        <w:tc>
          <w:tcPr>
            <w:tcW w:w="0" w:type="auto"/>
            <w:vAlign w:val="center"/>
            <w:hideMark/>
          </w:tcPr>
          <w:p w14:paraId="533A776C"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2.2% – 2.7%</w:t>
            </w:r>
          </w:p>
        </w:tc>
        <w:tc>
          <w:tcPr>
            <w:tcW w:w="0" w:type="auto"/>
            <w:vAlign w:val="center"/>
            <w:hideMark/>
          </w:tcPr>
          <w:p w14:paraId="05044580"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2.3% – 2.8%</w:t>
            </w:r>
          </w:p>
        </w:tc>
        <w:tc>
          <w:tcPr>
            <w:tcW w:w="0" w:type="auto"/>
            <w:vAlign w:val="center"/>
            <w:hideMark/>
          </w:tcPr>
          <w:p w14:paraId="0FEAFC1F"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2.0% – 2.5%</w:t>
            </w:r>
          </w:p>
        </w:tc>
        <w:tc>
          <w:tcPr>
            <w:tcW w:w="0" w:type="auto"/>
            <w:vAlign w:val="center"/>
            <w:hideMark/>
          </w:tcPr>
          <w:p w14:paraId="44D6E2B7" w14:textId="77777777" w:rsidR="00443474" w:rsidRPr="00443474" w:rsidRDefault="00443474" w:rsidP="00443474">
            <w:pPr>
              <w:shd w:val="clear" w:color="auto" w:fill="FFFFFF"/>
              <w:spacing w:after="0" w:line="360" w:lineRule="atLeast"/>
              <w:rPr>
                <w:rFonts w:ascii="Arial" w:eastAsia="Times New Roman" w:hAnsi="Arial" w:cs="Arial"/>
                <w:color w:val="0A0A0A"/>
                <w:kern w:val="0"/>
                <w:lang w:eastAsia="en-GB"/>
                <w14:ligatures w14:val="none"/>
              </w:rPr>
            </w:pPr>
            <w:r w:rsidRPr="00443474">
              <w:rPr>
                <w:rFonts w:ascii="Arial" w:eastAsia="Times New Roman" w:hAnsi="Arial" w:cs="Arial"/>
                <w:color w:val="0A0A0A"/>
                <w:kern w:val="0"/>
                <w:lang w:eastAsia="en-GB"/>
                <w14:ligatures w14:val="none"/>
              </w:rPr>
              <w:t>2.0% – 2.6%</w:t>
            </w:r>
          </w:p>
        </w:tc>
      </w:tr>
    </w:tbl>
    <w:p w14:paraId="33BB42A0" w14:textId="77777777" w:rsidR="00D24364" w:rsidRDefault="00D2436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43599A9C" w14:textId="77777777" w:rsidR="00443474" w:rsidRDefault="0044347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36452E33" w14:textId="72F864EE" w:rsid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br/>
      </w:r>
      <w:r>
        <w:rPr>
          <w:rFonts w:ascii="Arial" w:eastAsia="Times New Roman" w:hAnsi="Arial" w:cs="Arial"/>
          <w:b/>
          <w:bCs/>
          <w:color w:val="0A0A0A"/>
          <w:kern w:val="0"/>
          <w:lang w:eastAsia="en-GB"/>
          <w14:ligatures w14:val="none"/>
        </w:rPr>
        <w:t xml:space="preserve">Table 6 – </w:t>
      </w:r>
      <w:r w:rsidRPr="00B82D3F">
        <w:rPr>
          <w:rFonts w:ascii="Arial" w:eastAsia="Times New Roman" w:hAnsi="Arial" w:cs="Arial"/>
          <w:b/>
          <w:bCs/>
          <w:color w:val="0A0A0A"/>
          <w:kern w:val="0"/>
          <w:lang w:eastAsia="en-GB"/>
          <w14:ligatures w14:val="none"/>
        </w:rPr>
        <w:t>5</w:t>
      </w:r>
      <w:r>
        <w:rPr>
          <w:rFonts w:ascii="Arial" w:eastAsia="Times New Roman" w:hAnsi="Arial" w:cs="Arial"/>
          <w:b/>
          <w:bCs/>
          <w:color w:val="0A0A0A"/>
          <w:kern w:val="0"/>
          <w:lang w:eastAsia="en-GB"/>
          <w14:ligatures w14:val="none"/>
        </w:rPr>
        <w:t xml:space="preserve"> </w:t>
      </w:r>
      <w:r w:rsidRPr="00B82D3F">
        <w:rPr>
          <w:rFonts w:ascii="Arial" w:eastAsia="Times New Roman" w:hAnsi="Arial" w:cs="Arial"/>
          <w:b/>
          <w:bCs/>
          <w:color w:val="0A0A0A"/>
          <w:kern w:val="0"/>
          <w:lang w:eastAsia="en-GB"/>
          <w14:ligatures w14:val="none"/>
        </w:rPr>
        <w:t>Year Cash Flow Ratio Analysis (FY2021–FY2025*)</w:t>
      </w:r>
    </w:p>
    <w:p w14:paraId="564B5F7E" w14:textId="77777777" w:rsidR="007E5DA1" w:rsidRDefault="007E5DA1" w:rsidP="00B82D3F">
      <w:pPr>
        <w:shd w:val="clear" w:color="auto" w:fill="FFFFFF"/>
        <w:spacing w:after="0" w:line="360" w:lineRule="atLeast"/>
        <w:rPr>
          <w:rFonts w:ascii="Arial" w:eastAsia="Times New Roman" w:hAnsi="Arial" w:cs="Arial"/>
          <w:b/>
          <w:bCs/>
          <w:color w:val="0A0A0A"/>
          <w:kern w:val="0"/>
          <w:lang w:eastAsia="en-GB"/>
          <w14:ligatures w14:val="none"/>
        </w:rPr>
      </w:pPr>
    </w:p>
    <w:p w14:paraId="72B25F39" w14:textId="2AE37243" w:rsidR="007E5DA1" w:rsidRDefault="005D04FA" w:rsidP="00B82D3F">
      <w:pPr>
        <w:shd w:val="clear" w:color="auto" w:fill="FFFFFF"/>
        <w:spacing w:after="0" w:line="360" w:lineRule="atLeast"/>
        <w:rPr>
          <w:rFonts w:ascii="Arial" w:eastAsia="Times New Roman" w:hAnsi="Arial" w:cs="Arial"/>
          <w:color w:val="0A0A0A"/>
          <w:kern w:val="0"/>
          <w:lang w:eastAsia="en-GB"/>
          <w14:ligatures w14:val="none"/>
        </w:rPr>
      </w:pPr>
      <w:r w:rsidRPr="005D04FA">
        <w:rPr>
          <w:rFonts w:ascii="Arial" w:eastAsia="Times New Roman" w:hAnsi="Arial" w:cs="Arial"/>
          <w:color w:val="0A0A0A"/>
          <w:kern w:val="0"/>
          <w:lang w:eastAsia="en-GB"/>
          <w14:ligatures w14:val="none"/>
        </w:rPr>
        <w:t>With a brief decline in FY2023 followed by a robust recovery and record-level cash generation in FY2024–FY2025, Toyota Motor Corporation has demonstrated steady and strong cash flow performance over the past five years. The overall pattern demonstrates Toyota's strong financial resilience and extremely stable operational base, which allow it to support investment, shareholder returns, and long-term strategic growth—particularly in the dynamic global automotive sect</w:t>
      </w:r>
      <w:r>
        <w:rPr>
          <w:rFonts w:ascii="Arial" w:eastAsia="Times New Roman" w:hAnsi="Arial" w:cs="Arial"/>
          <w:color w:val="0A0A0A"/>
          <w:kern w:val="0"/>
          <w:lang w:eastAsia="en-GB"/>
          <w14:ligatures w14:val="none"/>
        </w:rPr>
        <w:t xml:space="preserve">or. </w:t>
      </w:r>
      <w:r w:rsidR="000560CB" w:rsidRPr="000560CB">
        <w:rPr>
          <w:rFonts w:ascii="Arial" w:eastAsia="Times New Roman" w:hAnsi="Arial" w:cs="Arial"/>
          <w:color w:val="0A0A0A"/>
          <w:kern w:val="0"/>
          <w:lang w:eastAsia="en-GB"/>
          <w14:ligatures w14:val="none"/>
        </w:rPr>
        <w:t>Cash flow analysis provides a more accurate picture of liquidity than accounting profit (</w:t>
      </w:r>
      <w:proofErr w:type="spellStart"/>
      <w:r w:rsidR="000560CB" w:rsidRPr="000560CB">
        <w:rPr>
          <w:rFonts w:ascii="Arial" w:eastAsia="Times New Roman" w:hAnsi="Arial" w:cs="Arial"/>
          <w:color w:val="0A0A0A"/>
          <w:kern w:val="0"/>
          <w:lang w:eastAsia="en-GB"/>
          <w14:ligatures w14:val="none"/>
        </w:rPr>
        <w:t>Atrill</w:t>
      </w:r>
      <w:proofErr w:type="spellEnd"/>
      <w:r w:rsidR="000560CB" w:rsidRPr="000560CB">
        <w:rPr>
          <w:rFonts w:ascii="Arial" w:eastAsia="Times New Roman" w:hAnsi="Arial" w:cs="Arial"/>
          <w:color w:val="0A0A0A"/>
          <w:kern w:val="0"/>
          <w:lang w:eastAsia="en-GB"/>
          <w14:ligatures w14:val="none"/>
        </w:rPr>
        <w:t xml:space="preserve"> and McLaney, 2019).</w:t>
      </w:r>
    </w:p>
    <w:p w14:paraId="2F820216" w14:textId="77777777" w:rsidR="000560CB" w:rsidRDefault="000560CB" w:rsidP="00B82D3F">
      <w:pPr>
        <w:shd w:val="clear" w:color="auto" w:fill="FFFFFF"/>
        <w:spacing w:after="0" w:line="360" w:lineRule="atLeast"/>
        <w:rPr>
          <w:rFonts w:ascii="Arial" w:eastAsia="Times New Roman" w:hAnsi="Arial" w:cs="Arial"/>
          <w:color w:val="0A0A0A"/>
          <w:kern w:val="0"/>
          <w:lang w:eastAsia="en-GB"/>
          <w14:ligatures w14:val="none"/>
        </w:rPr>
      </w:pPr>
    </w:p>
    <w:p w14:paraId="1764361D" w14:textId="77777777" w:rsidR="000560CB" w:rsidRPr="007E5DA1" w:rsidRDefault="000560CB" w:rsidP="00B82D3F">
      <w:pPr>
        <w:shd w:val="clear" w:color="auto" w:fill="FFFFFF"/>
        <w:spacing w:after="0" w:line="360" w:lineRule="atLeast"/>
        <w:rPr>
          <w:rFonts w:ascii="Arial" w:eastAsia="Times New Roman" w:hAnsi="Arial" w:cs="Arial"/>
          <w:color w:val="0A0A0A"/>
          <w:kern w:val="0"/>
          <w:lang w:eastAsia="en-GB"/>
          <w14:ligatures w14:val="none"/>
        </w:rPr>
      </w:pPr>
    </w:p>
    <w:p w14:paraId="4832EB69" w14:textId="73FE2838" w:rsidR="007E5DA1" w:rsidRPr="007E5DA1" w:rsidRDefault="006150A3" w:rsidP="006150A3">
      <w:pPr>
        <w:shd w:val="clear" w:color="auto" w:fill="FFFFFF"/>
        <w:spacing w:after="0" w:line="360" w:lineRule="atLeast"/>
        <w:jc w:val="center"/>
        <w:rPr>
          <w:rFonts w:ascii="Arial" w:eastAsia="Times New Roman" w:hAnsi="Arial" w:cs="Arial"/>
          <w:color w:val="0A0A0A"/>
          <w:kern w:val="0"/>
          <w:lang w:eastAsia="en-GB"/>
          <w14:ligatures w14:val="none"/>
        </w:rPr>
      </w:pPr>
      <w:r>
        <w:rPr>
          <w:rFonts w:ascii="Arial" w:eastAsia="Times New Roman" w:hAnsi="Arial" w:cs="Arial"/>
          <w:noProof/>
          <w:color w:val="0A0A0A"/>
          <w:kern w:val="0"/>
          <w:lang w:eastAsia="en-GB"/>
        </w:rPr>
        <w:drawing>
          <wp:inline distT="0" distB="0" distL="0" distR="0" wp14:anchorId="7859EE7E" wp14:editId="70ADD39E">
            <wp:extent cx="3978182" cy="2967990"/>
            <wp:effectExtent l="0" t="0" r="3810" b="3810"/>
            <wp:docPr id="6526880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688019" name="Picture 652688019"/>
                    <pic:cNvPicPr/>
                  </pic:nvPicPr>
                  <pic:blipFill>
                    <a:blip r:embed="rId9">
                      <a:extLst>
                        <a:ext uri="{28A0092B-C50C-407E-A947-70E740481C1C}">
                          <a14:useLocalDpi xmlns:a14="http://schemas.microsoft.com/office/drawing/2010/main" val="0"/>
                        </a:ext>
                      </a:extLst>
                    </a:blip>
                    <a:stretch>
                      <a:fillRect/>
                    </a:stretch>
                  </pic:blipFill>
                  <pic:spPr>
                    <a:xfrm>
                      <a:off x="0" y="0"/>
                      <a:ext cx="3986656" cy="2974312"/>
                    </a:xfrm>
                    <a:prstGeom prst="rect">
                      <a:avLst/>
                    </a:prstGeom>
                  </pic:spPr>
                </pic:pic>
              </a:graphicData>
            </a:graphic>
          </wp:inline>
        </w:drawing>
      </w:r>
    </w:p>
    <w:p w14:paraId="50AD67E3" w14:textId="77777777" w:rsidR="007E5DA1" w:rsidRPr="00B82D3F" w:rsidRDefault="007E5DA1" w:rsidP="00B82D3F">
      <w:pPr>
        <w:shd w:val="clear" w:color="auto" w:fill="FFFFFF"/>
        <w:spacing w:after="0" w:line="360" w:lineRule="atLeast"/>
        <w:rPr>
          <w:rFonts w:ascii="Arial" w:eastAsia="Times New Roman" w:hAnsi="Arial" w:cs="Arial"/>
          <w:b/>
          <w:bCs/>
          <w:color w:val="0A0A0A"/>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35"/>
        <w:gridCol w:w="1185"/>
        <w:gridCol w:w="1185"/>
        <w:gridCol w:w="1185"/>
        <w:gridCol w:w="1185"/>
        <w:gridCol w:w="1341"/>
      </w:tblGrid>
      <w:tr w:rsidR="00B82D3F" w:rsidRPr="00B82D3F" w14:paraId="3B980B54" w14:textId="77777777" w:rsidTr="00B82D3F">
        <w:trPr>
          <w:tblHeader/>
          <w:tblCellSpacing w:w="15" w:type="dxa"/>
        </w:trPr>
        <w:tc>
          <w:tcPr>
            <w:tcW w:w="0" w:type="auto"/>
            <w:vAlign w:val="center"/>
            <w:hideMark/>
          </w:tcPr>
          <w:p w14:paraId="170A22E9"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Ratio / Year</w:t>
            </w:r>
          </w:p>
        </w:tc>
        <w:tc>
          <w:tcPr>
            <w:tcW w:w="0" w:type="auto"/>
            <w:vAlign w:val="center"/>
            <w:hideMark/>
          </w:tcPr>
          <w:p w14:paraId="7AEA09F3"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FY2021</w:t>
            </w:r>
          </w:p>
        </w:tc>
        <w:tc>
          <w:tcPr>
            <w:tcW w:w="0" w:type="auto"/>
            <w:vAlign w:val="center"/>
            <w:hideMark/>
          </w:tcPr>
          <w:p w14:paraId="7F8CB027"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FY2022</w:t>
            </w:r>
          </w:p>
        </w:tc>
        <w:tc>
          <w:tcPr>
            <w:tcW w:w="0" w:type="auto"/>
            <w:vAlign w:val="center"/>
            <w:hideMark/>
          </w:tcPr>
          <w:p w14:paraId="534EB231"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FY2023</w:t>
            </w:r>
          </w:p>
        </w:tc>
        <w:tc>
          <w:tcPr>
            <w:tcW w:w="0" w:type="auto"/>
            <w:vAlign w:val="center"/>
            <w:hideMark/>
          </w:tcPr>
          <w:p w14:paraId="0D16DC8B"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FY2024</w:t>
            </w:r>
          </w:p>
        </w:tc>
        <w:tc>
          <w:tcPr>
            <w:tcW w:w="0" w:type="auto"/>
            <w:vAlign w:val="center"/>
            <w:hideMark/>
          </w:tcPr>
          <w:p w14:paraId="411772B3" w14:textId="77777777" w:rsidR="00B82D3F" w:rsidRPr="00B82D3F" w:rsidRDefault="00B82D3F" w:rsidP="00B82D3F">
            <w:pPr>
              <w:shd w:val="clear" w:color="auto" w:fill="FFFFFF"/>
              <w:spacing w:after="0" w:line="360" w:lineRule="atLeast"/>
              <w:rPr>
                <w:rFonts w:ascii="Arial" w:eastAsia="Times New Roman" w:hAnsi="Arial" w:cs="Arial"/>
                <w:b/>
                <w:bCs/>
                <w:color w:val="0A0A0A"/>
                <w:kern w:val="0"/>
                <w:lang w:eastAsia="en-GB"/>
                <w14:ligatures w14:val="none"/>
              </w:rPr>
            </w:pPr>
            <w:r w:rsidRPr="00B82D3F">
              <w:rPr>
                <w:rFonts w:ascii="Arial" w:eastAsia="Times New Roman" w:hAnsi="Arial" w:cs="Arial"/>
                <w:b/>
                <w:bCs/>
                <w:color w:val="0A0A0A"/>
                <w:kern w:val="0"/>
                <w:lang w:eastAsia="en-GB"/>
                <w14:ligatures w14:val="none"/>
              </w:rPr>
              <w:t>FY2025*</w:t>
            </w:r>
          </w:p>
        </w:tc>
      </w:tr>
      <w:tr w:rsidR="00B82D3F" w:rsidRPr="00B82D3F" w14:paraId="08A329DE" w14:textId="77777777" w:rsidTr="00B82D3F">
        <w:trPr>
          <w:tblCellSpacing w:w="15" w:type="dxa"/>
        </w:trPr>
        <w:tc>
          <w:tcPr>
            <w:tcW w:w="0" w:type="auto"/>
            <w:vAlign w:val="center"/>
            <w:hideMark/>
          </w:tcPr>
          <w:p w14:paraId="52F7683C"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Operating Cash Flow (¥ bn)</w:t>
            </w:r>
          </w:p>
        </w:tc>
        <w:tc>
          <w:tcPr>
            <w:tcW w:w="0" w:type="auto"/>
            <w:vAlign w:val="center"/>
            <w:hideMark/>
          </w:tcPr>
          <w:p w14:paraId="7866B403"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3,390</w:t>
            </w:r>
          </w:p>
        </w:tc>
        <w:tc>
          <w:tcPr>
            <w:tcW w:w="0" w:type="auto"/>
            <w:vAlign w:val="center"/>
            <w:hideMark/>
          </w:tcPr>
          <w:p w14:paraId="1714DEB6"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4,410</w:t>
            </w:r>
          </w:p>
        </w:tc>
        <w:tc>
          <w:tcPr>
            <w:tcW w:w="0" w:type="auto"/>
            <w:vAlign w:val="center"/>
            <w:hideMark/>
          </w:tcPr>
          <w:p w14:paraId="16B0BD44"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3,620</w:t>
            </w:r>
          </w:p>
        </w:tc>
        <w:tc>
          <w:tcPr>
            <w:tcW w:w="0" w:type="auto"/>
            <w:vAlign w:val="center"/>
            <w:hideMark/>
          </w:tcPr>
          <w:p w14:paraId="1559A8AE"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6,980</w:t>
            </w:r>
          </w:p>
        </w:tc>
        <w:tc>
          <w:tcPr>
            <w:tcW w:w="0" w:type="auto"/>
            <w:vAlign w:val="center"/>
            <w:hideMark/>
          </w:tcPr>
          <w:p w14:paraId="2BA8DFEC"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7,000+</w:t>
            </w:r>
          </w:p>
        </w:tc>
      </w:tr>
      <w:tr w:rsidR="00B82D3F" w:rsidRPr="00B82D3F" w14:paraId="6D844538" w14:textId="77777777" w:rsidTr="00B82D3F">
        <w:trPr>
          <w:tblCellSpacing w:w="15" w:type="dxa"/>
        </w:trPr>
        <w:tc>
          <w:tcPr>
            <w:tcW w:w="0" w:type="auto"/>
            <w:vAlign w:val="center"/>
            <w:hideMark/>
          </w:tcPr>
          <w:p w14:paraId="7689E7E9"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Operating Cash Flow Margin (%)</w:t>
            </w:r>
          </w:p>
        </w:tc>
        <w:tc>
          <w:tcPr>
            <w:tcW w:w="0" w:type="auto"/>
            <w:vAlign w:val="center"/>
            <w:hideMark/>
          </w:tcPr>
          <w:p w14:paraId="2392D3AD"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12.5%</w:t>
            </w:r>
          </w:p>
        </w:tc>
        <w:tc>
          <w:tcPr>
            <w:tcW w:w="0" w:type="auto"/>
            <w:vAlign w:val="center"/>
            <w:hideMark/>
          </w:tcPr>
          <w:p w14:paraId="52CF5B67"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14.1%</w:t>
            </w:r>
          </w:p>
        </w:tc>
        <w:tc>
          <w:tcPr>
            <w:tcW w:w="0" w:type="auto"/>
            <w:vAlign w:val="center"/>
            <w:hideMark/>
          </w:tcPr>
          <w:p w14:paraId="77F26A29"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9.7%</w:t>
            </w:r>
          </w:p>
        </w:tc>
        <w:tc>
          <w:tcPr>
            <w:tcW w:w="0" w:type="auto"/>
            <w:vAlign w:val="center"/>
            <w:hideMark/>
          </w:tcPr>
          <w:p w14:paraId="29DFAEBE"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15.5%</w:t>
            </w:r>
          </w:p>
        </w:tc>
        <w:tc>
          <w:tcPr>
            <w:tcW w:w="0" w:type="auto"/>
            <w:vAlign w:val="center"/>
            <w:hideMark/>
          </w:tcPr>
          <w:p w14:paraId="053F6EA4"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14.0%+</w:t>
            </w:r>
          </w:p>
        </w:tc>
      </w:tr>
      <w:tr w:rsidR="00B82D3F" w:rsidRPr="00B82D3F" w14:paraId="27B36515" w14:textId="77777777" w:rsidTr="00B82D3F">
        <w:trPr>
          <w:tblCellSpacing w:w="15" w:type="dxa"/>
        </w:trPr>
        <w:tc>
          <w:tcPr>
            <w:tcW w:w="0" w:type="auto"/>
            <w:vAlign w:val="center"/>
            <w:hideMark/>
          </w:tcPr>
          <w:p w14:paraId="066065AA"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Cash Flow to Net Income (x)</w:t>
            </w:r>
          </w:p>
        </w:tc>
        <w:tc>
          <w:tcPr>
            <w:tcW w:w="0" w:type="auto"/>
            <w:vAlign w:val="center"/>
            <w:hideMark/>
          </w:tcPr>
          <w:p w14:paraId="3B28E906"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1.49</w:t>
            </w:r>
          </w:p>
        </w:tc>
        <w:tc>
          <w:tcPr>
            <w:tcW w:w="0" w:type="auto"/>
            <w:vAlign w:val="center"/>
            <w:hideMark/>
          </w:tcPr>
          <w:p w14:paraId="2B8062D9"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1.55</w:t>
            </w:r>
          </w:p>
        </w:tc>
        <w:tc>
          <w:tcPr>
            <w:tcW w:w="0" w:type="auto"/>
            <w:vAlign w:val="center"/>
            <w:hideMark/>
          </w:tcPr>
          <w:p w14:paraId="775CE63C"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1.48</w:t>
            </w:r>
          </w:p>
        </w:tc>
        <w:tc>
          <w:tcPr>
            <w:tcW w:w="0" w:type="auto"/>
            <w:vAlign w:val="center"/>
            <w:hideMark/>
          </w:tcPr>
          <w:p w14:paraId="41F98FF8"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1.41</w:t>
            </w:r>
          </w:p>
        </w:tc>
        <w:tc>
          <w:tcPr>
            <w:tcW w:w="0" w:type="auto"/>
            <w:vAlign w:val="center"/>
            <w:hideMark/>
          </w:tcPr>
          <w:p w14:paraId="1E1506D2"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1.27 – 1.40</w:t>
            </w:r>
          </w:p>
        </w:tc>
      </w:tr>
      <w:tr w:rsidR="00B82D3F" w:rsidRPr="00B82D3F" w14:paraId="009905E0" w14:textId="77777777" w:rsidTr="00B82D3F">
        <w:trPr>
          <w:tblCellSpacing w:w="15" w:type="dxa"/>
        </w:trPr>
        <w:tc>
          <w:tcPr>
            <w:tcW w:w="0" w:type="auto"/>
            <w:vAlign w:val="center"/>
            <w:hideMark/>
          </w:tcPr>
          <w:p w14:paraId="28399259"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Cash Flow to Total Assets (%)</w:t>
            </w:r>
          </w:p>
        </w:tc>
        <w:tc>
          <w:tcPr>
            <w:tcW w:w="0" w:type="auto"/>
            <w:vAlign w:val="center"/>
            <w:hideMark/>
          </w:tcPr>
          <w:p w14:paraId="43B03141"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5.4%</w:t>
            </w:r>
          </w:p>
        </w:tc>
        <w:tc>
          <w:tcPr>
            <w:tcW w:w="0" w:type="auto"/>
            <w:vAlign w:val="center"/>
            <w:hideMark/>
          </w:tcPr>
          <w:p w14:paraId="595E6B0B"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6.6%</w:t>
            </w:r>
          </w:p>
        </w:tc>
        <w:tc>
          <w:tcPr>
            <w:tcW w:w="0" w:type="auto"/>
            <w:vAlign w:val="center"/>
            <w:hideMark/>
          </w:tcPr>
          <w:p w14:paraId="163D7C6F"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4.9%</w:t>
            </w:r>
          </w:p>
        </w:tc>
        <w:tc>
          <w:tcPr>
            <w:tcW w:w="0" w:type="auto"/>
            <w:vAlign w:val="center"/>
            <w:hideMark/>
          </w:tcPr>
          <w:p w14:paraId="4FDB7654"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8.0%</w:t>
            </w:r>
          </w:p>
        </w:tc>
        <w:tc>
          <w:tcPr>
            <w:tcW w:w="0" w:type="auto"/>
            <w:vAlign w:val="center"/>
            <w:hideMark/>
          </w:tcPr>
          <w:p w14:paraId="315763B6"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7.5% – 8.0%</w:t>
            </w:r>
          </w:p>
        </w:tc>
      </w:tr>
      <w:tr w:rsidR="00B82D3F" w:rsidRPr="00B82D3F" w14:paraId="20F96A04" w14:textId="77777777" w:rsidTr="00B82D3F">
        <w:trPr>
          <w:tblCellSpacing w:w="15" w:type="dxa"/>
        </w:trPr>
        <w:tc>
          <w:tcPr>
            <w:tcW w:w="0" w:type="auto"/>
            <w:vAlign w:val="center"/>
            <w:hideMark/>
          </w:tcPr>
          <w:p w14:paraId="0983242A"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Cash Flow Coverage Ratio (x)</w:t>
            </w:r>
          </w:p>
        </w:tc>
        <w:tc>
          <w:tcPr>
            <w:tcW w:w="0" w:type="auto"/>
            <w:vAlign w:val="center"/>
            <w:hideMark/>
          </w:tcPr>
          <w:p w14:paraId="070F252C"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0.20 – 0.25</w:t>
            </w:r>
          </w:p>
        </w:tc>
        <w:tc>
          <w:tcPr>
            <w:tcW w:w="0" w:type="auto"/>
            <w:vAlign w:val="center"/>
            <w:hideMark/>
          </w:tcPr>
          <w:p w14:paraId="6B11B3A7"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0.25 – 0.30</w:t>
            </w:r>
          </w:p>
        </w:tc>
        <w:tc>
          <w:tcPr>
            <w:tcW w:w="0" w:type="auto"/>
            <w:vAlign w:val="center"/>
            <w:hideMark/>
          </w:tcPr>
          <w:p w14:paraId="21260BBD"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0.22 – 0.27</w:t>
            </w:r>
          </w:p>
        </w:tc>
        <w:tc>
          <w:tcPr>
            <w:tcW w:w="0" w:type="auto"/>
            <w:vAlign w:val="center"/>
            <w:hideMark/>
          </w:tcPr>
          <w:p w14:paraId="4B9D097B"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0.30 – 0.35</w:t>
            </w:r>
          </w:p>
        </w:tc>
        <w:tc>
          <w:tcPr>
            <w:tcW w:w="0" w:type="auto"/>
            <w:vAlign w:val="center"/>
            <w:hideMark/>
          </w:tcPr>
          <w:p w14:paraId="628199E2" w14:textId="77777777" w:rsidR="00B82D3F" w:rsidRPr="001F2CC3" w:rsidRDefault="00B82D3F" w:rsidP="00B82D3F">
            <w:pPr>
              <w:shd w:val="clear" w:color="auto" w:fill="FFFFFF"/>
              <w:spacing w:after="0" w:line="360" w:lineRule="atLeast"/>
              <w:rPr>
                <w:rFonts w:ascii="Arial" w:eastAsia="Times New Roman" w:hAnsi="Arial" w:cs="Arial"/>
                <w:color w:val="0A0A0A"/>
                <w:kern w:val="0"/>
                <w:lang w:eastAsia="en-GB"/>
                <w14:ligatures w14:val="none"/>
              </w:rPr>
            </w:pPr>
            <w:r w:rsidRPr="001F2CC3">
              <w:rPr>
                <w:rFonts w:ascii="Arial" w:eastAsia="Times New Roman" w:hAnsi="Arial" w:cs="Arial"/>
                <w:color w:val="0A0A0A"/>
                <w:kern w:val="0"/>
                <w:lang w:eastAsia="en-GB"/>
                <w14:ligatures w14:val="none"/>
              </w:rPr>
              <w:t>0.30 – 0.36</w:t>
            </w:r>
          </w:p>
        </w:tc>
      </w:tr>
    </w:tbl>
    <w:p w14:paraId="0CF6DEA9" w14:textId="77777777" w:rsidR="00443474" w:rsidRDefault="0044347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2E57BBCA" w14:textId="77777777" w:rsidR="00443474" w:rsidRDefault="00443474"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57E3AA8D" w14:textId="228FCECC" w:rsidR="00E062AE" w:rsidRPr="00E062AE" w:rsidRDefault="00E062AE" w:rsidP="001F2CC3">
      <w:pPr>
        <w:shd w:val="clear" w:color="auto" w:fill="FFFFFF"/>
        <w:spacing w:after="0" w:line="360" w:lineRule="atLeast"/>
        <w:rPr>
          <w:rFonts w:ascii="Times New Roman" w:eastAsia="Times New Roman" w:hAnsi="Times New Roman" w:cs="Times New Roman"/>
          <w:kern w:val="0"/>
          <w:lang w:eastAsia="en-GB"/>
          <w14:ligatures w14:val="none"/>
        </w:rPr>
      </w:pPr>
    </w:p>
    <w:p w14:paraId="661DA910" w14:textId="77777777" w:rsidR="001F2CC3" w:rsidRDefault="001F2CC3" w:rsidP="00E062AE">
      <w:pPr>
        <w:shd w:val="clear" w:color="auto" w:fill="FFFFFF"/>
        <w:spacing w:after="0" w:line="360" w:lineRule="atLeast"/>
        <w:rPr>
          <w:rFonts w:ascii="Arial" w:eastAsia="Times New Roman" w:hAnsi="Arial" w:cs="Arial"/>
          <w:b/>
          <w:bCs/>
          <w:color w:val="0A0A0A"/>
          <w:kern w:val="0"/>
          <w:lang w:eastAsia="en-GB"/>
          <w14:ligatures w14:val="none"/>
        </w:rPr>
      </w:pPr>
    </w:p>
    <w:p w14:paraId="5412BC50" w14:textId="3AC657A8" w:rsidR="00E062AE" w:rsidRPr="00E062AE" w:rsidRDefault="00E062AE" w:rsidP="00E062AE">
      <w:pPr>
        <w:shd w:val="clear" w:color="auto" w:fill="FFFFFF"/>
        <w:spacing w:after="0" w:line="360" w:lineRule="atLeast"/>
        <w:rPr>
          <w:rFonts w:ascii="Arial" w:eastAsia="Times New Roman" w:hAnsi="Arial" w:cs="Arial"/>
          <w:color w:val="0A0A0A"/>
          <w:kern w:val="0"/>
          <w:lang w:eastAsia="en-GB"/>
          <w14:ligatures w14:val="none"/>
        </w:rPr>
      </w:pPr>
      <w:r w:rsidRPr="00E062AE">
        <w:rPr>
          <w:rFonts w:ascii="Arial" w:eastAsia="Times New Roman" w:hAnsi="Arial" w:cs="Arial"/>
          <w:b/>
          <w:bCs/>
          <w:color w:val="0A0A0A"/>
          <w:kern w:val="0"/>
          <w:lang w:eastAsia="en-GB"/>
          <w14:ligatures w14:val="none"/>
        </w:rPr>
        <w:t>Key Trends:</w:t>
      </w:r>
    </w:p>
    <w:p w14:paraId="6DCF21C6" w14:textId="77777777" w:rsidR="00E062AE" w:rsidRPr="00E062AE" w:rsidRDefault="00E062AE" w:rsidP="00E062AE">
      <w:pPr>
        <w:numPr>
          <w:ilvl w:val="0"/>
          <w:numId w:val="2"/>
        </w:numPr>
        <w:shd w:val="clear" w:color="auto" w:fill="FFFFFF"/>
        <w:spacing w:after="0" w:line="360" w:lineRule="atLeast"/>
        <w:rPr>
          <w:rFonts w:ascii="Arial" w:eastAsia="Times New Roman" w:hAnsi="Arial" w:cs="Arial"/>
          <w:color w:val="0A0A0A"/>
          <w:kern w:val="0"/>
          <w:lang w:eastAsia="en-GB"/>
          <w14:ligatures w14:val="none"/>
        </w:rPr>
      </w:pPr>
      <w:r w:rsidRPr="00E062AE">
        <w:rPr>
          <w:rFonts w:ascii="Arial" w:eastAsia="Times New Roman" w:hAnsi="Arial" w:cs="Arial"/>
          <w:b/>
          <w:bCs/>
          <w:color w:val="0A0A0A"/>
          <w:kern w:val="0"/>
          <w:lang w:eastAsia="en-GB"/>
          <w14:ligatures w14:val="none"/>
        </w:rPr>
        <w:t>Production &amp; Sales:</w:t>
      </w:r>
      <w:r w:rsidRPr="00E062AE">
        <w:rPr>
          <w:rFonts w:ascii="Arial" w:eastAsia="Times New Roman" w:hAnsi="Arial" w:cs="Arial"/>
          <w:color w:val="0A0A0A"/>
          <w:kern w:val="0"/>
          <w:lang w:eastAsia="en-GB"/>
          <w14:ligatures w14:val="none"/>
        </w:rPr>
        <w:t> Solidified recovery with increased sales in North America and Europe, despite some dips in Japan.</w:t>
      </w:r>
    </w:p>
    <w:p w14:paraId="3E4FAB88" w14:textId="1C5EEB2B" w:rsidR="00E062AE" w:rsidRPr="00E062AE" w:rsidRDefault="00E062AE" w:rsidP="00E062AE">
      <w:pPr>
        <w:numPr>
          <w:ilvl w:val="0"/>
          <w:numId w:val="2"/>
        </w:numPr>
        <w:shd w:val="clear" w:color="auto" w:fill="FFFFFF"/>
        <w:spacing w:after="0" w:line="360" w:lineRule="atLeast"/>
        <w:rPr>
          <w:rFonts w:ascii="Arial" w:eastAsia="Times New Roman" w:hAnsi="Arial" w:cs="Arial"/>
          <w:color w:val="0A0A0A"/>
          <w:kern w:val="0"/>
          <w:lang w:eastAsia="en-GB"/>
          <w14:ligatures w14:val="none"/>
        </w:rPr>
      </w:pPr>
      <w:r w:rsidRPr="00E062AE">
        <w:rPr>
          <w:rFonts w:ascii="Arial" w:eastAsia="Times New Roman" w:hAnsi="Arial" w:cs="Arial"/>
          <w:b/>
          <w:bCs/>
          <w:color w:val="0A0A0A"/>
          <w:kern w:val="0"/>
          <w:lang w:eastAsia="en-GB"/>
          <w14:ligatures w14:val="none"/>
        </w:rPr>
        <w:t>Profit Drivers:</w:t>
      </w:r>
      <w:r w:rsidRPr="00E062AE">
        <w:rPr>
          <w:rFonts w:ascii="Arial" w:eastAsia="Times New Roman" w:hAnsi="Arial" w:cs="Arial"/>
          <w:color w:val="0A0A0A"/>
          <w:kern w:val="0"/>
          <w:lang w:eastAsia="en-GB"/>
          <w14:ligatures w14:val="none"/>
        </w:rPr>
        <w:t> </w:t>
      </w:r>
      <w:r w:rsidR="005F3DEA" w:rsidRPr="00E062AE">
        <w:rPr>
          <w:rFonts w:ascii="Arial" w:eastAsia="Times New Roman" w:hAnsi="Arial" w:cs="Arial"/>
          <w:color w:val="0A0A0A"/>
          <w:kern w:val="0"/>
          <w:lang w:eastAsia="en-GB"/>
          <w14:ligatures w14:val="none"/>
        </w:rPr>
        <w:t>Favourable</w:t>
      </w:r>
      <w:r w:rsidRPr="00E062AE">
        <w:rPr>
          <w:rFonts w:ascii="Arial" w:eastAsia="Times New Roman" w:hAnsi="Arial" w:cs="Arial"/>
          <w:color w:val="0A0A0A"/>
          <w:kern w:val="0"/>
          <w:lang w:eastAsia="en-GB"/>
          <w14:ligatures w14:val="none"/>
        </w:rPr>
        <w:t xml:space="preserve"> exchange rates (weak yen) and robust demand for hybrid models significantly boosted earnings.</w:t>
      </w:r>
    </w:p>
    <w:p w14:paraId="11744AF7" w14:textId="77777777" w:rsidR="00E062AE" w:rsidRPr="00E062AE" w:rsidRDefault="00E062AE" w:rsidP="00E062AE">
      <w:pPr>
        <w:numPr>
          <w:ilvl w:val="0"/>
          <w:numId w:val="2"/>
        </w:numPr>
        <w:shd w:val="clear" w:color="auto" w:fill="FFFFFF"/>
        <w:spacing w:after="0" w:line="360" w:lineRule="atLeast"/>
        <w:rPr>
          <w:rFonts w:ascii="Arial" w:eastAsia="Times New Roman" w:hAnsi="Arial" w:cs="Arial"/>
          <w:color w:val="0A0A0A"/>
          <w:kern w:val="0"/>
          <w:lang w:eastAsia="en-GB"/>
          <w14:ligatures w14:val="none"/>
        </w:rPr>
      </w:pPr>
      <w:r w:rsidRPr="00E062AE">
        <w:rPr>
          <w:rFonts w:ascii="Arial" w:eastAsia="Times New Roman" w:hAnsi="Arial" w:cs="Arial"/>
          <w:b/>
          <w:bCs/>
          <w:color w:val="0A0A0A"/>
          <w:kern w:val="0"/>
          <w:lang w:eastAsia="en-GB"/>
          <w14:ligatures w14:val="none"/>
        </w:rPr>
        <w:t>Sustainability:</w:t>
      </w:r>
      <w:r w:rsidRPr="00E062AE">
        <w:rPr>
          <w:rFonts w:ascii="Arial" w:eastAsia="Times New Roman" w:hAnsi="Arial" w:cs="Arial"/>
          <w:color w:val="0A0A0A"/>
          <w:kern w:val="0"/>
          <w:lang w:eastAsia="en-GB"/>
          <w14:ligatures w14:val="none"/>
        </w:rPr>
        <w:t> Total assets increased steadily, exceeding 29 trillion yen by FY2025.</w:t>
      </w:r>
    </w:p>
    <w:p w14:paraId="7D556CF2" w14:textId="36DD9720" w:rsidR="00CC4584" w:rsidRPr="00CC4584" w:rsidRDefault="00CC4584" w:rsidP="00CC4584">
      <w:pPr>
        <w:rPr>
          <w:b/>
          <w:bCs/>
        </w:rPr>
      </w:pPr>
      <w:r w:rsidRPr="00CC4584">
        <w:br/>
      </w:r>
      <w:r w:rsidRPr="00CC4584">
        <w:rPr>
          <w:b/>
          <w:bCs/>
        </w:rPr>
        <w:t>Strengths and Threats Analysis (FY2021–FY2025*)</w:t>
      </w:r>
    </w:p>
    <w:p w14:paraId="514171CE" w14:textId="77777777" w:rsidR="00CC4584" w:rsidRPr="00CC4584" w:rsidRDefault="00CC4584" w:rsidP="00CC4584">
      <w:r w:rsidRPr="00CC4584">
        <w:t>Strengths:</w:t>
      </w:r>
    </w:p>
    <w:p w14:paraId="56B7C945" w14:textId="618DAB25" w:rsidR="00CC4584" w:rsidRPr="00CC4584" w:rsidRDefault="00CC4584" w:rsidP="00CC4584">
      <w:pPr>
        <w:numPr>
          <w:ilvl w:val="0"/>
          <w:numId w:val="10"/>
        </w:numPr>
      </w:pPr>
      <w:r w:rsidRPr="00CC4584">
        <w:t>Strong and Improving Profitability</w:t>
      </w:r>
      <w:r w:rsidRPr="00CC4584">
        <w:br/>
      </w:r>
      <w:r w:rsidR="005D04FA" w:rsidRPr="005D04FA">
        <w:t>Toyota's profitability has shown a distinct upward trend, especially between FY2023 and FY2025. Improved cost effectiveness, advantageous pricing tactics, and economies of scale all contributed to the notable increases in operating and net profit margins. Toyota's ability to adjust to market conditions and sustain strong financial performance is demonstrated by this steady growth.</w:t>
      </w:r>
    </w:p>
    <w:p w14:paraId="63B1494F" w14:textId="3B3264A3" w:rsidR="00CC4584" w:rsidRPr="00CC4584" w:rsidRDefault="00CC4584" w:rsidP="00CC4584">
      <w:pPr>
        <w:numPr>
          <w:ilvl w:val="0"/>
          <w:numId w:val="10"/>
        </w:numPr>
      </w:pPr>
      <w:r w:rsidRPr="00CC4584">
        <w:t>Robust Cash Flow Generation</w:t>
      </w:r>
      <w:r w:rsidRPr="00CC4584">
        <w:br/>
      </w:r>
      <w:r w:rsidR="005D04FA" w:rsidRPr="005D04FA">
        <w:t>First. The business regularly produces operating cash flow that is greater than its net income, a sign of high-quality earnings. Toyota can expand operations, pay dividends, invest in R&amp;D, and effectively manage debt when it has strong cash flow. Its financial position is further strengthened by the notable increase in cash flow in FY2024.</w:t>
      </w:r>
    </w:p>
    <w:p w14:paraId="23565576" w14:textId="77777777" w:rsidR="00CC4584" w:rsidRPr="00CC4584" w:rsidRDefault="00CC4584" w:rsidP="00CC4584">
      <w:pPr>
        <w:numPr>
          <w:ilvl w:val="0"/>
          <w:numId w:val="10"/>
        </w:numPr>
      </w:pPr>
      <w:r w:rsidRPr="00CC4584">
        <w:t>Operational Efficiency Improvements</w:t>
      </w:r>
      <w:r w:rsidRPr="00CC4584">
        <w:br/>
        <w:t>Efficiency ratios such as asset turnover show gradual improvement over the years. This suggests that Toyota is utilizing its large asset base more effectively to generate revenue. Enhanced production systems, including lean manufacturing principles, contribute to this operational strength.</w:t>
      </w:r>
    </w:p>
    <w:p w14:paraId="421949B6" w14:textId="77777777" w:rsidR="00CC4584" w:rsidRPr="00CC4584" w:rsidRDefault="00CC4584" w:rsidP="00CC4584">
      <w:pPr>
        <w:numPr>
          <w:ilvl w:val="0"/>
          <w:numId w:val="10"/>
        </w:numPr>
      </w:pPr>
      <w:r w:rsidRPr="00CC4584">
        <w:t>Global Market Leadership and Brand Strength</w:t>
      </w:r>
      <w:r w:rsidRPr="00CC4584">
        <w:br/>
        <w:t>Toyota is one of the largest automotive manufacturers in the world, with a strong global presence across Asia, North America, and Europe. Its well-established brand reputation for reliability, durability, and innovation provides a competitive advantage and strong customer loyalty.</w:t>
      </w:r>
    </w:p>
    <w:p w14:paraId="5F2DADA5" w14:textId="77777777" w:rsidR="00CC4584" w:rsidRPr="00CC4584" w:rsidRDefault="00CC4584" w:rsidP="00CC4584">
      <w:pPr>
        <w:numPr>
          <w:ilvl w:val="0"/>
          <w:numId w:val="10"/>
        </w:numPr>
      </w:pPr>
      <w:r w:rsidRPr="00CC4584">
        <w:t>Diversified Revenue Streams</w:t>
      </w:r>
      <w:r w:rsidRPr="00CC4584">
        <w:br/>
        <w:t xml:space="preserve">In addition to vehicle manufacturing, Toyota benefits from its financial services </w:t>
      </w:r>
      <w:r w:rsidRPr="00CC4584">
        <w:lastRenderedPageBreak/>
        <w:t>division, which contributes significantly to overall revenue. This diversification helps stabilize income during fluctuations in vehicle sales.</w:t>
      </w:r>
    </w:p>
    <w:p w14:paraId="766B8DAC" w14:textId="77777777" w:rsidR="00CC4584" w:rsidRPr="00CC4584" w:rsidRDefault="00CC4584" w:rsidP="00CC4584">
      <w:pPr>
        <w:numPr>
          <w:ilvl w:val="0"/>
          <w:numId w:val="10"/>
        </w:numPr>
      </w:pPr>
      <w:r w:rsidRPr="00CC4584">
        <w:t>Financial Stability and Credit Strength</w:t>
      </w:r>
      <w:r w:rsidRPr="00CC4584">
        <w:br/>
        <w:t>Although the company has relatively high leverage, it maintains strong interest coverage ratios and stable liquidity. This indicates that Toyota can comfortably meet its financial obligations and sustain operations even during challenging periods.</w:t>
      </w:r>
    </w:p>
    <w:p w14:paraId="1726ED8F" w14:textId="77777777" w:rsidR="00CC4584" w:rsidRPr="00CC4584" w:rsidRDefault="00CC4584" w:rsidP="00CC4584">
      <w:pPr>
        <w:numPr>
          <w:ilvl w:val="0"/>
          <w:numId w:val="10"/>
        </w:numPr>
      </w:pPr>
      <w:r w:rsidRPr="00CC4584">
        <w:t>Continuous Innovation and Hybrid Leadership</w:t>
      </w:r>
      <w:r w:rsidRPr="00CC4584">
        <w:br/>
        <w:t>Toyota has been a pioneer in hybrid vehicle technology, giving it a strong position in the transition toward environmentally friendly mobility solutions. Its long-term investment in innovation strengthens its competitive advantage.</w:t>
      </w:r>
    </w:p>
    <w:p w14:paraId="4B7433FB" w14:textId="77777777" w:rsidR="00CC4584" w:rsidRPr="00CC4584" w:rsidRDefault="00CC4584" w:rsidP="00CC4584">
      <w:r w:rsidRPr="00CC4584">
        <w:t>Threats:</w:t>
      </w:r>
    </w:p>
    <w:p w14:paraId="43FB0464" w14:textId="77777777" w:rsidR="00CC4584" w:rsidRPr="00CC4584" w:rsidRDefault="00CC4584" w:rsidP="00CC4584">
      <w:pPr>
        <w:numPr>
          <w:ilvl w:val="0"/>
          <w:numId w:val="11"/>
        </w:numPr>
      </w:pPr>
      <w:r w:rsidRPr="00CC4584">
        <w:t>High Leverage and Financial Risk</w:t>
      </w:r>
      <w:r w:rsidRPr="00CC4584">
        <w:br/>
        <w:t>Toyota’s gearing ratios remain relatively high, largely due to its financial services operations. While manageable, this exposes the company to risks associated with rising interest rates and potential tightening of credit markets.</w:t>
      </w:r>
    </w:p>
    <w:p w14:paraId="0FE452DD" w14:textId="77777777" w:rsidR="00CC4584" w:rsidRPr="00CC4584" w:rsidRDefault="00CC4584" w:rsidP="00CC4584">
      <w:pPr>
        <w:numPr>
          <w:ilvl w:val="0"/>
          <w:numId w:val="11"/>
        </w:numPr>
      </w:pPr>
      <w:r w:rsidRPr="00CC4584">
        <w:t>Intense Industry Competition</w:t>
      </w:r>
      <w:r w:rsidRPr="00CC4584">
        <w:br/>
        <w:t xml:space="preserve">The global automotive industry is highly competitive, with major players such as Volkswagen AG, Honda Motor Co., Ltd., and emerging electric vehicle leaders like Tesla, </w:t>
      </w:r>
      <w:proofErr w:type="gramStart"/>
      <w:r w:rsidRPr="00CC4584">
        <w:t>Inc..</w:t>
      </w:r>
      <w:proofErr w:type="gramEnd"/>
      <w:r w:rsidRPr="00CC4584">
        <w:t xml:space="preserve"> Increased competition can lead to price pressure, reduced margins, and loss of market share.</w:t>
      </w:r>
    </w:p>
    <w:p w14:paraId="454B964B" w14:textId="77777777" w:rsidR="00CC4584" w:rsidRPr="00CC4584" w:rsidRDefault="00CC4584" w:rsidP="00CC4584">
      <w:pPr>
        <w:numPr>
          <w:ilvl w:val="0"/>
          <w:numId w:val="11"/>
        </w:numPr>
      </w:pPr>
      <w:r w:rsidRPr="00CC4584">
        <w:t>Economic Cyclicality</w:t>
      </w:r>
      <w:r w:rsidRPr="00CC4584">
        <w:br/>
        <w:t>Toyota’s performance is closely tied to global economic conditions. Economic downturns, inflation, or reduced consumer spending can significantly impact vehicle demand and overall revenue.</w:t>
      </w:r>
    </w:p>
    <w:p w14:paraId="7FD182F3" w14:textId="77777777" w:rsidR="00CC4584" w:rsidRPr="00CC4584" w:rsidRDefault="00CC4584" w:rsidP="00CC4584">
      <w:pPr>
        <w:numPr>
          <w:ilvl w:val="0"/>
          <w:numId w:val="11"/>
        </w:numPr>
      </w:pPr>
      <w:r w:rsidRPr="00CC4584">
        <w:t>Supply Chain Vulnerabilities</w:t>
      </w:r>
      <w:r w:rsidRPr="00CC4584">
        <w:br/>
        <w:t>The company is exposed to global supply chain disruptions, including shortages of semiconductors and raw materials. Such disruptions can delay production, increase costs, and affect delivery schedules.</w:t>
      </w:r>
    </w:p>
    <w:p w14:paraId="23999DF7" w14:textId="77777777" w:rsidR="00CC4584" w:rsidRPr="00CC4584" w:rsidRDefault="00CC4584" w:rsidP="00CC4584">
      <w:pPr>
        <w:numPr>
          <w:ilvl w:val="0"/>
          <w:numId w:val="11"/>
        </w:numPr>
      </w:pPr>
      <w:r w:rsidRPr="00CC4584">
        <w:t>Rapid Technological Change and EV Transition</w:t>
      </w:r>
      <w:r w:rsidRPr="00CC4584">
        <w:br/>
        <w:t>The automotive industry is undergoing a major shift toward electric vehicles (EVs). While Toyota is strong in hybrid technology, it faces pressure to accelerate its fully electric vehicle strategy to compete effectively with EV-focused companies.</w:t>
      </w:r>
    </w:p>
    <w:p w14:paraId="574DBF9B" w14:textId="77777777" w:rsidR="00CC4584" w:rsidRPr="00CC4584" w:rsidRDefault="00CC4584" w:rsidP="00CC4584">
      <w:pPr>
        <w:numPr>
          <w:ilvl w:val="0"/>
          <w:numId w:val="11"/>
        </w:numPr>
      </w:pPr>
      <w:r w:rsidRPr="00CC4584">
        <w:t>Regulatory and Environmental Pressures</w:t>
      </w:r>
      <w:r w:rsidRPr="00CC4584">
        <w:br/>
        <w:t xml:space="preserve">Governments worldwide are implementing stricter emissions regulations and </w:t>
      </w:r>
      <w:r w:rsidRPr="00CC4584">
        <w:lastRenderedPageBreak/>
        <w:t>sustainability requirements. Compliance may require substantial investment and could increase operational costs.</w:t>
      </w:r>
    </w:p>
    <w:p w14:paraId="5CBC83F5" w14:textId="77777777" w:rsidR="00CC4584" w:rsidRDefault="00CC4584" w:rsidP="00CC4584">
      <w:pPr>
        <w:numPr>
          <w:ilvl w:val="0"/>
          <w:numId w:val="11"/>
        </w:numPr>
      </w:pPr>
      <w:r w:rsidRPr="00CC4584">
        <w:t>Currency Fluctuation Risks</w:t>
      </w:r>
      <w:r w:rsidRPr="00CC4584">
        <w:br/>
        <w:t>As a global company, Toyota is exposed to exchange rate volatility. Fluctuations in currency values can impact revenue, profitability, and competitiveness in international markets.</w:t>
      </w:r>
    </w:p>
    <w:p w14:paraId="3D6B2F02" w14:textId="77777777" w:rsidR="00580682" w:rsidRDefault="00580682" w:rsidP="00580682"/>
    <w:p w14:paraId="4C89A6EB" w14:textId="77777777" w:rsidR="00580682" w:rsidRDefault="00580682" w:rsidP="00580682"/>
    <w:p w14:paraId="2F7EAE9E" w14:textId="4E5581C4" w:rsidR="00580682" w:rsidRPr="00580682" w:rsidRDefault="00580682" w:rsidP="00580682">
      <w:pPr>
        <w:rPr>
          <w:b/>
          <w:bCs/>
        </w:rPr>
      </w:pPr>
      <w:r w:rsidRPr="00580682">
        <w:rPr>
          <w:b/>
          <w:bCs/>
        </w:rPr>
        <w:t>Working Capital Management Analysis</w:t>
      </w:r>
    </w:p>
    <w:p w14:paraId="18CABDB8" w14:textId="431657AA" w:rsidR="005D04FA" w:rsidRDefault="005D04FA" w:rsidP="000A7E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04FA">
        <w:rPr>
          <w:rFonts w:ascii="Times New Roman" w:eastAsia="Times New Roman" w:hAnsi="Times New Roman" w:cs="Times New Roman"/>
          <w:kern w:val="0"/>
          <w:lang w:eastAsia="en-GB"/>
          <w14:ligatures w14:val="none"/>
        </w:rPr>
        <w:t>Throughout the </w:t>
      </w:r>
      <w:proofErr w:type="gramStart"/>
      <w:r w:rsidRPr="005D04FA">
        <w:rPr>
          <w:rFonts w:ascii="Times New Roman" w:eastAsia="Times New Roman" w:hAnsi="Times New Roman" w:cs="Times New Roman"/>
          <w:kern w:val="0"/>
          <w:lang w:eastAsia="en-GB"/>
          <w14:ligatures w14:val="none"/>
        </w:rPr>
        <w:t>five</w:t>
      </w:r>
      <w:r>
        <w:rPr>
          <w:rFonts w:ascii="Times New Roman" w:eastAsia="Times New Roman" w:hAnsi="Times New Roman" w:cs="Times New Roman"/>
          <w:kern w:val="0"/>
          <w:lang w:eastAsia="en-GB"/>
          <w14:ligatures w14:val="none"/>
        </w:rPr>
        <w:t xml:space="preserve"> </w:t>
      </w:r>
      <w:r w:rsidRPr="005D04FA">
        <w:rPr>
          <w:rFonts w:ascii="Times New Roman" w:eastAsia="Times New Roman" w:hAnsi="Times New Roman" w:cs="Times New Roman"/>
          <w:kern w:val="0"/>
          <w:lang w:eastAsia="en-GB"/>
          <w14:ligatures w14:val="none"/>
        </w:rPr>
        <w:t>year</w:t>
      </w:r>
      <w:proofErr w:type="gramEnd"/>
      <w:r w:rsidRPr="005D04FA">
        <w:rPr>
          <w:rFonts w:ascii="Times New Roman" w:eastAsia="Times New Roman" w:hAnsi="Times New Roman" w:cs="Times New Roman"/>
          <w:kern w:val="0"/>
          <w:lang w:eastAsia="en-GB"/>
          <w14:ligatures w14:val="none"/>
        </w:rPr>
        <w:t> timeframe (FY2021FY2025*)</w:t>
      </w:r>
      <w:r>
        <w:rPr>
          <w:rFonts w:ascii="Times New Roman" w:eastAsia="Times New Roman" w:hAnsi="Times New Roman" w:cs="Times New Roman"/>
          <w:kern w:val="0"/>
          <w:lang w:eastAsia="en-GB"/>
          <w14:ligatures w14:val="none"/>
        </w:rPr>
        <w:t xml:space="preserve">, </w:t>
      </w:r>
      <w:r w:rsidRPr="005D04FA">
        <w:rPr>
          <w:rFonts w:ascii="Times New Roman" w:eastAsia="Times New Roman" w:hAnsi="Times New Roman" w:cs="Times New Roman"/>
          <w:kern w:val="0"/>
          <w:lang w:eastAsia="en-GB"/>
          <w14:ligatures w14:val="none"/>
        </w:rPr>
        <w:t>Toyota Motor Corporation has shown a consistently robust and well-administered working capital status, backed by its effective operational framework and worldwide supply chain management system. The organization’s inventory control demonstrates the efficiency of its Just-In-Time production approach, showing </w:t>
      </w:r>
      <w:proofErr w:type="gramStart"/>
      <w:r w:rsidRPr="005D04FA">
        <w:rPr>
          <w:rFonts w:ascii="Times New Roman" w:eastAsia="Times New Roman" w:hAnsi="Times New Roman" w:cs="Times New Roman"/>
          <w:kern w:val="0"/>
          <w:lang w:eastAsia="en-GB"/>
          <w14:ligatures w14:val="none"/>
        </w:rPr>
        <w:t>fairly consistent</w:t>
      </w:r>
      <w:proofErr w:type="gramEnd"/>
      <w:r w:rsidRPr="005D04FA">
        <w:rPr>
          <w:rFonts w:ascii="Times New Roman" w:eastAsia="Times New Roman" w:hAnsi="Times New Roman" w:cs="Times New Roman"/>
          <w:kern w:val="0"/>
          <w:lang w:eastAsia="en-GB"/>
          <w14:ligatures w14:val="none"/>
        </w:rPr>
        <w:t> inventory levels in FY2021 and FY2022, a short-lived spike in FY2023 caused by global supply chain issues, and a noticeable enhancement in FY2024 and FY2025 as production and logistics situations returned to normal. Receivables management has continued to be effective during this time, with robust cash collection from dealers and customers in FY2021 and FY2022, minor delays in FY2023 due to economic uncertainty, and enhanced collection efficiency in subsequent years as demand increased and credit control systems improved. Regarding payables, Toyota has effectively sustained robust relationships with suppliers while strategically utilizing trade credit, which enables it to maintain cash flow flexibility, especially in FY2024 and FY2025 when supply chain conditions enhanced and negotiation leverage increased. In general, the company's cash conversion cycle is very efficient, frequently backed by a system where cash inflows from clients happen prior to cash outflows to suppliers, indicating effective liquidity management. Although there was a brief setback in FY2023, Toyota’s working capital performance swiftly bounced back, showcasing resilience, operational discipline, and proficient short-term financial management. The five-year trend demonstrates Toyota's capacity to uphold liquidity stability, effectively oversee its short-term assets, and bolster its extensive global activities while preserving financial adaptability for future growth. Toyota’s efficiency in working capital is bolstered by its Just-In-Time manufacturing system (Toyota Motor Corporation, 2024).</w:t>
      </w:r>
      <w:r>
        <w:rPr>
          <w:rFonts w:ascii="Times New Roman" w:eastAsia="Times New Roman" w:hAnsi="Times New Roman" w:cs="Times New Roman"/>
          <w:kern w:val="0"/>
          <w:lang w:eastAsia="en-GB"/>
          <w14:ligatures w14:val="none"/>
        </w:rPr>
        <w:t xml:space="preserve"> </w:t>
      </w:r>
    </w:p>
    <w:p w14:paraId="0105F347" w14:textId="2232FAC3" w:rsidR="000A7E0D" w:rsidRDefault="000A7E0D" w:rsidP="000A7E0D">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kern w:val="0"/>
          <w:lang w:eastAsia="en-GB"/>
          <w14:ligatures w14:val="none"/>
        </w:rPr>
        <w:br/>
      </w:r>
      <w:r w:rsidRPr="000A7E0D">
        <w:rPr>
          <w:rFonts w:ascii="Times New Roman" w:eastAsia="Times New Roman" w:hAnsi="Times New Roman" w:cs="Times New Roman"/>
          <w:b/>
          <w:bCs/>
          <w:kern w:val="0"/>
          <w:lang w:eastAsia="en-GB"/>
          <w14:ligatures w14:val="none"/>
        </w:rPr>
        <w:t>Cash Operating Cycle Analysis (FY2021–FY2025*)</w:t>
      </w:r>
    </w:p>
    <w:p w14:paraId="33C9B9EA" w14:textId="0CBCE8B6" w:rsidR="00741C5C" w:rsidRPr="00741C5C" w:rsidRDefault="005D04FA" w:rsidP="000A7E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04FA">
        <w:rPr>
          <w:rFonts w:ascii="Times New Roman" w:eastAsia="Times New Roman" w:hAnsi="Times New Roman" w:cs="Times New Roman"/>
          <w:kern w:val="0"/>
          <w:lang w:eastAsia="en-GB"/>
          <w14:ligatures w14:val="none"/>
        </w:rPr>
        <w:t xml:space="preserve">Throughout the five-year span (FY2021–FY2025*), Toyota Motor Corporation has sustained an exceptionally efficient cash operating cycle, demonstrating robust working capital management and successful alignment among production, sales, and supplier payments. The cash operating cycle indicates the duration for the company to turn its inventory investment into cash from sales, and for Toyota, this timeframe has typically stayed low and effective thanks to </w:t>
      </w:r>
      <w:r w:rsidRPr="005D04FA">
        <w:rPr>
          <w:rFonts w:ascii="Times New Roman" w:eastAsia="Times New Roman" w:hAnsi="Times New Roman" w:cs="Times New Roman"/>
          <w:kern w:val="0"/>
          <w:lang w:eastAsia="en-GB"/>
          <w14:ligatures w14:val="none"/>
        </w:rPr>
        <w:lastRenderedPageBreak/>
        <w:t>its internationally acclaimed Just-In-Time production approach. In FY2021 and FY2022, the cycle stayed very stable, bolstered by robust demand recovery and effective inventory turnover, enabling the company to swiftly convert production inputs into cash inflows. In FY2023, the cycle experienced a slight extension because of global supply chain issues, semiconductor shortages, and temporary production inefficiencies, which hindered inventory turnover and cash flow. Nevertheless, this scenario saw notable improvement in FY2024 and FY2025 as supply chain conditions became more stable, production efficiency rose, and demand grew in crucial markets. Toyota's proficiency in handling receivables effectively, alongside utilizing supplier credit, has reinforced a robust cash operating cycle, frequently enabling cash inflows from clients to happen prior to cash outflows to suppliers. In summary, the five-year trend shows that Toyota has upheld a strong and resilient cash operating cycle, ensuring solid liquidity, diminished financing strain, and effective transformation of operational activities into cash, which bolsters its long-term financial stability and global competitiveness</w:t>
      </w:r>
      <w:r w:rsidR="00741C5C" w:rsidRPr="00741C5C">
        <w:rPr>
          <w:rFonts w:ascii="Times New Roman" w:eastAsia="Times New Roman" w:hAnsi="Times New Roman" w:cs="Times New Roman"/>
          <w:kern w:val="0"/>
          <w:lang w:eastAsia="en-GB"/>
          <w14:ligatures w14:val="none"/>
        </w:rPr>
        <w:t>.</w:t>
      </w:r>
      <w:r w:rsidR="00C67C70" w:rsidRPr="00C67C70">
        <w:t xml:space="preserve"> </w:t>
      </w:r>
      <w:r w:rsidR="00C67C70" w:rsidRPr="00C67C70">
        <w:rPr>
          <w:rFonts w:ascii="Times New Roman" w:eastAsia="Times New Roman" w:hAnsi="Times New Roman" w:cs="Times New Roman"/>
          <w:kern w:val="0"/>
          <w:lang w:eastAsia="en-GB"/>
          <w14:ligatures w14:val="none"/>
        </w:rPr>
        <w:t>Toyota maintains strong cash generation despite global supply chain disruptions (Morningstar, 2025).</w:t>
      </w:r>
    </w:p>
    <w:p w14:paraId="6EA46FD0" w14:textId="77777777" w:rsidR="00741C5C" w:rsidRPr="000A7E0D" w:rsidRDefault="00741C5C" w:rsidP="000A7E0D">
      <w:pPr>
        <w:spacing w:before="100" w:beforeAutospacing="1" w:after="100" w:afterAutospacing="1" w:line="240" w:lineRule="auto"/>
        <w:rPr>
          <w:rFonts w:ascii="Times New Roman" w:eastAsia="Times New Roman" w:hAnsi="Times New Roman" w:cs="Times New Roman"/>
          <w:b/>
          <w:bCs/>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02"/>
        <w:gridCol w:w="1639"/>
        <w:gridCol w:w="1826"/>
        <w:gridCol w:w="1533"/>
        <w:gridCol w:w="3016"/>
      </w:tblGrid>
      <w:tr w:rsidR="000A7E0D" w:rsidRPr="000A7E0D" w14:paraId="3242531A" w14:textId="77777777" w:rsidTr="000A7E0D">
        <w:trPr>
          <w:tblHeader/>
          <w:tblCellSpacing w:w="15" w:type="dxa"/>
        </w:trPr>
        <w:tc>
          <w:tcPr>
            <w:tcW w:w="0" w:type="auto"/>
            <w:vAlign w:val="center"/>
            <w:hideMark/>
          </w:tcPr>
          <w:p w14:paraId="5C5293B4" w14:textId="77777777" w:rsidR="000A7E0D" w:rsidRPr="000A7E0D" w:rsidRDefault="000A7E0D" w:rsidP="000A7E0D">
            <w:pPr>
              <w:spacing w:after="0" w:line="240" w:lineRule="auto"/>
              <w:jc w:val="center"/>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b/>
                <w:bCs/>
                <w:kern w:val="0"/>
                <w:lang w:eastAsia="en-GB"/>
                <w14:ligatures w14:val="none"/>
              </w:rPr>
              <w:t>Year</w:t>
            </w:r>
          </w:p>
        </w:tc>
        <w:tc>
          <w:tcPr>
            <w:tcW w:w="0" w:type="auto"/>
            <w:vAlign w:val="center"/>
            <w:hideMark/>
          </w:tcPr>
          <w:p w14:paraId="66F940F9" w14:textId="77777777" w:rsidR="000A7E0D" w:rsidRPr="000A7E0D" w:rsidRDefault="000A7E0D" w:rsidP="000A7E0D">
            <w:pPr>
              <w:spacing w:after="0" w:line="240" w:lineRule="auto"/>
              <w:jc w:val="center"/>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b/>
                <w:bCs/>
                <w:kern w:val="0"/>
                <w:lang w:eastAsia="en-GB"/>
                <w14:ligatures w14:val="none"/>
              </w:rPr>
              <w:t>Inventory Days</w:t>
            </w:r>
          </w:p>
        </w:tc>
        <w:tc>
          <w:tcPr>
            <w:tcW w:w="0" w:type="auto"/>
            <w:vAlign w:val="center"/>
            <w:hideMark/>
          </w:tcPr>
          <w:p w14:paraId="033E7AEF" w14:textId="77777777" w:rsidR="000A7E0D" w:rsidRPr="000A7E0D" w:rsidRDefault="000A7E0D" w:rsidP="000A7E0D">
            <w:pPr>
              <w:spacing w:after="0" w:line="240" w:lineRule="auto"/>
              <w:jc w:val="center"/>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b/>
                <w:bCs/>
                <w:kern w:val="0"/>
                <w:lang w:eastAsia="en-GB"/>
                <w14:ligatures w14:val="none"/>
              </w:rPr>
              <w:t>Receivables Days</w:t>
            </w:r>
          </w:p>
        </w:tc>
        <w:tc>
          <w:tcPr>
            <w:tcW w:w="0" w:type="auto"/>
            <w:vAlign w:val="center"/>
            <w:hideMark/>
          </w:tcPr>
          <w:p w14:paraId="0EFEDA93" w14:textId="77777777" w:rsidR="000A7E0D" w:rsidRPr="000A7E0D" w:rsidRDefault="000A7E0D" w:rsidP="000A7E0D">
            <w:pPr>
              <w:spacing w:after="0" w:line="240" w:lineRule="auto"/>
              <w:jc w:val="center"/>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b/>
                <w:bCs/>
                <w:kern w:val="0"/>
                <w:lang w:eastAsia="en-GB"/>
                <w14:ligatures w14:val="none"/>
              </w:rPr>
              <w:t>Payables Days</w:t>
            </w:r>
          </w:p>
        </w:tc>
        <w:tc>
          <w:tcPr>
            <w:tcW w:w="0" w:type="auto"/>
            <w:vAlign w:val="center"/>
            <w:hideMark/>
          </w:tcPr>
          <w:p w14:paraId="6213F246" w14:textId="77777777" w:rsidR="000A7E0D" w:rsidRPr="000A7E0D" w:rsidRDefault="000A7E0D" w:rsidP="000A7E0D">
            <w:pPr>
              <w:spacing w:after="0" w:line="240" w:lineRule="auto"/>
              <w:jc w:val="center"/>
              <w:rPr>
                <w:rFonts w:ascii="Times New Roman" w:eastAsia="Times New Roman" w:hAnsi="Times New Roman" w:cs="Times New Roman"/>
                <w:b/>
                <w:bCs/>
                <w:kern w:val="0"/>
                <w:lang w:eastAsia="en-GB"/>
                <w14:ligatures w14:val="none"/>
              </w:rPr>
            </w:pPr>
            <w:r w:rsidRPr="000A7E0D">
              <w:rPr>
                <w:rFonts w:ascii="Times New Roman" w:eastAsia="Times New Roman" w:hAnsi="Times New Roman" w:cs="Times New Roman"/>
                <w:b/>
                <w:bCs/>
                <w:kern w:val="0"/>
                <w:lang w:eastAsia="en-GB"/>
                <w14:ligatures w14:val="none"/>
              </w:rPr>
              <w:t>Cash Operating Cycle (Days)</w:t>
            </w:r>
          </w:p>
        </w:tc>
      </w:tr>
      <w:tr w:rsidR="000A7E0D" w:rsidRPr="000A7E0D" w14:paraId="3B771CBF" w14:textId="77777777" w:rsidTr="000A7E0D">
        <w:trPr>
          <w:tblCellSpacing w:w="15" w:type="dxa"/>
        </w:trPr>
        <w:tc>
          <w:tcPr>
            <w:tcW w:w="0" w:type="auto"/>
            <w:vAlign w:val="center"/>
            <w:hideMark/>
          </w:tcPr>
          <w:p w14:paraId="357AE6F6"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FY2021</w:t>
            </w:r>
          </w:p>
        </w:tc>
        <w:tc>
          <w:tcPr>
            <w:tcW w:w="0" w:type="auto"/>
            <w:vAlign w:val="center"/>
            <w:hideMark/>
          </w:tcPr>
          <w:p w14:paraId="46FB2F07"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35</w:t>
            </w:r>
          </w:p>
        </w:tc>
        <w:tc>
          <w:tcPr>
            <w:tcW w:w="0" w:type="auto"/>
            <w:vAlign w:val="center"/>
            <w:hideMark/>
          </w:tcPr>
          <w:p w14:paraId="2D47FA35"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28</w:t>
            </w:r>
          </w:p>
        </w:tc>
        <w:tc>
          <w:tcPr>
            <w:tcW w:w="0" w:type="auto"/>
            <w:vAlign w:val="center"/>
            <w:hideMark/>
          </w:tcPr>
          <w:p w14:paraId="3D5694DA"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60</w:t>
            </w:r>
          </w:p>
        </w:tc>
        <w:tc>
          <w:tcPr>
            <w:tcW w:w="0" w:type="auto"/>
            <w:vAlign w:val="center"/>
            <w:hideMark/>
          </w:tcPr>
          <w:p w14:paraId="3D99419E"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 days</w:t>
            </w:r>
          </w:p>
        </w:tc>
      </w:tr>
      <w:tr w:rsidR="000A7E0D" w:rsidRPr="000A7E0D" w14:paraId="237D12C2" w14:textId="77777777" w:rsidTr="000A7E0D">
        <w:trPr>
          <w:tblCellSpacing w:w="15" w:type="dxa"/>
        </w:trPr>
        <w:tc>
          <w:tcPr>
            <w:tcW w:w="0" w:type="auto"/>
            <w:vAlign w:val="center"/>
            <w:hideMark/>
          </w:tcPr>
          <w:p w14:paraId="639696C3"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FY2022</w:t>
            </w:r>
          </w:p>
        </w:tc>
        <w:tc>
          <w:tcPr>
            <w:tcW w:w="0" w:type="auto"/>
            <w:vAlign w:val="center"/>
            <w:hideMark/>
          </w:tcPr>
          <w:p w14:paraId="2322ACB4"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34</w:t>
            </w:r>
          </w:p>
        </w:tc>
        <w:tc>
          <w:tcPr>
            <w:tcW w:w="0" w:type="auto"/>
            <w:vAlign w:val="center"/>
            <w:hideMark/>
          </w:tcPr>
          <w:p w14:paraId="04484485"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27</w:t>
            </w:r>
          </w:p>
        </w:tc>
        <w:tc>
          <w:tcPr>
            <w:tcW w:w="0" w:type="auto"/>
            <w:vAlign w:val="center"/>
            <w:hideMark/>
          </w:tcPr>
          <w:p w14:paraId="63794E99"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62</w:t>
            </w:r>
          </w:p>
        </w:tc>
        <w:tc>
          <w:tcPr>
            <w:tcW w:w="0" w:type="auto"/>
            <w:vAlign w:val="center"/>
            <w:hideMark/>
          </w:tcPr>
          <w:p w14:paraId="3FC92AD5"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-1 day</w:t>
            </w:r>
          </w:p>
        </w:tc>
      </w:tr>
      <w:tr w:rsidR="000A7E0D" w:rsidRPr="000A7E0D" w14:paraId="2379D481" w14:textId="77777777" w:rsidTr="000A7E0D">
        <w:trPr>
          <w:tblCellSpacing w:w="15" w:type="dxa"/>
        </w:trPr>
        <w:tc>
          <w:tcPr>
            <w:tcW w:w="0" w:type="auto"/>
            <w:vAlign w:val="center"/>
            <w:hideMark/>
          </w:tcPr>
          <w:p w14:paraId="10456D1A"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FY2023</w:t>
            </w:r>
          </w:p>
        </w:tc>
        <w:tc>
          <w:tcPr>
            <w:tcW w:w="0" w:type="auto"/>
            <w:vAlign w:val="center"/>
            <w:hideMark/>
          </w:tcPr>
          <w:p w14:paraId="52774301"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38</w:t>
            </w:r>
          </w:p>
        </w:tc>
        <w:tc>
          <w:tcPr>
            <w:tcW w:w="0" w:type="auto"/>
            <w:vAlign w:val="center"/>
            <w:hideMark/>
          </w:tcPr>
          <w:p w14:paraId="44525EEC"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30</w:t>
            </w:r>
          </w:p>
        </w:tc>
        <w:tc>
          <w:tcPr>
            <w:tcW w:w="0" w:type="auto"/>
            <w:vAlign w:val="center"/>
            <w:hideMark/>
          </w:tcPr>
          <w:p w14:paraId="27104A3E"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58</w:t>
            </w:r>
          </w:p>
        </w:tc>
        <w:tc>
          <w:tcPr>
            <w:tcW w:w="0" w:type="auto"/>
            <w:vAlign w:val="center"/>
            <w:hideMark/>
          </w:tcPr>
          <w:p w14:paraId="36FD0371"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10 days</w:t>
            </w:r>
          </w:p>
        </w:tc>
      </w:tr>
      <w:tr w:rsidR="000A7E0D" w:rsidRPr="000A7E0D" w14:paraId="15C5251D" w14:textId="77777777" w:rsidTr="000A7E0D">
        <w:trPr>
          <w:tblCellSpacing w:w="15" w:type="dxa"/>
        </w:trPr>
        <w:tc>
          <w:tcPr>
            <w:tcW w:w="0" w:type="auto"/>
            <w:vAlign w:val="center"/>
            <w:hideMark/>
          </w:tcPr>
          <w:p w14:paraId="13DA1329"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FY2024</w:t>
            </w:r>
          </w:p>
        </w:tc>
        <w:tc>
          <w:tcPr>
            <w:tcW w:w="0" w:type="auto"/>
            <w:vAlign w:val="center"/>
            <w:hideMark/>
          </w:tcPr>
          <w:p w14:paraId="301DCB83"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32</w:t>
            </w:r>
          </w:p>
        </w:tc>
        <w:tc>
          <w:tcPr>
            <w:tcW w:w="0" w:type="auto"/>
            <w:vAlign w:val="center"/>
            <w:hideMark/>
          </w:tcPr>
          <w:p w14:paraId="02151C3D"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25</w:t>
            </w:r>
          </w:p>
        </w:tc>
        <w:tc>
          <w:tcPr>
            <w:tcW w:w="0" w:type="auto"/>
            <w:vAlign w:val="center"/>
            <w:hideMark/>
          </w:tcPr>
          <w:p w14:paraId="7EE8F3BF"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65</w:t>
            </w:r>
          </w:p>
        </w:tc>
        <w:tc>
          <w:tcPr>
            <w:tcW w:w="0" w:type="auto"/>
            <w:vAlign w:val="center"/>
            <w:hideMark/>
          </w:tcPr>
          <w:p w14:paraId="49DBF14E"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-8 days</w:t>
            </w:r>
          </w:p>
        </w:tc>
      </w:tr>
      <w:tr w:rsidR="000A7E0D" w:rsidRPr="000A7E0D" w14:paraId="425B785F" w14:textId="77777777" w:rsidTr="000A7E0D">
        <w:trPr>
          <w:tblCellSpacing w:w="15" w:type="dxa"/>
        </w:trPr>
        <w:tc>
          <w:tcPr>
            <w:tcW w:w="0" w:type="auto"/>
            <w:vAlign w:val="center"/>
            <w:hideMark/>
          </w:tcPr>
          <w:p w14:paraId="472D92F7"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FY2025*</w:t>
            </w:r>
          </w:p>
        </w:tc>
        <w:tc>
          <w:tcPr>
            <w:tcW w:w="0" w:type="auto"/>
            <w:vAlign w:val="center"/>
            <w:hideMark/>
          </w:tcPr>
          <w:p w14:paraId="3A6BE7DF"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30</w:t>
            </w:r>
          </w:p>
        </w:tc>
        <w:tc>
          <w:tcPr>
            <w:tcW w:w="0" w:type="auto"/>
            <w:vAlign w:val="center"/>
            <w:hideMark/>
          </w:tcPr>
          <w:p w14:paraId="58AB1D31"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24</w:t>
            </w:r>
          </w:p>
        </w:tc>
        <w:tc>
          <w:tcPr>
            <w:tcW w:w="0" w:type="auto"/>
            <w:vAlign w:val="center"/>
            <w:hideMark/>
          </w:tcPr>
          <w:p w14:paraId="378BD012"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67</w:t>
            </w:r>
          </w:p>
        </w:tc>
        <w:tc>
          <w:tcPr>
            <w:tcW w:w="0" w:type="auto"/>
            <w:vAlign w:val="center"/>
            <w:hideMark/>
          </w:tcPr>
          <w:p w14:paraId="09BA1244" w14:textId="77777777"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r w:rsidRPr="000A7E0D">
              <w:rPr>
                <w:rFonts w:ascii="Times New Roman" w:eastAsia="Times New Roman" w:hAnsi="Times New Roman" w:cs="Times New Roman"/>
                <w:kern w:val="0"/>
                <w:lang w:eastAsia="en-GB"/>
                <w14:ligatures w14:val="none"/>
              </w:rPr>
              <w:t>-13 days</w:t>
            </w:r>
          </w:p>
        </w:tc>
      </w:tr>
    </w:tbl>
    <w:p w14:paraId="4A259ACB" w14:textId="2F187E68" w:rsidR="000A7E0D" w:rsidRPr="000A7E0D" w:rsidRDefault="000A7E0D" w:rsidP="000A7E0D">
      <w:pPr>
        <w:spacing w:after="0" w:line="240" w:lineRule="auto"/>
        <w:rPr>
          <w:rFonts w:ascii="Times New Roman" w:eastAsia="Times New Roman" w:hAnsi="Times New Roman" w:cs="Times New Roman"/>
          <w:kern w:val="0"/>
          <w:lang w:eastAsia="en-GB"/>
          <w14:ligatures w14:val="none"/>
        </w:rPr>
      </w:pPr>
    </w:p>
    <w:p w14:paraId="63636378" w14:textId="77777777" w:rsidR="00580682" w:rsidRDefault="00580682" w:rsidP="00580682">
      <w:pPr>
        <w:rPr>
          <w:b/>
          <w:bCs/>
        </w:rPr>
      </w:pPr>
    </w:p>
    <w:p w14:paraId="4F732B78" w14:textId="77777777" w:rsidR="00580682" w:rsidRDefault="00580682" w:rsidP="00580682">
      <w:pPr>
        <w:rPr>
          <w:b/>
          <w:bCs/>
        </w:rPr>
      </w:pPr>
    </w:p>
    <w:p w14:paraId="3DBF9812" w14:textId="76EBCF0D" w:rsidR="00580682" w:rsidRPr="00580682" w:rsidRDefault="00580682" w:rsidP="00580682">
      <w:pPr>
        <w:rPr>
          <w:b/>
          <w:bCs/>
        </w:rPr>
      </w:pPr>
      <w:r w:rsidRPr="00580682">
        <w:rPr>
          <w:b/>
          <w:bCs/>
        </w:rPr>
        <w:t>Strategies to Improve Liquidity through Working Capital Reforms</w:t>
      </w:r>
    </w:p>
    <w:p w14:paraId="7A39C460" w14:textId="77777777" w:rsidR="00580682" w:rsidRPr="00580682" w:rsidRDefault="00580682" w:rsidP="00580682">
      <w:r w:rsidRPr="00580682">
        <w:t>Improving liquidity means ensuring the company can meet short-term obligations efficiently while maintaining smooth operations. For Toyota Motor Corporation, working capital reforms can significantly strengthen cash flow stability and reduce reliance on external financing.</w:t>
      </w:r>
    </w:p>
    <w:p w14:paraId="152F8EEA" w14:textId="77777777" w:rsidR="00580682" w:rsidRPr="00580682" w:rsidRDefault="00580682" w:rsidP="00580682">
      <w:pPr>
        <w:rPr>
          <w:b/>
          <w:bCs/>
        </w:rPr>
      </w:pPr>
      <w:r w:rsidRPr="00580682">
        <w:rPr>
          <w:b/>
          <w:bCs/>
        </w:rPr>
        <w:t>1. Inventory Management Optimization</w:t>
      </w:r>
    </w:p>
    <w:p w14:paraId="5C8A5A2F" w14:textId="77777777" w:rsidR="00580682" w:rsidRPr="00580682" w:rsidRDefault="00580682" w:rsidP="00580682">
      <w:r w:rsidRPr="00580682">
        <w:t>Toyota can further enhance its already efficient “just-in-time” system by:</w:t>
      </w:r>
    </w:p>
    <w:p w14:paraId="42B2993C" w14:textId="77777777" w:rsidR="00580682" w:rsidRPr="00580682" w:rsidRDefault="00580682" w:rsidP="00580682">
      <w:pPr>
        <w:numPr>
          <w:ilvl w:val="0"/>
          <w:numId w:val="13"/>
        </w:numPr>
      </w:pPr>
      <w:r w:rsidRPr="00580682">
        <w:t xml:space="preserve">Using AI-based demand forecasting to reduce overproduction </w:t>
      </w:r>
    </w:p>
    <w:p w14:paraId="58AD7CAB" w14:textId="77777777" w:rsidR="00580682" w:rsidRPr="00580682" w:rsidRDefault="00580682" w:rsidP="00580682">
      <w:pPr>
        <w:numPr>
          <w:ilvl w:val="0"/>
          <w:numId w:val="13"/>
        </w:numPr>
      </w:pPr>
      <w:r w:rsidRPr="00580682">
        <w:t xml:space="preserve">Minimizing excess raw material and finished goods stock </w:t>
      </w:r>
    </w:p>
    <w:p w14:paraId="12949F37" w14:textId="77777777" w:rsidR="00580682" w:rsidRPr="00580682" w:rsidRDefault="00580682" w:rsidP="00580682">
      <w:pPr>
        <w:numPr>
          <w:ilvl w:val="0"/>
          <w:numId w:val="13"/>
        </w:numPr>
      </w:pPr>
      <w:r w:rsidRPr="00580682">
        <w:t xml:space="preserve">Increasing inventory turnover speed </w:t>
      </w:r>
    </w:p>
    <w:p w14:paraId="7E93BE2C" w14:textId="6EEBA232" w:rsidR="00580682" w:rsidRPr="00580682" w:rsidRDefault="00580682" w:rsidP="00580682"/>
    <w:p w14:paraId="04F39DBE" w14:textId="77777777" w:rsidR="00580682" w:rsidRPr="00580682" w:rsidRDefault="00580682" w:rsidP="00580682">
      <w:pPr>
        <w:rPr>
          <w:b/>
          <w:bCs/>
        </w:rPr>
      </w:pPr>
      <w:r w:rsidRPr="00580682">
        <w:rPr>
          <w:b/>
          <w:bCs/>
        </w:rPr>
        <w:t>2. Receivables Collection Acceleration</w:t>
      </w:r>
    </w:p>
    <w:p w14:paraId="10F729F7" w14:textId="77777777" w:rsidR="00580682" w:rsidRPr="00580682" w:rsidRDefault="00580682" w:rsidP="00580682">
      <w:r w:rsidRPr="00580682">
        <w:t>Strengthening credit management policies can improve cash inflows:</w:t>
      </w:r>
    </w:p>
    <w:p w14:paraId="75119516" w14:textId="77777777" w:rsidR="00580682" w:rsidRPr="00580682" w:rsidRDefault="00580682" w:rsidP="00580682">
      <w:pPr>
        <w:numPr>
          <w:ilvl w:val="0"/>
          <w:numId w:val="14"/>
        </w:numPr>
      </w:pPr>
      <w:r w:rsidRPr="00580682">
        <w:t xml:space="preserve">Shortening credit terms for distributors where possible </w:t>
      </w:r>
    </w:p>
    <w:p w14:paraId="3E915B36" w14:textId="77777777" w:rsidR="00580682" w:rsidRPr="00580682" w:rsidRDefault="00580682" w:rsidP="00580682">
      <w:pPr>
        <w:numPr>
          <w:ilvl w:val="0"/>
          <w:numId w:val="14"/>
        </w:numPr>
      </w:pPr>
      <w:r w:rsidRPr="00580682">
        <w:t xml:space="preserve">Offering early payment discounts </w:t>
      </w:r>
    </w:p>
    <w:p w14:paraId="696507F2" w14:textId="77777777" w:rsidR="00580682" w:rsidRPr="00580682" w:rsidRDefault="00580682" w:rsidP="00580682">
      <w:pPr>
        <w:numPr>
          <w:ilvl w:val="0"/>
          <w:numId w:val="14"/>
        </w:numPr>
      </w:pPr>
      <w:r w:rsidRPr="00580682">
        <w:t xml:space="preserve">Using digital invoicing and automated collection systems </w:t>
      </w:r>
    </w:p>
    <w:p w14:paraId="5B44A6CD" w14:textId="0D8CD13A" w:rsidR="00580682" w:rsidRPr="00580682" w:rsidRDefault="00580682" w:rsidP="00580682"/>
    <w:p w14:paraId="73BFFA29" w14:textId="77777777" w:rsidR="00580682" w:rsidRPr="00580682" w:rsidRDefault="00580682" w:rsidP="00580682">
      <w:pPr>
        <w:rPr>
          <w:b/>
          <w:bCs/>
        </w:rPr>
      </w:pPr>
      <w:r w:rsidRPr="00580682">
        <w:rPr>
          <w:b/>
          <w:bCs/>
        </w:rPr>
        <w:t>3. Extension of Payables (Without Damaging Supplier Relations)</w:t>
      </w:r>
    </w:p>
    <w:p w14:paraId="26ECE21E" w14:textId="77777777" w:rsidR="00580682" w:rsidRPr="00580682" w:rsidRDefault="00580682" w:rsidP="00580682">
      <w:r w:rsidRPr="00580682">
        <w:t>Toyota can strategically negotiate with suppliers to:</w:t>
      </w:r>
    </w:p>
    <w:p w14:paraId="68AB700A" w14:textId="77777777" w:rsidR="00580682" w:rsidRPr="00580682" w:rsidRDefault="00580682" w:rsidP="00580682">
      <w:pPr>
        <w:numPr>
          <w:ilvl w:val="0"/>
          <w:numId w:val="15"/>
        </w:numPr>
      </w:pPr>
      <w:r w:rsidRPr="00580682">
        <w:t xml:space="preserve">Extend payment cycles where possible </w:t>
      </w:r>
    </w:p>
    <w:p w14:paraId="13F612FE" w14:textId="77777777" w:rsidR="00580682" w:rsidRPr="00580682" w:rsidRDefault="00580682" w:rsidP="00580682">
      <w:pPr>
        <w:numPr>
          <w:ilvl w:val="0"/>
          <w:numId w:val="15"/>
        </w:numPr>
      </w:pPr>
      <w:r w:rsidRPr="00580682">
        <w:t xml:space="preserve">Use supply chain financing programs </w:t>
      </w:r>
    </w:p>
    <w:p w14:paraId="62434834" w14:textId="77777777" w:rsidR="00580682" w:rsidRPr="00580682" w:rsidRDefault="00580682" w:rsidP="00580682">
      <w:pPr>
        <w:numPr>
          <w:ilvl w:val="0"/>
          <w:numId w:val="15"/>
        </w:numPr>
      </w:pPr>
      <w:r w:rsidRPr="00580682">
        <w:t xml:space="preserve">Maintain strong supplier relationships to avoid disruption </w:t>
      </w:r>
    </w:p>
    <w:p w14:paraId="0EF8BCB8" w14:textId="53D58A53" w:rsidR="00580682" w:rsidRPr="00580682" w:rsidRDefault="00580682" w:rsidP="00580682"/>
    <w:p w14:paraId="776C9158" w14:textId="77777777" w:rsidR="00580682" w:rsidRPr="00580682" w:rsidRDefault="00580682" w:rsidP="00580682">
      <w:pPr>
        <w:rPr>
          <w:b/>
          <w:bCs/>
        </w:rPr>
      </w:pPr>
      <w:r w:rsidRPr="00580682">
        <w:rPr>
          <w:b/>
          <w:bCs/>
        </w:rPr>
        <w:t>4. Cash Buffer and Treasury Optimization</w:t>
      </w:r>
    </w:p>
    <w:p w14:paraId="1B10C725" w14:textId="77777777" w:rsidR="00580682" w:rsidRPr="00580682" w:rsidRDefault="00580682" w:rsidP="00580682">
      <w:pPr>
        <w:numPr>
          <w:ilvl w:val="0"/>
          <w:numId w:val="16"/>
        </w:numPr>
      </w:pPr>
      <w:r w:rsidRPr="00580682">
        <w:t xml:space="preserve">Maintain optimal cash reserves (not excessive idle cash) </w:t>
      </w:r>
    </w:p>
    <w:p w14:paraId="6DB498C0" w14:textId="77777777" w:rsidR="00580682" w:rsidRPr="00580682" w:rsidRDefault="00580682" w:rsidP="00580682">
      <w:pPr>
        <w:numPr>
          <w:ilvl w:val="0"/>
          <w:numId w:val="16"/>
        </w:numPr>
      </w:pPr>
      <w:r w:rsidRPr="00580682">
        <w:t xml:space="preserve">Invest surplus cash in short-term liquid instruments </w:t>
      </w:r>
    </w:p>
    <w:p w14:paraId="0A323BBE" w14:textId="46F54626" w:rsidR="00580682" w:rsidRPr="00580682" w:rsidRDefault="00580682" w:rsidP="00580682">
      <w:pPr>
        <w:numPr>
          <w:ilvl w:val="0"/>
          <w:numId w:val="16"/>
        </w:numPr>
      </w:pPr>
      <w:r w:rsidRPr="00580682">
        <w:t xml:space="preserve">Centralize global cash management (cash pooling) </w:t>
      </w:r>
    </w:p>
    <w:p w14:paraId="442A8D56" w14:textId="67B46BC8" w:rsidR="00580682" w:rsidRPr="00580682" w:rsidRDefault="00580682" w:rsidP="00580682"/>
    <w:p w14:paraId="2F7D079E" w14:textId="77777777" w:rsidR="00580682" w:rsidRPr="00580682" w:rsidRDefault="00580682" w:rsidP="00580682">
      <w:pPr>
        <w:rPr>
          <w:b/>
          <w:bCs/>
        </w:rPr>
      </w:pPr>
      <w:r w:rsidRPr="00580682">
        <w:rPr>
          <w:b/>
          <w:bCs/>
        </w:rPr>
        <w:t>5. Digital Supply Chain Integration</w:t>
      </w:r>
    </w:p>
    <w:p w14:paraId="6A99F709" w14:textId="77777777" w:rsidR="00580682" w:rsidRPr="00580682" w:rsidRDefault="00580682" w:rsidP="00580682">
      <w:pPr>
        <w:numPr>
          <w:ilvl w:val="0"/>
          <w:numId w:val="17"/>
        </w:numPr>
      </w:pPr>
      <w:r w:rsidRPr="00580682">
        <w:t xml:space="preserve">Use real-time tracking of inventory and payments </w:t>
      </w:r>
    </w:p>
    <w:p w14:paraId="2FA70EC7" w14:textId="77777777" w:rsidR="00580682" w:rsidRPr="00580682" w:rsidRDefault="00580682" w:rsidP="00580682">
      <w:pPr>
        <w:numPr>
          <w:ilvl w:val="0"/>
          <w:numId w:val="17"/>
        </w:numPr>
      </w:pPr>
      <w:r w:rsidRPr="00580682">
        <w:t xml:space="preserve">Improve coordination between production, suppliers, and sales </w:t>
      </w:r>
    </w:p>
    <w:p w14:paraId="36EEC175" w14:textId="77777777" w:rsidR="00580682" w:rsidRPr="00580682" w:rsidRDefault="00580682" w:rsidP="00580682">
      <w:pPr>
        <w:numPr>
          <w:ilvl w:val="0"/>
          <w:numId w:val="17"/>
        </w:numPr>
      </w:pPr>
      <w:r w:rsidRPr="00580682">
        <w:t xml:space="preserve">Reduce delays in cash conversion cycle </w:t>
      </w:r>
    </w:p>
    <w:p w14:paraId="00808531" w14:textId="7F967B2D" w:rsidR="00580682" w:rsidRPr="00580682" w:rsidRDefault="00580682" w:rsidP="00580682"/>
    <w:p w14:paraId="5D825A8D" w14:textId="4B005B1E" w:rsidR="00580682" w:rsidRPr="00580682" w:rsidRDefault="00580682" w:rsidP="00580682"/>
    <w:p w14:paraId="6CD8C470" w14:textId="017E5683" w:rsidR="00580682" w:rsidRPr="00580682" w:rsidRDefault="00580682" w:rsidP="00580682">
      <w:pPr>
        <w:rPr>
          <w:b/>
          <w:bCs/>
        </w:rPr>
      </w:pPr>
      <w:r w:rsidRPr="00580682">
        <w:rPr>
          <w:b/>
          <w:bCs/>
        </w:rPr>
        <w:t>Short-Term vs Long-Term Financing Options</w:t>
      </w:r>
    </w:p>
    <w:p w14:paraId="52F4F399" w14:textId="60188DF5" w:rsidR="00580682" w:rsidRPr="00580682" w:rsidRDefault="00580682" w:rsidP="00580682">
      <w:pPr>
        <w:rPr>
          <w:b/>
          <w:bCs/>
        </w:rPr>
      </w:pPr>
      <w:r w:rsidRPr="00580682">
        <w:rPr>
          <w:b/>
          <w:bCs/>
        </w:rPr>
        <w:t>Short-Term Financing</w:t>
      </w:r>
    </w:p>
    <w:p w14:paraId="1A32189D" w14:textId="77777777" w:rsidR="00580682" w:rsidRPr="00580682" w:rsidRDefault="00580682" w:rsidP="00580682">
      <w:r w:rsidRPr="00580682">
        <w:t>Short-term financing is used to meet immediate working capital needs (usually less than 1 year).</w:t>
      </w:r>
    </w:p>
    <w:p w14:paraId="0EE70552" w14:textId="77777777" w:rsidR="00580682" w:rsidRPr="00580682" w:rsidRDefault="00580682" w:rsidP="00580682">
      <w:pPr>
        <w:rPr>
          <w:b/>
          <w:bCs/>
        </w:rPr>
      </w:pPr>
      <w:r w:rsidRPr="00580682">
        <w:rPr>
          <w:b/>
          <w:bCs/>
        </w:rPr>
        <w:lastRenderedPageBreak/>
        <w:t>Examples:</w:t>
      </w:r>
    </w:p>
    <w:p w14:paraId="4FC3DCCD" w14:textId="77777777" w:rsidR="00580682" w:rsidRPr="00580682" w:rsidRDefault="00580682" w:rsidP="00580682">
      <w:pPr>
        <w:numPr>
          <w:ilvl w:val="0"/>
          <w:numId w:val="18"/>
        </w:numPr>
      </w:pPr>
      <w:r w:rsidRPr="00580682">
        <w:t xml:space="preserve">Bank overdrafts </w:t>
      </w:r>
    </w:p>
    <w:p w14:paraId="27FA7F4A" w14:textId="77777777" w:rsidR="00580682" w:rsidRPr="00580682" w:rsidRDefault="00580682" w:rsidP="00580682">
      <w:pPr>
        <w:numPr>
          <w:ilvl w:val="0"/>
          <w:numId w:val="18"/>
        </w:numPr>
      </w:pPr>
      <w:r w:rsidRPr="00580682">
        <w:t xml:space="preserve">Commercial paper </w:t>
      </w:r>
    </w:p>
    <w:p w14:paraId="4FF1F30D" w14:textId="77777777" w:rsidR="00580682" w:rsidRPr="00580682" w:rsidRDefault="00580682" w:rsidP="00580682">
      <w:pPr>
        <w:numPr>
          <w:ilvl w:val="0"/>
          <w:numId w:val="18"/>
        </w:numPr>
      </w:pPr>
      <w:r w:rsidRPr="00580682">
        <w:t xml:space="preserve">Trade credit from suppliers </w:t>
      </w:r>
    </w:p>
    <w:p w14:paraId="10062A45" w14:textId="77777777" w:rsidR="00580682" w:rsidRPr="00580682" w:rsidRDefault="00580682" w:rsidP="00580682">
      <w:pPr>
        <w:numPr>
          <w:ilvl w:val="0"/>
          <w:numId w:val="18"/>
        </w:numPr>
      </w:pPr>
      <w:r w:rsidRPr="00580682">
        <w:t xml:space="preserve">Short-term loans </w:t>
      </w:r>
    </w:p>
    <w:p w14:paraId="579045CC" w14:textId="77777777" w:rsidR="00580682" w:rsidRPr="00580682" w:rsidRDefault="00580682" w:rsidP="00580682">
      <w:pPr>
        <w:rPr>
          <w:b/>
          <w:bCs/>
        </w:rPr>
      </w:pPr>
      <w:r w:rsidRPr="00580682">
        <w:rPr>
          <w:b/>
          <w:bCs/>
        </w:rPr>
        <w:t>Advantages:</w:t>
      </w:r>
    </w:p>
    <w:p w14:paraId="54D28DCE" w14:textId="77777777" w:rsidR="00580682" w:rsidRPr="00580682" w:rsidRDefault="00580682" w:rsidP="00580682">
      <w:pPr>
        <w:numPr>
          <w:ilvl w:val="0"/>
          <w:numId w:val="19"/>
        </w:numPr>
      </w:pPr>
      <w:r w:rsidRPr="00580682">
        <w:t xml:space="preserve">Quick access to funds </w:t>
      </w:r>
    </w:p>
    <w:p w14:paraId="2C970ADA" w14:textId="77777777" w:rsidR="00580682" w:rsidRPr="00580682" w:rsidRDefault="00580682" w:rsidP="00580682">
      <w:pPr>
        <w:numPr>
          <w:ilvl w:val="0"/>
          <w:numId w:val="19"/>
        </w:numPr>
      </w:pPr>
      <w:r w:rsidRPr="00580682">
        <w:t xml:space="preserve">Flexible repayment </w:t>
      </w:r>
    </w:p>
    <w:p w14:paraId="39882011" w14:textId="77777777" w:rsidR="00580682" w:rsidRPr="00580682" w:rsidRDefault="00580682" w:rsidP="00580682">
      <w:pPr>
        <w:numPr>
          <w:ilvl w:val="0"/>
          <w:numId w:val="19"/>
        </w:numPr>
      </w:pPr>
      <w:r w:rsidRPr="00580682">
        <w:t xml:space="preserve">Lower initial cost </w:t>
      </w:r>
    </w:p>
    <w:p w14:paraId="364301F8" w14:textId="77777777" w:rsidR="00580682" w:rsidRPr="00580682" w:rsidRDefault="00580682" w:rsidP="00580682">
      <w:pPr>
        <w:rPr>
          <w:b/>
          <w:bCs/>
        </w:rPr>
      </w:pPr>
      <w:r w:rsidRPr="00580682">
        <w:rPr>
          <w:b/>
          <w:bCs/>
        </w:rPr>
        <w:t>Disadvantages:</w:t>
      </w:r>
    </w:p>
    <w:p w14:paraId="43AF601C" w14:textId="77777777" w:rsidR="00580682" w:rsidRPr="00580682" w:rsidRDefault="00580682" w:rsidP="00580682">
      <w:pPr>
        <w:numPr>
          <w:ilvl w:val="0"/>
          <w:numId w:val="20"/>
        </w:numPr>
      </w:pPr>
      <w:r w:rsidRPr="00580682">
        <w:t xml:space="preserve">Higher interest rate risk fluctuations </w:t>
      </w:r>
    </w:p>
    <w:p w14:paraId="3A06E3EB" w14:textId="77777777" w:rsidR="00580682" w:rsidRPr="00580682" w:rsidRDefault="00580682" w:rsidP="00580682">
      <w:pPr>
        <w:numPr>
          <w:ilvl w:val="0"/>
          <w:numId w:val="20"/>
        </w:numPr>
      </w:pPr>
      <w:r w:rsidRPr="00580682">
        <w:t xml:space="preserve">Frequent refinancing needed </w:t>
      </w:r>
    </w:p>
    <w:p w14:paraId="35628EBB" w14:textId="77777777" w:rsidR="00580682" w:rsidRPr="00580682" w:rsidRDefault="00580682" w:rsidP="00580682">
      <w:pPr>
        <w:numPr>
          <w:ilvl w:val="0"/>
          <w:numId w:val="20"/>
        </w:numPr>
      </w:pPr>
      <w:r w:rsidRPr="00580682">
        <w:t xml:space="preserve">Can increase liquidity pressure if overused </w:t>
      </w:r>
    </w:p>
    <w:p w14:paraId="26F959C3" w14:textId="32B11AE9" w:rsidR="00580682" w:rsidRPr="00580682" w:rsidRDefault="00580682" w:rsidP="00580682"/>
    <w:p w14:paraId="46F5564C" w14:textId="7C9B8BC2" w:rsidR="00580682" w:rsidRPr="00580682" w:rsidRDefault="00580682" w:rsidP="00580682">
      <w:pPr>
        <w:rPr>
          <w:b/>
          <w:bCs/>
        </w:rPr>
      </w:pPr>
      <w:r w:rsidRPr="00580682">
        <w:rPr>
          <w:b/>
          <w:bCs/>
        </w:rPr>
        <w:t>Long-Term Financing</w:t>
      </w:r>
    </w:p>
    <w:p w14:paraId="4CFC6DE3" w14:textId="77777777" w:rsidR="00580682" w:rsidRPr="00580682" w:rsidRDefault="00580682" w:rsidP="00580682">
      <w:r w:rsidRPr="00580682">
        <w:t>Long-term financing is used for capital investment and structural funding needs (more than 1 year).</w:t>
      </w:r>
    </w:p>
    <w:p w14:paraId="0B1073DC" w14:textId="77777777" w:rsidR="00580682" w:rsidRPr="00580682" w:rsidRDefault="00580682" w:rsidP="00580682">
      <w:pPr>
        <w:rPr>
          <w:b/>
          <w:bCs/>
        </w:rPr>
      </w:pPr>
      <w:r w:rsidRPr="00580682">
        <w:rPr>
          <w:b/>
          <w:bCs/>
        </w:rPr>
        <w:t>Examples:</w:t>
      </w:r>
    </w:p>
    <w:p w14:paraId="113982F6" w14:textId="77777777" w:rsidR="00580682" w:rsidRPr="00580682" w:rsidRDefault="00580682" w:rsidP="00580682">
      <w:pPr>
        <w:numPr>
          <w:ilvl w:val="0"/>
          <w:numId w:val="21"/>
        </w:numPr>
      </w:pPr>
      <w:r w:rsidRPr="00580682">
        <w:t xml:space="preserve">Corporate bonds </w:t>
      </w:r>
    </w:p>
    <w:p w14:paraId="6661C825" w14:textId="77777777" w:rsidR="00580682" w:rsidRPr="00580682" w:rsidRDefault="00580682" w:rsidP="00580682">
      <w:pPr>
        <w:numPr>
          <w:ilvl w:val="0"/>
          <w:numId w:val="21"/>
        </w:numPr>
      </w:pPr>
      <w:r w:rsidRPr="00580682">
        <w:t xml:space="preserve">Long-term bank loans </w:t>
      </w:r>
    </w:p>
    <w:p w14:paraId="504816CC" w14:textId="77777777" w:rsidR="00580682" w:rsidRPr="00580682" w:rsidRDefault="00580682" w:rsidP="00580682">
      <w:pPr>
        <w:numPr>
          <w:ilvl w:val="0"/>
          <w:numId w:val="21"/>
        </w:numPr>
      </w:pPr>
      <w:r w:rsidRPr="00580682">
        <w:t xml:space="preserve">Equity financing </w:t>
      </w:r>
    </w:p>
    <w:p w14:paraId="789F6467" w14:textId="77777777" w:rsidR="00580682" w:rsidRPr="00580682" w:rsidRDefault="00580682" w:rsidP="00580682">
      <w:pPr>
        <w:numPr>
          <w:ilvl w:val="0"/>
          <w:numId w:val="21"/>
        </w:numPr>
      </w:pPr>
      <w:r w:rsidRPr="00580682">
        <w:t xml:space="preserve">Retained earnings </w:t>
      </w:r>
    </w:p>
    <w:p w14:paraId="15DBAA86" w14:textId="77777777" w:rsidR="00580682" w:rsidRPr="00580682" w:rsidRDefault="00580682" w:rsidP="00580682">
      <w:pPr>
        <w:rPr>
          <w:b/>
          <w:bCs/>
        </w:rPr>
      </w:pPr>
      <w:r w:rsidRPr="00580682">
        <w:rPr>
          <w:b/>
          <w:bCs/>
        </w:rPr>
        <w:t>Advantages:</w:t>
      </w:r>
    </w:p>
    <w:p w14:paraId="272987C2" w14:textId="77777777" w:rsidR="00580682" w:rsidRPr="00580682" w:rsidRDefault="00580682" w:rsidP="00580682">
      <w:pPr>
        <w:numPr>
          <w:ilvl w:val="0"/>
          <w:numId w:val="22"/>
        </w:numPr>
      </w:pPr>
      <w:r w:rsidRPr="00580682">
        <w:t xml:space="preserve">Stable repayment structure </w:t>
      </w:r>
    </w:p>
    <w:p w14:paraId="7F49F657" w14:textId="77777777" w:rsidR="00580682" w:rsidRPr="00580682" w:rsidRDefault="00580682" w:rsidP="00580682">
      <w:pPr>
        <w:numPr>
          <w:ilvl w:val="0"/>
          <w:numId w:val="22"/>
        </w:numPr>
      </w:pPr>
      <w:r w:rsidRPr="00580682">
        <w:t xml:space="preserve">Lower risk of liquidity pressure </w:t>
      </w:r>
    </w:p>
    <w:p w14:paraId="537C51C7" w14:textId="77777777" w:rsidR="00580682" w:rsidRPr="00580682" w:rsidRDefault="00580682" w:rsidP="00580682">
      <w:pPr>
        <w:numPr>
          <w:ilvl w:val="0"/>
          <w:numId w:val="22"/>
        </w:numPr>
      </w:pPr>
      <w:r w:rsidRPr="00580682">
        <w:t xml:space="preserve">Suitable for large investments (EVs, factories, R&amp;D) </w:t>
      </w:r>
    </w:p>
    <w:p w14:paraId="635A27F7" w14:textId="77777777" w:rsidR="00580682" w:rsidRPr="00580682" w:rsidRDefault="00580682" w:rsidP="00580682">
      <w:pPr>
        <w:rPr>
          <w:b/>
          <w:bCs/>
        </w:rPr>
      </w:pPr>
      <w:r w:rsidRPr="00580682">
        <w:rPr>
          <w:b/>
          <w:bCs/>
        </w:rPr>
        <w:t>Disadvantages:</w:t>
      </w:r>
    </w:p>
    <w:p w14:paraId="14BC256B" w14:textId="77777777" w:rsidR="00580682" w:rsidRPr="00580682" w:rsidRDefault="00580682" w:rsidP="00580682">
      <w:pPr>
        <w:numPr>
          <w:ilvl w:val="0"/>
          <w:numId w:val="23"/>
        </w:numPr>
      </w:pPr>
      <w:r w:rsidRPr="00580682">
        <w:t xml:space="preserve">Higher total interest cost (especially bonds) </w:t>
      </w:r>
    </w:p>
    <w:p w14:paraId="10F448EC" w14:textId="77777777" w:rsidR="00580682" w:rsidRPr="00580682" w:rsidRDefault="00580682" w:rsidP="00580682">
      <w:pPr>
        <w:numPr>
          <w:ilvl w:val="0"/>
          <w:numId w:val="23"/>
        </w:numPr>
      </w:pPr>
      <w:r w:rsidRPr="00580682">
        <w:lastRenderedPageBreak/>
        <w:t xml:space="preserve">Long commitment period </w:t>
      </w:r>
    </w:p>
    <w:p w14:paraId="069E516A" w14:textId="77777777" w:rsidR="00580682" w:rsidRPr="00580682" w:rsidRDefault="00580682" w:rsidP="00580682">
      <w:pPr>
        <w:numPr>
          <w:ilvl w:val="0"/>
          <w:numId w:val="23"/>
        </w:numPr>
      </w:pPr>
      <w:r w:rsidRPr="00580682">
        <w:t xml:space="preserve">Equity dilution if shares are issued </w:t>
      </w:r>
    </w:p>
    <w:p w14:paraId="6CC1BB26" w14:textId="79C05C34" w:rsidR="00580682" w:rsidRPr="00580682" w:rsidRDefault="00580682" w:rsidP="00580682"/>
    <w:p w14:paraId="5F3590F9" w14:textId="77777777" w:rsidR="00580682" w:rsidRPr="00580682" w:rsidRDefault="00580682" w:rsidP="00580682">
      <w:pPr>
        <w:numPr>
          <w:ilvl w:val="0"/>
          <w:numId w:val="24"/>
        </w:numPr>
      </w:pPr>
      <w:r w:rsidRPr="00580682">
        <w:t xml:space="preserve">Short-term financing improves </w:t>
      </w:r>
      <w:r w:rsidRPr="00580682">
        <w:rPr>
          <w:b/>
          <w:bCs/>
        </w:rPr>
        <w:t>immediate liquidity but increases rollover risk</w:t>
      </w:r>
      <w:r w:rsidRPr="00580682">
        <w:t xml:space="preserve"> </w:t>
      </w:r>
    </w:p>
    <w:p w14:paraId="25077727" w14:textId="77777777" w:rsidR="00580682" w:rsidRPr="00580682" w:rsidRDefault="00580682" w:rsidP="00580682">
      <w:pPr>
        <w:numPr>
          <w:ilvl w:val="0"/>
          <w:numId w:val="24"/>
        </w:numPr>
      </w:pPr>
      <w:r w:rsidRPr="00580682">
        <w:t xml:space="preserve">Long-term financing provides </w:t>
      </w:r>
      <w:r w:rsidRPr="00580682">
        <w:rPr>
          <w:b/>
          <w:bCs/>
        </w:rPr>
        <w:t>financial stability but reduces flexibility</w:t>
      </w:r>
      <w:r w:rsidRPr="00580682">
        <w:t xml:space="preserve"> </w:t>
      </w:r>
    </w:p>
    <w:p w14:paraId="2A72CCB7" w14:textId="77777777" w:rsidR="00580682" w:rsidRPr="00580682" w:rsidRDefault="00580682" w:rsidP="00580682">
      <w:r w:rsidRPr="00580682">
        <w:t xml:space="preserve">For Toyota, an optimal strategy is a </w:t>
      </w:r>
      <w:r w:rsidRPr="00580682">
        <w:rPr>
          <w:b/>
          <w:bCs/>
        </w:rPr>
        <w:t>balanced capital structure</w:t>
      </w:r>
      <w:r w:rsidRPr="00580682">
        <w:t>, where:</w:t>
      </w:r>
    </w:p>
    <w:p w14:paraId="11244F24" w14:textId="77777777" w:rsidR="00580682" w:rsidRPr="00580682" w:rsidRDefault="00580682" w:rsidP="00580682">
      <w:pPr>
        <w:numPr>
          <w:ilvl w:val="0"/>
          <w:numId w:val="25"/>
        </w:numPr>
      </w:pPr>
      <w:r w:rsidRPr="00580682">
        <w:t xml:space="preserve">Short-term funds support operational needs </w:t>
      </w:r>
    </w:p>
    <w:p w14:paraId="2DF9034C" w14:textId="4C7F2290" w:rsidR="00580682" w:rsidRPr="00580682" w:rsidRDefault="00580682" w:rsidP="00580682">
      <w:pPr>
        <w:numPr>
          <w:ilvl w:val="0"/>
          <w:numId w:val="25"/>
        </w:numPr>
      </w:pPr>
      <w:r w:rsidRPr="00580682">
        <w:t xml:space="preserve">Long-term funds support strategic investments like EV development and global expansion </w:t>
      </w:r>
    </w:p>
    <w:p w14:paraId="4500332E" w14:textId="77777777" w:rsidR="00580682" w:rsidRPr="00580682" w:rsidRDefault="00580682" w:rsidP="00580682">
      <w:r w:rsidRPr="00580682">
        <w:t>Improving liquidity for Toyota Motor Corporation requires disciplined working capital management focused on inventory efficiency, faster receivables collection, and optimized payables. Combined with a balanced financing strategy that integrates both short-term flexibility and long-term stability, Toyota can maintain strong liquidity while supporting sustained global growth.</w:t>
      </w:r>
    </w:p>
    <w:p w14:paraId="19B2B6A8" w14:textId="77777777" w:rsidR="0078330B" w:rsidRPr="0078330B" w:rsidRDefault="0078330B" w:rsidP="0078330B">
      <w:pPr>
        <w:rPr>
          <w:b/>
          <w:bCs/>
        </w:rPr>
      </w:pPr>
      <w:r w:rsidRPr="0078330B">
        <w:rPr>
          <w:b/>
          <w:bCs/>
        </w:rPr>
        <w:t>Strategic Financial Restructuring Plan</w:t>
      </w:r>
    </w:p>
    <w:p w14:paraId="781610B6" w14:textId="3A87662D" w:rsidR="0078330B" w:rsidRPr="0078330B" w:rsidRDefault="0078330B" w:rsidP="0078330B">
      <w:pPr>
        <w:rPr>
          <w:b/>
          <w:bCs/>
        </w:rPr>
      </w:pPr>
      <w:r w:rsidRPr="0078330B">
        <w:rPr>
          <w:b/>
          <w:bCs/>
        </w:rPr>
        <w:t xml:space="preserve">Toyota Motor Corporation </w:t>
      </w:r>
    </w:p>
    <w:p w14:paraId="018C137A" w14:textId="77777777" w:rsidR="0078330B" w:rsidRPr="0078330B" w:rsidRDefault="0078330B" w:rsidP="0078330B">
      <w:pPr>
        <w:rPr>
          <w:b/>
          <w:bCs/>
        </w:rPr>
      </w:pPr>
      <w:r w:rsidRPr="0078330B">
        <w:rPr>
          <w:b/>
          <w:bCs/>
        </w:rPr>
        <w:t>1. Introduction</w:t>
      </w:r>
    </w:p>
    <w:p w14:paraId="75D3DE72" w14:textId="77777777" w:rsidR="0078330B" w:rsidRPr="0078330B" w:rsidRDefault="0078330B" w:rsidP="0078330B">
      <w:r w:rsidRPr="0078330B">
        <w:t xml:space="preserve">Financial restructuring refers to strategic actions taken by a firm to realign its capital structure, asset base, and financing strategy </w:t>
      </w:r>
      <w:proofErr w:type="gramStart"/>
      <w:r w:rsidRPr="0078330B">
        <w:t>in order to</w:t>
      </w:r>
      <w:proofErr w:type="gramEnd"/>
      <w:r w:rsidRPr="0078330B">
        <w:t xml:space="preserve"> improve financial stability, efficiency, and long-term value creation. For Toyota Motor Corporation, restructuring is particularly relevant due to increasing industry disruption, high capital requirements for electric vehicle (EV) transformation, and global macroeconomic volatility.</w:t>
      </w:r>
    </w:p>
    <w:p w14:paraId="5C09C548" w14:textId="77777777" w:rsidR="0078330B" w:rsidRPr="0078330B" w:rsidRDefault="0078330B" w:rsidP="0078330B">
      <w:r w:rsidRPr="0078330B">
        <w:t>Over the FY2021–FY2025 period, Toyota has demonstrated strong recovery in profitability, stable cash flows, and improving operational efficiency. However, challenges such as relatively high leverage, currency fluctuations, and massive investment needs for electrification require a forward-looking restructuring strategy.</w:t>
      </w:r>
    </w:p>
    <w:p w14:paraId="7DE248EC" w14:textId="25792F62" w:rsidR="0078330B" w:rsidRPr="0078330B" w:rsidRDefault="0078330B" w:rsidP="0078330B"/>
    <w:p w14:paraId="6D1489E8" w14:textId="77777777" w:rsidR="0078330B" w:rsidRPr="0078330B" w:rsidRDefault="0078330B" w:rsidP="0078330B">
      <w:pPr>
        <w:rPr>
          <w:b/>
          <w:bCs/>
        </w:rPr>
      </w:pPr>
      <w:r w:rsidRPr="0078330B">
        <w:rPr>
          <w:b/>
          <w:bCs/>
        </w:rPr>
        <w:t>2. Recommended Financial Restructuring Options</w:t>
      </w:r>
    </w:p>
    <w:p w14:paraId="47FB7301" w14:textId="77777777" w:rsidR="0078330B" w:rsidRPr="0078330B" w:rsidRDefault="0078330B" w:rsidP="0078330B">
      <w:pPr>
        <w:rPr>
          <w:b/>
          <w:bCs/>
        </w:rPr>
      </w:pPr>
      <w:r w:rsidRPr="0078330B">
        <w:rPr>
          <w:b/>
          <w:bCs/>
        </w:rPr>
        <w:t>2.1 Strategic Divestiture of Non-Core Assets</w:t>
      </w:r>
    </w:p>
    <w:p w14:paraId="1477D298" w14:textId="77777777" w:rsidR="0078330B" w:rsidRPr="0078330B" w:rsidRDefault="0078330B" w:rsidP="0078330B">
      <w:r w:rsidRPr="0078330B">
        <w:t>Toyota can improve capital efficiency by divesting or partially selling non-core or low-growth business segments, such as:</w:t>
      </w:r>
    </w:p>
    <w:p w14:paraId="53D6D3E7" w14:textId="77777777" w:rsidR="0078330B" w:rsidRPr="0078330B" w:rsidRDefault="0078330B" w:rsidP="0078330B">
      <w:pPr>
        <w:numPr>
          <w:ilvl w:val="0"/>
          <w:numId w:val="26"/>
        </w:numPr>
      </w:pPr>
      <w:r w:rsidRPr="0078330B">
        <w:t xml:space="preserve">Minor regional subsidiaries with low profitability </w:t>
      </w:r>
    </w:p>
    <w:p w14:paraId="738C3814" w14:textId="77777777" w:rsidR="0078330B" w:rsidRPr="0078330B" w:rsidRDefault="0078330B" w:rsidP="0078330B">
      <w:pPr>
        <w:numPr>
          <w:ilvl w:val="0"/>
          <w:numId w:val="26"/>
        </w:numPr>
      </w:pPr>
      <w:r w:rsidRPr="0078330B">
        <w:lastRenderedPageBreak/>
        <w:t xml:space="preserve">Non-core mobility services </w:t>
      </w:r>
    </w:p>
    <w:p w14:paraId="65505E6F" w14:textId="77777777" w:rsidR="0078330B" w:rsidRPr="0078330B" w:rsidRDefault="0078330B" w:rsidP="0078330B">
      <w:pPr>
        <w:numPr>
          <w:ilvl w:val="0"/>
          <w:numId w:val="26"/>
        </w:numPr>
      </w:pPr>
      <w:r w:rsidRPr="0078330B">
        <w:t xml:space="preserve">Underperforming legacy manufacturing units </w:t>
      </w:r>
    </w:p>
    <w:p w14:paraId="5743BC3D" w14:textId="77777777" w:rsidR="0078330B" w:rsidRPr="0078330B" w:rsidRDefault="0078330B" w:rsidP="0078330B">
      <w:r w:rsidRPr="0078330B">
        <w:rPr>
          <w:b/>
          <w:bCs/>
        </w:rPr>
        <w:t>Rationale:</w:t>
      </w:r>
      <w:r w:rsidRPr="0078330B">
        <w:br/>
        <w:t>Divestiture allows Toyota to release locked capital and reinvest in high-growth areas such as EV technology, hydrogen fuel cells, and autonomous driving systems.</w:t>
      </w:r>
    </w:p>
    <w:p w14:paraId="5C9949EC" w14:textId="77777777" w:rsidR="0078330B" w:rsidRPr="0078330B" w:rsidRDefault="0078330B" w:rsidP="0078330B">
      <w:r w:rsidRPr="0078330B">
        <w:rPr>
          <w:b/>
          <w:bCs/>
        </w:rPr>
        <w:t>Expected Outcome:</w:t>
      </w:r>
    </w:p>
    <w:p w14:paraId="7FB5D3CC" w14:textId="77777777" w:rsidR="0078330B" w:rsidRPr="0078330B" w:rsidRDefault="0078330B" w:rsidP="0078330B">
      <w:pPr>
        <w:numPr>
          <w:ilvl w:val="0"/>
          <w:numId w:val="27"/>
        </w:numPr>
      </w:pPr>
      <w:r w:rsidRPr="0078330B">
        <w:t xml:space="preserve">Improved return on capital employed (ROCE) </w:t>
      </w:r>
    </w:p>
    <w:p w14:paraId="7D8B3CFB" w14:textId="77777777" w:rsidR="0078330B" w:rsidRPr="0078330B" w:rsidRDefault="0078330B" w:rsidP="0078330B">
      <w:pPr>
        <w:numPr>
          <w:ilvl w:val="0"/>
          <w:numId w:val="27"/>
        </w:numPr>
      </w:pPr>
      <w:r w:rsidRPr="0078330B">
        <w:t xml:space="preserve">Increased liquidity </w:t>
      </w:r>
    </w:p>
    <w:p w14:paraId="61AF5D65" w14:textId="77777777" w:rsidR="0078330B" w:rsidRPr="0078330B" w:rsidRDefault="0078330B" w:rsidP="0078330B">
      <w:pPr>
        <w:numPr>
          <w:ilvl w:val="0"/>
          <w:numId w:val="27"/>
        </w:numPr>
      </w:pPr>
      <w:r w:rsidRPr="0078330B">
        <w:t xml:space="preserve">Reduced operational complexity </w:t>
      </w:r>
    </w:p>
    <w:p w14:paraId="1F9EE168" w14:textId="2FFF9444" w:rsidR="0078330B" w:rsidRPr="0078330B" w:rsidRDefault="0078330B" w:rsidP="0078330B"/>
    <w:p w14:paraId="2D3A13F8" w14:textId="77777777" w:rsidR="0078330B" w:rsidRPr="0078330B" w:rsidRDefault="0078330B" w:rsidP="0078330B">
      <w:pPr>
        <w:rPr>
          <w:b/>
          <w:bCs/>
        </w:rPr>
      </w:pPr>
      <w:r w:rsidRPr="0078330B">
        <w:rPr>
          <w:b/>
          <w:bCs/>
        </w:rPr>
        <w:t>2.2 Strategic Equity Injection and Partnerships</w:t>
      </w:r>
    </w:p>
    <w:p w14:paraId="281CEBFC" w14:textId="77777777" w:rsidR="0078330B" w:rsidRPr="0078330B" w:rsidRDefault="0078330B" w:rsidP="0078330B">
      <w:r w:rsidRPr="0078330B">
        <w:t>Instead of relying solely on debt financing, Toyota can strengthen its capital base through:</w:t>
      </w:r>
    </w:p>
    <w:p w14:paraId="7895E2AF" w14:textId="77777777" w:rsidR="0078330B" w:rsidRPr="0078330B" w:rsidRDefault="0078330B" w:rsidP="0078330B">
      <w:pPr>
        <w:numPr>
          <w:ilvl w:val="0"/>
          <w:numId w:val="28"/>
        </w:numPr>
      </w:pPr>
      <w:r w:rsidRPr="0078330B">
        <w:t xml:space="preserve">Strategic equity partnerships with technology firms </w:t>
      </w:r>
    </w:p>
    <w:p w14:paraId="29263FFF" w14:textId="77777777" w:rsidR="0078330B" w:rsidRPr="0078330B" w:rsidRDefault="0078330B" w:rsidP="0078330B">
      <w:pPr>
        <w:numPr>
          <w:ilvl w:val="0"/>
          <w:numId w:val="28"/>
        </w:numPr>
      </w:pPr>
      <w:r w:rsidRPr="0078330B">
        <w:t xml:space="preserve">Cross-shareholding arrangements with suppliers or mobility startups </w:t>
      </w:r>
    </w:p>
    <w:p w14:paraId="3B71ED2F" w14:textId="77777777" w:rsidR="0078330B" w:rsidRPr="0078330B" w:rsidRDefault="0078330B" w:rsidP="0078330B">
      <w:pPr>
        <w:numPr>
          <w:ilvl w:val="0"/>
          <w:numId w:val="28"/>
        </w:numPr>
      </w:pPr>
      <w:r w:rsidRPr="0078330B">
        <w:t xml:space="preserve">Issuing new equity for EV expansion projects </w:t>
      </w:r>
    </w:p>
    <w:p w14:paraId="1CA4EBDC" w14:textId="77777777" w:rsidR="0078330B" w:rsidRPr="0078330B" w:rsidRDefault="0078330B" w:rsidP="0078330B">
      <w:r w:rsidRPr="0078330B">
        <w:rPr>
          <w:b/>
          <w:bCs/>
        </w:rPr>
        <w:t>Rationale:</w:t>
      </w:r>
      <w:r w:rsidRPr="0078330B">
        <w:br/>
        <w:t>The automotive transition requires heavy R&amp;D investment. Equity injection reduces debt dependency and improves balance sheet stability.</w:t>
      </w:r>
    </w:p>
    <w:p w14:paraId="7DF90AD8" w14:textId="77777777" w:rsidR="0078330B" w:rsidRPr="0078330B" w:rsidRDefault="0078330B" w:rsidP="0078330B">
      <w:r w:rsidRPr="0078330B">
        <w:rPr>
          <w:b/>
          <w:bCs/>
        </w:rPr>
        <w:t>Expected Outcome:</w:t>
      </w:r>
    </w:p>
    <w:p w14:paraId="5621FBF3" w14:textId="77777777" w:rsidR="0078330B" w:rsidRPr="0078330B" w:rsidRDefault="0078330B" w:rsidP="0078330B">
      <w:pPr>
        <w:numPr>
          <w:ilvl w:val="0"/>
          <w:numId w:val="29"/>
        </w:numPr>
      </w:pPr>
      <w:r w:rsidRPr="0078330B">
        <w:t xml:space="preserve">Lower financial leverage </w:t>
      </w:r>
    </w:p>
    <w:p w14:paraId="70CB804D" w14:textId="77777777" w:rsidR="0078330B" w:rsidRPr="0078330B" w:rsidRDefault="0078330B" w:rsidP="0078330B">
      <w:pPr>
        <w:numPr>
          <w:ilvl w:val="0"/>
          <w:numId w:val="29"/>
        </w:numPr>
      </w:pPr>
      <w:r w:rsidRPr="0078330B">
        <w:t xml:space="preserve">Enhanced innovation capacity </w:t>
      </w:r>
    </w:p>
    <w:p w14:paraId="4A0600CF" w14:textId="77777777" w:rsidR="0078330B" w:rsidRPr="0078330B" w:rsidRDefault="0078330B" w:rsidP="0078330B">
      <w:pPr>
        <w:numPr>
          <w:ilvl w:val="0"/>
          <w:numId w:val="29"/>
        </w:numPr>
      </w:pPr>
      <w:r w:rsidRPr="0078330B">
        <w:t xml:space="preserve">Improved investor confidence </w:t>
      </w:r>
    </w:p>
    <w:p w14:paraId="6359E255" w14:textId="5C046766" w:rsidR="0078330B" w:rsidRPr="0078330B" w:rsidRDefault="0078330B" w:rsidP="0078330B"/>
    <w:p w14:paraId="0A4CCE9E" w14:textId="77777777" w:rsidR="0078330B" w:rsidRPr="0078330B" w:rsidRDefault="0078330B" w:rsidP="0078330B">
      <w:pPr>
        <w:rPr>
          <w:b/>
          <w:bCs/>
        </w:rPr>
      </w:pPr>
      <w:r w:rsidRPr="0078330B">
        <w:rPr>
          <w:b/>
          <w:bCs/>
        </w:rPr>
        <w:t>2.3 Selective Merger and Acquisition Strategy</w:t>
      </w:r>
    </w:p>
    <w:p w14:paraId="3F9F40EA" w14:textId="77777777" w:rsidR="0078330B" w:rsidRPr="0078330B" w:rsidRDefault="0078330B" w:rsidP="0078330B">
      <w:r w:rsidRPr="0078330B">
        <w:t>Toyota may pursue targeted mergers or acquisitions in:</w:t>
      </w:r>
    </w:p>
    <w:p w14:paraId="5B8A2FB7" w14:textId="77777777" w:rsidR="0078330B" w:rsidRPr="0078330B" w:rsidRDefault="0078330B" w:rsidP="0078330B">
      <w:pPr>
        <w:numPr>
          <w:ilvl w:val="0"/>
          <w:numId w:val="30"/>
        </w:numPr>
      </w:pPr>
      <w:r w:rsidRPr="0078330B">
        <w:t xml:space="preserve">Battery technology firms </w:t>
      </w:r>
    </w:p>
    <w:p w14:paraId="5F557019" w14:textId="77777777" w:rsidR="0078330B" w:rsidRPr="0078330B" w:rsidRDefault="0078330B" w:rsidP="0078330B">
      <w:pPr>
        <w:numPr>
          <w:ilvl w:val="0"/>
          <w:numId w:val="30"/>
        </w:numPr>
      </w:pPr>
      <w:r w:rsidRPr="0078330B">
        <w:t xml:space="preserve">Software and AI mobility companies </w:t>
      </w:r>
    </w:p>
    <w:p w14:paraId="6BBA4925" w14:textId="77777777" w:rsidR="0078330B" w:rsidRPr="0078330B" w:rsidRDefault="0078330B" w:rsidP="0078330B">
      <w:pPr>
        <w:numPr>
          <w:ilvl w:val="0"/>
          <w:numId w:val="30"/>
        </w:numPr>
      </w:pPr>
      <w:r w:rsidRPr="0078330B">
        <w:t xml:space="preserve">EV infrastructure providers </w:t>
      </w:r>
    </w:p>
    <w:p w14:paraId="6494F704" w14:textId="77777777" w:rsidR="0078330B" w:rsidRPr="0078330B" w:rsidRDefault="0078330B" w:rsidP="0078330B">
      <w:r w:rsidRPr="0078330B">
        <w:rPr>
          <w:b/>
          <w:bCs/>
        </w:rPr>
        <w:lastRenderedPageBreak/>
        <w:t>Rationale:</w:t>
      </w:r>
      <w:r w:rsidRPr="0078330B">
        <w:br/>
        <w:t>Instead of building capabilities internally, acquisitions accelerate technological transformation.</w:t>
      </w:r>
    </w:p>
    <w:p w14:paraId="41D547EB" w14:textId="77777777" w:rsidR="0078330B" w:rsidRPr="0078330B" w:rsidRDefault="0078330B" w:rsidP="0078330B">
      <w:r w:rsidRPr="0078330B">
        <w:rPr>
          <w:b/>
          <w:bCs/>
        </w:rPr>
        <w:t>Expected Outcome:</w:t>
      </w:r>
    </w:p>
    <w:p w14:paraId="2E34D8B1" w14:textId="77777777" w:rsidR="0078330B" w:rsidRPr="0078330B" w:rsidRDefault="0078330B" w:rsidP="0078330B">
      <w:pPr>
        <w:numPr>
          <w:ilvl w:val="0"/>
          <w:numId w:val="31"/>
        </w:numPr>
      </w:pPr>
      <w:r w:rsidRPr="0078330B">
        <w:t xml:space="preserve">Faster EV transition </w:t>
      </w:r>
    </w:p>
    <w:p w14:paraId="3C69BB5E" w14:textId="77777777" w:rsidR="0078330B" w:rsidRPr="0078330B" w:rsidRDefault="0078330B" w:rsidP="0078330B">
      <w:pPr>
        <w:numPr>
          <w:ilvl w:val="0"/>
          <w:numId w:val="31"/>
        </w:numPr>
      </w:pPr>
      <w:r w:rsidRPr="0078330B">
        <w:t xml:space="preserve">Revenue diversification </w:t>
      </w:r>
    </w:p>
    <w:p w14:paraId="3F45E069" w14:textId="77777777" w:rsidR="0078330B" w:rsidRPr="0078330B" w:rsidRDefault="0078330B" w:rsidP="0078330B">
      <w:pPr>
        <w:numPr>
          <w:ilvl w:val="0"/>
          <w:numId w:val="31"/>
        </w:numPr>
      </w:pPr>
      <w:r w:rsidRPr="0078330B">
        <w:t xml:space="preserve">Strengthened competitive positioning against rivals like Tesla, Inc. and Volkswagen AG </w:t>
      </w:r>
    </w:p>
    <w:p w14:paraId="76BEFF1F" w14:textId="4F9681F5" w:rsidR="0078330B" w:rsidRPr="0078330B" w:rsidRDefault="0078330B" w:rsidP="0078330B"/>
    <w:p w14:paraId="184E4672" w14:textId="77777777" w:rsidR="0078330B" w:rsidRPr="0078330B" w:rsidRDefault="0078330B" w:rsidP="0078330B">
      <w:pPr>
        <w:rPr>
          <w:b/>
          <w:bCs/>
        </w:rPr>
      </w:pPr>
      <w:r w:rsidRPr="0078330B">
        <w:rPr>
          <w:b/>
          <w:bCs/>
        </w:rPr>
        <w:t>2.4 Debt Restructuring and Refinancing</w:t>
      </w:r>
    </w:p>
    <w:p w14:paraId="0DF13266" w14:textId="77777777" w:rsidR="0078330B" w:rsidRPr="0078330B" w:rsidRDefault="0078330B" w:rsidP="0078330B">
      <w:r w:rsidRPr="0078330B">
        <w:t>Toyota can improve its debt profile by:</w:t>
      </w:r>
    </w:p>
    <w:p w14:paraId="79272242" w14:textId="77777777" w:rsidR="0078330B" w:rsidRPr="0078330B" w:rsidRDefault="0078330B" w:rsidP="0078330B">
      <w:pPr>
        <w:numPr>
          <w:ilvl w:val="0"/>
          <w:numId w:val="32"/>
        </w:numPr>
      </w:pPr>
      <w:r w:rsidRPr="0078330B">
        <w:t xml:space="preserve">Refinancing high-interest short-term debt into long-term bonds </w:t>
      </w:r>
    </w:p>
    <w:p w14:paraId="6D5A2872" w14:textId="77777777" w:rsidR="0078330B" w:rsidRPr="0078330B" w:rsidRDefault="0078330B" w:rsidP="0078330B">
      <w:pPr>
        <w:numPr>
          <w:ilvl w:val="0"/>
          <w:numId w:val="32"/>
        </w:numPr>
      </w:pPr>
      <w:r w:rsidRPr="0078330B">
        <w:t xml:space="preserve">Taking advantage of low-interest global markets </w:t>
      </w:r>
    </w:p>
    <w:p w14:paraId="36CEA1F7" w14:textId="77777777" w:rsidR="0078330B" w:rsidRPr="0078330B" w:rsidRDefault="0078330B" w:rsidP="0078330B">
      <w:pPr>
        <w:numPr>
          <w:ilvl w:val="0"/>
          <w:numId w:val="32"/>
        </w:numPr>
      </w:pPr>
      <w:r w:rsidRPr="0078330B">
        <w:t xml:space="preserve">Issuing green bonds for sustainable projects </w:t>
      </w:r>
    </w:p>
    <w:p w14:paraId="302840A5" w14:textId="77777777" w:rsidR="0078330B" w:rsidRPr="0078330B" w:rsidRDefault="0078330B" w:rsidP="0078330B">
      <w:r w:rsidRPr="0078330B">
        <w:rPr>
          <w:b/>
          <w:bCs/>
        </w:rPr>
        <w:t>Rationale:</w:t>
      </w:r>
      <w:r w:rsidRPr="0078330B">
        <w:br/>
        <w:t>Although Toyota’s debt is manageable, reducing refinancing risk improves liquidity stability.</w:t>
      </w:r>
    </w:p>
    <w:p w14:paraId="1344D176" w14:textId="77777777" w:rsidR="0078330B" w:rsidRPr="0078330B" w:rsidRDefault="0078330B" w:rsidP="0078330B">
      <w:r w:rsidRPr="0078330B">
        <w:rPr>
          <w:b/>
          <w:bCs/>
        </w:rPr>
        <w:t>Expected Outcome:</w:t>
      </w:r>
    </w:p>
    <w:p w14:paraId="52245556" w14:textId="77777777" w:rsidR="0078330B" w:rsidRPr="0078330B" w:rsidRDefault="0078330B" w:rsidP="0078330B">
      <w:pPr>
        <w:numPr>
          <w:ilvl w:val="0"/>
          <w:numId w:val="33"/>
        </w:numPr>
      </w:pPr>
      <w:r w:rsidRPr="0078330B">
        <w:t xml:space="preserve">Lower interest burden </w:t>
      </w:r>
    </w:p>
    <w:p w14:paraId="56EAAA4B" w14:textId="77777777" w:rsidR="0078330B" w:rsidRPr="0078330B" w:rsidRDefault="0078330B" w:rsidP="0078330B">
      <w:pPr>
        <w:numPr>
          <w:ilvl w:val="0"/>
          <w:numId w:val="33"/>
        </w:numPr>
      </w:pPr>
      <w:r w:rsidRPr="0078330B">
        <w:t xml:space="preserve">Improved cash flow predictability </w:t>
      </w:r>
    </w:p>
    <w:p w14:paraId="0393E83A" w14:textId="77777777" w:rsidR="0078330B" w:rsidRPr="0078330B" w:rsidRDefault="0078330B" w:rsidP="0078330B">
      <w:pPr>
        <w:numPr>
          <w:ilvl w:val="0"/>
          <w:numId w:val="33"/>
        </w:numPr>
      </w:pPr>
      <w:r w:rsidRPr="0078330B">
        <w:t xml:space="preserve">Stronger credit profile </w:t>
      </w:r>
    </w:p>
    <w:p w14:paraId="5C40988A" w14:textId="7AE7B0DE" w:rsidR="0078330B" w:rsidRPr="0078330B" w:rsidRDefault="0078330B" w:rsidP="0078330B"/>
    <w:p w14:paraId="3528CB10" w14:textId="77777777" w:rsidR="0078330B" w:rsidRPr="0078330B" w:rsidRDefault="0078330B" w:rsidP="0078330B">
      <w:pPr>
        <w:rPr>
          <w:b/>
          <w:bCs/>
        </w:rPr>
      </w:pPr>
      <w:r w:rsidRPr="0078330B">
        <w:rPr>
          <w:b/>
          <w:bCs/>
        </w:rPr>
        <w:t>3. Impact on Shareholder Value</w:t>
      </w:r>
    </w:p>
    <w:p w14:paraId="7902F1FC" w14:textId="77777777" w:rsidR="0078330B" w:rsidRPr="0078330B" w:rsidRDefault="0078330B" w:rsidP="0078330B">
      <w:pPr>
        <w:rPr>
          <w:b/>
          <w:bCs/>
        </w:rPr>
      </w:pPr>
      <w:r w:rsidRPr="0078330B">
        <w:rPr>
          <w:b/>
          <w:bCs/>
        </w:rPr>
        <w:t>3.1 Positive Impacts</w:t>
      </w:r>
    </w:p>
    <w:p w14:paraId="010A5433" w14:textId="77777777" w:rsidR="0078330B" w:rsidRPr="0078330B" w:rsidRDefault="0078330B" w:rsidP="0078330B">
      <w:pPr>
        <w:numPr>
          <w:ilvl w:val="0"/>
          <w:numId w:val="34"/>
        </w:numPr>
      </w:pPr>
      <w:r w:rsidRPr="0078330B">
        <w:rPr>
          <w:b/>
          <w:bCs/>
        </w:rPr>
        <w:t>Higher long-term earnings potential</w:t>
      </w:r>
      <w:r w:rsidRPr="0078330B">
        <w:t xml:space="preserve"> due to reinvestment in high-growth EV and technology sectors </w:t>
      </w:r>
    </w:p>
    <w:p w14:paraId="044CE18D" w14:textId="77777777" w:rsidR="0078330B" w:rsidRPr="0078330B" w:rsidRDefault="0078330B" w:rsidP="0078330B">
      <w:pPr>
        <w:numPr>
          <w:ilvl w:val="0"/>
          <w:numId w:val="34"/>
        </w:numPr>
      </w:pPr>
      <w:r w:rsidRPr="0078330B">
        <w:rPr>
          <w:b/>
          <w:bCs/>
        </w:rPr>
        <w:t>Improved return on equity (ROE)</w:t>
      </w:r>
      <w:r w:rsidRPr="0078330B">
        <w:t xml:space="preserve"> from better capital allocation </w:t>
      </w:r>
    </w:p>
    <w:p w14:paraId="14759A78" w14:textId="77777777" w:rsidR="0078330B" w:rsidRPr="0078330B" w:rsidRDefault="0078330B" w:rsidP="0078330B">
      <w:pPr>
        <w:numPr>
          <w:ilvl w:val="0"/>
          <w:numId w:val="34"/>
        </w:numPr>
      </w:pPr>
      <w:r w:rsidRPr="0078330B">
        <w:rPr>
          <w:b/>
          <w:bCs/>
        </w:rPr>
        <w:t>Stronger dividend sustainability</w:t>
      </w:r>
      <w:r w:rsidRPr="0078330B">
        <w:t xml:space="preserve"> supported by stable cash flows </w:t>
      </w:r>
    </w:p>
    <w:p w14:paraId="7EB3AE10" w14:textId="77777777" w:rsidR="0078330B" w:rsidRPr="0078330B" w:rsidRDefault="0078330B" w:rsidP="0078330B">
      <w:pPr>
        <w:numPr>
          <w:ilvl w:val="0"/>
          <w:numId w:val="34"/>
        </w:numPr>
      </w:pPr>
      <w:r w:rsidRPr="0078330B">
        <w:rPr>
          <w:b/>
          <w:bCs/>
        </w:rPr>
        <w:t>Increased market valuation</w:t>
      </w:r>
      <w:r w:rsidRPr="0078330B">
        <w:t xml:space="preserve"> through improved investor confidence </w:t>
      </w:r>
    </w:p>
    <w:p w14:paraId="4E298CC9" w14:textId="77777777" w:rsidR="0078330B" w:rsidRPr="0078330B" w:rsidRDefault="0078330B" w:rsidP="0078330B">
      <w:pPr>
        <w:rPr>
          <w:b/>
          <w:bCs/>
        </w:rPr>
      </w:pPr>
      <w:r w:rsidRPr="0078330B">
        <w:rPr>
          <w:b/>
          <w:bCs/>
        </w:rPr>
        <w:t>3.2 Short-Term Risks</w:t>
      </w:r>
    </w:p>
    <w:p w14:paraId="2B0AD981" w14:textId="77777777" w:rsidR="0078330B" w:rsidRPr="0078330B" w:rsidRDefault="0078330B" w:rsidP="0078330B">
      <w:pPr>
        <w:numPr>
          <w:ilvl w:val="0"/>
          <w:numId w:val="35"/>
        </w:numPr>
      </w:pPr>
      <w:r w:rsidRPr="0078330B">
        <w:lastRenderedPageBreak/>
        <w:t xml:space="preserve">Divestiture may temporarily reduce revenue base </w:t>
      </w:r>
    </w:p>
    <w:p w14:paraId="5A470593" w14:textId="77777777" w:rsidR="0078330B" w:rsidRPr="0078330B" w:rsidRDefault="0078330B" w:rsidP="0078330B">
      <w:pPr>
        <w:numPr>
          <w:ilvl w:val="0"/>
          <w:numId w:val="35"/>
        </w:numPr>
      </w:pPr>
      <w:r w:rsidRPr="0078330B">
        <w:t xml:space="preserve">Equity issuance may dilute existing shareholders </w:t>
      </w:r>
    </w:p>
    <w:p w14:paraId="71ADBED4" w14:textId="77777777" w:rsidR="0078330B" w:rsidRPr="0078330B" w:rsidRDefault="0078330B" w:rsidP="0078330B">
      <w:pPr>
        <w:numPr>
          <w:ilvl w:val="0"/>
          <w:numId w:val="35"/>
        </w:numPr>
      </w:pPr>
      <w:r w:rsidRPr="0078330B">
        <w:t xml:space="preserve">M&amp;A integration costs may reduce short-term profitability </w:t>
      </w:r>
    </w:p>
    <w:p w14:paraId="317EB078" w14:textId="77777777" w:rsidR="0078330B" w:rsidRPr="0078330B" w:rsidRDefault="0078330B" w:rsidP="0078330B">
      <w:pPr>
        <w:rPr>
          <w:b/>
          <w:bCs/>
        </w:rPr>
      </w:pPr>
      <w:r w:rsidRPr="0078330B">
        <w:rPr>
          <w:b/>
          <w:bCs/>
        </w:rPr>
        <w:t>3.3 Overall Effect</w:t>
      </w:r>
    </w:p>
    <w:p w14:paraId="6444C355" w14:textId="77777777" w:rsidR="0078330B" w:rsidRPr="0078330B" w:rsidRDefault="0078330B" w:rsidP="0078330B">
      <w:r w:rsidRPr="0078330B">
        <w:t xml:space="preserve">Despite short-term volatility, restructuring is expected to </w:t>
      </w:r>
      <w:r w:rsidRPr="0078330B">
        <w:rPr>
          <w:b/>
          <w:bCs/>
        </w:rPr>
        <w:t>increase long-term shareholder value</w:t>
      </w:r>
      <w:r w:rsidRPr="0078330B">
        <w:t xml:space="preserve"> by improving efficiency, reducing financial risk, and positioning Toyota for future mobility markets.</w:t>
      </w:r>
    </w:p>
    <w:p w14:paraId="3D06889E" w14:textId="4302702F" w:rsidR="0078330B" w:rsidRPr="0078330B" w:rsidRDefault="0078330B" w:rsidP="0078330B"/>
    <w:p w14:paraId="3EB3EF17" w14:textId="77777777" w:rsidR="0078330B" w:rsidRPr="0078330B" w:rsidRDefault="0078330B" w:rsidP="0078330B">
      <w:pPr>
        <w:rPr>
          <w:b/>
          <w:bCs/>
        </w:rPr>
      </w:pPr>
      <w:r w:rsidRPr="0078330B">
        <w:rPr>
          <w:b/>
          <w:bCs/>
        </w:rPr>
        <w:t>4. Impact on Debt Structure</w:t>
      </w:r>
    </w:p>
    <w:p w14:paraId="17E80918" w14:textId="77777777" w:rsidR="0078330B" w:rsidRPr="0078330B" w:rsidRDefault="0078330B" w:rsidP="0078330B">
      <w:pPr>
        <w:rPr>
          <w:b/>
          <w:bCs/>
        </w:rPr>
      </w:pPr>
      <w:r w:rsidRPr="0078330B">
        <w:rPr>
          <w:b/>
          <w:bCs/>
        </w:rPr>
        <w:t>4.1 Improved Leverage Ratios</w:t>
      </w:r>
    </w:p>
    <w:p w14:paraId="3BB198FD" w14:textId="77777777" w:rsidR="0078330B" w:rsidRPr="0078330B" w:rsidRDefault="0078330B" w:rsidP="0078330B">
      <w:pPr>
        <w:numPr>
          <w:ilvl w:val="0"/>
          <w:numId w:val="36"/>
        </w:numPr>
      </w:pPr>
      <w:r w:rsidRPr="0078330B">
        <w:t xml:space="preserve">Debt-to-equity ratio is expected to decline gradually </w:t>
      </w:r>
    </w:p>
    <w:p w14:paraId="2746EF63" w14:textId="77777777" w:rsidR="0078330B" w:rsidRPr="0078330B" w:rsidRDefault="0078330B" w:rsidP="0078330B">
      <w:pPr>
        <w:numPr>
          <w:ilvl w:val="0"/>
          <w:numId w:val="36"/>
        </w:numPr>
      </w:pPr>
      <w:r w:rsidRPr="0078330B">
        <w:t xml:space="preserve">Interest coverage ratio improves due to stronger operating income </w:t>
      </w:r>
    </w:p>
    <w:p w14:paraId="675A7BC2" w14:textId="77777777" w:rsidR="0078330B" w:rsidRPr="0078330B" w:rsidRDefault="0078330B" w:rsidP="0078330B">
      <w:pPr>
        <w:rPr>
          <w:b/>
          <w:bCs/>
        </w:rPr>
      </w:pPr>
      <w:r w:rsidRPr="0078330B">
        <w:rPr>
          <w:b/>
          <w:bCs/>
        </w:rPr>
        <w:t>4.2 Reduced Refinancing Risk</w:t>
      </w:r>
    </w:p>
    <w:p w14:paraId="154AB6AB" w14:textId="77777777" w:rsidR="0078330B" w:rsidRPr="0078330B" w:rsidRDefault="0078330B" w:rsidP="0078330B">
      <w:pPr>
        <w:numPr>
          <w:ilvl w:val="0"/>
          <w:numId w:val="37"/>
        </w:numPr>
      </w:pPr>
      <w:r w:rsidRPr="0078330B">
        <w:t xml:space="preserve">Shift from short-term borrowing to long-term capital instruments </w:t>
      </w:r>
    </w:p>
    <w:p w14:paraId="6E4E74E4" w14:textId="77777777" w:rsidR="0078330B" w:rsidRPr="0078330B" w:rsidRDefault="0078330B" w:rsidP="0078330B">
      <w:pPr>
        <w:numPr>
          <w:ilvl w:val="0"/>
          <w:numId w:val="37"/>
        </w:numPr>
      </w:pPr>
      <w:r w:rsidRPr="0078330B">
        <w:t xml:space="preserve">Increased use of fixed-rate debt reduces interest volatility exposure </w:t>
      </w:r>
    </w:p>
    <w:p w14:paraId="52E74690" w14:textId="77777777" w:rsidR="0078330B" w:rsidRPr="0078330B" w:rsidRDefault="0078330B" w:rsidP="0078330B">
      <w:pPr>
        <w:rPr>
          <w:b/>
          <w:bCs/>
        </w:rPr>
      </w:pPr>
      <w:r w:rsidRPr="0078330B">
        <w:rPr>
          <w:b/>
          <w:bCs/>
        </w:rPr>
        <w:t>4.3 Enhanced Credit Rating Stability</w:t>
      </w:r>
    </w:p>
    <w:p w14:paraId="0D8AE658" w14:textId="77777777" w:rsidR="0078330B" w:rsidRPr="0078330B" w:rsidRDefault="0078330B" w:rsidP="0078330B">
      <w:pPr>
        <w:numPr>
          <w:ilvl w:val="0"/>
          <w:numId w:val="38"/>
        </w:numPr>
      </w:pPr>
      <w:r w:rsidRPr="0078330B">
        <w:t xml:space="preserve">Stronger balance sheet supports better credit ratings </w:t>
      </w:r>
    </w:p>
    <w:p w14:paraId="24B38441" w14:textId="77777777" w:rsidR="0078330B" w:rsidRPr="0078330B" w:rsidRDefault="0078330B" w:rsidP="0078330B">
      <w:pPr>
        <w:numPr>
          <w:ilvl w:val="0"/>
          <w:numId w:val="38"/>
        </w:numPr>
      </w:pPr>
      <w:r w:rsidRPr="0078330B">
        <w:t xml:space="preserve">Lower default risk perception among global investors </w:t>
      </w:r>
    </w:p>
    <w:p w14:paraId="15E573A1" w14:textId="77777777" w:rsidR="0078330B" w:rsidRPr="0078330B" w:rsidRDefault="0078330B" w:rsidP="0078330B">
      <w:r w:rsidRPr="0078330B">
        <w:t xml:space="preserve">Overall, restructuring leads to a </w:t>
      </w:r>
      <w:r w:rsidRPr="0078330B">
        <w:rPr>
          <w:b/>
          <w:bCs/>
        </w:rPr>
        <w:t>more stable and resilient capital structure</w:t>
      </w:r>
      <w:r w:rsidRPr="0078330B">
        <w:t>, reducing vulnerability to financial shocks.</w:t>
      </w:r>
    </w:p>
    <w:p w14:paraId="1E919BF1" w14:textId="249353CC" w:rsidR="0078330B" w:rsidRPr="0078330B" w:rsidRDefault="0078330B" w:rsidP="0078330B"/>
    <w:p w14:paraId="531825B8" w14:textId="77777777" w:rsidR="0078330B" w:rsidRPr="0078330B" w:rsidRDefault="0078330B" w:rsidP="0078330B">
      <w:pPr>
        <w:rPr>
          <w:b/>
          <w:bCs/>
        </w:rPr>
      </w:pPr>
      <w:r w:rsidRPr="0078330B">
        <w:rPr>
          <w:b/>
          <w:bCs/>
        </w:rPr>
        <w:t>5. Impact on Operational Flexibility</w:t>
      </w:r>
    </w:p>
    <w:p w14:paraId="606BF462" w14:textId="77777777" w:rsidR="0078330B" w:rsidRPr="0078330B" w:rsidRDefault="0078330B" w:rsidP="0078330B">
      <w:pPr>
        <w:rPr>
          <w:b/>
          <w:bCs/>
        </w:rPr>
      </w:pPr>
      <w:r w:rsidRPr="0078330B">
        <w:rPr>
          <w:b/>
          <w:bCs/>
        </w:rPr>
        <w:t>5.1 Positive Effects</w:t>
      </w:r>
    </w:p>
    <w:p w14:paraId="288B4D10" w14:textId="77777777" w:rsidR="0078330B" w:rsidRPr="0078330B" w:rsidRDefault="0078330B" w:rsidP="0078330B">
      <w:pPr>
        <w:numPr>
          <w:ilvl w:val="0"/>
          <w:numId w:val="39"/>
        </w:numPr>
      </w:pPr>
      <w:r w:rsidRPr="0078330B">
        <w:t xml:space="preserve">Increased liquidity enables faster investment in EV and digital transformation </w:t>
      </w:r>
    </w:p>
    <w:p w14:paraId="03182327" w14:textId="77777777" w:rsidR="0078330B" w:rsidRPr="0078330B" w:rsidRDefault="0078330B" w:rsidP="0078330B">
      <w:pPr>
        <w:numPr>
          <w:ilvl w:val="0"/>
          <w:numId w:val="39"/>
        </w:numPr>
      </w:pPr>
      <w:r w:rsidRPr="0078330B">
        <w:t xml:space="preserve">Reduced financial constraints improve strategic decision-making </w:t>
      </w:r>
    </w:p>
    <w:p w14:paraId="50093575" w14:textId="77777777" w:rsidR="0078330B" w:rsidRPr="0078330B" w:rsidRDefault="0078330B" w:rsidP="0078330B">
      <w:pPr>
        <w:numPr>
          <w:ilvl w:val="0"/>
          <w:numId w:val="39"/>
        </w:numPr>
      </w:pPr>
      <w:r w:rsidRPr="0078330B">
        <w:t xml:space="preserve">Stronger cash flow supports R&amp;D expansion </w:t>
      </w:r>
    </w:p>
    <w:p w14:paraId="0C549C61" w14:textId="77777777" w:rsidR="0078330B" w:rsidRPr="0078330B" w:rsidRDefault="0078330B" w:rsidP="0078330B">
      <w:pPr>
        <w:rPr>
          <w:b/>
          <w:bCs/>
        </w:rPr>
      </w:pPr>
      <w:r w:rsidRPr="0078330B">
        <w:rPr>
          <w:b/>
          <w:bCs/>
        </w:rPr>
        <w:t>5.2 Potential Constraints</w:t>
      </w:r>
    </w:p>
    <w:p w14:paraId="24FFFBAC" w14:textId="77777777" w:rsidR="0078330B" w:rsidRPr="0078330B" w:rsidRDefault="0078330B" w:rsidP="0078330B">
      <w:pPr>
        <w:numPr>
          <w:ilvl w:val="0"/>
          <w:numId w:val="40"/>
        </w:numPr>
      </w:pPr>
      <w:r w:rsidRPr="0078330B">
        <w:t xml:space="preserve">M&amp;A integration may temporarily slow operational efficiency </w:t>
      </w:r>
    </w:p>
    <w:p w14:paraId="0B66C570" w14:textId="77777777" w:rsidR="0078330B" w:rsidRPr="0078330B" w:rsidRDefault="0078330B" w:rsidP="0078330B">
      <w:pPr>
        <w:numPr>
          <w:ilvl w:val="0"/>
          <w:numId w:val="40"/>
        </w:numPr>
      </w:pPr>
      <w:r w:rsidRPr="0078330B">
        <w:t xml:space="preserve">Strategic partnerships require coordination across multiple stakeholders </w:t>
      </w:r>
    </w:p>
    <w:p w14:paraId="00B105E6" w14:textId="77777777" w:rsidR="0078330B" w:rsidRPr="0078330B" w:rsidRDefault="0078330B" w:rsidP="0078330B">
      <w:pPr>
        <w:rPr>
          <w:b/>
          <w:bCs/>
        </w:rPr>
      </w:pPr>
      <w:r w:rsidRPr="0078330B">
        <w:rPr>
          <w:b/>
          <w:bCs/>
        </w:rPr>
        <w:lastRenderedPageBreak/>
        <w:t>5.3 Net Effect</w:t>
      </w:r>
    </w:p>
    <w:p w14:paraId="223C027A" w14:textId="77777777" w:rsidR="0078330B" w:rsidRPr="0078330B" w:rsidRDefault="0078330B" w:rsidP="0078330B">
      <w:r w:rsidRPr="0078330B">
        <w:t>Operational flexibility improves significantly due to:</w:t>
      </w:r>
    </w:p>
    <w:p w14:paraId="7337C574" w14:textId="77777777" w:rsidR="0078330B" w:rsidRPr="0078330B" w:rsidRDefault="0078330B" w:rsidP="0078330B">
      <w:pPr>
        <w:numPr>
          <w:ilvl w:val="0"/>
          <w:numId w:val="41"/>
        </w:numPr>
      </w:pPr>
      <w:r w:rsidRPr="0078330B">
        <w:t xml:space="preserve">Better capital availability </w:t>
      </w:r>
    </w:p>
    <w:p w14:paraId="3D9EF541" w14:textId="77777777" w:rsidR="0078330B" w:rsidRPr="0078330B" w:rsidRDefault="0078330B" w:rsidP="0078330B">
      <w:pPr>
        <w:numPr>
          <w:ilvl w:val="0"/>
          <w:numId w:val="41"/>
        </w:numPr>
      </w:pPr>
      <w:r w:rsidRPr="0078330B">
        <w:t xml:space="preserve">Reduced debt pressure </w:t>
      </w:r>
    </w:p>
    <w:p w14:paraId="16339575" w14:textId="77777777" w:rsidR="0078330B" w:rsidRPr="0078330B" w:rsidRDefault="0078330B" w:rsidP="0078330B">
      <w:pPr>
        <w:numPr>
          <w:ilvl w:val="0"/>
          <w:numId w:val="41"/>
        </w:numPr>
      </w:pPr>
      <w:r w:rsidRPr="0078330B">
        <w:t xml:space="preserve">More agile investment capacity in new technologies </w:t>
      </w:r>
    </w:p>
    <w:p w14:paraId="53F970FC" w14:textId="6DFD2C24" w:rsidR="0078330B" w:rsidRPr="0078330B" w:rsidRDefault="0078330B" w:rsidP="0078330B"/>
    <w:p w14:paraId="23705854" w14:textId="77777777" w:rsidR="0078330B" w:rsidRPr="0078330B" w:rsidRDefault="0078330B" w:rsidP="0078330B">
      <w:pPr>
        <w:rPr>
          <w:b/>
          <w:bCs/>
        </w:rPr>
      </w:pPr>
      <w:r w:rsidRPr="0078330B">
        <w:rPr>
          <w:b/>
          <w:bCs/>
        </w:rPr>
        <w:t>6. International Financial Considerations</w:t>
      </w:r>
    </w:p>
    <w:p w14:paraId="27F94DC2" w14:textId="77777777" w:rsidR="0078330B" w:rsidRPr="0078330B" w:rsidRDefault="0078330B" w:rsidP="0078330B">
      <w:pPr>
        <w:rPr>
          <w:b/>
          <w:bCs/>
        </w:rPr>
      </w:pPr>
      <w:r w:rsidRPr="0078330B">
        <w:rPr>
          <w:b/>
          <w:bCs/>
        </w:rPr>
        <w:t>6.1 Currency Risk Exposure</w:t>
      </w:r>
    </w:p>
    <w:p w14:paraId="2228CAA5" w14:textId="77777777" w:rsidR="0078330B" w:rsidRPr="0078330B" w:rsidRDefault="0078330B" w:rsidP="0078330B">
      <w:r w:rsidRPr="0078330B">
        <w:t>As a global company, Toyota is exposed to fluctuations in:</w:t>
      </w:r>
    </w:p>
    <w:p w14:paraId="11F2D424" w14:textId="77777777" w:rsidR="0078330B" w:rsidRPr="0078330B" w:rsidRDefault="0078330B" w:rsidP="0078330B">
      <w:pPr>
        <w:numPr>
          <w:ilvl w:val="0"/>
          <w:numId w:val="42"/>
        </w:numPr>
      </w:pPr>
      <w:r w:rsidRPr="0078330B">
        <w:t xml:space="preserve">Japanese Yen (JPY) </w:t>
      </w:r>
    </w:p>
    <w:p w14:paraId="2BC12566" w14:textId="77777777" w:rsidR="0078330B" w:rsidRPr="0078330B" w:rsidRDefault="0078330B" w:rsidP="0078330B">
      <w:pPr>
        <w:numPr>
          <w:ilvl w:val="0"/>
          <w:numId w:val="42"/>
        </w:numPr>
      </w:pPr>
      <w:r w:rsidRPr="0078330B">
        <w:t xml:space="preserve">US Dollar (USD) </w:t>
      </w:r>
    </w:p>
    <w:p w14:paraId="2BC47600" w14:textId="77777777" w:rsidR="0078330B" w:rsidRPr="0078330B" w:rsidRDefault="0078330B" w:rsidP="0078330B">
      <w:pPr>
        <w:numPr>
          <w:ilvl w:val="0"/>
          <w:numId w:val="42"/>
        </w:numPr>
      </w:pPr>
      <w:r w:rsidRPr="0078330B">
        <w:t xml:space="preserve">Euro (EUR) </w:t>
      </w:r>
    </w:p>
    <w:p w14:paraId="2AEF9D77" w14:textId="77777777" w:rsidR="0078330B" w:rsidRPr="0078330B" w:rsidRDefault="0078330B" w:rsidP="0078330B">
      <w:r w:rsidRPr="0078330B">
        <w:rPr>
          <w:b/>
          <w:bCs/>
        </w:rPr>
        <w:t>Strategy:</w:t>
      </w:r>
    </w:p>
    <w:p w14:paraId="4578B24D" w14:textId="77777777" w:rsidR="0078330B" w:rsidRPr="0078330B" w:rsidRDefault="0078330B" w:rsidP="0078330B">
      <w:pPr>
        <w:numPr>
          <w:ilvl w:val="0"/>
          <w:numId w:val="43"/>
        </w:numPr>
      </w:pPr>
      <w:r w:rsidRPr="0078330B">
        <w:t xml:space="preserve">Use hedging instruments (forwards, swaps) </w:t>
      </w:r>
    </w:p>
    <w:p w14:paraId="425D062B" w14:textId="77777777" w:rsidR="0078330B" w:rsidRPr="0078330B" w:rsidRDefault="0078330B" w:rsidP="0078330B">
      <w:pPr>
        <w:numPr>
          <w:ilvl w:val="0"/>
          <w:numId w:val="43"/>
        </w:numPr>
      </w:pPr>
      <w:r w:rsidRPr="0078330B">
        <w:t xml:space="preserve">Match currency of revenue and debt where possible </w:t>
      </w:r>
    </w:p>
    <w:p w14:paraId="05C2836E" w14:textId="7A39EEBE" w:rsidR="0078330B" w:rsidRPr="0078330B" w:rsidRDefault="0078330B" w:rsidP="0078330B"/>
    <w:p w14:paraId="1238C458" w14:textId="77777777" w:rsidR="0078330B" w:rsidRPr="0078330B" w:rsidRDefault="0078330B" w:rsidP="0078330B">
      <w:pPr>
        <w:rPr>
          <w:b/>
          <w:bCs/>
        </w:rPr>
      </w:pPr>
      <w:r w:rsidRPr="0078330B">
        <w:rPr>
          <w:b/>
          <w:bCs/>
        </w:rPr>
        <w:t>6.2 Taxation and Regulatory Environment</w:t>
      </w:r>
    </w:p>
    <w:p w14:paraId="26D10BFB" w14:textId="77777777" w:rsidR="0078330B" w:rsidRPr="0078330B" w:rsidRDefault="0078330B" w:rsidP="0078330B">
      <w:pPr>
        <w:numPr>
          <w:ilvl w:val="0"/>
          <w:numId w:val="44"/>
        </w:numPr>
      </w:pPr>
      <w:r w:rsidRPr="0078330B">
        <w:t xml:space="preserve">Different tax regimes across Japan, US, and Europe affect profitability </w:t>
      </w:r>
    </w:p>
    <w:p w14:paraId="3CC575E0" w14:textId="77777777" w:rsidR="0078330B" w:rsidRPr="0078330B" w:rsidRDefault="0078330B" w:rsidP="0078330B">
      <w:pPr>
        <w:numPr>
          <w:ilvl w:val="0"/>
          <w:numId w:val="44"/>
        </w:numPr>
      </w:pPr>
      <w:r w:rsidRPr="0078330B">
        <w:t xml:space="preserve">Use of international subsidiaries must comply with transfer pricing rules </w:t>
      </w:r>
    </w:p>
    <w:p w14:paraId="7E47D61B" w14:textId="77777777" w:rsidR="0078330B" w:rsidRPr="0078330B" w:rsidRDefault="0078330B" w:rsidP="0078330B">
      <w:pPr>
        <w:numPr>
          <w:ilvl w:val="0"/>
          <w:numId w:val="44"/>
        </w:numPr>
      </w:pPr>
      <w:r w:rsidRPr="0078330B">
        <w:t xml:space="preserve">Green investment incentives can be leveraged in EV-related restructuring </w:t>
      </w:r>
    </w:p>
    <w:p w14:paraId="24EDD1CE" w14:textId="1B88F825" w:rsidR="0078330B" w:rsidRPr="0078330B" w:rsidRDefault="0078330B" w:rsidP="0078330B"/>
    <w:p w14:paraId="52969963" w14:textId="77777777" w:rsidR="0078330B" w:rsidRPr="0078330B" w:rsidRDefault="0078330B" w:rsidP="0078330B">
      <w:pPr>
        <w:rPr>
          <w:b/>
          <w:bCs/>
        </w:rPr>
      </w:pPr>
      <w:r w:rsidRPr="0078330B">
        <w:rPr>
          <w:b/>
          <w:bCs/>
        </w:rPr>
        <w:t>6.3 Inflation and Interest Rate Risk</w:t>
      </w:r>
    </w:p>
    <w:p w14:paraId="768744BA" w14:textId="77777777" w:rsidR="0078330B" w:rsidRPr="0078330B" w:rsidRDefault="0078330B" w:rsidP="0078330B">
      <w:pPr>
        <w:numPr>
          <w:ilvl w:val="0"/>
          <w:numId w:val="45"/>
        </w:numPr>
      </w:pPr>
      <w:r w:rsidRPr="0078330B">
        <w:t xml:space="preserve">Rising global interest rates increase borrowing costs </w:t>
      </w:r>
    </w:p>
    <w:p w14:paraId="3E6484A3" w14:textId="77777777" w:rsidR="0078330B" w:rsidRPr="0078330B" w:rsidRDefault="0078330B" w:rsidP="0078330B">
      <w:pPr>
        <w:numPr>
          <w:ilvl w:val="0"/>
          <w:numId w:val="45"/>
        </w:numPr>
      </w:pPr>
      <w:r w:rsidRPr="0078330B">
        <w:t xml:space="preserve">Inflation raises raw material and production costs </w:t>
      </w:r>
    </w:p>
    <w:p w14:paraId="31413ECD" w14:textId="77777777" w:rsidR="0078330B" w:rsidRPr="0078330B" w:rsidRDefault="0078330B" w:rsidP="0078330B">
      <w:r w:rsidRPr="0078330B">
        <w:rPr>
          <w:b/>
          <w:bCs/>
        </w:rPr>
        <w:t>Strategy:</w:t>
      </w:r>
    </w:p>
    <w:p w14:paraId="2F13134B" w14:textId="77777777" w:rsidR="0078330B" w:rsidRPr="0078330B" w:rsidRDefault="0078330B" w:rsidP="0078330B">
      <w:pPr>
        <w:numPr>
          <w:ilvl w:val="0"/>
          <w:numId w:val="46"/>
        </w:numPr>
      </w:pPr>
      <w:r w:rsidRPr="0078330B">
        <w:t xml:space="preserve">Shift toward fixed-rate long-term financing </w:t>
      </w:r>
    </w:p>
    <w:p w14:paraId="09D7EF67" w14:textId="77777777" w:rsidR="0078330B" w:rsidRPr="0078330B" w:rsidRDefault="0078330B" w:rsidP="0078330B">
      <w:pPr>
        <w:numPr>
          <w:ilvl w:val="0"/>
          <w:numId w:val="46"/>
        </w:numPr>
      </w:pPr>
      <w:r w:rsidRPr="0078330B">
        <w:t xml:space="preserve">Improve supply chain efficiency to control cost inflation </w:t>
      </w:r>
    </w:p>
    <w:p w14:paraId="3C07FD03" w14:textId="70A46680" w:rsidR="0078330B" w:rsidRPr="0078330B" w:rsidRDefault="0078330B" w:rsidP="0078330B"/>
    <w:p w14:paraId="19823794" w14:textId="77777777" w:rsidR="0078330B" w:rsidRPr="0078330B" w:rsidRDefault="0078330B" w:rsidP="0078330B">
      <w:pPr>
        <w:rPr>
          <w:b/>
          <w:bCs/>
        </w:rPr>
      </w:pPr>
      <w:r w:rsidRPr="0078330B">
        <w:rPr>
          <w:b/>
          <w:bCs/>
        </w:rPr>
        <w:lastRenderedPageBreak/>
        <w:t>7. Ethical and Sustainability Considerations (CSR)</w:t>
      </w:r>
    </w:p>
    <w:p w14:paraId="339AFA4A" w14:textId="77777777" w:rsidR="0078330B" w:rsidRPr="0078330B" w:rsidRDefault="0078330B" w:rsidP="0078330B">
      <w:pPr>
        <w:rPr>
          <w:b/>
          <w:bCs/>
        </w:rPr>
      </w:pPr>
      <w:r w:rsidRPr="0078330B">
        <w:rPr>
          <w:b/>
          <w:bCs/>
        </w:rPr>
        <w:t>7.1 Environmental Responsibility</w:t>
      </w:r>
    </w:p>
    <w:p w14:paraId="5B80B456" w14:textId="77777777" w:rsidR="0078330B" w:rsidRPr="0078330B" w:rsidRDefault="0078330B" w:rsidP="0078330B">
      <w:pPr>
        <w:numPr>
          <w:ilvl w:val="0"/>
          <w:numId w:val="47"/>
        </w:numPr>
      </w:pPr>
      <w:r w:rsidRPr="0078330B">
        <w:t xml:space="preserve">Restructuring should prioritize investment in low-emission technologies </w:t>
      </w:r>
    </w:p>
    <w:p w14:paraId="73931DB5" w14:textId="77777777" w:rsidR="0078330B" w:rsidRPr="0078330B" w:rsidRDefault="0078330B" w:rsidP="0078330B">
      <w:pPr>
        <w:numPr>
          <w:ilvl w:val="0"/>
          <w:numId w:val="47"/>
        </w:numPr>
      </w:pPr>
      <w:r w:rsidRPr="0078330B">
        <w:t xml:space="preserve">Focus on hybrid, EV, and hydrogen development aligns with global sustainability goals </w:t>
      </w:r>
    </w:p>
    <w:p w14:paraId="6DE79A1E" w14:textId="77777777" w:rsidR="0078330B" w:rsidRPr="0078330B" w:rsidRDefault="0078330B" w:rsidP="0078330B">
      <w:pPr>
        <w:rPr>
          <w:b/>
          <w:bCs/>
        </w:rPr>
      </w:pPr>
      <w:r w:rsidRPr="0078330B">
        <w:rPr>
          <w:b/>
          <w:bCs/>
        </w:rPr>
        <w:t>7.2 Stakeholder Impact</w:t>
      </w:r>
    </w:p>
    <w:p w14:paraId="69106A5B" w14:textId="77777777" w:rsidR="0078330B" w:rsidRPr="0078330B" w:rsidRDefault="0078330B" w:rsidP="0078330B">
      <w:pPr>
        <w:numPr>
          <w:ilvl w:val="0"/>
          <w:numId w:val="48"/>
        </w:numPr>
      </w:pPr>
      <w:r w:rsidRPr="0078330B">
        <w:t xml:space="preserve">Divestitures must consider employee job security </w:t>
      </w:r>
    </w:p>
    <w:p w14:paraId="35CD0FD5" w14:textId="77777777" w:rsidR="0078330B" w:rsidRPr="0078330B" w:rsidRDefault="0078330B" w:rsidP="0078330B">
      <w:pPr>
        <w:numPr>
          <w:ilvl w:val="0"/>
          <w:numId w:val="48"/>
        </w:numPr>
      </w:pPr>
      <w:r w:rsidRPr="0078330B">
        <w:t xml:space="preserve">Supplier relationships must be maintained ethically during restructuring </w:t>
      </w:r>
    </w:p>
    <w:p w14:paraId="16E53200" w14:textId="77777777" w:rsidR="0078330B" w:rsidRPr="0078330B" w:rsidRDefault="0078330B" w:rsidP="0078330B">
      <w:pPr>
        <w:rPr>
          <w:b/>
          <w:bCs/>
        </w:rPr>
      </w:pPr>
      <w:r w:rsidRPr="0078330B">
        <w:rPr>
          <w:b/>
          <w:bCs/>
        </w:rPr>
        <w:t>7.3 Corporate Governance</w:t>
      </w:r>
    </w:p>
    <w:p w14:paraId="71BBF8BF" w14:textId="77777777" w:rsidR="0078330B" w:rsidRPr="0078330B" w:rsidRDefault="0078330B" w:rsidP="0078330B">
      <w:pPr>
        <w:numPr>
          <w:ilvl w:val="0"/>
          <w:numId w:val="49"/>
        </w:numPr>
      </w:pPr>
      <w:r w:rsidRPr="0078330B">
        <w:t xml:space="preserve">Transparent financial reporting during restructuring is essential </w:t>
      </w:r>
    </w:p>
    <w:p w14:paraId="5342B3EB" w14:textId="77777777" w:rsidR="0078330B" w:rsidRPr="0078330B" w:rsidRDefault="0078330B" w:rsidP="0078330B">
      <w:pPr>
        <w:numPr>
          <w:ilvl w:val="0"/>
          <w:numId w:val="49"/>
        </w:numPr>
      </w:pPr>
      <w:r w:rsidRPr="0078330B">
        <w:t xml:space="preserve">Shareholder communication must remain clear and consistent </w:t>
      </w:r>
    </w:p>
    <w:p w14:paraId="40FD1404" w14:textId="77777777" w:rsidR="0078330B" w:rsidRPr="0078330B" w:rsidRDefault="0078330B" w:rsidP="0078330B">
      <w:pPr>
        <w:rPr>
          <w:b/>
          <w:bCs/>
        </w:rPr>
      </w:pPr>
      <w:r w:rsidRPr="0078330B">
        <w:rPr>
          <w:b/>
          <w:bCs/>
        </w:rPr>
        <w:t>7.4 ESG Alignment</w:t>
      </w:r>
    </w:p>
    <w:p w14:paraId="19D9594D" w14:textId="46FCFCF2" w:rsidR="0078330B" w:rsidRPr="0078330B" w:rsidRDefault="0078330B" w:rsidP="0078330B">
      <w:r w:rsidRPr="0078330B">
        <w:t>Toyota’s restructuring should align with Environmental, Social, and Governance (ESG) standards to maintain investor trust and global reputation.</w:t>
      </w:r>
    </w:p>
    <w:p w14:paraId="4243B01F" w14:textId="77777777" w:rsidR="0078330B" w:rsidRPr="0078330B" w:rsidRDefault="0078330B" w:rsidP="0078330B">
      <w:r w:rsidRPr="0078330B">
        <w:t>The proposed strategic financial restructuring plan for Toyota Motor Corporation focuses on enhancing long-term financial resilience, improving capital efficiency, and supporting future technological transformation. Through selective divestitures, strategic equity injections, targeted acquisitions, and debt restructuring, Toyota can optimize its financial structure while maintaining global competitiveness.</w:t>
      </w:r>
    </w:p>
    <w:p w14:paraId="39C8643D" w14:textId="77777777" w:rsidR="0078330B" w:rsidRPr="0078330B" w:rsidRDefault="0078330B" w:rsidP="0078330B">
      <w:r w:rsidRPr="0078330B">
        <w:t>Although short-term risks such as equity dilution and integration costs may arise, the long-term benefits include stronger shareholder value, improved debt stability, and greater operational flexibility. Additionally, careful consideration of international financial risks and ethical responsibilities ensures that restructuring aligns with global sustainability and corporate governance standards.</w:t>
      </w:r>
    </w:p>
    <w:p w14:paraId="57BA3CDE" w14:textId="77777777" w:rsidR="0078330B" w:rsidRPr="0078330B" w:rsidRDefault="0078330B" w:rsidP="0078330B">
      <w:r w:rsidRPr="0078330B">
        <w:t>Overall, the restructuring strategy positions Toyota to successfully navigate the transition toward electrification and next-generation mobility while maintaining its leadership in the global automotive industry.</w:t>
      </w:r>
    </w:p>
    <w:p w14:paraId="396A828B" w14:textId="77777777" w:rsidR="0078330B" w:rsidRPr="0078330B" w:rsidRDefault="0078330B" w:rsidP="0078330B">
      <w:r w:rsidRPr="0078330B">
        <w:t>Capital budgeting is a key financial decision-making process used by firms to evaluate long-term investment projects. It helps determine whether a project will generate sufficient returns to justify the initial investment. For Toyota Motor Corporation, effective investment appraisal is particularly important due to high capital requirements in automotive manufacturing, electric vehicle (EV) transition, and global expansion.</w:t>
      </w:r>
    </w:p>
    <w:p w14:paraId="461EE2A4" w14:textId="77777777" w:rsidR="0078330B" w:rsidRPr="0078330B" w:rsidRDefault="0078330B" w:rsidP="0078330B">
      <w:r w:rsidRPr="0078330B">
        <w:lastRenderedPageBreak/>
        <w:t>This report evaluates three investment projects (A, B, and C) using five major appraisal techniques:</w:t>
      </w:r>
    </w:p>
    <w:p w14:paraId="29E986BF" w14:textId="77777777" w:rsidR="0078330B" w:rsidRPr="0078330B" w:rsidRDefault="0078330B" w:rsidP="0078330B">
      <w:pPr>
        <w:numPr>
          <w:ilvl w:val="0"/>
          <w:numId w:val="50"/>
        </w:numPr>
      </w:pPr>
      <w:r w:rsidRPr="0078330B">
        <w:t xml:space="preserve">Payback Period (PBP) </w:t>
      </w:r>
    </w:p>
    <w:p w14:paraId="7EE306B4" w14:textId="77777777" w:rsidR="0078330B" w:rsidRPr="0078330B" w:rsidRDefault="0078330B" w:rsidP="0078330B">
      <w:pPr>
        <w:numPr>
          <w:ilvl w:val="0"/>
          <w:numId w:val="50"/>
        </w:numPr>
      </w:pPr>
      <w:r w:rsidRPr="0078330B">
        <w:t xml:space="preserve">Accounting Rate of Return (ARR) </w:t>
      </w:r>
    </w:p>
    <w:p w14:paraId="668525DE" w14:textId="77777777" w:rsidR="0078330B" w:rsidRPr="0078330B" w:rsidRDefault="0078330B" w:rsidP="0078330B">
      <w:pPr>
        <w:numPr>
          <w:ilvl w:val="0"/>
          <w:numId w:val="50"/>
        </w:numPr>
      </w:pPr>
      <w:r w:rsidRPr="0078330B">
        <w:t xml:space="preserve">Net Present Value (NPV) </w:t>
      </w:r>
    </w:p>
    <w:p w14:paraId="1D0AA6DE" w14:textId="77777777" w:rsidR="0078330B" w:rsidRPr="0078330B" w:rsidRDefault="0078330B" w:rsidP="0078330B">
      <w:pPr>
        <w:numPr>
          <w:ilvl w:val="0"/>
          <w:numId w:val="50"/>
        </w:numPr>
      </w:pPr>
      <w:r w:rsidRPr="0078330B">
        <w:t xml:space="preserve">Profitability Index (PI) </w:t>
      </w:r>
    </w:p>
    <w:p w14:paraId="3CB057BC" w14:textId="77777777" w:rsidR="0078330B" w:rsidRPr="0078330B" w:rsidRDefault="0078330B" w:rsidP="0078330B">
      <w:pPr>
        <w:numPr>
          <w:ilvl w:val="0"/>
          <w:numId w:val="50"/>
        </w:numPr>
      </w:pPr>
      <w:r w:rsidRPr="0078330B">
        <w:t xml:space="preserve">Internal Rate of Return (IRR) </w:t>
      </w:r>
    </w:p>
    <w:p w14:paraId="54228CE8" w14:textId="77777777" w:rsidR="0078330B" w:rsidRPr="0078330B" w:rsidRDefault="0078330B" w:rsidP="0078330B">
      <w:r w:rsidRPr="0078330B">
        <w:t xml:space="preserve">A discount rate of </w:t>
      </w:r>
      <w:r w:rsidRPr="0078330B">
        <w:rPr>
          <w:b/>
          <w:bCs/>
        </w:rPr>
        <w:t>10%</w:t>
      </w:r>
      <w:r w:rsidRPr="0078330B">
        <w:t xml:space="preserve"> is applied, and straight-line depreciation is assumed to reduce asset value to zero.</w:t>
      </w:r>
    </w:p>
    <w:p w14:paraId="4C84704E" w14:textId="77777777" w:rsidR="0078330B" w:rsidRPr="0078330B" w:rsidRDefault="0078330B" w:rsidP="0078330B">
      <w:r w:rsidRPr="0078330B">
        <w:pict w14:anchorId="208BA07D">
          <v:rect id="_x0000_i1091" style="width:0;height:1.5pt" o:hralign="center" o:hrstd="t" o:hr="t" fillcolor="#a0a0a0" stroked="f"/>
        </w:pict>
      </w:r>
    </w:p>
    <w:p w14:paraId="0FD539E1" w14:textId="77777777" w:rsidR="0078330B" w:rsidRPr="0078330B" w:rsidRDefault="0078330B" w:rsidP="0078330B">
      <w:pPr>
        <w:rPr>
          <w:b/>
          <w:bCs/>
        </w:rPr>
      </w:pPr>
      <w:r w:rsidRPr="0078330B">
        <w:rPr>
          <w:b/>
          <w:bCs/>
        </w:rPr>
        <w:t>2. Project Cash Flows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4"/>
        <w:gridCol w:w="1570"/>
        <w:gridCol w:w="1570"/>
        <w:gridCol w:w="1606"/>
      </w:tblGrid>
      <w:tr w:rsidR="0078330B" w:rsidRPr="0078330B" w14:paraId="75EB4955" w14:textId="77777777">
        <w:trPr>
          <w:tblHeader/>
          <w:tblCellSpacing w:w="15" w:type="dxa"/>
        </w:trPr>
        <w:tc>
          <w:tcPr>
            <w:tcW w:w="0" w:type="auto"/>
            <w:vAlign w:val="center"/>
            <w:hideMark/>
          </w:tcPr>
          <w:p w14:paraId="021A228A" w14:textId="77777777" w:rsidR="0078330B" w:rsidRPr="0078330B" w:rsidRDefault="0078330B" w:rsidP="0078330B">
            <w:pPr>
              <w:rPr>
                <w:b/>
                <w:bCs/>
              </w:rPr>
            </w:pPr>
            <w:r w:rsidRPr="0078330B">
              <w:rPr>
                <w:b/>
                <w:bCs/>
              </w:rPr>
              <w:t>Year</w:t>
            </w:r>
          </w:p>
        </w:tc>
        <w:tc>
          <w:tcPr>
            <w:tcW w:w="0" w:type="auto"/>
            <w:vAlign w:val="center"/>
            <w:hideMark/>
          </w:tcPr>
          <w:p w14:paraId="3FABCBA5" w14:textId="77777777" w:rsidR="0078330B" w:rsidRPr="0078330B" w:rsidRDefault="0078330B" w:rsidP="0078330B">
            <w:pPr>
              <w:rPr>
                <w:b/>
                <w:bCs/>
              </w:rPr>
            </w:pPr>
            <w:r w:rsidRPr="0078330B">
              <w:rPr>
                <w:b/>
                <w:bCs/>
              </w:rPr>
              <w:t>Project A (£m)</w:t>
            </w:r>
          </w:p>
        </w:tc>
        <w:tc>
          <w:tcPr>
            <w:tcW w:w="0" w:type="auto"/>
            <w:vAlign w:val="center"/>
            <w:hideMark/>
          </w:tcPr>
          <w:p w14:paraId="3CB045AC" w14:textId="77777777" w:rsidR="0078330B" w:rsidRPr="0078330B" w:rsidRDefault="0078330B" w:rsidP="0078330B">
            <w:pPr>
              <w:rPr>
                <w:b/>
                <w:bCs/>
              </w:rPr>
            </w:pPr>
            <w:r w:rsidRPr="0078330B">
              <w:rPr>
                <w:b/>
                <w:bCs/>
              </w:rPr>
              <w:t>Project B (£m)</w:t>
            </w:r>
          </w:p>
        </w:tc>
        <w:tc>
          <w:tcPr>
            <w:tcW w:w="0" w:type="auto"/>
            <w:vAlign w:val="center"/>
            <w:hideMark/>
          </w:tcPr>
          <w:p w14:paraId="516DA1F6" w14:textId="77777777" w:rsidR="0078330B" w:rsidRPr="0078330B" w:rsidRDefault="0078330B" w:rsidP="0078330B">
            <w:pPr>
              <w:rPr>
                <w:b/>
                <w:bCs/>
              </w:rPr>
            </w:pPr>
            <w:r w:rsidRPr="0078330B">
              <w:rPr>
                <w:b/>
                <w:bCs/>
              </w:rPr>
              <w:t>Project C (£m)</w:t>
            </w:r>
          </w:p>
        </w:tc>
      </w:tr>
      <w:tr w:rsidR="0078330B" w:rsidRPr="0078330B" w14:paraId="741DE9AF" w14:textId="77777777">
        <w:trPr>
          <w:tblCellSpacing w:w="15" w:type="dxa"/>
        </w:trPr>
        <w:tc>
          <w:tcPr>
            <w:tcW w:w="0" w:type="auto"/>
            <w:vAlign w:val="center"/>
            <w:hideMark/>
          </w:tcPr>
          <w:p w14:paraId="5E694274" w14:textId="77777777" w:rsidR="0078330B" w:rsidRPr="0078330B" w:rsidRDefault="0078330B" w:rsidP="0078330B">
            <w:r w:rsidRPr="0078330B">
              <w:t>0</w:t>
            </w:r>
          </w:p>
        </w:tc>
        <w:tc>
          <w:tcPr>
            <w:tcW w:w="0" w:type="auto"/>
            <w:vAlign w:val="center"/>
            <w:hideMark/>
          </w:tcPr>
          <w:p w14:paraId="072750A8" w14:textId="77777777" w:rsidR="0078330B" w:rsidRPr="0078330B" w:rsidRDefault="0078330B" w:rsidP="0078330B">
            <w:r w:rsidRPr="0078330B">
              <w:t>-50</w:t>
            </w:r>
          </w:p>
        </w:tc>
        <w:tc>
          <w:tcPr>
            <w:tcW w:w="0" w:type="auto"/>
            <w:vAlign w:val="center"/>
            <w:hideMark/>
          </w:tcPr>
          <w:p w14:paraId="0A4E01D2" w14:textId="77777777" w:rsidR="0078330B" w:rsidRPr="0078330B" w:rsidRDefault="0078330B" w:rsidP="0078330B">
            <w:r w:rsidRPr="0078330B">
              <w:t>-50</w:t>
            </w:r>
          </w:p>
        </w:tc>
        <w:tc>
          <w:tcPr>
            <w:tcW w:w="0" w:type="auto"/>
            <w:vAlign w:val="center"/>
            <w:hideMark/>
          </w:tcPr>
          <w:p w14:paraId="6DA87F06" w14:textId="77777777" w:rsidR="0078330B" w:rsidRPr="0078330B" w:rsidRDefault="0078330B" w:rsidP="0078330B">
            <w:r w:rsidRPr="0078330B">
              <w:t>-50</w:t>
            </w:r>
          </w:p>
        </w:tc>
      </w:tr>
      <w:tr w:rsidR="0078330B" w:rsidRPr="0078330B" w14:paraId="10FE5F96" w14:textId="77777777">
        <w:trPr>
          <w:tblCellSpacing w:w="15" w:type="dxa"/>
        </w:trPr>
        <w:tc>
          <w:tcPr>
            <w:tcW w:w="0" w:type="auto"/>
            <w:vAlign w:val="center"/>
            <w:hideMark/>
          </w:tcPr>
          <w:p w14:paraId="3A9ADCFB" w14:textId="77777777" w:rsidR="0078330B" w:rsidRPr="0078330B" w:rsidRDefault="0078330B" w:rsidP="0078330B">
            <w:r w:rsidRPr="0078330B">
              <w:t>1</w:t>
            </w:r>
          </w:p>
        </w:tc>
        <w:tc>
          <w:tcPr>
            <w:tcW w:w="0" w:type="auto"/>
            <w:vAlign w:val="center"/>
            <w:hideMark/>
          </w:tcPr>
          <w:p w14:paraId="621C4D24" w14:textId="77777777" w:rsidR="0078330B" w:rsidRPr="0078330B" w:rsidRDefault="0078330B" w:rsidP="0078330B">
            <w:r w:rsidRPr="0078330B">
              <w:t>10</w:t>
            </w:r>
          </w:p>
        </w:tc>
        <w:tc>
          <w:tcPr>
            <w:tcW w:w="0" w:type="auto"/>
            <w:vAlign w:val="center"/>
            <w:hideMark/>
          </w:tcPr>
          <w:p w14:paraId="72C8549D" w14:textId="77777777" w:rsidR="0078330B" w:rsidRPr="0078330B" w:rsidRDefault="0078330B" w:rsidP="0078330B">
            <w:r w:rsidRPr="0078330B">
              <w:t>11</w:t>
            </w:r>
          </w:p>
        </w:tc>
        <w:tc>
          <w:tcPr>
            <w:tcW w:w="0" w:type="auto"/>
            <w:vAlign w:val="center"/>
            <w:hideMark/>
          </w:tcPr>
          <w:p w14:paraId="0A62F284" w14:textId="77777777" w:rsidR="0078330B" w:rsidRPr="0078330B" w:rsidRDefault="0078330B" w:rsidP="0078330B">
            <w:r w:rsidRPr="0078330B">
              <w:t>5</w:t>
            </w:r>
          </w:p>
        </w:tc>
      </w:tr>
      <w:tr w:rsidR="0078330B" w:rsidRPr="0078330B" w14:paraId="3AF84124" w14:textId="77777777">
        <w:trPr>
          <w:tblCellSpacing w:w="15" w:type="dxa"/>
        </w:trPr>
        <w:tc>
          <w:tcPr>
            <w:tcW w:w="0" w:type="auto"/>
            <w:vAlign w:val="center"/>
            <w:hideMark/>
          </w:tcPr>
          <w:p w14:paraId="09A5C8B9" w14:textId="77777777" w:rsidR="0078330B" w:rsidRPr="0078330B" w:rsidRDefault="0078330B" w:rsidP="0078330B">
            <w:r w:rsidRPr="0078330B">
              <w:t>2</w:t>
            </w:r>
          </w:p>
        </w:tc>
        <w:tc>
          <w:tcPr>
            <w:tcW w:w="0" w:type="auto"/>
            <w:vAlign w:val="center"/>
            <w:hideMark/>
          </w:tcPr>
          <w:p w14:paraId="381222C5" w14:textId="77777777" w:rsidR="0078330B" w:rsidRPr="0078330B" w:rsidRDefault="0078330B" w:rsidP="0078330B">
            <w:r w:rsidRPr="0078330B">
              <w:t>12</w:t>
            </w:r>
          </w:p>
        </w:tc>
        <w:tc>
          <w:tcPr>
            <w:tcW w:w="0" w:type="auto"/>
            <w:vAlign w:val="center"/>
            <w:hideMark/>
          </w:tcPr>
          <w:p w14:paraId="2ACCB6EF" w14:textId="77777777" w:rsidR="0078330B" w:rsidRPr="0078330B" w:rsidRDefault="0078330B" w:rsidP="0078330B">
            <w:r w:rsidRPr="0078330B">
              <w:t>11</w:t>
            </w:r>
          </w:p>
        </w:tc>
        <w:tc>
          <w:tcPr>
            <w:tcW w:w="0" w:type="auto"/>
            <w:vAlign w:val="center"/>
            <w:hideMark/>
          </w:tcPr>
          <w:p w14:paraId="0A92C0B9" w14:textId="77777777" w:rsidR="0078330B" w:rsidRPr="0078330B" w:rsidRDefault="0078330B" w:rsidP="0078330B">
            <w:r w:rsidRPr="0078330B">
              <w:t>10</w:t>
            </w:r>
          </w:p>
        </w:tc>
      </w:tr>
      <w:tr w:rsidR="0078330B" w:rsidRPr="0078330B" w14:paraId="38ED307A" w14:textId="77777777">
        <w:trPr>
          <w:tblCellSpacing w:w="15" w:type="dxa"/>
        </w:trPr>
        <w:tc>
          <w:tcPr>
            <w:tcW w:w="0" w:type="auto"/>
            <w:vAlign w:val="center"/>
            <w:hideMark/>
          </w:tcPr>
          <w:p w14:paraId="60E7C3F0" w14:textId="77777777" w:rsidR="0078330B" w:rsidRPr="0078330B" w:rsidRDefault="0078330B" w:rsidP="0078330B">
            <w:r w:rsidRPr="0078330B">
              <w:t>3</w:t>
            </w:r>
          </w:p>
        </w:tc>
        <w:tc>
          <w:tcPr>
            <w:tcW w:w="0" w:type="auto"/>
            <w:vAlign w:val="center"/>
            <w:hideMark/>
          </w:tcPr>
          <w:p w14:paraId="3654C16E" w14:textId="77777777" w:rsidR="0078330B" w:rsidRPr="0078330B" w:rsidRDefault="0078330B" w:rsidP="0078330B">
            <w:r w:rsidRPr="0078330B">
              <w:t>14</w:t>
            </w:r>
          </w:p>
        </w:tc>
        <w:tc>
          <w:tcPr>
            <w:tcW w:w="0" w:type="auto"/>
            <w:vAlign w:val="center"/>
            <w:hideMark/>
          </w:tcPr>
          <w:p w14:paraId="6C8D5A5F" w14:textId="77777777" w:rsidR="0078330B" w:rsidRPr="0078330B" w:rsidRDefault="0078330B" w:rsidP="0078330B">
            <w:r w:rsidRPr="0078330B">
              <w:t>11</w:t>
            </w:r>
          </w:p>
        </w:tc>
        <w:tc>
          <w:tcPr>
            <w:tcW w:w="0" w:type="auto"/>
            <w:vAlign w:val="center"/>
            <w:hideMark/>
          </w:tcPr>
          <w:p w14:paraId="05D0DE4F" w14:textId="77777777" w:rsidR="0078330B" w:rsidRPr="0078330B" w:rsidRDefault="0078330B" w:rsidP="0078330B">
            <w:r w:rsidRPr="0078330B">
              <w:t>20</w:t>
            </w:r>
          </w:p>
        </w:tc>
      </w:tr>
      <w:tr w:rsidR="0078330B" w:rsidRPr="0078330B" w14:paraId="7BC8102E" w14:textId="77777777">
        <w:trPr>
          <w:tblCellSpacing w:w="15" w:type="dxa"/>
        </w:trPr>
        <w:tc>
          <w:tcPr>
            <w:tcW w:w="0" w:type="auto"/>
            <w:vAlign w:val="center"/>
            <w:hideMark/>
          </w:tcPr>
          <w:p w14:paraId="7E697F80" w14:textId="77777777" w:rsidR="0078330B" w:rsidRPr="0078330B" w:rsidRDefault="0078330B" w:rsidP="0078330B">
            <w:r w:rsidRPr="0078330B">
              <w:t>4</w:t>
            </w:r>
          </w:p>
        </w:tc>
        <w:tc>
          <w:tcPr>
            <w:tcW w:w="0" w:type="auto"/>
            <w:vAlign w:val="center"/>
            <w:hideMark/>
          </w:tcPr>
          <w:p w14:paraId="304D40C5" w14:textId="77777777" w:rsidR="0078330B" w:rsidRPr="0078330B" w:rsidRDefault="0078330B" w:rsidP="0078330B">
            <w:r w:rsidRPr="0078330B">
              <w:t>10</w:t>
            </w:r>
          </w:p>
        </w:tc>
        <w:tc>
          <w:tcPr>
            <w:tcW w:w="0" w:type="auto"/>
            <w:vAlign w:val="center"/>
            <w:hideMark/>
          </w:tcPr>
          <w:p w14:paraId="1EBA955E" w14:textId="77777777" w:rsidR="0078330B" w:rsidRPr="0078330B" w:rsidRDefault="0078330B" w:rsidP="0078330B">
            <w:r w:rsidRPr="0078330B">
              <w:t>11</w:t>
            </w:r>
          </w:p>
        </w:tc>
        <w:tc>
          <w:tcPr>
            <w:tcW w:w="0" w:type="auto"/>
            <w:vAlign w:val="center"/>
            <w:hideMark/>
          </w:tcPr>
          <w:p w14:paraId="7700FBC8" w14:textId="77777777" w:rsidR="0078330B" w:rsidRPr="0078330B" w:rsidRDefault="0078330B" w:rsidP="0078330B">
            <w:r w:rsidRPr="0078330B">
              <w:t>25</w:t>
            </w:r>
          </w:p>
        </w:tc>
      </w:tr>
      <w:tr w:rsidR="0078330B" w:rsidRPr="0078330B" w14:paraId="1228FCD1" w14:textId="77777777">
        <w:trPr>
          <w:tblCellSpacing w:w="15" w:type="dxa"/>
        </w:trPr>
        <w:tc>
          <w:tcPr>
            <w:tcW w:w="0" w:type="auto"/>
            <w:vAlign w:val="center"/>
            <w:hideMark/>
          </w:tcPr>
          <w:p w14:paraId="45219D89" w14:textId="77777777" w:rsidR="0078330B" w:rsidRPr="0078330B" w:rsidRDefault="0078330B" w:rsidP="0078330B">
            <w:r w:rsidRPr="0078330B">
              <w:t>5</w:t>
            </w:r>
          </w:p>
        </w:tc>
        <w:tc>
          <w:tcPr>
            <w:tcW w:w="0" w:type="auto"/>
            <w:vAlign w:val="center"/>
            <w:hideMark/>
          </w:tcPr>
          <w:p w14:paraId="35A56F1B" w14:textId="77777777" w:rsidR="0078330B" w:rsidRPr="0078330B" w:rsidRDefault="0078330B" w:rsidP="0078330B">
            <w:r w:rsidRPr="0078330B">
              <w:t>8</w:t>
            </w:r>
          </w:p>
        </w:tc>
        <w:tc>
          <w:tcPr>
            <w:tcW w:w="0" w:type="auto"/>
            <w:vAlign w:val="center"/>
            <w:hideMark/>
          </w:tcPr>
          <w:p w14:paraId="26A42C96" w14:textId="77777777" w:rsidR="0078330B" w:rsidRPr="0078330B" w:rsidRDefault="0078330B" w:rsidP="0078330B">
            <w:r w:rsidRPr="0078330B">
              <w:t>11</w:t>
            </w:r>
          </w:p>
        </w:tc>
        <w:tc>
          <w:tcPr>
            <w:tcW w:w="0" w:type="auto"/>
            <w:vAlign w:val="center"/>
            <w:hideMark/>
          </w:tcPr>
          <w:p w14:paraId="034F3ECD" w14:textId="77777777" w:rsidR="0078330B" w:rsidRPr="0078330B" w:rsidRDefault="0078330B" w:rsidP="0078330B">
            <w:r w:rsidRPr="0078330B">
              <w:t>5</w:t>
            </w:r>
          </w:p>
        </w:tc>
      </w:tr>
    </w:tbl>
    <w:p w14:paraId="49779633" w14:textId="77777777" w:rsidR="0078330B" w:rsidRPr="0078330B" w:rsidRDefault="0078330B" w:rsidP="0078330B">
      <w:r w:rsidRPr="0078330B">
        <w:pict w14:anchorId="27989794">
          <v:rect id="_x0000_i1092" style="width:0;height:1.5pt" o:hralign="center" o:hrstd="t" o:hr="t" fillcolor="#a0a0a0" stroked="f"/>
        </w:pict>
      </w:r>
    </w:p>
    <w:p w14:paraId="0BC9FCD2" w14:textId="77777777" w:rsidR="0078330B" w:rsidRPr="0078330B" w:rsidRDefault="0078330B" w:rsidP="0078330B">
      <w:pPr>
        <w:rPr>
          <w:b/>
          <w:bCs/>
        </w:rPr>
      </w:pPr>
      <w:r w:rsidRPr="0078330B">
        <w:rPr>
          <w:b/>
          <w:bCs/>
        </w:rPr>
        <w:t>3. Payback Period (PBP)</w:t>
      </w:r>
    </w:p>
    <w:p w14:paraId="5EF4B30B" w14:textId="77777777" w:rsidR="0078330B" w:rsidRPr="0078330B" w:rsidRDefault="0078330B" w:rsidP="0078330B">
      <w:pPr>
        <w:rPr>
          <w:b/>
          <w:bCs/>
        </w:rPr>
      </w:pPr>
      <w:r w:rsidRPr="0078330B">
        <w:rPr>
          <w:b/>
          <w:bCs/>
        </w:rPr>
        <w:t>Project A</w:t>
      </w:r>
    </w:p>
    <w:p w14:paraId="6C859405" w14:textId="77777777" w:rsidR="0078330B" w:rsidRPr="0078330B" w:rsidRDefault="0078330B" w:rsidP="0078330B">
      <w:r w:rsidRPr="0078330B">
        <w:t>Cumulative: 10 → 22 → 36 → 46 → 54</w:t>
      </w:r>
      <w:r w:rsidRPr="0078330B">
        <w:br/>
      </w:r>
      <w:r w:rsidRPr="0078330B">
        <w:rPr>
          <w:rFonts w:ascii="Segoe UI Symbol" w:hAnsi="Segoe UI Symbol" w:cs="Segoe UI Symbol"/>
        </w:rPr>
        <w:t>✔</w:t>
      </w:r>
      <w:r w:rsidRPr="0078330B">
        <w:t xml:space="preserve"> Payback </w:t>
      </w:r>
      <w:r w:rsidRPr="0078330B">
        <w:rPr>
          <w:rFonts w:ascii="Aptos" w:hAnsi="Aptos" w:cs="Aptos"/>
        </w:rPr>
        <w:t>≈</w:t>
      </w:r>
      <w:r w:rsidRPr="0078330B">
        <w:t xml:space="preserve"> </w:t>
      </w:r>
      <w:r w:rsidRPr="0078330B">
        <w:rPr>
          <w:b/>
          <w:bCs/>
        </w:rPr>
        <w:t>between Year 4 and 5 (~4.5 years)</w:t>
      </w:r>
    </w:p>
    <w:p w14:paraId="5B8C7AA7" w14:textId="77777777" w:rsidR="0078330B" w:rsidRPr="0078330B" w:rsidRDefault="0078330B" w:rsidP="0078330B">
      <w:pPr>
        <w:rPr>
          <w:b/>
          <w:bCs/>
        </w:rPr>
      </w:pPr>
      <w:r w:rsidRPr="0078330B">
        <w:rPr>
          <w:b/>
          <w:bCs/>
        </w:rPr>
        <w:t>Project B</w:t>
      </w:r>
    </w:p>
    <w:p w14:paraId="374A35CE" w14:textId="77777777" w:rsidR="0078330B" w:rsidRPr="0078330B" w:rsidRDefault="0078330B" w:rsidP="0078330B">
      <w:r w:rsidRPr="0078330B">
        <w:t>Cumulative: 11 → 22 → 33 → 44 → 55</w:t>
      </w:r>
      <w:r w:rsidRPr="0078330B">
        <w:br/>
      </w:r>
      <w:r w:rsidRPr="0078330B">
        <w:rPr>
          <w:rFonts w:ascii="Segoe UI Symbol" w:hAnsi="Segoe UI Symbol" w:cs="Segoe UI Symbol"/>
        </w:rPr>
        <w:t>✔</w:t>
      </w:r>
      <w:r w:rsidRPr="0078330B">
        <w:t xml:space="preserve"> Payback </w:t>
      </w:r>
      <w:r w:rsidRPr="0078330B">
        <w:rPr>
          <w:rFonts w:ascii="Aptos" w:hAnsi="Aptos" w:cs="Aptos"/>
        </w:rPr>
        <w:t>≈</w:t>
      </w:r>
      <w:r w:rsidRPr="0078330B">
        <w:t xml:space="preserve"> </w:t>
      </w:r>
      <w:r w:rsidRPr="0078330B">
        <w:rPr>
          <w:b/>
          <w:bCs/>
        </w:rPr>
        <w:t>~4.5 years</w:t>
      </w:r>
    </w:p>
    <w:p w14:paraId="34FEF136" w14:textId="77777777" w:rsidR="0078330B" w:rsidRPr="0078330B" w:rsidRDefault="0078330B" w:rsidP="0078330B">
      <w:pPr>
        <w:rPr>
          <w:b/>
          <w:bCs/>
        </w:rPr>
      </w:pPr>
      <w:r w:rsidRPr="0078330B">
        <w:rPr>
          <w:b/>
          <w:bCs/>
        </w:rPr>
        <w:t>Project C</w:t>
      </w:r>
    </w:p>
    <w:p w14:paraId="33786222" w14:textId="77777777" w:rsidR="0078330B" w:rsidRPr="0078330B" w:rsidRDefault="0078330B" w:rsidP="0078330B">
      <w:r w:rsidRPr="0078330B">
        <w:lastRenderedPageBreak/>
        <w:t>Cumulative: 5 → 15 → 35 → 60</w:t>
      </w:r>
      <w:r w:rsidRPr="0078330B">
        <w:br/>
      </w:r>
      <w:r w:rsidRPr="0078330B">
        <w:rPr>
          <w:rFonts w:ascii="Segoe UI Symbol" w:hAnsi="Segoe UI Symbol" w:cs="Segoe UI Symbol"/>
        </w:rPr>
        <w:t>✔</w:t>
      </w:r>
      <w:r w:rsidRPr="0078330B">
        <w:t xml:space="preserve"> Payback </w:t>
      </w:r>
      <w:r w:rsidRPr="0078330B">
        <w:rPr>
          <w:rFonts w:ascii="Aptos" w:hAnsi="Aptos" w:cs="Aptos"/>
        </w:rPr>
        <w:t>≈</w:t>
      </w:r>
      <w:r w:rsidRPr="0078330B">
        <w:t xml:space="preserve"> </w:t>
      </w:r>
      <w:r w:rsidRPr="0078330B">
        <w:rPr>
          <w:b/>
          <w:bCs/>
        </w:rPr>
        <w:t>~3.8 years (fastest)</w:t>
      </w:r>
    </w:p>
    <w:p w14:paraId="2C599110"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Conclusion (PBP):</w:t>
      </w:r>
    </w:p>
    <w:p w14:paraId="031EDD12" w14:textId="77777777" w:rsidR="0078330B" w:rsidRPr="0078330B" w:rsidRDefault="0078330B" w:rsidP="0078330B">
      <w:pPr>
        <w:numPr>
          <w:ilvl w:val="0"/>
          <w:numId w:val="51"/>
        </w:numPr>
      </w:pPr>
      <w:r w:rsidRPr="0078330B">
        <w:t xml:space="preserve">Best: Project C (fast recovery) </w:t>
      </w:r>
    </w:p>
    <w:p w14:paraId="5213AF3D" w14:textId="77777777" w:rsidR="0078330B" w:rsidRPr="0078330B" w:rsidRDefault="0078330B" w:rsidP="0078330B">
      <w:pPr>
        <w:numPr>
          <w:ilvl w:val="0"/>
          <w:numId w:val="51"/>
        </w:numPr>
      </w:pPr>
      <w:r w:rsidRPr="0078330B">
        <w:t xml:space="preserve">Worst: Project A </w:t>
      </w:r>
    </w:p>
    <w:p w14:paraId="58369DBD" w14:textId="77777777" w:rsidR="0078330B" w:rsidRPr="0078330B" w:rsidRDefault="0078330B" w:rsidP="0078330B">
      <w:r w:rsidRPr="0078330B">
        <w:pict w14:anchorId="23FBDD23">
          <v:rect id="_x0000_i1093" style="width:0;height:1.5pt" o:hralign="center" o:hrstd="t" o:hr="t" fillcolor="#a0a0a0" stroked="f"/>
        </w:pict>
      </w:r>
    </w:p>
    <w:p w14:paraId="424E3FB1" w14:textId="77777777" w:rsidR="0078330B" w:rsidRPr="0078330B" w:rsidRDefault="0078330B" w:rsidP="0078330B">
      <w:pPr>
        <w:rPr>
          <w:b/>
          <w:bCs/>
        </w:rPr>
      </w:pPr>
      <w:r w:rsidRPr="0078330B">
        <w:rPr>
          <w:b/>
          <w:bCs/>
        </w:rPr>
        <w:t>4. Accounting Rate of Return (ARR)</w:t>
      </w:r>
    </w:p>
    <w:p w14:paraId="4EEE2F95" w14:textId="77777777" w:rsidR="0078330B" w:rsidRPr="0078330B" w:rsidRDefault="0078330B" w:rsidP="0078330B">
      <w:r w:rsidRPr="0078330B">
        <w:t>ARR = Average Profit ÷ Initial Investment</w:t>
      </w:r>
    </w:p>
    <w:p w14:paraId="22A44F82" w14:textId="77777777" w:rsidR="0078330B" w:rsidRPr="0078330B" w:rsidRDefault="0078330B" w:rsidP="0078330B">
      <w:r w:rsidRPr="0078330B">
        <w:t>(Assuming depreciation = £10m per year)</w:t>
      </w:r>
    </w:p>
    <w:p w14:paraId="148AE2AE" w14:textId="77777777" w:rsidR="0078330B" w:rsidRPr="0078330B" w:rsidRDefault="0078330B" w:rsidP="0078330B">
      <w:pPr>
        <w:rPr>
          <w:b/>
          <w:bCs/>
        </w:rPr>
      </w:pPr>
      <w:r w:rsidRPr="0078330B">
        <w:rPr>
          <w:b/>
          <w:bCs/>
        </w:rPr>
        <w:t>Project A</w:t>
      </w:r>
    </w:p>
    <w:p w14:paraId="2F26E662" w14:textId="77777777" w:rsidR="0078330B" w:rsidRPr="0078330B" w:rsidRDefault="0078330B" w:rsidP="0078330B">
      <w:r w:rsidRPr="0078330B">
        <w:t xml:space="preserve">Average profit ≈ 4.8m → ARR ≈ </w:t>
      </w:r>
      <w:r w:rsidRPr="0078330B">
        <w:rPr>
          <w:b/>
          <w:bCs/>
        </w:rPr>
        <w:t>9.6%</w:t>
      </w:r>
    </w:p>
    <w:p w14:paraId="026107C9" w14:textId="77777777" w:rsidR="0078330B" w:rsidRPr="0078330B" w:rsidRDefault="0078330B" w:rsidP="0078330B">
      <w:pPr>
        <w:rPr>
          <w:b/>
          <w:bCs/>
        </w:rPr>
      </w:pPr>
      <w:r w:rsidRPr="0078330B">
        <w:rPr>
          <w:b/>
          <w:bCs/>
        </w:rPr>
        <w:t>Project B</w:t>
      </w:r>
    </w:p>
    <w:p w14:paraId="5F7456C0" w14:textId="77777777" w:rsidR="0078330B" w:rsidRPr="0078330B" w:rsidRDefault="0078330B" w:rsidP="0078330B">
      <w:r w:rsidRPr="0078330B">
        <w:t xml:space="preserve">Average profit ≈ 6m → ARR ≈ </w:t>
      </w:r>
      <w:r w:rsidRPr="0078330B">
        <w:rPr>
          <w:b/>
          <w:bCs/>
        </w:rPr>
        <w:t>12%</w:t>
      </w:r>
    </w:p>
    <w:p w14:paraId="0D30EE74" w14:textId="77777777" w:rsidR="0078330B" w:rsidRPr="0078330B" w:rsidRDefault="0078330B" w:rsidP="0078330B">
      <w:pPr>
        <w:rPr>
          <w:b/>
          <w:bCs/>
        </w:rPr>
      </w:pPr>
      <w:r w:rsidRPr="0078330B">
        <w:rPr>
          <w:b/>
          <w:bCs/>
        </w:rPr>
        <w:t>Project C</w:t>
      </w:r>
    </w:p>
    <w:p w14:paraId="2938956F" w14:textId="77777777" w:rsidR="0078330B" w:rsidRPr="0078330B" w:rsidRDefault="0078330B" w:rsidP="0078330B">
      <w:r w:rsidRPr="0078330B">
        <w:t xml:space="preserve">Average profit ≈ 9m → ARR ≈ </w:t>
      </w:r>
      <w:r w:rsidRPr="0078330B">
        <w:rPr>
          <w:b/>
          <w:bCs/>
        </w:rPr>
        <w:t>18%</w:t>
      </w:r>
    </w:p>
    <w:p w14:paraId="7AC98D20"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Conclusion (ARR):</w:t>
      </w:r>
    </w:p>
    <w:p w14:paraId="2138019C" w14:textId="77777777" w:rsidR="0078330B" w:rsidRPr="0078330B" w:rsidRDefault="0078330B" w:rsidP="0078330B">
      <w:pPr>
        <w:numPr>
          <w:ilvl w:val="0"/>
          <w:numId w:val="52"/>
        </w:numPr>
      </w:pPr>
      <w:r w:rsidRPr="0078330B">
        <w:t xml:space="preserve">Best: Project C </w:t>
      </w:r>
    </w:p>
    <w:p w14:paraId="7CA2703F" w14:textId="77777777" w:rsidR="0078330B" w:rsidRPr="0078330B" w:rsidRDefault="0078330B" w:rsidP="0078330B">
      <w:pPr>
        <w:numPr>
          <w:ilvl w:val="0"/>
          <w:numId w:val="52"/>
        </w:numPr>
      </w:pPr>
      <w:r w:rsidRPr="0078330B">
        <w:t xml:space="preserve">Strong performer: Project B </w:t>
      </w:r>
    </w:p>
    <w:p w14:paraId="7EB91206" w14:textId="77777777" w:rsidR="0078330B" w:rsidRPr="0078330B" w:rsidRDefault="0078330B" w:rsidP="0078330B">
      <w:pPr>
        <w:numPr>
          <w:ilvl w:val="0"/>
          <w:numId w:val="52"/>
        </w:numPr>
      </w:pPr>
      <w:r w:rsidRPr="0078330B">
        <w:t xml:space="preserve">Weak: Project A </w:t>
      </w:r>
    </w:p>
    <w:p w14:paraId="1CF57B2D" w14:textId="77777777" w:rsidR="0078330B" w:rsidRPr="0078330B" w:rsidRDefault="0078330B" w:rsidP="0078330B">
      <w:r w:rsidRPr="0078330B">
        <w:pict w14:anchorId="105F4F6D">
          <v:rect id="_x0000_i1094" style="width:0;height:1.5pt" o:hralign="center" o:hrstd="t" o:hr="t" fillcolor="#a0a0a0" stroked="f"/>
        </w:pict>
      </w:r>
    </w:p>
    <w:p w14:paraId="10831EBB" w14:textId="77777777" w:rsidR="0078330B" w:rsidRPr="0078330B" w:rsidRDefault="0078330B" w:rsidP="0078330B">
      <w:pPr>
        <w:rPr>
          <w:b/>
          <w:bCs/>
        </w:rPr>
      </w:pPr>
      <w:r w:rsidRPr="0078330B">
        <w:rPr>
          <w:b/>
          <w:bCs/>
        </w:rPr>
        <w:t>5. Net Present Value (NPV at 10%)</w:t>
      </w:r>
    </w:p>
    <w:p w14:paraId="113E93F3" w14:textId="77777777" w:rsidR="0078330B" w:rsidRPr="0078330B" w:rsidRDefault="0078330B" w:rsidP="0078330B">
      <w:pPr>
        <w:rPr>
          <w:b/>
          <w:bCs/>
        </w:rPr>
      </w:pPr>
      <w:r w:rsidRPr="0078330B">
        <w:rPr>
          <w:b/>
          <w:bCs/>
        </w:rPr>
        <w:t>Discount factors (10%):</w:t>
      </w:r>
    </w:p>
    <w:p w14:paraId="28BE849B" w14:textId="77777777" w:rsidR="0078330B" w:rsidRPr="0078330B" w:rsidRDefault="0078330B" w:rsidP="0078330B">
      <w:r w:rsidRPr="0078330B">
        <w:t>0.909, 0.826, 0.751, 0.683, 0.621</w:t>
      </w:r>
    </w:p>
    <w:p w14:paraId="2FF1F20C" w14:textId="77777777" w:rsidR="0078330B" w:rsidRPr="0078330B" w:rsidRDefault="0078330B" w:rsidP="0078330B">
      <w:r w:rsidRPr="0078330B">
        <w:pict w14:anchorId="3376B58E">
          <v:rect id="_x0000_i1095" style="width:0;height:1.5pt" o:hralign="center" o:hrstd="t" o:hr="t" fillcolor="#a0a0a0" stroked="f"/>
        </w:pict>
      </w:r>
    </w:p>
    <w:p w14:paraId="6FDF71A0" w14:textId="77777777" w:rsidR="0078330B" w:rsidRPr="0078330B" w:rsidRDefault="0078330B" w:rsidP="0078330B">
      <w:pPr>
        <w:rPr>
          <w:b/>
          <w:bCs/>
        </w:rPr>
      </w:pPr>
      <w:r w:rsidRPr="0078330B">
        <w:rPr>
          <w:b/>
          <w:bCs/>
        </w:rPr>
        <w:t xml:space="preserve">Project </w:t>
      </w:r>
      <w:proofErr w:type="gramStart"/>
      <w:r w:rsidRPr="0078330B">
        <w:rPr>
          <w:b/>
          <w:bCs/>
        </w:rPr>
        <w:t>A</w:t>
      </w:r>
      <w:proofErr w:type="gramEnd"/>
      <w:r w:rsidRPr="0078330B">
        <w:rPr>
          <w:b/>
          <w:bCs/>
        </w:rPr>
        <w:t xml:space="preserve"> NPV</w:t>
      </w:r>
    </w:p>
    <w:p w14:paraId="6A16FAF6" w14:textId="77777777" w:rsidR="0078330B" w:rsidRPr="0078330B" w:rsidRDefault="0078330B" w:rsidP="0078330B">
      <w:r w:rsidRPr="0078330B">
        <w:t>= -50 + (9.09 + 9.91 + 10.51 + 6.83 + 4.97)</w:t>
      </w:r>
      <w:r w:rsidRPr="0078330B">
        <w:br/>
        <w:t xml:space="preserve">= </w:t>
      </w:r>
      <w:r w:rsidRPr="0078330B">
        <w:rPr>
          <w:b/>
          <w:bCs/>
        </w:rPr>
        <w:t>-8.69 million</w:t>
      </w:r>
    </w:p>
    <w:p w14:paraId="0EA6A8AE" w14:textId="77777777" w:rsidR="0078330B" w:rsidRPr="0078330B" w:rsidRDefault="0078330B" w:rsidP="0078330B">
      <w:r w:rsidRPr="0078330B">
        <w:pict w14:anchorId="6C1FE1D3">
          <v:rect id="_x0000_i1096" style="width:0;height:1.5pt" o:hralign="center" o:hrstd="t" o:hr="t" fillcolor="#a0a0a0" stroked="f"/>
        </w:pict>
      </w:r>
    </w:p>
    <w:p w14:paraId="2AA1D19C" w14:textId="77777777" w:rsidR="0078330B" w:rsidRPr="0078330B" w:rsidRDefault="0078330B" w:rsidP="0078330B">
      <w:pPr>
        <w:rPr>
          <w:b/>
          <w:bCs/>
        </w:rPr>
      </w:pPr>
      <w:r w:rsidRPr="0078330B">
        <w:rPr>
          <w:b/>
          <w:bCs/>
        </w:rPr>
        <w:lastRenderedPageBreak/>
        <w:t>Project B NPV</w:t>
      </w:r>
    </w:p>
    <w:p w14:paraId="1CF32291" w14:textId="77777777" w:rsidR="0078330B" w:rsidRPr="0078330B" w:rsidRDefault="0078330B" w:rsidP="0078330B">
      <w:r w:rsidRPr="0078330B">
        <w:t>= -50 + (10 + 9.09 + 8.26 + 7.51 + 6.83)</w:t>
      </w:r>
      <w:r w:rsidRPr="0078330B">
        <w:br/>
        <w:t xml:space="preserve">= </w:t>
      </w:r>
      <w:r w:rsidRPr="0078330B">
        <w:rPr>
          <w:b/>
          <w:bCs/>
        </w:rPr>
        <w:t>-8.31 million</w:t>
      </w:r>
    </w:p>
    <w:p w14:paraId="3681E6CC" w14:textId="77777777" w:rsidR="0078330B" w:rsidRPr="0078330B" w:rsidRDefault="0078330B" w:rsidP="0078330B">
      <w:r w:rsidRPr="0078330B">
        <w:pict w14:anchorId="1E27424E">
          <v:rect id="_x0000_i1097" style="width:0;height:1.5pt" o:hralign="center" o:hrstd="t" o:hr="t" fillcolor="#a0a0a0" stroked="f"/>
        </w:pict>
      </w:r>
    </w:p>
    <w:p w14:paraId="307FFCF2" w14:textId="77777777" w:rsidR="0078330B" w:rsidRPr="0078330B" w:rsidRDefault="0078330B" w:rsidP="0078330B">
      <w:pPr>
        <w:rPr>
          <w:b/>
          <w:bCs/>
        </w:rPr>
      </w:pPr>
      <w:r w:rsidRPr="0078330B">
        <w:rPr>
          <w:b/>
          <w:bCs/>
        </w:rPr>
        <w:t>Project C NPV</w:t>
      </w:r>
    </w:p>
    <w:p w14:paraId="3917ABC7" w14:textId="77777777" w:rsidR="0078330B" w:rsidRPr="0078330B" w:rsidRDefault="0078330B" w:rsidP="0078330B">
      <w:r w:rsidRPr="0078330B">
        <w:t>= -50 + (4.55 + 8.26 + 15.02 + 17.08 + 3.11)</w:t>
      </w:r>
      <w:r w:rsidRPr="0078330B">
        <w:br/>
        <w:t xml:space="preserve">= </w:t>
      </w:r>
      <w:r w:rsidRPr="0078330B">
        <w:rPr>
          <w:b/>
          <w:bCs/>
        </w:rPr>
        <w:t>-2.00 million (highest / least negative)</w:t>
      </w:r>
    </w:p>
    <w:p w14:paraId="5C25BF4B"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Conclusion (NPV):</w:t>
      </w:r>
    </w:p>
    <w:p w14:paraId="2F287D75" w14:textId="77777777" w:rsidR="0078330B" w:rsidRPr="0078330B" w:rsidRDefault="0078330B" w:rsidP="0078330B">
      <w:pPr>
        <w:numPr>
          <w:ilvl w:val="0"/>
          <w:numId w:val="53"/>
        </w:numPr>
      </w:pPr>
      <w:r w:rsidRPr="0078330B">
        <w:t xml:space="preserve">Best: Project C </w:t>
      </w:r>
    </w:p>
    <w:p w14:paraId="3F61C9D8" w14:textId="77777777" w:rsidR="0078330B" w:rsidRPr="0078330B" w:rsidRDefault="0078330B" w:rsidP="0078330B">
      <w:pPr>
        <w:numPr>
          <w:ilvl w:val="0"/>
          <w:numId w:val="53"/>
        </w:numPr>
      </w:pPr>
      <w:r w:rsidRPr="0078330B">
        <w:t xml:space="preserve">Worst: Project A </w:t>
      </w:r>
    </w:p>
    <w:p w14:paraId="2589433B" w14:textId="77777777" w:rsidR="0078330B" w:rsidRPr="0078330B" w:rsidRDefault="0078330B" w:rsidP="0078330B">
      <w:pPr>
        <w:numPr>
          <w:ilvl w:val="0"/>
          <w:numId w:val="53"/>
        </w:numPr>
      </w:pPr>
      <w:r w:rsidRPr="0078330B">
        <w:t xml:space="preserve">None are strongly positive, but C is closest to value creation </w:t>
      </w:r>
    </w:p>
    <w:p w14:paraId="1DE4E728" w14:textId="77777777" w:rsidR="0078330B" w:rsidRPr="0078330B" w:rsidRDefault="0078330B" w:rsidP="0078330B">
      <w:r w:rsidRPr="0078330B">
        <w:pict w14:anchorId="63277E7B">
          <v:rect id="_x0000_i1098" style="width:0;height:1.5pt" o:hralign="center" o:hrstd="t" o:hr="t" fillcolor="#a0a0a0" stroked="f"/>
        </w:pict>
      </w:r>
    </w:p>
    <w:p w14:paraId="7184B043" w14:textId="77777777" w:rsidR="0078330B" w:rsidRPr="0078330B" w:rsidRDefault="0078330B" w:rsidP="0078330B">
      <w:pPr>
        <w:rPr>
          <w:b/>
          <w:bCs/>
        </w:rPr>
      </w:pPr>
      <w:r w:rsidRPr="0078330B">
        <w:rPr>
          <w:b/>
          <w:bCs/>
        </w:rPr>
        <w:t>6. Profitability Index (PI)</w:t>
      </w:r>
    </w:p>
    <w:p w14:paraId="0A6AE62A" w14:textId="77777777" w:rsidR="0078330B" w:rsidRPr="0078330B" w:rsidRDefault="0078330B" w:rsidP="0078330B">
      <w:r w:rsidRPr="0078330B">
        <w:t>PI = PV of inflows ÷ Initial Investment</w:t>
      </w:r>
    </w:p>
    <w:p w14:paraId="420C9B6B" w14:textId="77777777" w:rsidR="0078330B" w:rsidRPr="0078330B" w:rsidRDefault="0078330B" w:rsidP="0078330B">
      <w:pPr>
        <w:numPr>
          <w:ilvl w:val="0"/>
          <w:numId w:val="54"/>
        </w:numPr>
      </w:pPr>
      <w:r w:rsidRPr="0078330B">
        <w:t xml:space="preserve">Project A: </w:t>
      </w:r>
      <w:r w:rsidRPr="0078330B">
        <w:rPr>
          <w:b/>
          <w:bCs/>
        </w:rPr>
        <w:t>0.83</w:t>
      </w:r>
      <w:r w:rsidRPr="0078330B">
        <w:t xml:space="preserve"> </w:t>
      </w:r>
    </w:p>
    <w:p w14:paraId="78B3409E" w14:textId="77777777" w:rsidR="0078330B" w:rsidRPr="0078330B" w:rsidRDefault="0078330B" w:rsidP="0078330B">
      <w:pPr>
        <w:numPr>
          <w:ilvl w:val="0"/>
          <w:numId w:val="54"/>
        </w:numPr>
      </w:pPr>
      <w:r w:rsidRPr="0078330B">
        <w:t xml:space="preserve">Project B: </w:t>
      </w:r>
      <w:r w:rsidRPr="0078330B">
        <w:rPr>
          <w:b/>
          <w:bCs/>
        </w:rPr>
        <w:t>0.83</w:t>
      </w:r>
      <w:r w:rsidRPr="0078330B">
        <w:t xml:space="preserve"> </w:t>
      </w:r>
    </w:p>
    <w:p w14:paraId="0FC2EB0E" w14:textId="77777777" w:rsidR="0078330B" w:rsidRPr="0078330B" w:rsidRDefault="0078330B" w:rsidP="0078330B">
      <w:pPr>
        <w:numPr>
          <w:ilvl w:val="0"/>
          <w:numId w:val="54"/>
        </w:numPr>
      </w:pPr>
      <w:r w:rsidRPr="0078330B">
        <w:t xml:space="preserve">Project C: </w:t>
      </w:r>
      <w:r w:rsidRPr="0078330B">
        <w:rPr>
          <w:b/>
          <w:bCs/>
        </w:rPr>
        <w:t>0.96</w:t>
      </w:r>
      <w:r w:rsidRPr="0078330B">
        <w:t xml:space="preserve"> </w:t>
      </w:r>
    </w:p>
    <w:p w14:paraId="43C04317"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Conclusion (PI):</w:t>
      </w:r>
    </w:p>
    <w:p w14:paraId="41DA9C60" w14:textId="77777777" w:rsidR="0078330B" w:rsidRPr="0078330B" w:rsidRDefault="0078330B" w:rsidP="0078330B">
      <w:pPr>
        <w:numPr>
          <w:ilvl w:val="0"/>
          <w:numId w:val="55"/>
        </w:numPr>
      </w:pPr>
      <w:r w:rsidRPr="0078330B">
        <w:t xml:space="preserve">Best: Project C (closest to 1 → best value efficiency) </w:t>
      </w:r>
    </w:p>
    <w:p w14:paraId="7AADF29A" w14:textId="77777777" w:rsidR="0078330B" w:rsidRPr="0078330B" w:rsidRDefault="0078330B" w:rsidP="0078330B">
      <w:r w:rsidRPr="0078330B">
        <w:pict w14:anchorId="7D2C0DD8">
          <v:rect id="_x0000_i1099" style="width:0;height:1.5pt" o:hralign="center" o:hrstd="t" o:hr="t" fillcolor="#a0a0a0" stroked="f"/>
        </w:pict>
      </w:r>
    </w:p>
    <w:p w14:paraId="7E40F514" w14:textId="77777777" w:rsidR="0078330B" w:rsidRPr="0078330B" w:rsidRDefault="0078330B" w:rsidP="0078330B">
      <w:pPr>
        <w:rPr>
          <w:b/>
          <w:bCs/>
        </w:rPr>
      </w:pPr>
      <w:r w:rsidRPr="0078330B">
        <w:rPr>
          <w:b/>
          <w:bCs/>
        </w:rPr>
        <w:t>7. Internal Rate of Return (IRR – Approx.)</w:t>
      </w:r>
    </w:p>
    <w:p w14:paraId="1D06F947" w14:textId="77777777" w:rsidR="0078330B" w:rsidRPr="0078330B" w:rsidRDefault="0078330B" w:rsidP="0078330B">
      <w:pPr>
        <w:numPr>
          <w:ilvl w:val="0"/>
          <w:numId w:val="56"/>
        </w:numPr>
      </w:pPr>
      <w:r w:rsidRPr="0078330B">
        <w:t xml:space="preserve">Project A: ~6–7% </w:t>
      </w:r>
    </w:p>
    <w:p w14:paraId="2F95D9C2" w14:textId="77777777" w:rsidR="0078330B" w:rsidRPr="0078330B" w:rsidRDefault="0078330B" w:rsidP="0078330B">
      <w:pPr>
        <w:numPr>
          <w:ilvl w:val="0"/>
          <w:numId w:val="56"/>
        </w:numPr>
      </w:pPr>
      <w:r w:rsidRPr="0078330B">
        <w:t xml:space="preserve">Project B: ~7–8% </w:t>
      </w:r>
    </w:p>
    <w:p w14:paraId="22CFAD76" w14:textId="77777777" w:rsidR="0078330B" w:rsidRPr="0078330B" w:rsidRDefault="0078330B" w:rsidP="0078330B">
      <w:pPr>
        <w:numPr>
          <w:ilvl w:val="0"/>
          <w:numId w:val="56"/>
        </w:numPr>
      </w:pPr>
      <w:r w:rsidRPr="0078330B">
        <w:t xml:space="preserve">Project C: ~9–10% (highest) </w:t>
      </w:r>
    </w:p>
    <w:p w14:paraId="143E545F"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Conclusion (IRR):</w:t>
      </w:r>
    </w:p>
    <w:p w14:paraId="36378572" w14:textId="77777777" w:rsidR="0078330B" w:rsidRPr="0078330B" w:rsidRDefault="0078330B" w:rsidP="0078330B">
      <w:pPr>
        <w:numPr>
          <w:ilvl w:val="0"/>
          <w:numId w:val="57"/>
        </w:numPr>
      </w:pPr>
      <w:r w:rsidRPr="0078330B">
        <w:t xml:space="preserve">Best: Project C </w:t>
      </w:r>
    </w:p>
    <w:p w14:paraId="0B074474" w14:textId="77777777" w:rsidR="0078330B" w:rsidRPr="0078330B" w:rsidRDefault="0078330B" w:rsidP="0078330B">
      <w:pPr>
        <w:numPr>
          <w:ilvl w:val="0"/>
          <w:numId w:val="57"/>
        </w:numPr>
      </w:pPr>
      <w:r w:rsidRPr="0078330B">
        <w:t xml:space="preserve">Only project close to discount rate </w:t>
      </w:r>
    </w:p>
    <w:p w14:paraId="30D9C80B" w14:textId="77777777" w:rsidR="0078330B" w:rsidRPr="0078330B" w:rsidRDefault="0078330B" w:rsidP="0078330B">
      <w:r w:rsidRPr="0078330B">
        <w:pict w14:anchorId="1E1C1D85">
          <v:rect id="_x0000_i1100" style="width:0;height:1.5pt" o:hralign="center" o:hrstd="t" o:hr="t" fillcolor="#a0a0a0" stroked="f"/>
        </w:pict>
      </w:r>
    </w:p>
    <w:p w14:paraId="2DDC26CA" w14:textId="77777777" w:rsidR="0078330B" w:rsidRPr="0078330B" w:rsidRDefault="0078330B" w:rsidP="0078330B">
      <w:pPr>
        <w:rPr>
          <w:b/>
          <w:bCs/>
        </w:rPr>
      </w:pPr>
      <w:r w:rsidRPr="0078330B">
        <w:rPr>
          <w:b/>
          <w:bCs/>
        </w:rPr>
        <w:lastRenderedPageBreak/>
        <w:t>8. Overall Project Evaluation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5"/>
        <w:gridCol w:w="1392"/>
      </w:tblGrid>
      <w:tr w:rsidR="0078330B" w:rsidRPr="0078330B" w14:paraId="69CED004" w14:textId="77777777">
        <w:trPr>
          <w:tblHeader/>
          <w:tblCellSpacing w:w="15" w:type="dxa"/>
        </w:trPr>
        <w:tc>
          <w:tcPr>
            <w:tcW w:w="0" w:type="auto"/>
            <w:vAlign w:val="center"/>
            <w:hideMark/>
          </w:tcPr>
          <w:p w14:paraId="71C8D039" w14:textId="77777777" w:rsidR="0078330B" w:rsidRPr="0078330B" w:rsidRDefault="0078330B" w:rsidP="0078330B">
            <w:pPr>
              <w:rPr>
                <w:b/>
                <w:bCs/>
              </w:rPr>
            </w:pPr>
            <w:r w:rsidRPr="0078330B">
              <w:rPr>
                <w:b/>
                <w:bCs/>
              </w:rPr>
              <w:t>Criteria</w:t>
            </w:r>
          </w:p>
        </w:tc>
        <w:tc>
          <w:tcPr>
            <w:tcW w:w="0" w:type="auto"/>
            <w:vAlign w:val="center"/>
            <w:hideMark/>
          </w:tcPr>
          <w:p w14:paraId="3FE9076E" w14:textId="77777777" w:rsidR="0078330B" w:rsidRPr="0078330B" w:rsidRDefault="0078330B" w:rsidP="0078330B">
            <w:pPr>
              <w:rPr>
                <w:b/>
                <w:bCs/>
              </w:rPr>
            </w:pPr>
            <w:r w:rsidRPr="0078330B">
              <w:rPr>
                <w:b/>
                <w:bCs/>
              </w:rPr>
              <w:t>Best Project</w:t>
            </w:r>
          </w:p>
        </w:tc>
      </w:tr>
      <w:tr w:rsidR="0078330B" w:rsidRPr="0078330B" w14:paraId="09089A30" w14:textId="77777777">
        <w:trPr>
          <w:tblCellSpacing w:w="15" w:type="dxa"/>
        </w:trPr>
        <w:tc>
          <w:tcPr>
            <w:tcW w:w="0" w:type="auto"/>
            <w:vAlign w:val="center"/>
            <w:hideMark/>
          </w:tcPr>
          <w:p w14:paraId="3E0F071D" w14:textId="77777777" w:rsidR="0078330B" w:rsidRPr="0078330B" w:rsidRDefault="0078330B" w:rsidP="0078330B">
            <w:r w:rsidRPr="0078330B">
              <w:t>Payback Period</w:t>
            </w:r>
          </w:p>
        </w:tc>
        <w:tc>
          <w:tcPr>
            <w:tcW w:w="0" w:type="auto"/>
            <w:vAlign w:val="center"/>
            <w:hideMark/>
          </w:tcPr>
          <w:p w14:paraId="6190BF52" w14:textId="77777777" w:rsidR="0078330B" w:rsidRPr="0078330B" w:rsidRDefault="0078330B" w:rsidP="0078330B">
            <w:r w:rsidRPr="0078330B">
              <w:t>Project C</w:t>
            </w:r>
          </w:p>
        </w:tc>
      </w:tr>
      <w:tr w:rsidR="0078330B" w:rsidRPr="0078330B" w14:paraId="0C0669AC" w14:textId="77777777">
        <w:trPr>
          <w:tblCellSpacing w:w="15" w:type="dxa"/>
        </w:trPr>
        <w:tc>
          <w:tcPr>
            <w:tcW w:w="0" w:type="auto"/>
            <w:vAlign w:val="center"/>
            <w:hideMark/>
          </w:tcPr>
          <w:p w14:paraId="2A0FDE68" w14:textId="77777777" w:rsidR="0078330B" w:rsidRPr="0078330B" w:rsidRDefault="0078330B" w:rsidP="0078330B">
            <w:r w:rsidRPr="0078330B">
              <w:t>ARR</w:t>
            </w:r>
          </w:p>
        </w:tc>
        <w:tc>
          <w:tcPr>
            <w:tcW w:w="0" w:type="auto"/>
            <w:vAlign w:val="center"/>
            <w:hideMark/>
          </w:tcPr>
          <w:p w14:paraId="3DD413BF" w14:textId="77777777" w:rsidR="0078330B" w:rsidRPr="0078330B" w:rsidRDefault="0078330B" w:rsidP="0078330B">
            <w:r w:rsidRPr="0078330B">
              <w:t>Project C</w:t>
            </w:r>
          </w:p>
        </w:tc>
      </w:tr>
      <w:tr w:rsidR="0078330B" w:rsidRPr="0078330B" w14:paraId="34D7E65C" w14:textId="77777777">
        <w:trPr>
          <w:tblCellSpacing w:w="15" w:type="dxa"/>
        </w:trPr>
        <w:tc>
          <w:tcPr>
            <w:tcW w:w="0" w:type="auto"/>
            <w:vAlign w:val="center"/>
            <w:hideMark/>
          </w:tcPr>
          <w:p w14:paraId="6D109272" w14:textId="77777777" w:rsidR="0078330B" w:rsidRPr="0078330B" w:rsidRDefault="0078330B" w:rsidP="0078330B">
            <w:r w:rsidRPr="0078330B">
              <w:t>NPV</w:t>
            </w:r>
          </w:p>
        </w:tc>
        <w:tc>
          <w:tcPr>
            <w:tcW w:w="0" w:type="auto"/>
            <w:vAlign w:val="center"/>
            <w:hideMark/>
          </w:tcPr>
          <w:p w14:paraId="2FCF0AA3" w14:textId="77777777" w:rsidR="0078330B" w:rsidRPr="0078330B" w:rsidRDefault="0078330B" w:rsidP="0078330B">
            <w:r w:rsidRPr="0078330B">
              <w:t>Project C</w:t>
            </w:r>
          </w:p>
        </w:tc>
      </w:tr>
      <w:tr w:rsidR="0078330B" w:rsidRPr="0078330B" w14:paraId="54467193" w14:textId="77777777">
        <w:trPr>
          <w:tblCellSpacing w:w="15" w:type="dxa"/>
        </w:trPr>
        <w:tc>
          <w:tcPr>
            <w:tcW w:w="0" w:type="auto"/>
            <w:vAlign w:val="center"/>
            <w:hideMark/>
          </w:tcPr>
          <w:p w14:paraId="59AD146A" w14:textId="77777777" w:rsidR="0078330B" w:rsidRPr="0078330B" w:rsidRDefault="0078330B" w:rsidP="0078330B">
            <w:r w:rsidRPr="0078330B">
              <w:t>PI</w:t>
            </w:r>
          </w:p>
        </w:tc>
        <w:tc>
          <w:tcPr>
            <w:tcW w:w="0" w:type="auto"/>
            <w:vAlign w:val="center"/>
            <w:hideMark/>
          </w:tcPr>
          <w:p w14:paraId="5FF4FACD" w14:textId="77777777" w:rsidR="0078330B" w:rsidRPr="0078330B" w:rsidRDefault="0078330B" w:rsidP="0078330B">
            <w:r w:rsidRPr="0078330B">
              <w:t>Project C</w:t>
            </w:r>
          </w:p>
        </w:tc>
      </w:tr>
      <w:tr w:rsidR="0078330B" w:rsidRPr="0078330B" w14:paraId="2F9F250E" w14:textId="77777777">
        <w:trPr>
          <w:tblCellSpacing w:w="15" w:type="dxa"/>
        </w:trPr>
        <w:tc>
          <w:tcPr>
            <w:tcW w:w="0" w:type="auto"/>
            <w:vAlign w:val="center"/>
            <w:hideMark/>
          </w:tcPr>
          <w:p w14:paraId="2D7FEBD8" w14:textId="77777777" w:rsidR="0078330B" w:rsidRPr="0078330B" w:rsidRDefault="0078330B" w:rsidP="0078330B">
            <w:r w:rsidRPr="0078330B">
              <w:t>IRR</w:t>
            </w:r>
          </w:p>
        </w:tc>
        <w:tc>
          <w:tcPr>
            <w:tcW w:w="0" w:type="auto"/>
            <w:vAlign w:val="center"/>
            <w:hideMark/>
          </w:tcPr>
          <w:p w14:paraId="1F879656" w14:textId="77777777" w:rsidR="0078330B" w:rsidRPr="0078330B" w:rsidRDefault="0078330B" w:rsidP="0078330B">
            <w:r w:rsidRPr="0078330B">
              <w:t>Project C</w:t>
            </w:r>
          </w:p>
        </w:tc>
      </w:tr>
    </w:tbl>
    <w:p w14:paraId="075D4C54" w14:textId="77777777" w:rsidR="0078330B" w:rsidRPr="0078330B" w:rsidRDefault="0078330B" w:rsidP="0078330B">
      <w:pPr>
        <w:rPr>
          <w:b/>
          <w:bCs/>
        </w:rPr>
      </w:pPr>
      <w:r w:rsidRPr="0078330B">
        <w:rPr>
          <w:rFonts w:ascii="Segoe UI Symbol" w:hAnsi="Segoe UI Symbol" w:cs="Segoe UI Symbol"/>
          <w:b/>
          <w:bCs/>
        </w:rPr>
        <w:t>✔</w:t>
      </w:r>
      <w:r w:rsidRPr="0078330B">
        <w:rPr>
          <w:b/>
          <w:bCs/>
        </w:rPr>
        <w:t xml:space="preserve"> Final Individual Project Recommendation:</w:t>
      </w:r>
    </w:p>
    <w:p w14:paraId="2145D582" w14:textId="77777777" w:rsidR="0078330B" w:rsidRPr="0078330B" w:rsidRDefault="0078330B" w:rsidP="0078330B">
      <w:r w:rsidRPr="0078330B">
        <w:rPr>
          <w:rFonts w:ascii="Segoe UI Emoji" w:hAnsi="Segoe UI Emoji" w:cs="Segoe UI Emoji"/>
        </w:rPr>
        <w:t>👉</w:t>
      </w:r>
      <w:r w:rsidRPr="0078330B">
        <w:t xml:space="preserve"> </w:t>
      </w:r>
      <w:r w:rsidRPr="0078330B">
        <w:rPr>
          <w:b/>
          <w:bCs/>
        </w:rPr>
        <w:t>Project C is the best standalone investment</w:t>
      </w:r>
    </w:p>
    <w:p w14:paraId="0F1CAF66" w14:textId="77777777" w:rsidR="0078330B" w:rsidRPr="0078330B" w:rsidRDefault="0078330B" w:rsidP="0078330B">
      <w:pPr>
        <w:rPr>
          <w:b/>
          <w:bCs/>
        </w:rPr>
      </w:pPr>
      <w:r w:rsidRPr="0078330B">
        <w:rPr>
          <w:b/>
          <w:bCs/>
        </w:rPr>
        <w:t>Reasons:</w:t>
      </w:r>
    </w:p>
    <w:p w14:paraId="5A81A75B" w14:textId="77777777" w:rsidR="0078330B" w:rsidRPr="0078330B" w:rsidRDefault="0078330B" w:rsidP="0078330B">
      <w:pPr>
        <w:numPr>
          <w:ilvl w:val="0"/>
          <w:numId w:val="58"/>
        </w:numPr>
      </w:pPr>
      <w:r w:rsidRPr="0078330B">
        <w:t xml:space="preserve">Highest returns (IRR and ARR) </w:t>
      </w:r>
    </w:p>
    <w:p w14:paraId="3AFE3CF4" w14:textId="77777777" w:rsidR="0078330B" w:rsidRPr="0078330B" w:rsidRDefault="0078330B" w:rsidP="0078330B">
      <w:pPr>
        <w:numPr>
          <w:ilvl w:val="0"/>
          <w:numId w:val="58"/>
        </w:numPr>
      </w:pPr>
      <w:r w:rsidRPr="0078330B">
        <w:t xml:space="preserve">Strongest NPV (least negative) </w:t>
      </w:r>
    </w:p>
    <w:p w14:paraId="46752FE3" w14:textId="77777777" w:rsidR="0078330B" w:rsidRPr="0078330B" w:rsidRDefault="0078330B" w:rsidP="0078330B">
      <w:pPr>
        <w:numPr>
          <w:ilvl w:val="0"/>
          <w:numId w:val="58"/>
        </w:numPr>
      </w:pPr>
      <w:r w:rsidRPr="0078330B">
        <w:t xml:space="preserve">Best capital efficiency (PI closest to 1) </w:t>
      </w:r>
    </w:p>
    <w:p w14:paraId="18BAE9BD" w14:textId="77777777" w:rsidR="0078330B" w:rsidRPr="0078330B" w:rsidRDefault="0078330B" w:rsidP="0078330B">
      <w:pPr>
        <w:numPr>
          <w:ilvl w:val="0"/>
          <w:numId w:val="58"/>
        </w:numPr>
      </w:pPr>
      <w:r w:rsidRPr="0078330B">
        <w:t xml:space="preserve">Acceptable payback period </w:t>
      </w:r>
    </w:p>
    <w:p w14:paraId="55A5BC12" w14:textId="77777777" w:rsidR="0078330B" w:rsidRPr="0078330B" w:rsidRDefault="0078330B" w:rsidP="0078330B">
      <w:r w:rsidRPr="0078330B">
        <w:pict w14:anchorId="37A52925">
          <v:rect id="_x0000_i1101" style="width:0;height:1.5pt" o:hralign="center" o:hrstd="t" o:hr="t" fillcolor="#a0a0a0" stroked="f"/>
        </w:pict>
      </w:r>
    </w:p>
    <w:p w14:paraId="522CD229" w14:textId="77777777" w:rsidR="0078330B" w:rsidRPr="0078330B" w:rsidRDefault="0078330B" w:rsidP="0078330B">
      <w:pPr>
        <w:rPr>
          <w:b/>
          <w:bCs/>
        </w:rPr>
      </w:pPr>
      <w:r w:rsidRPr="0078330B">
        <w:rPr>
          <w:b/>
          <w:bCs/>
        </w:rPr>
        <w:t>9. Justification with Toyota’s Financial Position</w:t>
      </w:r>
    </w:p>
    <w:p w14:paraId="1C873DA6" w14:textId="77777777" w:rsidR="0078330B" w:rsidRPr="0078330B" w:rsidRDefault="0078330B" w:rsidP="0078330B">
      <w:pPr>
        <w:rPr>
          <w:b/>
          <w:bCs/>
        </w:rPr>
      </w:pPr>
      <w:r w:rsidRPr="0078330B">
        <w:rPr>
          <w:b/>
          <w:bCs/>
        </w:rPr>
        <w:t>Profitability Strength</w:t>
      </w:r>
    </w:p>
    <w:p w14:paraId="0B54B91D" w14:textId="77777777" w:rsidR="0078330B" w:rsidRPr="0078330B" w:rsidRDefault="0078330B" w:rsidP="0078330B">
      <w:r w:rsidRPr="0078330B">
        <w:t>Toyota shows strong profitability growth in recent years (FY2024–FY2025). A project like C aligns with its ability to absorb moderate-risk investments while pursuing higher return opportunities.</w:t>
      </w:r>
    </w:p>
    <w:p w14:paraId="4C4E3CAA" w14:textId="77777777" w:rsidR="0078330B" w:rsidRPr="0078330B" w:rsidRDefault="0078330B" w:rsidP="0078330B">
      <w:pPr>
        <w:rPr>
          <w:b/>
          <w:bCs/>
        </w:rPr>
      </w:pPr>
      <w:r w:rsidRPr="0078330B">
        <w:rPr>
          <w:b/>
          <w:bCs/>
        </w:rPr>
        <w:t>Liquidity Position</w:t>
      </w:r>
    </w:p>
    <w:p w14:paraId="707A2943" w14:textId="77777777" w:rsidR="0078330B" w:rsidRPr="0078330B" w:rsidRDefault="0078330B" w:rsidP="0078330B">
      <w:r w:rsidRPr="0078330B">
        <w:t>Strong operating cash flow means Toyota can support uneven cash inflows like Project C, which peaks in later years.</w:t>
      </w:r>
    </w:p>
    <w:p w14:paraId="198DD193" w14:textId="77777777" w:rsidR="0078330B" w:rsidRPr="0078330B" w:rsidRDefault="0078330B" w:rsidP="0078330B">
      <w:pPr>
        <w:rPr>
          <w:b/>
          <w:bCs/>
        </w:rPr>
      </w:pPr>
      <w:r w:rsidRPr="0078330B">
        <w:rPr>
          <w:b/>
          <w:bCs/>
        </w:rPr>
        <w:t>Efficiency Advantage</w:t>
      </w:r>
    </w:p>
    <w:p w14:paraId="70ADACF8" w14:textId="77777777" w:rsidR="0078330B" w:rsidRPr="0078330B" w:rsidRDefault="0078330B" w:rsidP="0078330B">
      <w:r w:rsidRPr="0078330B">
        <w:t>Toyota’s operational efficiency allows it to manage projects with back-loaded returns effectively.</w:t>
      </w:r>
    </w:p>
    <w:p w14:paraId="51D1AB9D" w14:textId="77777777" w:rsidR="0078330B" w:rsidRPr="0078330B" w:rsidRDefault="0078330B" w:rsidP="0078330B">
      <w:r w:rsidRPr="0078330B">
        <w:pict w14:anchorId="56284243">
          <v:rect id="_x0000_i1102" style="width:0;height:1.5pt" o:hralign="center" o:hrstd="t" o:hr="t" fillcolor="#a0a0a0" stroked="f"/>
        </w:pict>
      </w:r>
    </w:p>
    <w:p w14:paraId="73B19A3F" w14:textId="77777777" w:rsidR="0078330B" w:rsidRPr="0078330B" w:rsidRDefault="0078330B" w:rsidP="0078330B">
      <w:pPr>
        <w:rPr>
          <w:b/>
          <w:bCs/>
        </w:rPr>
      </w:pPr>
      <w:r w:rsidRPr="0078330B">
        <w:rPr>
          <w:b/>
          <w:bCs/>
        </w:rPr>
        <w:t>10. Non-Financial Risks</w:t>
      </w:r>
    </w:p>
    <w:p w14:paraId="7F775885" w14:textId="77777777" w:rsidR="0078330B" w:rsidRPr="0078330B" w:rsidRDefault="0078330B" w:rsidP="0078330B">
      <w:pPr>
        <w:rPr>
          <w:b/>
          <w:bCs/>
        </w:rPr>
      </w:pPr>
      <w:r w:rsidRPr="0078330B">
        <w:rPr>
          <w:b/>
          <w:bCs/>
        </w:rPr>
        <w:lastRenderedPageBreak/>
        <w:t>Project A</w:t>
      </w:r>
    </w:p>
    <w:p w14:paraId="208BED6A" w14:textId="77777777" w:rsidR="0078330B" w:rsidRPr="0078330B" w:rsidRDefault="0078330B" w:rsidP="0078330B">
      <w:pPr>
        <w:numPr>
          <w:ilvl w:val="0"/>
          <w:numId w:val="59"/>
        </w:numPr>
      </w:pPr>
      <w:r w:rsidRPr="0078330B">
        <w:t xml:space="preserve">Low return → inefficient capital use </w:t>
      </w:r>
    </w:p>
    <w:p w14:paraId="331FC22B" w14:textId="77777777" w:rsidR="0078330B" w:rsidRPr="0078330B" w:rsidRDefault="0078330B" w:rsidP="0078330B">
      <w:pPr>
        <w:numPr>
          <w:ilvl w:val="0"/>
          <w:numId w:val="59"/>
        </w:numPr>
      </w:pPr>
      <w:r w:rsidRPr="0078330B">
        <w:t xml:space="preserve">Weak strategic value </w:t>
      </w:r>
    </w:p>
    <w:p w14:paraId="6468AA1C" w14:textId="77777777" w:rsidR="0078330B" w:rsidRPr="0078330B" w:rsidRDefault="0078330B" w:rsidP="0078330B">
      <w:pPr>
        <w:rPr>
          <w:b/>
          <w:bCs/>
        </w:rPr>
      </w:pPr>
      <w:r w:rsidRPr="0078330B">
        <w:rPr>
          <w:b/>
          <w:bCs/>
        </w:rPr>
        <w:t>Project B</w:t>
      </w:r>
    </w:p>
    <w:p w14:paraId="1E52E0BF" w14:textId="77777777" w:rsidR="0078330B" w:rsidRPr="0078330B" w:rsidRDefault="0078330B" w:rsidP="0078330B">
      <w:pPr>
        <w:numPr>
          <w:ilvl w:val="0"/>
          <w:numId w:val="60"/>
        </w:numPr>
      </w:pPr>
      <w:r w:rsidRPr="0078330B">
        <w:t xml:space="preserve">Stable but low growth </w:t>
      </w:r>
    </w:p>
    <w:p w14:paraId="6C84BA6E" w14:textId="77777777" w:rsidR="0078330B" w:rsidRPr="0078330B" w:rsidRDefault="0078330B" w:rsidP="0078330B">
      <w:pPr>
        <w:numPr>
          <w:ilvl w:val="0"/>
          <w:numId w:val="60"/>
        </w:numPr>
      </w:pPr>
      <w:r w:rsidRPr="0078330B">
        <w:t xml:space="preserve">Limited strategic advantage in EV transition </w:t>
      </w:r>
    </w:p>
    <w:p w14:paraId="3AF0ECE5" w14:textId="77777777" w:rsidR="0078330B" w:rsidRPr="0078330B" w:rsidRDefault="0078330B" w:rsidP="0078330B">
      <w:pPr>
        <w:rPr>
          <w:b/>
          <w:bCs/>
        </w:rPr>
      </w:pPr>
      <w:r w:rsidRPr="0078330B">
        <w:rPr>
          <w:b/>
          <w:bCs/>
        </w:rPr>
        <w:t>Project C</w:t>
      </w:r>
    </w:p>
    <w:p w14:paraId="47BCEC6D" w14:textId="77777777" w:rsidR="0078330B" w:rsidRPr="0078330B" w:rsidRDefault="0078330B" w:rsidP="0078330B">
      <w:pPr>
        <w:numPr>
          <w:ilvl w:val="0"/>
          <w:numId w:val="61"/>
        </w:numPr>
      </w:pPr>
      <w:r w:rsidRPr="0078330B">
        <w:t xml:space="preserve">Higher volatility in cash flows </w:t>
      </w:r>
    </w:p>
    <w:p w14:paraId="35C6E644" w14:textId="77777777" w:rsidR="0078330B" w:rsidRPr="0078330B" w:rsidRDefault="0078330B" w:rsidP="0078330B">
      <w:pPr>
        <w:numPr>
          <w:ilvl w:val="0"/>
          <w:numId w:val="61"/>
        </w:numPr>
      </w:pPr>
      <w:r w:rsidRPr="0078330B">
        <w:t xml:space="preserve">Demand risk in later years </w:t>
      </w:r>
    </w:p>
    <w:p w14:paraId="2A7CA249" w14:textId="77777777" w:rsidR="0078330B" w:rsidRPr="0078330B" w:rsidRDefault="0078330B" w:rsidP="0078330B">
      <w:pPr>
        <w:numPr>
          <w:ilvl w:val="0"/>
          <w:numId w:val="61"/>
        </w:numPr>
      </w:pPr>
      <w:r w:rsidRPr="0078330B">
        <w:t xml:space="preserve">Sensitive to market conditions </w:t>
      </w:r>
    </w:p>
    <w:p w14:paraId="0A6A8D5C" w14:textId="77777777" w:rsidR="0078330B" w:rsidRPr="0078330B" w:rsidRDefault="0078330B" w:rsidP="0078330B">
      <w:pPr>
        <w:rPr>
          <w:b/>
          <w:bCs/>
        </w:rPr>
      </w:pPr>
      <w:r w:rsidRPr="0078330B">
        <w:rPr>
          <w:b/>
          <w:bCs/>
        </w:rPr>
        <w:t>External Risks:</w:t>
      </w:r>
    </w:p>
    <w:p w14:paraId="34BDB6CC" w14:textId="77777777" w:rsidR="0078330B" w:rsidRPr="0078330B" w:rsidRDefault="0078330B" w:rsidP="0078330B">
      <w:pPr>
        <w:numPr>
          <w:ilvl w:val="0"/>
          <w:numId w:val="62"/>
        </w:numPr>
      </w:pPr>
      <w:r w:rsidRPr="0078330B">
        <w:t xml:space="preserve">Political risk (global manufacturing exposure) </w:t>
      </w:r>
    </w:p>
    <w:p w14:paraId="6D1A88AC" w14:textId="77777777" w:rsidR="0078330B" w:rsidRPr="0078330B" w:rsidRDefault="0078330B" w:rsidP="0078330B">
      <w:pPr>
        <w:numPr>
          <w:ilvl w:val="0"/>
          <w:numId w:val="62"/>
        </w:numPr>
      </w:pPr>
      <w:r w:rsidRPr="0078330B">
        <w:t xml:space="preserve">Currency fluctuations (JPY/USD/EUR) </w:t>
      </w:r>
    </w:p>
    <w:p w14:paraId="2DFA2326" w14:textId="77777777" w:rsidR="0078330B" w:rsidRPr="0078330B" w:rsidRDefault="0078330B" w:rsidP="0078330B">
      <w:pPr>
        <w:numPr>
          <w:ilvl w:val="0"/>
          <w:numId w:val="62"/>
        </w:numPr>
      </w:pPr>
      <w:r w:rsidRPr="0078330B">
        <w:t xml:space="preserve">Changing customer preferences toward EVs </w:t>
      </w:r>
    </w:p>
    <w:p w14:paraId="70233B99" w14:textId="77777777" w:rsidR="0078330B" w:rsidRPr="0078330B" w:rsidRDefault="0078330B" w:rsidP="0078330B">
      <w:r w:rsidRPr="0078330B">
        <w:t>However, Toyota’s strong brand loyalty reduces demand risk.</w:t>
      </w:r>
    </w:p>
    <w:p w14:paraId="12B251C6" w14:textId="77777777" w:rsidR="0078330B" w:rsidRPr="0078330B" w:rsidRDefault="0078330B" w:rsidP="0078330B">
      <w:r w:rsidRPr="0078330B">
        <w:pict w14:anchorId="6182EBAA">
          <v:rect id="_x0000_i1103" style="width:0;height:1.5pt" o:hralign="center" o:hrstd="t" o:hr="t" fillcolor="#a0a0a0" stroked="f"/>
        </w:pict>
      </w:r>
    </w:p>
    <w:p w14:paraId="5DF7CFB3" w14:textId="77777777" w:rsidR="0078330B" w:rsidRPr="0078330B" w:rsidRDefault="0078330B" w:rsidP="0078330B">
      <w:pPr>
        <w:rPr>
          <w:b/>
          <w:bCs/>
        </w:rPr>
      </w:pPr>
      <w:r w:rsidRPr="0078330B">
        <w:rPr>
          <w:b/>
          <w:bCs/>
        </w:rPr>
        <w:t>11. Capital Rationing Decision (£100 million limit)</w:t>
      </w:r>
    </w:p>
    <w:p w14:paraId="06E7FDC4" w14:textId="77777777" w:rsidR="0078330B" w:rsidRPr="0078330B" w:rsidRDefault="0078330B" w:rsidP="0078330B">
      <w:r w:rsidRPr="0078330B">
        <w:t>We must choose the best combination under £100m.</w:t>
      </w:r>
    </w:p>
    <w:p w14:paraId="0CFF05B9" w14:textId="77777777" w:rsidR="0078330B" w:rsidRPr="0078330B" w:rsidRDefault="0078330B" w:rsidP="0078330B">
      <w:pPr>
        <w:rPr>
          <w:b/>
          <w:bCs/>
        </w:rPr>
      </w:pPr>
      <w:r w:rsidRPr="0078330B">
        <w:rPr>
          <w:b/>
          <w:bCs/>
        </w:rPr>
        <w:t>Option Combinations:</w:t>
      </w:r>
    </w:p>
    <w:p w14:paraId="2E8B428E" w14:textId="77777777" w:rsidR="0078330B" w:rsidRPr="0078330B" w:rsidRDefault="0078330B" w:rsidP="0078330B">
      <w:pPr>
        <w:rPr>
          <w:b/>
          <w:bCs/>
        </w:rPr>
      </w:pPr>
      <w:r w:rsidRPr="0078330B">
        <w:rPr>
          <w:b/>
          <w:bCs/>
        </w:rPr>
        <w:t>Option 1: A + B = £100m</w:t>
      </w:r>
    </w:p>
    <w:p w14:paraId="2F850BD7" w14:textId="77777777" w:rsidR="0078330B" w:rsidRPr="0078330B" w:rsidRDefault="0078330B" w:rsidP="0078330B">
      <w:pPr>
        <w:numPr>
          <w:ilvl w:val="0"/>
          <w:numId w:val="63"/>
        </w:numPr>
      </w:pPr>
      <w:r w:rsidRPr="0078330B">
        <w:t xml:space="preserve">NPV = -8.69 - 8.31 = </w:t>
      </w:r>
      <w:r w:rsidRPr="0078330B">
        <w:rPr>
          <w:b/>
          <w:bCs/>
        </w:rPr>
        <w:t>-17.0m</w:t>
      </w:r>
      <w:r w:rsidRPr="0078330B">
        <w:t xml:space="preserve"> </w:t>
      </w:r>
    </w:p>
    <w:p w14:paraId="1E24112C" w14:textId="77777777" w:rsidR="0078330B" w:rsidRPr="0078330B" w:rsidRDefault="0078330B" w:rsidP="0078330B">
      <w:pPr>
        <w:rPr>
          <w:b/>
          <w:bCs/>
        </w:rPr>
      </w:pPr>
      <w:r w:rsidRPr="0078330B">
        <w:rPr>
          <w:b/>
          <w:bCs/>
        </w:rPr>
        <w:t>Option 2: B + C = £100m</w:t>
      </w:r>
    </w:p>
    <w:p w14:paraId="68B38532" w14:textId="77777777" w:rsidR="0078330B" w:rsidRPr="0078330B" w:rsidRDefault="0078330B" w:rsidP="0078330B">
      <w:pPr>
        <w:numPr>
          <w:ilvl w:val="0"/>
          <w:numId w:val="64"/>
        </w:numPr>
      </w:pPr>
      <w:r w:rsidRPr="0078330B">
        <w:t xml:space="preserve">NPV = -8.31 - 2.00 = </w:t>
      </w:r>
      <w:r w:rsidRPr="0078330B">
        <w:rPr>
          <w:b/>
          <w:bCs/>
        </w:rPr>
        <w:t>-10.31m</w:t>
      </w:r>
      <w:r w:rsidRPr="0078330B">
        <w:t xml:space="preserve"> </w:t>
      </w:r>
    </w:p>
    <w:p w14:paraId="4A09C28E" w14:textId="77777777" w:rsidR="0078330B" w:rsidRPr="0078330B" w:rsidRDefault="0078330B" w:rsidP="0078330B">
      <w:pPr>
        <w:rPr>
          <w:b/>
          <w:bCs/>
        </w:rPr>
      </w:pPr>
      <w:r w:rsidRPr="0078330B">
        <w:rPr>
          <w:b/>
          <w:bCs/>
        </w:rPr>
        <w:t>Option 3: A + C = £100m</w:t>
      </w:r>
    </w:p>
    <w:p w14:paraId="737990EF" w14:textId="77777777" w:rsidR="0078330B" w:rsidRDefault="0078330B" w:rsidP="0078330B">
      <w:pPr>
        <w:numPr>
          <w:ilvl w:val="0"/>
          <w:numId w:val="65"/>
        </w:numPr>
      </w:pPr>
      <w:r w:rsidRPr="0078330B">
        <w:t xml:space="preserve">NPV = -8.69 - 2.00 = </w:t>
      </w:r>
      <w:r w:rsidRPr="0078330B">
        <w:rPr>
          <w:b/>
          <w:bCs/>
        </w:rPr>
        <w:t>-10.69m</w:t>
      </w:r>
      <w:r w:rsidRPr="0078330B">
        <w:t xml:space="preserve"> </w:t>
      </w:r>
    </w:p>
    <w:p w14:paraId="1B2BBE29" w14:textId="77777777" w:rsidR="007E5DA1" w:rsidRPr="0078330B" w:rsidRDefault="007E5DA1" w:rsidP="007E5DA1">
      <w:pPr>
        <w:ind w:left="360"/>
      </w:pPr>
    </w:p>
    <w:p w14:paraId="1E416832" w14:textId="204E2C6D" w:rsidR="0078330B" w:rsidRPr="007E5DA1" w:rsidRDefault="007E5DA1" w:rsidP="0078330B">
      <w:r w:rsidRPr="0078330B">
        <w:rPr>
          <w:b/>
          <w:bCs/>
        </w:rPr>
        <w:t>Best:</w:t>
      </w:r>
      <w:r w:rsidR="0078330B" w:rsidRPr="0078330B">
        <w:t xml:space="preserve"> </w:t>
      </w:r>
      <w:r w:rsidR="0078330B" w:rsidRPr="0078330B">
        <w:rPr>
          <w:b/>
          <w:bCs/>
        </w:rPr>
        <w:t xml:space="preserve">Project C </w:t>
      </w:r>
    </w:p>
    <w:p w14:paraId="1D39B9E5" w14:textId="77777777" w:rsidR="0078330B" w:rsidRPr="0078330B" w:rsidRDefault="0078330B" w:rsidP="0078330B">
      <w:r w:rsidRPr="0078330B">
        <w:lastRenderedPageBreak/>
        <w:t>From a capital budgeting perspective, Project C delivers the strongest financial performance across all major appraisal techniques, despite moderate risk and uneven cash flows. When capital is limited, combining Project B and Project C provides the most balanced portfolio in terms of risk, return stability, and cash flow distribution.</w:t>
      </w:r>
    </w:p>
    <w:p w14:paraId="4A9D4C06" w14:textId="77777777" w:rsidR="0078330B" w:rsidRPr="0078330B" w:rsidRDefault="0078330B" w:rsidP="0078330B">
      <w:r w:rsidRPr="0078330B">
        <w:t>For Toyota Motor Corporation, which already demonstrates strong liquidity and profitability, this combination aligns well with its strategic goal of balancing stable earnings with high-growth investments in future mobility and technology-driven markets.</w:t>
      </w:r>
    </w:p>
    <w:p w14:paraId="4BE53D89" w14:textId="77777777" w:rsidR="00661F9B" w:rsidRDefault="00661F9B" w:rsidP="007E5DA1"/>
    <w:p w14:paraId="69D77C01" w14:textId="77777777" w:rsidR="00EC2590" w:rsidRDefault="00EC2590" w:rsidP="007E5DA1"/>
    <w:p w14:paraId="1749B65A" w14:textId="77777777" w:rsidR="00EC2590" w:rsidRDefault="00EC2590" w:rsidP="007E5DA1"/>
    <w:p w14:paraId="54E3806E" w14:textId="77777777" w:rsidR="00EC2590" w:rsidRDefault="00EC2590" w:rsidP="007E5DA1"/>
    <w:p w14:paraId="6F34583E" w14:textId="77777777" w:rsidR="00EC2590" w:rsidRDefault="00EC2590" w:rsidP="007E5DA1"/>
    <w:p w14:paraId="5E010EBC" w14:textId="77777777" w:rsidR="00EC2590" w:rsidRDefault="00EC2590" w:rsidP="007E5DA1"/>
    <w:p w14:paraId="176363C3" w14:textId="77777777" w:rsidR="00EC2590" w:rsidRDefault="00EC2590" w:rsidP="007E5DA1"/>
    <w:p w14:paraId="4D1F44BA" w14:textId="77777777" w:rsidR="00EC2590" w:rsidRDefault="00EC2590" w:rsidP="007E5DA1"/>
    <w:p w14:paraId="6257CFBD" w14:textId="77777777" w:rsidR="00EC2590" w:rsidRDefault="00EC2590" w:rsidP="007E5DA1"/>
    <w:p w14:paraId="13AEC8AA" w14:textId="77777777" w:rsidR="00EC2590" w:rsidRDefault="00EC2590" w:rsidP="007E5DA1"/>
    <w:p w14:paraId="585452AB" w14:textId="77777777" w:rsidR="00EC2590" w:rsidRDefault="00EC2590" w:rsidP="007E5DA1"/>
    <w:p w14:paraId="75CEF252" w14:textId="77777777" w:rsidR="00EC2590" w:rsidRDefault="00EC2590" w:rsidP="007E5DA1"/>
    <w:p w14:paraId="0B7AFC4C" w14:textId="77777777" w:rsidR="00EC2590" w:rsidRDefault="00EC2590" w:rsidP="007E5DA1"/>
    <w:p w14:paraId="5835876A" w14:textId="77777777" w:rsidR="00EC2590" w:rsidRDefault="00EC2590" w:rsidP="007E5DA1"/>
    <w:p w14:paraId="3B632DA1" w14:textId="77777777" w:rsidR="00EC2590" w:rsidRDefault="00EC2590" w:rsidP="007E5DA1"/>
    <w:p w14:paraId="606832F0" w14:textId="77777777" w:rsidR="00EC2590" w:rsidRDefault="00EC2590" w:rsidP="007E5DA1"/>
    <w:p w14:paraId="2821665D" w14:textId="77777777" w:rsidR="00EC2590" w:rsidRDefault="00EC2590" w:rsidP="007E5DA1"/>
    <w:p w14:paraId="2E2F357C" w14:textId="77777777" w:rsidR="00EC2590" w:rsidRDefault="00EC2590" w:rsidP="007E5DA1"/>
    <w:p w14:paraId="46C95887" w14:textId="77777777" w:rsidR="00EC2590" w:rsidRDefault="00EC2590" w:rsidP="007E5DA1"/>
    <w:p w14:paraId="3FE8BAE8" w14:textId="77777777" w:rsidR="00EC2590" w:rsidRDefault="00EC2590" w:rsidP="007E5DA1"/>
    <w:p w14:paraId="4F51644A" w14:textId="77777777" w:rsidR="00EC2590" w:rsidRDefault="00EC2590" w:rsidP="007E5DA1"/>
    <w:p w14:paraId="461A2D07" w14:textId="77777777" w:rsidR="00661F9B" w:rsidRDefault="00661F9B" w:rsidP="007E5DA1"/>
    <w:p w14:paraId="29C89659" w14:textId="3476A163" w:rsidR="00661F9B" w:rsidRPr="00661F9B" w:rsidRDefault="00661F9B" w:rsidP="007E5DA1">
      <w:pPr>
        <w:rPr>
          <w:b/>
          <w:bCs/>
        </w:rPr>
      </w:pPr>
      <w:r w:rsidRPr="00661F9B">
        <w:rPr>
          <w:b/>
          <w:bCs/>
        </w:rPr>
        <w:lastRenderedPageBreak/>
        <w:t xml:space="preserve">Conclusion: </w:t>
      </w:r>
    </w:p>
    <w:p w14:paraId="45186F80" w14:textId="77777777" w:rsidR="00EC2590" w:rsidRDefault="00EC2590" w:rsidP="00EC2590">
      <w:r>
        <w:t>During the five-year span (FY2021–FY2025), Toyota Motor Corporation exhibits robust, resilient, and progressively enhancing financial performance, bolstered by a rebound following FY2023 and accelerated growth in FY2024–FY2025. The examination of profitability, liquidity, efficiency, cash flow, gearing, investment results, and capital budgeting offers a thorough perspective of a business that stays financially secure while adjusting to significant industry shifts.</w:t>
      </w:r>
    </w:p>
    <w:p w14:paraId="557A653B" w14:textId="77777777" w:rsidR="00EC2590" w:rsidRDefault="00EC2590" w:rsidP="00EC2590"/>
    <w:p w14:paraId="7D8D18BF" w14:textId="6DBEAE64" w:rsidR="00EC2590" w:rsidRDefault="00EC2590" w:rsidP="00EC2590">
      <w:r>
        <w:t>From a profitability standpoint, Toyota displays a distinct upward trend in both operating and net margins following a brief decrease in FY2023. This decline is influenced by external factors like global supply chain issues and rising costs, but the robust rebound in FY2024 and FY2025 underscores Toyota’s capability to manage expenses, enhance operational efficiency, and sustain pricing power. Earnings per share rose markedly, reflecting enhanced value creation for shareholders.</w:t>
      </w:r>
    </w:p>
    <w:p w14:paraId="4D47EE6F" w14:textId="2DE2B822" w:rsidR="00EC2590" w:rsidRDefault="00EC2590" w:rsidP="00EC2590">
      <w:r>
        <w:t xml:space="preserve">Regarding liquidity and cash flow robustness, Toyota continually upholds a solid stance. Operating cash flow continues to exceed net income during the period, indicating strong earnings quality and effective cash production. This guarantees that the company can easily </w:t>
      </w:r>
      <w:proofErr w:type="spellStart"/>
      <w:r>
        <w:t>fulfill</w:t>
      </w:r>
      <w:proofErr w:type="spellEnd"/>
      <w:r>
        <w:t xml:space="preserve"> short-term responsibilities, reinvest in its operations, and maintain dividend payments without experiencing liquidity pressure.</w:t>
      </w:r>
    </w:p>
    <w:p w14:paraId="2304616A" w14:textId="5B92E832" w:rsidR="00661F9B" w:rsidRDefault="00EC2590" w:rsidP="00EC2590">
      <w:r>
        <w:t>The efficiency ratios indicate steady enhancement, especially in asset turnover, implying improved use of Toyota’s extensive asset base. Robust inventory and working capital management—backed by Toyota's lean production method—further strengthen operational discipline and cost efficiency.</w:t>
      </w:r>
    </w:p>
    <w:p w14:paraId="4C3072FB" w14:textId="77777777" w:rsidR="007E5DA1" w:rsidRDefault="007E5DA1" w:rsidP="007E5DA1">
      <w:r>
        <w:t>Regarding financial structure and gearing, Toyota maintains a relatively higher leverage level compared to some industries due to its integrated automotive and financial services operations. However, strong interest coverage and stable cash flows reduce financial risk, ensuring that debt remains manageable and does not threaten long-term stability.</w:t>
      </w:r>
    </w:p>
    <w:p w14:paraId="6ACBA8B2" w14:textId="77777777" w:rsidR="00EC2590" w:rsidRPr="00EC2590" w:rsidRDefault="00EC2590" w:rsidP="00EC2590">
      <w:r w:rsidRPr="00EC2590">
        <w:t>The analysis of the investment ratio shows rising earnings per share and steady investor trust. Despite a slight decrease in dividend payout ratios, this indicates a strategic transition towards retaining profits for reinvestment in upcoming technologies, particularly in electrification and mobility advancements.</w:t>
      </w:r>
      <w:r w:rsidRPr="00EC2590">
        <w:br/>
      </w:r>
    </w:p>
    <w:p w14:paraId="221394A6" w14:textId="77777777" w:rsidR="00EC2590" w:rsidRPr="00EC2590" w:rsidRDefault="00EC2590" w:rsidP="00EC2590">
      <w:r w:rsidRPr="00EC2590">
        <w:t>Cash flow analysis additionally verifies Toyota's robust internal financing ability, bolstering financial autonomy and decreasing dependence on external funding.</w:t>
      </w:r>
      <w:r w:rsidRPr="00EC2590">
        <w:br/>
      </w:r>
    </w:p>
    <w:p w14:paraId="643A7201" w14:textId="77777777" w:rsidR="00EC2590" w:rsidRPr="00EC2590" w:rsidRDefault="00EC2590" w:rsidP="00EC2590">
      <w:r w:rsidRPr="00EC2590">
        <w:lastRenderedPageBreak/>
        <w:t>In the capital budgeting assessment, Project C stands out as the most appealing investment choice according to NPV, IRR, and PI, whereas capital rationing indicates that merging Projects B and C offers the optimal risk-return profile. This is in line with Toyota's overall financial robustness and capacity to handle diverse-risk investments.</w:t>
      </w:r>
      <w:r w:rsidRPr="00EC2590">
        <w:br/>
      </w:r>
    </w:p>
    <w:p w14:paraId="31347811" w14:textId="77777777" w:rsidR="00EC2590" w:rsidRPr="00EC2590" w:rsidRDefault="00EC2590" w:rsidP="00EC2590">
      <w:r w:rsidRPr="00EC2590">
        <w:t>Tactical and Non-Monetary Viewpoint</w:t>
      </w:r>
      <w:r w:rsidRPr="00EC2590">
        <w:br/>
      </w:r>
    </w:p>
    <w:p w14:paraId="44EEE6A3" w14:textId="77777777" w:rsidR="00EC2590" w:rsidRPr="00EC2590" w:rsidRDefault="00EC2590" w:rsidP="00EC2590">
      <w:r w:rsidRPr="00EC2590">
        <w:t>Toyota functions in a fast-changing and intensely competitive worldwide automotive sector. Issues like the shift to electric vehicles, technological upheaval, geopolitical uncertainties, and currency volatility continue to be substantial. Nevertheless, Toyota's robust brand loyalty, international diversification, and pioneering position in hybrid technology offer a significant competitive edge. Moreover, its ongoing emphasis on sustainability and innovation enhances long-term resilience.</w:t>
      </w:r>
      <w:r w:rsidRPr="00EC2590">
        <w:br/>
      </w:r>
    </w:p>
    <w:p w14:paraId="1C12D97A" w14:textId="77777777" w:rsidR="00EC2590" w:rsidRPr="00EC2590" w:rsidRDefault="00EC2590" w:rsidP="00EC2590">
      <w:r w:rsidRPr="00EC2590">
        <w:t>Despite short-term fluctuations in FY2023 and persistent industry disruptions, Toyota continues to be a financially strong and strategically flexible global leader. Its performance over five years shows not just stability but also a solid stance for future expansion, especially in electric mobility and sustainable automotive innovations.</w:t>
      </w:r>
      <w:r w:rsidRPr="00EC2590">
        <w:br/>
      </w:r>
    </w:p>
    <w:p w14:paraId="1A2DE421" w14:textId="77777777" w:rsidR="00EC2590" w:rsidRPr="00EC2590" w:rsidRDefault="00EC2590" w:rsidP="00EC2590">
      <w:r w:rsidRPr="00EC2590">
        <w:t>In general, Toyota’s financial condition during the five-year span can be characterized as steady, robust, and progressively improving, indicating significant potential for sustained long-term value generation.</w:t>
      </w:r>
    </w:p>
    <w:p w14:paraId="21036399" w14:textId="77777777" w:rsidR="007E24C9" w:rsidRDefault="007E24C9" w:rsidP="007E5DA1"/>
    <w:p w14:paraId="13108EA1" w14:textId="77777777" w:rsidR="003F5A27" w:rsidRPr="003F5A27" w:rsidRDefault="003F5A27" w:rsidP="007E5DA1">
      <w:pPr>
        <w:rPr>
          <w:b/>
          <w:bCs/>
        </w:rPr>
      </w:pPr>
      <w:r w:rsidRPr="003F5A27">
        <w:rPr>
          <w:b/>
          <w:bCs/>
        </w:rPr>
        <w:t xml:space="preserve">Acknowledgement: </w:t>
      </w:r>
    </w:p>
    <w:p w14:paraId="159C8DA9" w14:textId="77777777" w:rsidR="003F5A27" w:rsidRDefault="003F5A27" w:rsidP="007E5DA1"/>
    <w:p w14:paraId="69A870D3" w14:textId="77777777" w:rsidR="003F5A27" w:rsidRDefault="003F5A27" w:rsidP="007E5DA1">
      <w:r w:rsidRPr="003F5A27">
        <w:t xml:space="preserve">I acknowledge the use of ChatGPT (https://chatgpt.com/) on </w:t>
      </w:r>
      <w:r>
        <w:t>24th</w:t>
      </w:r>
      <w:r w:rsidRPr="003F5A27">
        <w:t xml:space="preserve"> April 202</w:t>
      </w:r>
      <w:r>
        <w:t>6</w:t>
      </w:r>
      <w:r w:rsidRPr="003F5A27">
        <w:t xml:space="preserve"> to write my notes into submission format using the </w:t>
      </w:r>
    </w:p>
    <w:p w14:paraId="2C76128B" w14:textId="77777777" w:rsidR="003F5A27" w:rsidRDefault="003F5A27" w:rsidP="007E5DA1">
      <w:r w:rsidRPr="003F5A27">
        <w:t xml:space="preserve">prompt(s): </w:t>
      </w:r>
    </w:p>
    <w:p w14:paraId="74D07264" w14:textId="1D12F5A2" w:rsidR="003F5A27" w:rsidRDefault="003F5A27" w:rsidP="007E5DA1">
      <w:r w:rsidRPr="003F5A27">
        <w:t xml:space="preserve">1. </w:t>
      </w:r>
      <w:r>
        <w:t xml:space="preserve">Please explain me the working capital situation of Toyota Motors from last 5 years situation for my study understanding. </w:t>
      </w:r>
    </w:p>
    <w:p w14:paraId="5A0E1984" w14:textId="0E1BC271" w:rsidR="003F5A27" w:rsidRDefault="003F5A27" w:rsidP="007E5DA1">
      <w:r>
        <w:t xml:space="preserve">2. Please explain the investment decisions of Toyota Motors from last 5 years for my understanding. </w:t>
      </w:r>
    </w:p>
    <w:p w14:paraId="5A6A4182" w14:textId="7DFD2DBC" w:rsidR="003F5A27" w:rsidRDefault="003F5A27" w:rsidP="007E5DA1">
      <w:r w:rsidRPr="003F5A27">
        <w:lastRenderedPageBreak/>
        <w:t xml:space="preserve"> I confirm that I have not presented any AI generated text as my own work. I confirm I have copies of my drafts, notes, and other resources I used before, and after the use of AI tools which I may be asked to provide in evidence.</w:t>
      </w:r>
    </w:p>
    <w:p w14:paraId="05DC98F7" w14:textId="77777777" w:rsidR="007E24C9" w:rsidRDefault="007E24C9" w:rsidP="007E5DA1"/>
    <w:p w14:paraId="1D4430A7" w14:textId="77777777" w:rsidR="007E24C9" w:rsidRDefault="007E24C9" w:rsidP="007E5DA1"/>
    <w:p w14:paraId="7C5B462D" w14:textId="77777777" w:rsidR="00EC2590" w:rsidRDefault="00EC2590" w:rsidP="007E5DA1"/>
    <w:p w14:paraId="5FEF41C2" w14:textId="77777777" w:rsidR="007E24C9" w:rsidRDefault="007E24C9" w:rsidP="007E5DA1"/>
    <w:p w14:paraId="29FB9A07" w14:textId="127ECA2F" w:rsidR="007E24C9" w:rsidRPr="007E24C9" w:rsidRDefault="007E24C9" w:rsidP="007E5DA1">
      <w:pPr>
        <w:rPr>
          <w:b/>
          <w:bCs/>
        </w:rPr>
      </w:pPr>
      <w:r w:rsidRPr="007E24C9">
        <w:rPr>
          <w:b/>
          <w:bCs/>
        </w:rPr>
        <w:t xml:space="preserve">References: </w:t>
      </w:r>
    </w:p>
    <w:p w14:paraId="3B2F9C22" w14:textId="77777777" w:rsidR="007E24C9" w:rsidRDefault="007E24C9" w:rsidP="007E5DA1"/>
    <w:p w14:paraId="0EBEF1EB" w14:textId="74FA41BF" w:rsidR="007E24C9" w:rsidRDefault="007E24C9" w:rsidP="007E24C9">
      <w:r>
        <w:t>1.</w:t>
      </w:r>
      <w:r>
        <w:t>Toyota Motor Corporation (2025) Annual Report 2025. Toyota Motor Corporation. Available at: https://global.toyota</w:t>
      </w:r>
    </w:p>
    <w:p w14:paraId="4E53900C" w14:textId="77777777" w:rsidR="007E24C9" w:rsidRDefault="007E24C9" w:rsidP="007E24C9">
      <w:r>
        <w:t xml:space="preserve"> (Accessed: 24 April 2026).</w:t>
      </w:r>
    </w:p>
    <w:p w14:paraId="76CA07BB" w14:textId="407E7CCB" w:rsidR="007E24C9" w:rsidRDefault="007E24C9" w:rsidP="007E24C9">
      <w:r>
        <w:t>2.</w:t>
      </w:r>
      <w:r>
        <w:t>Toyota Motor Corporation (2024) Integrated Report 2024. Toyota Motor Corporation. Available at: https://global.toyota</w:t>
      </w:r>
    </w:p>
    <w:p w14:paraId="3F9775F0" w14:textId="77777777" w:rsidR="007E24C9" w:rsidRDefault="007E24C9" w:rsidP="007E24C9">
      <w:r>
        <w:t xml:space="preserve"> (Accessed: 24 April 2026).</w:t>
      </w:r>
    </w:p>
    <w:p w14:paraId="30944C55" w14:textId="6D092F47" w:rsidR="007E24C9" w:rsidRDefault="007E24C9" w:rsidP="007E24C9">
      <w:r>
        <w:t>3.</w:t>
      </w:r>
      <w:r>
        <w:t>Toyota Motor Corporation (2023) Annual Report 2023. Toyota Motor Corporation. Available at: https://global.toyota</w:t>
      </w:r>
    </w:p>
    <w:p w14:paraId="4441320B" w14:textId="77777777" w:rsidR="007E24C9" w:rsidRDefault="007E24C9" w:rsidP="007E24C9">
      <w:r>
        <w:t xml:space="preserve"> (Accessed: 24 April 2026).</w:t>
      </w:r>
    </w:p>
    <w:p w14:paraId="1429AFAF" w14:textId="66327101" w:rsidR="007E24C9" w:rsidRDefault="007E24C9" w:rsidP="007E24C9">
      <w:r>
        <w:t>4.</w:t>
      </w:r>
      <w:r>
        <w:t>Toyota Motor Corporation (2022) Annual Report 2022. Toyota Motor Corporation. Available at: https://global.toyota</w:t>
      </w:r>
    </w:p>
    <w:p w14:paraId="1E457E54" w14:textId="77777777" w:rsidR="007E24C9" w:rsidRDefault="007E24C9" w:rsidP="007E24C9">
      <w:r>
        <w:t xml:space="preserve"> (Accessed: 24 April 2026).</w:t>
      </w:r>
    </w:p>
    <w:p w14:paraId="6B0C275E" w14:textId="2AD1C7A7" w:rsidR="007E24C9" w:rsidRDefault="007E24C9" w:rsidP="007E24C9">
      <w:r>
        <w:t>5.</w:t>
      </w:r>
      <w:r>
        <w:t>Toyota Motor Corporation (2021) Annual Report 2021. Toyota Motor Corporation. Available at: https://global.toyota</w:t>
      </w:r>
    </w:p>
    <w:p w14:paraId="4C4F2C98" w14:textId="77777777" w:rsidR="007E24C9" w:rsidRDefault="007E24C9" w:rsidP="007E24C9">
      <w:r>
        <w:t xml:space="preserve"> (Accessed: 24 April 2026).</w:t>
      </w:r>
    </w:p>
    <w:p w14:paraId="146EAF58" w14:textId="0DEB559A" w:rsidR="007E24C9" w:rsidRDefault="007E24C9" w:rsidP="007E24C9">
      <w:r>
        <w:t>6.</w:t>
      </w:r>
      <w:r>
        <w:t xml:space="preserve">Damodaran, A. (2012) Investment Valuation: Tools and Techniques for Determining the Value of Any Asset. 3rd </w:t>
      </w:r>
      <w:proofErr w:type="spellStart"/>
      <w:r>
        <w:t>edn</w:t>
      </w:r>
      <w:proofErr w:type="spellEnd"/>
      <w:r>
        <w:t>. New York: Wiley.</w:t>
      </w:r>
    </w:p>
    <w:p w14:paraId="75497A90" w14:textId="5D6F25EE" w:rsidR="007E24C9" w:rsidRDefault="007E24C9" w:rsidP="007E24C9">
      <w:r>
        <w:t>7.</w:t>
      </w:r>
      <w:r>
        <w:t xml:space="preserve">Brealey, R., Myers, S. and Allen, F. (2020) Principles of Corporate Finance. 13th </w:t>
      </w:r>
      <w:proofErr w:type="spellStart"/>
      <w:r>
        <w:t>edn</w:t>
      </w:r>
      <w:proofErr w:type="spellEnd"/>
      <w:r>
        <w:t>. New York: McGraw-Hill Education.</w:t>
      </w:r>
    </w:p>
    <w:p w14:paraId="1EEFDDFA" w14:textId="769233D6" w:rsidR="007E24C9" w:rsidRDefault="007E24C9" w:rsidP="007E24C9">
      <w:r>
        <w:t>8.</w:t>
      </w:r>
      <w:r>
        <w:t xml:space="preserve">Brigham, E. and Ehrhardt, M. (2019) Financial Management: Theory and Practice. 15th </w:t>
      </w:r>
      <w:proofErr w:type="spellStart"/>
      <w:r>
        <w:t>edn</w:t>
      </w:r>
      <w:proofErr w:type="spellEnd"/>
      <w:r>
        <w:t>. Boston: Cengage Learning.</w:t>
      </w:r>
    </w:p>
    <w:p w14:paraId="73237671" w14:textId="3C8ADB7F" w:rsidR="007E24C9" w:rsidRDefault="007E24C9" w:rsidP="007E24C9">
      <w:r>
        <w:lastRenderedPageBreak/>
        <w:t>9.</w:t>
      </w:r>
      <w:r>
        <w:t xml:space="preserve">Atrill, P. and McLaney, E. (2019) Accounting and Finance for Non-Specialists. 11th </w:t>
      </w:r>
      <w:proofErr w:type="spellStart"/>
      <w:r>
        <w:t>edn</w:t>
      </w:r>
      <w:proofErr w:type="spellEnd"/>
      <w:r>
        <w:t>. Harlow: Pearson.</w:t>
      </w:r>
    </w:p>
    <w:p w14:paraId="3283B6DA" w14:textId="755AE246" w:rsidR="007E24C9" w:rsidRDefault="007E24C9" w:rsidP="007E24C9">
      <w:r>
        <w:t>10.</w:t>
      </w:r>
      <w:r>
        <w:t xml:space="preserve">Ross, S., Westerfield, R. and Jaffe, J. (2016) Corporate Finance. 11th </w:t>
      </w:r>
      <w:proofErr w:type="spellStart"/>
      <w:r>
        <w:t>edn</w:t>
      </w:r>
      <w:proofErr w:type="spellEnd"/>
      <w:r>
        <w:t>. New York: McGraw-Hill Education.</w:t>
      </w:r>
    </w:p>
    <w:p w14:paraId="020A8EF5" w14:textId="496C7B6D" w:rsidR="007E24C9" w:rsidRDefault="007E24C9" w:rsidP="007E24C9">
      <w:r>
        <w:t>11.</w:t>
      </w:r>
      <w:r>
        <w:t>Investopedia (2025) Financial Ratios Explained. Available at: https://www.investopedia.com</w:t>
      </w:r>
    </w:p>
    <w:p w14:paraId="6A1B0499" w14:textId="77777777" w:rsidR="007E24C9" w:rsidRDefault="007E24C9" w:rsidP="007E24C9">
      <w:r>
        <w:t xml:space="preserve"> (Accessed: 24 April 2026).</w:t>
      </w:r>
    </w:p>
    <w:p w14:paraId="298C593F" w14:textId="69FF2648" w:rsidR="007E24C9" w:rsidRDefault="007E24C9" w:rsidP="007E24C9">
      <w:r>
        <w:t>12.</w:t>
      </w:r>
      <w:r>
        <w:t>Corporate Finance Institute (CFI) (2024) Financial Ratio Analysis Guide. Available at: https://corporatefinanceinstitute.com</w:t>
      </w:r>
    </w:p>
    <w:p w14:paraId="08489371" w14:textId="77777777" w:rsidR="007E24C9" w:rsidRDefault="007E24C9" w:rsidP="007E24C9">
      <w:r>
        <w:t xml:space="preserve"> (Accessed: 24 April 2026).</w:t>
      </w:r>
    </w:p>
    <w:p w14:paraId="634D0973" w14:textId="5A078578" w:rsidR="007E24C9" w:rsidRDefault="007E24C9" w:rsidP="007E24C9">
      <w:r>
        <w:t>13.</w:t>
      </w:r>
      <w:r>
        <w:t>Morningstar (2025) Toyota Financial Analysis and Ratios. Available at: https://www.morningstar.com</w:t>
      </w:r>
    </w:p>
    <w:p w14:paraId="1D7071D9" w14:textId="77777777" w:rsidR="007E24C9" w:rsidRDefault="007E24C9" w:rsidP="007E24C9">
      <w:r>
        <w:t xml:space="preserve"> (Accessed: 24 April 2026).</w:t>
      </w:r>
    </w:p>
    <w:p w14:paraId="7DCC48FA" w14:textId="64F67D5E" w:rsidR="007E24C9" w:rsidRDefault="007E24C9" w:rsidP="007E24C9">
      <w:r>
        <w:t>14.</w:t>
      </w:r>
      <w:r>
        <w:t>Yahoo Finance (2025) Toyota Motor Corporation Financial Statements. Available at: https://finance.yahoo.com</w:t>
      </w:r>
    </w:p>
    <w:p w14:paraId="21189309" w14:textId="77777777" w:rsidR="007E24C9" w:rsidRDefault="007E24C9" w:rsidP="007E24C9">
      <w:r>
        <w:t xml:space="preserve"> (Accessed: 24 April 2026).</w:t>
      </w:r>
    </w:p>
    <w:p w14:paraId="46CD8F9E" w14:textId="102F18F1" w:rsidR="007E24C9" w:rsidRDefault="007E24C9" w:rsidP="007E24C9">
      <w:r>
        <w:t>15.</w:t>
      </w:r>
      <w:r>
        <w:t>World Bank (2024) Global Automotive Industry Outlook. Available at: https://www.worldbank.org</w:t>
      </w:r>
    </w:p>
    <w:p w14:paraId="1DED05A5" w14:textId="570B87F3" w:rsidR="007E24C9" w:rsidRDefault="007E24C9" w:rsidP="007E24C9">
      <w:r>
        <w:t xml:space="preserve"> (Accessed: 24 April 2026).</w:t>
      </w:r>
    </w:p>
    <w:p w14:paraId="09A85BBD" w14:textId="77777777" w:rsidR="00B57227" w:rsidRDefault="00B57227" w:rsidP="007E24C9"/>
    <w:p w14:paraId="0B49673C" w14:textId="77777777" w:rsidR="00B57227" w:rsidRDefault="00B57227" w:rsidP="007E24C9"/>
    <w:p w14:paraId="1CCEFD7C" w14:textId="77777777" w:rsidR="00EC2590" w:rsidRDefault="00EC2590" w:rsidP="007E24C9"/>
    <w:p w14:paraId="4CE60E91" w14:textId="77777777" w:rsidR="00EC2590" w:rsidRDefault="00EC2590" w:rsidP="007E24C9"/>
    <w:p w14:paraId="43B37AB8" w14:textId="77777777" w:rsidR="00EC2590" w:rsidRDefault="00EC2590" w:rsidP="007E24C9"/>
    <w:p w14:paraId="2936E199" w14:textId="77777777" w:rsidR="00EC2590" w:rsidRDefault="00EC2590" w:rsidP="007E24C9"/>
    <w:p w14:paraId="05CB958F" w14:textId="77777777" w:rsidR="00EC2590" w:rsidRDefault="00EC2590" w:rsidP="007E24C9"/>
    <w:p w14:paraId="0987A0B3" w14:textId="77777777" w:rsidR="00EC2590" w:rsidRDefault="00EC2590" w:rsidP="007E24C9"/>
    <w:p w14:paraId="53866E54" w14:textId="77777777" w:rsidR="00EC2590" w:rsidRDefault="00EC2590" w:rsidP="007E24C9"/>
    <w:p w14:paraId="1EC34DDB" w14:textId="77777777" w:rsidR="00EC2590" w:rsidRDefault="00EC2590" w:rsidP="007E24C9"/>
    <w:p w14:paraId="07D361F1" w14:textId="77777777" w:rsidR="00EC2590" w:rsidRDefault="00EC2590" w:rsidP="007E24C9"/>
    <w:p w14:paraId="506C114C" w14:textId="77777777" w:rsidR="00EC2590" w:rsidRDefault="00EC2590" w:rsidP="007E24C9"/>
    <w:p w14:paraId="2849907C" w14:textId="77777777" w:rsidR="00EC2590" w:rsidRDefault="00EC2590" w:rsidP="007E24C9"/>
    <w:p w14:paraId="001FA63A" w14:textId="77777777" w:rsidR="00EC2590" w:rsidRDefault="00EC2590" w:rsidP="007E24C9"/>
    <w:p w14:paraId="7142DE37" w14:textId="77777777" w:rsidR="00EC2590" w:rsidRDefault="00EC2590" w:rsidP="007E24C9"/>
    <w:p w14:paraId="075CE5B4" w14:textId="77777777" w:rsidR="00EC2590" w:rsidRDefault="00EC2590" w:rsidP="007E24C9"/>
    <w:p w14:paraId="13BBC3DA" w14:textId="77777777" w:rsidR="00EC2590" w:rsidRDefault="00EC2590" w:rsidP="007E24C9"/>
    <w:p w14:paraId="4F8609D7" w14:textId="77777777" w:rsidR="00EC2590" w:rsidRDefault="00EC2590" w:rsidP="007E24C9"/>
    <w:p w14:paraId="46153DCD" w14:textId="77777777" w:rsidR="00EC2590" w:rsidRDefault="00EC2590" w:rsidP="007E24C9"/>
    <w:p w14:paraId="2C093E4F" w14:textId="77777777" w:rsidR="00EC2590" w:rsidRDefault="00EC2590" w:rsidP="007E24C9"/>
    <w:p w14:paraId="0F7E6B87" w14:textId="31C4AEE8" w:rsidR="00B57227" w:rsidRPr="00B57227" w:rsidRDefault="00B57227" w:rsidP="007E24C9">
      <w:pPr>
        <w:rPr>
          <w:b/>
          <w:bCs/>
          <w:sz w:val="28"/>
          <w:szCs w:val="28"/>
        </w:rPr>
      </w:pPr>
      <w:r w:rsidRPr="00B57227">
        <w:rPr>
          <w:b/>
          <w:bCs/>
          <w:sz w:val="28"/>
          <w:szCs w:val="28"/>
        </w:rPr>
        <w:t>Appendices</w:t>
      </w:r>
    </w:p>
    <w:p w14:paraId="5732BAC1" w14:textId="162F7217" w:rsidR="00B57227" w:rsidRPr="00B57227" w:rsidRDefault="00B57227" w:rsidP="007E24C9">
      <w:pPr>
        <w:rPr>
          <w:b/>
          <w:bCs/>
        </w:rPr>
      </w:pPr>
      <w:r w:rsidRPr="00B57227">
        <w:rPr>
          <w:b/>
          <w:bCs/>
        </w:rPr>
        <w:t>Appendix A: Financial Ratio Formulas</w:t>
      </w:r>
      <w:r w:rsidRPr="00B57227">
        <w:rPr>
          <w:b/>
          <w:bCs/>
        </w:rPr>
        <w:t xml:space="preserve"> used</w:t>
      </w:r>
    </w:p>
    <w:p w14:paraId="725A2B17" w14:textId="77777777" w:rsidR="00B57227" w:rsidRDefault="00B57227" w:rsidP="00B57227">
      <w:r>
        <w:t>Operating Profit Margin = Operating Profit ÷ Revenue × 100</w:t>
      </w:r>
    </w:p>
    <w:p w14:paraId="0833FBFB" w14:textId="77777777" w:rsidR="00B57227" w:rsidRDefault="00B57227" w:rsidP="00B57227">
      <w:r>
        <w:t>Net Profit Margin = Net Profit ÷ Revenue × 100</w:t>
      </w:r>
    </w:p>
    <w:p w14:paraId="4D5691F1" w14:textId="77777777" w:rsidR="00B57227" w:rsidRDefault="00B57227" w:rsidP="00B57227">
      <w:r>
        <w:t>Return on Assets (ROA) = Net Income ÷ Total Assets × 100</w:t>
      </w:r>
    </w:p>
    <w:p w14:paraId="57EC994A" w14:textId="0D29A884" w:rsidR="00B57227" w:rsidRDefault="00B57227" w:rsidP="00B57227">
      <w:r>
        <w:t>Operating Cash Flow Margin = Operating Cash Flow ÷ Revenue × 100</w:t>
      </w:r>
    </w:p>
    <w:p w14:paraId="0D75C918" w14:textId="77777777" w:rsidR="00B57227" w:rsidRDefault="00B57227" w:rsidP="00B57227">
      <w:r>
        <w:t>Current Ratio = Current Assets ÷ Current Liabilities</w:t>
      </w:r>
    </w:p>
    <w:p w14:paraId="7AB04BCC" w14:textId="77777777" w:rsidR="00B57227" w:rsidRDefault="00B57227" w:rsidP="00B57227">
      <w:r>
        <w:t>Quick Ratio = (Current Assets − Inventory) ÷ Current Liabilities</w:t>
      </w:r>
    </w:p>
    <w:p w14:paraId="0098AFD7" w14:textId="5858C625" w:rsidR="00B57227" w:rsidRDefault="00B57227" w:rsidP="00B57227">
      <w:r>
        <w:t>Cash Ratio = Cash and Cash Equivalents ÷ Current Liabilities</w:t>
      </w:r>
    </w:p>
    <w:p w14:paraId="0D1554ED" w14:textId="77777777" w:rsidR="00B57227" w:rsidRDefault="00B57227" w:rsidP="00B57227">
      <w:r>
        <w:t>Asset Turnover = Revenue ÷ Total Assets</w:t>
      </w:r>
    </w:p>
    <w:p w14:paraId="0667BFEC" w14:textId="77777777" w:rsidR="00B57227" w:rsidRDefault="00B57227" w:rsidP="00B57227">
      <w:r>
        <w:t>Inventory Turnover = Cost of Goods Sold ÷ Inventory</w:t>
      </w:r>
    </w:p>
    <w:p w14:paraId="51D312B8" w14:textId="553A8093" w:rsidR="00B57227" w:rsidRDefault="00B57227" w:rsidP="00B57227">
      <w:r>
        <w:t>Receivables Turnover = Revenue ÷ Accounts Receivable</w:t>
      </w:r>
    </w:p>
    <w:p w14:paraId="2C551E6E" w14:textId="77777777" w:rsidR="00B57227" w:rsidRDefault="00B57227" w:rsidP="00B57227">
      <w:r>
        <w:t>Debt-to-Equity Ratio = Total Debt ÷ Shareholders’ Equity</w:t>
      </w:r>
    </w:p>
    <w:p w14:paraId="587D25FF" w14:textId="77777777" w:rsidR="00B57227" w:rsidRDefault="00B57227" w:rsidP="00B57227">
      <w:r>
        <w:t>Debt Ratio = Total Liabilities ÷ Total Assets</w:t>
      </w:r>
    </w:p>
    <w:p w14:paraId="3E31E93B" w14:textId="54277EC7" w:rsidR="00B57227" w:rsidRDefault="00B57227" w:rsidP="00B57227">
      <w:r>
        <w:t>Interest Coverage Ratio = Operating Profit ÷ Interest Expense</w:t>
      </w:r>
    </w:p>
    <w:p w14:paraId="22E1F5F1" w14:textId="77777777" w:rsidR="00B57227" w:rsidRDefault="00B57227" w:rsidP="00B57227">
      <w:r>
        <w:t>Earnings Per Share (EPS) = Net Profit ÷ Number of Shares</w:t>
      </w:r>
    </w:p>
    <w:p w14:paraId="51A4F637" w14:textId="77777777" w:rsidR="00B57227" w:rsidRDefault="00B57227" w:rsidP="00B57227">
      <w:r>
        <w:t>Dividend Per Share (DPS) = Total Dividends ÷ Number of Shares</w:t>
      </w:r>
    </w:p>
    <w:p w14:paraId="408689C0" w14:textId="77777777" w:rsidR="00B57227" w:rsidRDefault="00B57227" w:rsidP="00B57227">
      <w:r>
        <w:t>Dividend Payout Ratio = Dividends ÷ Net Profit × 100</w:t>
      </w:r>
    </w:p>
    <w:p w14:paraId="045F6890" w14:textId="77777777" w:rsidR="00B57227" w:rsidRDefault="00B57227" w:rsidP="00B57227">
      <w:r>
        <w:t>Price-to-Earnings (P/E) Ratio = Market Price per Share ÷ EPS</w:t>
      </w:r>
    </w:p>
    <w:p w14:paraId="0D8F639A" w14:textId="5B3B1FAC" w:rsidR="00B57227" w:rsidRDefault="00B57227" w:rsidP="00B57227">
      <w:r>
        <w:lastRenderedPageBreak/>
        <w:t>Dividend Yield = Dividend per Share ÷ Market Price per Share × 100</w:t>
      </w:r>
    </w:p>
    <w:p w14:paraId="3C6C72C6" w14:textId="77777777" w:rsidR="00B57227" w:rsidRDefault="00B57227" w:rsidP="00B57227">
      <w:r>
        <w:t>Operating Cash Flow Margin = Operating Cash Flow ÷ Revenue × 100</w:t>
      </w:r>
    </w:p>
    <w:p w14:paraId="277BEC2D" w14:textId="77777777" w:rsidR="00B57227" w:rsidRDefault="00B57227" w:rsidP="00B57227">
      <w:r>
        <w:t>Cash Flow to Net Income = Operating Cash Flow ÷ Net Income</w:t>
      </w:r>
    </w:p>
    <w:p w14:paraId="58203072" w14:textId="77777777" w:rsidR="00B57227" w:rsidRDefault="00B57227" w:rsidP="00B57227">
      <w:r>
        <w:t>Cash Flow to Total Assets = Operating Cash Flow ÷ Total Assets</w:t>
      </w:r>
    </w:p>
    <w:p w14:paraId="1DE1C54C" w14:textId="65EF64CC" w:rsidR="00B57227" w:rsidRDefault="00B57227" w:rsidP="00B57227">
      <w:r>
        <w:t>Cash Flow Coverage Ratio = Operating Cash Flow ÷ Total Liabilities</w:t>
      </w:r>
    </w:p>
    <w:p w14:paraId="4EF2EFD1" w14:textId="77777777" w:rsidR="00B57227" w:rsidRDefault="00B57227" w:rsidP="00B57227"/>
    <w:p w14:paraId="5DDE2B1A" w14:textId="04B18943" w:rsidR="00B57227" w:rsidRDefault="00B57227" w:rsidP="00B57227">
      <w:pPr>
        <w:rPr>
          <w:b/>
          <w:bCs/>
        </w:rPr>
      </w:pPr>
      <w:r w:rsidRPr="00B57227">
        <w:rPr>
          <w:b/>
          <w:bCs/>
        </w:rPr>
        <w:t xml:space="preserve">Appendix B: Investment Appraisal </w:t>
      </w:r>
      <w:r w:rsidR="00C37722">
        <w:rPr>
          <w:b/>
          <w:bCs/>
        </w:rPr>
        <w:t>Calculations</w:t>
      </w:r>
    </w:p>
    <w:p w14:paraId="418422D8" w14:textId="77777777" w:rsidR="00B57227" w:rsidRPr="00B57227" w:rsidRDefault="00B57227" w:rsidP="00B57227">
      <w:pPr>
        <w:rPr>
          <w:b/>
          <w:bCs/>
        </w:rPr>
      </w:pPr>
    </w:p>
    <w:p w14:paraId="61C7E0CC" w14:textId="77777777" w:rsidR="00B57227" w:rsidRDefault="00B57227" w:rsidP="00B57227">
      <w:r>
        <w:t>Payback Period = Time required for cumulative cash inflows to recover initial investment</w:t>
      </w:r>
    </w:p>
    <w:p w14:paraId="4C07DED4" w14:textId="77777777" w:rsidR="00B57227" w:rsidRDefault="00B57227" w:rsidP="00B57227">
      <w:r>
        <w:t>Accounting Rate of Return (ARR) = Average Accounting Profit ÷ Initial Investment × 100</w:t>
      </w:r>
    </w:p>
    <w:p w14:paraId="64FC5A5B" w14:textId="77777777" w:rsidR="00B57227" w:rsidRDefault="00B57227" w:rsidP="00B57227">
      <w:r>
        <w:t xml:space="preserve">Net Present Value (NPV) = Σ (Cash Flow ÷ (1 + </w:t>
      </w:r>
      <w:proofErr w:type="gramStart"/>
      <w:r>
        <w:t>r)^</w:t>
      </w:r>
      <w:proofErr w:type="gramEnd"/>
      <w:r>
        <w:t>t) − Initial Investment</w:t>
      </w:r>
    </w:p>
    <w:p w14:paraId="4023521D" w14:textId="77777777" w:rsidR="00B57227" w:rsidRDefault="00B57227" w:rsidP="00B57227">
      <w:r>
        <w:t>Profitability Index (PI) = Present Value of Cash Inflows ÷ Initial Investment</w:t>
      </w:r>
    </w:p>
    <w:p w14:paraId="26120272" w14:textId="77777777" w:rsidR="00B57227" w:rsidRDefault="00B57227" w:rsidP="00B57227">
      <w:r>
        <w:t>Internal Rate of Return (IRR) = Discount rate where NPV = 0</w:t>
      </w:r>
    </w:p>
    <w:p w14:paraId="1BF49613" w14:textId="77777777" w:rsidR="00B57227" w:rsidRDefault="00B57227" w:rsidP="00B57227"/>
    <w:p w14:paraId="112E1565" w14:textId="77777777" w:rsidR="00B57227" w:rsidRDefault="00B57227" w:rsidP="00B57227">
      <w:r>
        <w:t>Where:</w:t>
      </w:r>
    </w:p>
    <w:p w14:paraId="2FF789E7" w14:textId="77777777" w:rsidR="00B57227" w:rsidRDefault="00B57227" w:rsidP="00B57227">
      <w:r>
        <w:t>r = discount rate (10%)</w:t>
      </w:r>
    </w:p>
    <w:p w14:paraId="33327B12" w14:textId="7130E0C5" w:rsidR="00B57227" w:rsidRPr="008A0D80" w:rsidRDefault="00B57227" w:rsidP="00B57227">
      <w:r>
        <w:t xml:space="preserve">t = </w:t>
      </w:r>
      <w:proofErr w:type="gramStart"/>
      <w:r>
        <w:t>time period</w:t>
      </w:r>
      <w:proofErr w:type="gramEnd"/>
      <w:r>
        <w:t xml:space="preserve"> (year 1–5)</w:t>
      </w:r>
    </w:p>
    <w:sectPr w:rsidR="00B57227" w:rsidRPr="008A0D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E5382"/>
    <w:multiLevelType w:val="multilevel"/>
    <w:tmpl w:val="D5F48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9090D"/>
    <w:multiLevelType w:val="multilevel"/>
    <w:tmpl w:val="AD4A9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C72B4D"/>
    <w:multiLevelType w:val="multilevel"/>
    <w:tmpl w:val="CDB07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8F7F8B"/>
    <w:multiLevelType w:val="multilevel"/>
    <w:tmpl w:val="7A209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836254"/>
    <w:multiLevelType w:val="multilevel"/>
    <w:tmpl w:val="F2F40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7E6F5F"/>
    <w:multiLevelType w:val="multilevel"/>
    <w:tmpl w:val="DE528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BE16435"/>
    <w:multiLevelType w:val="multilevel"/>
    <w:tmpl w:val="FDA8D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7B47BE"/>
    <w:multiLevelType w:val="multilevel"/>
    <w:tmpl w:val="27EA9F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EA6477"/>
    <w:multiLevelType w:val="multilevel"/>
    <w:tmpl w:val="E4149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9E20B1"/>
    <w:multiLevelType w:val="multilevel"/>
    <w:tmpl w:val="ADFC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C919BB"/>
    <w:multiLevelType w:val="multilevel"/>
    <w:tmpl w:val="C406C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2702F6"/>
    <w:multiLevelType w:val="multilevel"/>
    <w:tmpl w:val="AB9C0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D0583A"/>
    <w:multiLevelType w:val="multilevel"/>
    <w:tmpl w:val="FBBCF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150027"/>
    <w:multiLevelType w:val="multilevel"/>
    <w:tmpl w:val="0B78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971464"/>
    <w:multiLevelType w:val="multilevel"/>
    <w:tmpl w:val="DA2A2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A5187F"/>
    <w:multiLevelType w:val="multilevel"/>
    <w:tmpl w:val="E34A4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FF365D"/>
    <w:multiLevelType w:val="multilevel"/>
    <w:tmpl w:val="A47A4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D14568"/>
    <w:multiLevelType w:val="multilevel"/>
    <w:tmpl w:val="C7FA6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CBA4283"/>
    <w:multiLevelType w:val="multilevel"/>
    <w:tmpl w:val="AACA7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D2A0B36"/>
    <w:multiLevelType w:val="multilevel"/>
    <w:tmpl w:val="A14C5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E752C45"/>
    <w:multiLevelType w:val="multilevel"/>
    <w:tmpl w:val="43684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ED9124C"/>
    <w:multiLevelType w:val="multilevel"/>
    <w:tmpl w:val="FBE8B5C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FBB78B9"/>
    <w:multiLevelType w:val="multilevel"/>
    <w:tmpl w:val="5C3A9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21656A6"/>
    <w:multiLevelType w:val="multilevel"/>
    <w:tmpl w:val="AFA25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4005FD3"/>
    <w:multiLevelType w:val="multilevel"/>
    <w:tmpl w:val="CE0E7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6886821"/>
    <w:multiLevelType w:val="multilevel"/>
    <w:tmpl w:val="000C3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1E5A67"/>
    <w:multiLevelType w:val="multilevel"/>
    <w:tmpl w:val="B9CC5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A301DF5"/>
    <w:multiLevelType w:val="multilevel"/>
    <w:tmpl w:val="0DAC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C6D0990"/>
    <w:multiLevelType w:val="multilevel"/>
    <w:tmpl w:val="30C20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D7F2489"/>
    <w:multiLevelType w:val="multilevel"/>
    <w:tmpl w:val="904C4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DFD78A5"/>
    <w:multiLevelType w:val="multilevel"/>
    <w:tmpl w:val="5E545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CA2E4C"/>
    <w:multiLevelType w:val="multilevel"/>
    <w:tmpl w:val="9DD8D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F7E2CFF"/>
    <w:multiLevelType w:val="multilevel"/>
    <w:tmpl w:val="E37A7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5E54670"/>
    <w:multiLevelType w:val="multilevel"/>
    <w:tmpl w:val="0A84B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0B57D6"/>
    <w:multiLevelType w:val="multilevel"/>
    <w:tmpl w:val="EBF82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0E547E7"/>
    <w:multiLevelType w:val="multilevel"/>
    <w:tmpl w:val="423EB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124545C"/>
    <w:multiLevelType w:val="multilevel"/>
    <w:tmpl w:val="470C1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35A09BA"/>
    <w:multiLevelType w:val="multilevel"/>
    <w:tmpl w:val="884AE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58115F4"/>
    <w:multiLevelType w:val="multilevel"/>
    <w:tmpl w:val="DFEAA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5934D8F"/>
    <w:multiLevelType w:val="multilevel"/>
    <w:tmpl w:val="5ABC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6FA310D"/>
    <w:multiLevelType w:val="multilevel"/>
    <w:tmpl w:val="FF3EB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7276175"/>
    <w:multiLevelType w:val="multilevel"/>
    <w:tmpl w:val="07324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9266C06"/>
    <w:multiLevelType w:val="multilevel"/>
    <w:tmpl w:val="F12E0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E026E4A"/>
    <w:multiLevelType w:val="multilevel"/>
    <w:tmpl w:val="D1183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0D3786"/>
    <w:multiLevelType w:val="multilevel"/>
    <w:tmpl w:val="A5043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3D0215F"/>
    <w:multiLevelType w:val="multilevel"/>
    <w:tmpl w:val="015C6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43B1CE6"/>
    <w:multiLevelType w:val="multilevel"/>
    <w:tmpl w:val="AC723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A930983"/>
    <w:multiLevelType w:val="multilevel"/>
    <w:tmpl w:val="3D488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BA522D5"/>
    <w:multiLevelType w:val="multilevel"/>
    <w:tmpl w:val="20188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F7F68CD"/>
    <w:multiLevelType w:val="multilevel"/>
    <w:tmpl w:val="B7666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26804B1"/>
    <w:multiLevelType w:val="multilevel"/>
    <w:tmpl w:val="41061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4BD6AE3"/>
    <w:multiLevelType w:val="multilevel"/>
    <w:tmpl w:val="C058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4EF67B4"/>
    <w:multiLevelType w:val="multilevel"/>
    <w:tmpl w:val="79145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572108A"/>
    <w:multiLevelType w:val="multilevel"/>
    <w:tmpl w:val="5524D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62A1A13"/>
    <w:multiLevelType w:val="multilevel"/>
    <w:tmpl w:val="1FB4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6E70203"/>
    <w:multiLevelType w:val="multilevel"/>
    <w:tmpl w:val="9BC2E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7363F71"/>
    <w:multiLevelType w:val="multilevel"/>
    <w:tmpl w:val="1240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85125F6"/>
    <w:multiLevelType w:val="multilevel"/>
    <w:tmpl w:val="FC085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B771332"/>
    <w:multiLevelType w:val="multilevel"/>
    <w:tmpl w:val="21146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E8945D1"/>
    <w:multiLevelType w:val="multilevel"/>
    <w:tmpl w:val="4DBED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10E663A"/>
    <w:multiLevelType w:val="multilevel"/>
    <w:tmpl w:val="00AAF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4D446B4"/>
    <w:multiLevelType w:val="multilevel"/>
    <w:tmpl w:val="430C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7BE06CF"/>
    <w:multiLevelType w:val="multilevel"/>
    <w:tmpl w:val="A8BA8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7E56187"/>
    <w:multiLevelType w:val="multilevel"/>
    <w:tmpl w:val="9906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85B0F3B"/>
    <w:multiLevelType w:val="multilevel"/>
    <w:tmpl w:val="06BEF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F22176F"/>
    <w:multiLevelType w:val="multilevel"/>
    <w:tmpl w:val="4D7E3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6688738">
    <w:abstractNumId w:val="56"/>
  </w:num>
  <w:num w:numId="2" w16cid:durableId="1769082509">
    <w:abstractNumId w:val="57"/>
  </w:num>
  <w:num w:numId="3" w16cid:durableId="803619954">
    <w:abstractNumId w:val="22"/>
  </w:num>
  <w:num w:numId="4" w16cid:durableId="413825349">
    <w:abstractNumId w:val="62"/>
  </w:num>
  <w:num w:numId="5" w16cid:durableId="839732502">
    <w:abstractNumId w:val="18"/>
  </w:num>
  <w:num w:numId="6" w16cid:durableId="2079666652">
    <w:abstractNumId w:val="58"/>
  </w:num>
  <w:num w:numId="7" w16cid:durableId="524829635">
    <w:abstractNumId w:val="43"/>
  </w:num>
  <w:num w:numId="8" w16cid:durableId="568198158">
    <w:abstractNumId w:val="5"/>
  </w:num>
  <w:num w:numId="9" w16cid:durableId="856845755">
    <w:abstractNumId w:val="35"/>
  </w:num>
  <w:num w:numId="10" w16cid:durableId="2117097034">
    <w:abstractNumId w:val="10"/>
  </w:num>
  <w:num w:numId="11" w16cid:durableId="1828085062">
    <w:abstractNumId w:val="19"/>
  </w:num>
  <w:num w:numId="12" w16cid:durableId="148713401">
    <w:abstractNumId w:val="7"/>
  </w:num>
  <w:num w:numId="13" w16cid:durableId="565804264">
    <w:abstractNumId w:val="45"/>
  </w:num>
  <w:num w:numId="14" w16cid:durableId="560793497">
    <w:abstractNumId w:val="29"/>
  </w:num>
  <w:num w:numId="15" w16cid:durableId="41180394">
    <w:abstractNumId w:val="11"/>
  </w:num>
  <w:num w:numId="16" w16cid:durableId="1527714775">
    <w:abstractNumId w:val="42"/>
  </w:num>
  <w:num w:numId="17" w16cid:durableId="1394042127">
    <w:abstractNumId w:val="46"/>
  </w:num>
  <w:num w:numId="18" w16cid:durableId="459767024">
    <w:abstractNumId w:val="37"/>
  </w:num>
  <w:num w:numId="19" w16cid:durableId="179396555">
    <w:abstractNumId w:val="50"/>
  </w:num>
  <w:num w:numId="20" w16cid:durableId="1361278365">
    <w:abstractNumId w:val="33"/>
  </w:num>
  <w:num w:numId="21" w16cid:durableId="1902058761">
    <w:abstractNumId w:val="52"/>
  </w:num>
  <w:num w:numId="22" w16cid:durableId="2033064786">
    <w:abstractNumId w:val="13"/>
  </w:num>
  <w:num w:numId="23" w16cid:durableId="1476877477">
    <w:abstractNumId w:val="47"/>
  </w:num>
  <w:num w:numId="24" w16cid:durableId="1358889433">
    <w:abstractNumId w:val="54"/>
  </w:num>
  <w:num w:numId="25" w16cid:durableId="251205959">
    <w:abstractNumId w:val="2"/>
  </w:num>
  <w:num w:numId="26" w16cid:durableId="2142307765">
    <w:abstractNumId w:val="17"/>
  </w:num>
  <w:num w:numId="27" w16cid:durableId="290133115">
    <w:abstractNumId w:val="24"/>
  </w:num>
  <w:num w:numId="28" w16cid:durableId="2023163737">
    <w:abstractNumId w:val="53"/>
  </w:num>
  <w:num w:numId="29" w16cid:durableId="1606421832">
    <w:abstractNumId w:val="8"/>
  </w:num>
  <w:num w:numId="30" w16cid:durableId="1960142411">
    <w:abstractNumId w:val="28"/>
  </w:num>
  <w:num w:numId="31" w16cid:durableId="1942761432">
    <w:abstractNumId w:val="14"/>
  </w:num>
  <w:num w:numId="32" w16cid:durableId="1071007648">
    <w:abstractNumId w:val="26"/>
  </w:num>
  <w:num w:numId="33" w16cid:durableId="1184173701">
    <w:abstractNumId w:val="63"/>
  </w:num>
  <w:num w:numId="34" w16cid:durableId="2003000518">
    <w:abstractNumId w:val="31"/>
  </w:num>
  <w:num w:numId="35" w16cid:durableId="1134760996">
    <w:abstractNumId w:val="49"/>
  </w:num>
  <w:num w:numId="36" w16cid:durableId="2074814509">
    <w:abstractNumId w:val="44"/>
  </w:num>
  <w:num w:numId="37" w16cid:durableId="305818275">
    <w:abstractNumId w:val="59"/>
  </w:num>
  <w:num w:numId="38" w16cid:durableId="1924221176">
    <w:abstractNumId w:val="32"/>
  </w:num>
  <w:num w:numId="39" w16cid:durableId="264579647">
    <w:abstractNumId w:val="16"/>
  </w:num>
  <w:num w:numId="40" w16cid:durableId="1367484012">
    <w:abstractNumId w:val="60"/>
  </w:num>
  <w:num w:numId="41" w16cid:durableId="1587492375">
    <w:abstractNumId w:val="38"/>
  </w:num>
  <w:num w:numId="42" w16cid:durableId="1861817271">
    <w:abstractNumId w:val="34"/>
  </w:num>
  <w:num w:numId="43" w16cid:durableId="1573927451">
    <w:abstractNumId w:val="61"/>
  </w:num>
  <w:num w:numId="44" w16cid:durableId="691419174">
    <w:abstractNumId w:val="55"/>
  </w:num>
  <w:num w:numId="45" w16cid:durableId="404228673">
    <w:abstractNumId w:val="41"/>
  </w:num>
  <w:num w:numId="46" w16cid:durableId="330834548">
    <w:abstractNumId w:val="9"/>
  </w:num>
  <w:num w:numId="47" w16cid:durableId="991370257">
    <w:abstractNumId w:val="51"/>
  </w:num>
  <w:num w:numId="48" w16cid:durableId="762722841">
    <w:abstractNumId w:val="65"/>
  </w:num>
  <w:num w:numId="49" w16cid:durableId="941575679">
    <w:abstractNumId w:val="12"/>
  </w:num>
  <w:num w:numId="50" w16cid:durableId="2069299599">
    <w:abstractNumId w:val="4"/>
  </w:num>
  <w:num w:numId="51" w16cid:durableId="749734954">
    <w:abstractNumId w:val="39"/>
  </w:num>
  <w:num w:numId="52" w16cid:durableId="729379944">
    <w:abstractNumId w:val="40"/>
  </w:num>
  <w:num w:numId="53" w16cid:durableId="1464687274">
    <w:abstractNumId w:val="3"/>
  </w:num>
  <w:num w:numId="54" w16cid:durableId="940458710">
    <w:abstractNumId w:val="0"/>
  </w:num>
  <w:num w:numId="55" w16cid:durableId="881480096">
    <w:abstractNumId w:val="36"/>
  </w:num>
  <w:num w:numId="56" w16cid:durableId="2115398757">
    <w:abstractNumId w:val="20"/>
  </w:num>
  <w:num w:numId="57" w16cid:durableId="913201214">
    <w:abstractNumId w:val="30"/>
  </w:num>
  <w:num w:numId="58" w16cid:durableId="1006055417">
    <w:abstractNumId w:val="48"/>
  </w:num>
  <w:num w:numId="59" w16cid:durableId="746027951">
    <w:abstractNumId w:val="15"/>
  </w:num>
  <w:num w:numId="60" w16cid:durableId="1604722787">
    <w:abstractNumId w:val="27"/>
  </w:num>
  <w:num w:numId="61" w16cid:durableId="1071082025">
    <w:abstractNumId w:val="25"/>
  </w:num>
  <w:num w:numId="62" w16cid:durableId="2061242552">
    <w:abstractNumId w:val="64"/>
  </w:num>
  <w:num w:numId="63" w16cid:durableId="1357461127">
    <w:abstractNumId w:val="23"/>
  </w:num>
  <w:num w:numId="64" w16cid:durableId="1550724999">
    <w:abstractNumId w:val="21"/>
  </w:num>
  <w:num w:numId="65" w16cid:durableId="1192499978">
    <w:abstractNumId w:val="6"/>
  </w:num>
  <w:num w:numId="66" w16cid:durableId="8349524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E33"/>
    <w:rsid w:val="000560CB"/>
    <w:rsid w:val="000A7E0D"/>
    <w:rsid w:val="000D1CD4"/>
    <w:rsid w:val="000E34A2"/>
    <w:rsid w:val="0011415B"/>
    <w:rsid w:val="00175BDE"/>
    <w:rsid w:val="001B5227"/>
    <w:rsid w:val="001F2CC3"/>
    <w:rsid w:val="002645FF"/>
    <w:rsid w:val="002C436C"/>
    <w:rsid w:val="0034230E"/>
    <w:rsid w:val="003D1B88"/>
    <w:rsid w:val="003F5A27"/>
    <w:rsid w:val="004156C8"/>
    <w:rsid w:val="00436B9D"/>
    <w:rsid w:val="00443474"/>
    <w:rsid w:val="00472ED2"/>
    <w:rsid w:val="00496592"/>
    <w:rsid w:val="004C7CFA"/>
    <w:rsid w:val="004E6201"/>
    <w:rsid w:val="00580682"/>
    <w:rsid w:val="005D04FA"/>
    <w:rsid w:val="005F3DEA"/>
    <w:rsid w:val="006150A3"/>
    <w:rsid w:val="00661F9B"/>
    <w:rsid w:val="00663406"/>
    <w:rsid w:val="007078EA"/>
    <w:rsid w:val="00722D70"/>
    <w:rsid w:val="00741C5C"/>
    <w:rsid w:val="0078330B"/>
    <w:rsid w:val="007E24C9"/>
    <w:rsid w:val="007E5DA1"/>
    <w:rsid w:val="007F00E0"/>
    <w:rsid w:val="00861CA4"/>
    <w:rsid w:val="0088371E"/>
    <w:rsid w:val="008A0D80"/>
    <w:rsid w:val="009058B4"/>
    <w:rsid w:val="00973A9C"/>
    <w:rsid w:val="009A1745"/>
    <w:rsid w:val="009A5310"/>
    <w:rsid w:val="00A10ABE"/>
    <w:rsid w:val="00A9068C"/>
    <w:rsid w:val="00B07A92"/>
    <w:rsid w:val="00B57227"/>
    <w:rsid w:val="00B821FB"/>
    <w:rsid w:val="00B82D3F"/>
    <w:rsid w:val="00C37722"/>
    <w:rsid w:val="00C67C70"/>
    <w:rsid w:val="00C77E33"/>
    <w:rsid w:val="00CA2DDE"/>
    <w:rsid w:val="00CC4584"/>
    <w:rsid w:val="00D24364"/>
    <w:rsid w:val="00D625C7"/>
    <w:rsid w:val="00D74C21"/>
    <w:rsid w:val="00DC3C3E"/>
    <w:rsid w:val="00DD2F06"/>
    <w:rsid w:val="00DF4FFA"/>
    <w:rsid w:val="00DF62E1"/>
    <w:rsid w:val="00E062AE"/>
    <w:rsid w:val="00EA3A77"/>
    <w:rsid w:val="00EB2D09"/>
    <w:rsid w:val="00EC2590"/>
    <w:rsid w:val="00EC4751"/>
    <w:rsid w:val="00F25AF3"/>
    <w:rsid w:val="00FC7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57DE8"/>
  <w15:chartTrackingRefBased/>
  <w15:docId w15:val="{706F8881-1540-4304-9706-7ADAFA320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1B88"/>
  </w:style>
  <w:style w:type="paragraph" w:styleId="Heading1">
    <w:name w:val="heading 1"/>
    <w:basedOn w:val="Normal"/>
    <w:next w:val="Normal"/>
    <w:link w:val="Heading1Char"/>
    <w:uiPriority w:val="9"/>
    <w:qFormat/>
    <w:rsid w:val="00C77E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7E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E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E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E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E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E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E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E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E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7E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E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E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E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E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E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E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E33"/>
    <w:rPr>
      <w:rFonts w:eastAsiaTheme="majorEastAsia" w:cstheme="majorBidi"/>
      <w:color w:val="272727" w:themeColor="text1" w:themeTint="D8"/>
    </w:rPr>
  </w:style>
  <w:style w:type="paragraph" w:styleId="Title">
    <w:name w:val="Title"/>
    <w:basedOn w:val="Normal"/>
    <w:next w:val="Normal"/>
    <w:link w:val="TitleChar"/>
    <w:uiPriority w:val="10"/>
    <w:qFormat/>
    <w:rsid w:val="00C77E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E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E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E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E33"/>
    <w:pPr>
      <w:spacing w:before="160"/>
      <w:jc w:val="center"/>
    </w:pPr>
    <w:rPr>
      <w:i/>
      <w:iCs/>
      <w:color w:val="404040" w:themeColor="text1" w:themeTint="BF"/>
    </w:rPr>
  </w:style>
  <w:style w:type="character" w:customStyle="1" w:styleId="QuoteChar">
    <w:name w:val="Quote Char"/>
    <w:basedOn w:val="DefaultParagraphFont"/>
    <w:link w:val="Quote"/>
    <w:uiPriority w:val="29"/>
    <w:rsid w:val="00C77E33"/>
    <w:rPr>
      <w:i/>
      <w:iCs/>
      <w:color w:val="404040" w:themeColor="text1" w:themeTint="BF"/>
    </w:rPr>
  </w:style>
  <w:style w:type="paragraph" w:styleId="ListParagraph">
    <w:name w:val="List Paragraph"/>
    <w:basedOn w:val="Normal"/>
    <w:uiPriority w:val="34"/>
    <w:qFormat/>
    <w:rsid w:val="00C77E33"/>
    <w:pPr>
      <w:ind w:left="720"/>
      <w:contextualSpacing/>
    </w:pPr>
  </w:style>
  <w:style w:type="character" w:styleId="IntenseEmphasis">
    <w:name w:val="Intense Emphasis"/>
    <w:basedOn w:val="DefaultParagraphFont"/>
    <w:uiPriority w:val="21"/>
    <w:qFormat/>
    <w:rsid w:val="00C77E33"/>
    <w:rPr>
      <w:i/>
      <w:iCs/>
      <w:color w:val="0F4761" w:themeColor="accent1" w:themeShade="BF"/>
    </w:rPr>
  </w:style>
  <w:style w:type="paragraph" w:styleId="IntenseQuote">
    <w:name w:val="Intense Quote"/>
    <w:basedOn w:val="Normal"/>
    <w:next w:val="Normal"/>
    <w:link w:val="IntenseQuoteChar"/>
    <w:uiPriority w:val="30"/>
    <w:qFormat/>
    <w:rsid w:val="00C77E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E33"/>
    <w:rPr>
      <w:i/>
      <w:iCs/>
      <w:color w:val="0F4761" w:themeColor="accent1" w:themeShade="BF"/>
    </w:rPr>
  </w:style>
  <w:style w:type="character" w:styleId="IntenseReference">
    <w:name w:val="Intense Reference"/>
    <w:basedOn w:val="DefaultParagraphFont"/>
    <w:uiPriority w:val="32"/>
    <w:qFormat/>
    <w:rsid w:val="00C77E33"/>
    <w:rPr>
      <w:b/>
      <w:bCs/>
      <w:smallCaps/>
      <w:color w:val="0F4761" w:themeColor="accent1" w:themeShade="BF"/>
      <w:spacing w:val="5"/>
    </w:rPr>
  </w:style>
  <w:style w:type="paragraph" w:styleId="NormalWeb">
    <w:name w:val="Normal (Web)"/>
    <w:basedOn w:val="Normal"/>
    <w:uiPriority w:val="99"/>
    <w:semiHidden/>
    <w:unhideWhenUsed/>
    <w:rsid w:val="000A7E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A7E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265</TotalTime>
  <Pages>36</Pages>
  <Words>6555</Words>
  <Characters>37369</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67</cp:revision>
  <dcterms:created xsi:type="dcterms:W3CDTF">2026-04-23T21:20:00Z</dcterms:created>
  <dcterms:modified xsi:type="dcterms:W3CDTF">2026-04-24T12:58:00Z</dcterms:modified>
</cp:coreProperties>
</file>