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40A3" w:rsidRDefault="008A7F7C" w:rsidP="00222402">
      <w:pPr>
        <w:spacing w:line="480" w:lineRule="auto"/>
        <w:rPr>
          <w:u w:val="single"/>
        </w:rPr>
      </w:pPr>
      <w:r w:rsidRPr="008A7F7C">
        <w:rPr>
          <w:u w:val="single"/>
        </w:rPr>
        <w:t>Ancient Representations of India often include large numbers of monstrous and fantastical creatures. With reference to one ancient source, what impact does this have on the representation of the country?</w:t>
      </w:r>
    </w:p>
    <w:p w:rsidR="008A7F7C" w:rsidRPr="00222402" w:rsidRDefault="008A7F7C" w:rsidP="00222402">
      <w:pPr>
        <w:spacing w:line="480" w:lineRule="auto"/>
      </w:pPr>
      <w:r w:rsidRPr="00222402">
        <w:t>Introduction</w:t>
      </w:r>
    </w:p>
    <w:p w:rsidR="008A7F7C" w:rsidRDefault="008A7F7C" w:rsidP="00222402">
      <w:pPr>
        <w:spacing w:line="480" w:lineRule="auto"/>
      </w:pPr>
      <w:r>
        <w:t>There are multiple accounts of Ancient India and what inhabited this exotic land. One of these accounts and perhaps the most popular is th</w:t>
      </w:r>
      <w:r w:rsidR="00F02451">
        <w:t>e ancient Greek historian Herodotus, whose writings will be the main focus of this essay. Herodotus, dubbed the “Father of History” by many was born in around 485BC in the city of Halicarnassus</w:t>
      </w:r>
      <w:r w:rsidR="00F02451">
        <w:rPr>
          <w:rStyle w:val="FootnoteReference"/>
        </w:rPr>
        <w:footnoteReference w:id="1"/>
      </w:r>
      <w:r w:rsidR="00F02451">
        <w:t xml:space="preserve">. He is most famous for his documented travels in and around the ancient world. His published work provides modern scholars and archaeologists with a detailed description of the past as he is one of the first people to physically document such events, whether all of his work content is accurate is down to considerable speculation. </w:t>
      </w:r>
    </w:p>
    <w:p w:rsidR="00F02451" w:rsidRDefault="00F02451" w:rsidP="00222402">
      <w:pPr>
        <w:spacing w:line="480" w:lineRule="auto"/>
      </w:pPr>
      <w:r>
        <w:t>Although Herodotus travelled to a countless number of lands during his life</w:t>
      </w:r>
      <w:r w:rsidR="000E6332">
        <w:t>,</w:t>
      </w:r>
      <w:r>
        <w:t xml:space="preserve"> his documented time in India</w:t>
      </w:r>
      <w:r w:rsidR="000E6332">
        <w:t>;</w:t>
      </w:r>
      <w:r>
        <w:t xml:space="preserve"> although some d</w:t>
      </w:r>
      <w:r w:rsidR="000E6332">
        <w:t>etails may be vague, seems to</w:t>
      </w:r>
      <w:r>
        <w:t xml:space="preserve"> hold the most interesting and curious aspects</w:t>
      </w:r>
      <w:r w:rsidR="000E6332">
        <w:t xml:space="preserve"> of his journey</w:t>
      </w:r>
      <w:r>
        <w:t>.</w:t>
      </w:r>
      <w:r w:rsidR="000E6332">
        <w:t xml:space="preserve"> This is due to the frequent mention of fantastical creatures and beasts that he says he encounters along the way; creatures that today we would find strange and perhaps monstrous as they are not understood. </w:t>
      </w:r>
    </w:p>
    <w:p w:rsidR="000E6332" w:rsidRDefault="000E6332" w:rsidP="00222402">
      <w:pPr>
        <w:spacing w:line="480" w:lineRule="auto"/>
      </w:pPr>
      <w:r>
        <w:t xml:space="preserve">Upon the first mention of his time in India, Herodotus puts a lot of emphasis on India’s climate saying that </w:t>
      </w:r>
      <w:r w:rsidR="0015181F">
        <w:t>“As it goes to afternoon, the sun of India has the power of the morning sun in other lands”</w:t>
      </w:r>
      <w:r w:rsidR="0015181F">
        <w:rPr>
          <w:rStyle w:val="FootnoteReference"/>
        </w:rPr>
        <w:footnoteReference w:id="2"/>
      </w:r>
      <w:r w:rsidR="0015181F">
        <w:t xml:space="preserve"> and that “men are said to sprinkle themselves with water at this time”</w:t>
      </w:r>
      <w:r w:rsidR="0015181F">
        <w:rPr>
          <w:rStyle w:val="FootnoteReference"/>
        </w:rPr>
        <w:footnoteReference w:id="3"/>
      </w:r>
      <w:r w:rsidR="0015181F">
        <w:t xml:space="preserve">. This is clear to be accurate as India has always had a hot climate as it is so close to the equator. Parts of the globe tend to be labelled as exotic and strange, and this is the case with India also. These labels could be things such as natural phenomena or the animals or people that take up abode in that place. Herodotus includes frequent mentions of such monsters in his writing, and these are considered explanations </w:t>
      </w:r>
      <w:r w:rsidR="0015181F">
        <w:lastRenderedPageBreak/>
        <w:t>for things such as trade and riches.</w:t>
      </w:r>
      <w:r w:rsidR="000F1037">
        <w:t xml:space="preserve"> Herodotus further emphasises the importance of the sun and climate in India when he is comparing the Persians and the Egyptians. He states that Persian bones are incredibly brittle and weak and “if you throw no more than a pebble it will pierce their skulls”</w:t>
      </w:r>
      <w:r w:rsidR="000F1037">
        <w:rPr>
          <w:rStyle w:val="FootnoteReference"/>
        </w:rPr>
        <w:footnoteReference w:id="4"/>
      </w:r>
      <w:r w:rsidR="000F1037">
        <w:t xml:space="preserve"> and that Egyptian skulls are very strong, “so strong that a blow of a stone will hardly crack them,”</w:t>
      </w:r>
      <w:r w:rsidR="000F1037">
        <w:rPr>
          <w:rStyle w:val="FootnoteReference"/>
        </w:rPr>
        <w:footnoteReference w:id="5"/>
      </w:r>
      <w:r w:rsidR="000F1037">
        <w:t xml:space="preserve"> He says that this is because from childhood, Egyptians have shaved heads and are therefore exposed to the sun at all times, and therefore over time hardening them. The Persians however constantly have their head covered through their life from childhood, and therefore are hardly ever exposed to the sun, making their skulls weak and brittle.</w:t>
      </w:r>
      <w:r w:rsidR="000F1037">
        <w:rPr>
          <w:rStyle w:val="FootnoteReference"/>
        </w:rPr>
        <w:footnoteReference w:id="6"/>
      </w:r>
      <w:r w:rsidR="005034F9">
        <w:t xml:space="preserve"> The significance of the sun in ancient writing is interesting and equally important as most civilisations believed the sun to be sacred or connected with the Gods as it gives the world light and heat, and this is clearly evident in Herodotus’ work seen in this section. </w:t>
      </w:r>
    </w:p>
    <w:p w:rsidR="008E5FF7" w:rsidRDefault="008E5FF7" w:rsidP="00222402">
      <w:pPr>
        <w:spacing w:line="480" w:lineRule="auto"/>
      </w:pPr>
      <w:r>
        <w:t>Gold</w:t>
      </w:r>
    </w:p>
    <w:p w:rsidR="0015181F" w:rsidRDefault="0015181F" w:rsidP="00222402">
      <w:pPr>
        <w:spacing w:line="480" w:lineRule="auto"/>
      </w:pPr>
      <w:r>
        <w:t xml:space="preserve">One of the most frequent topics that appears in Herodotus’ accounts is that of the excavation and mining of gold, which was as precious in the ancient world as it is today. </w:t>
      </w:r>
      <w:r w:rsidR="008E5FF7">
        <w:t>India at the time was valued most for its gold production, and was labelled (along with Europe) by Herodotus in his map research as being valued for this reason, with places like Arabia being labelled for spices and Libya being “impassable”</w:t>
      </w:r>
      <w:r w:rsidR="008E5FF7">
        <w:rPr>
          <w:rStyle w:val="FootnoteReference"/>
        </w:rPr>
        <w:footnoteReference w:id="7"/>
      </w:r>
      <w:r w:rsidR="008E5FF7">
        <w:t xml:space="preserve"> Herodotus mentions that in India there are a large number of different Indian tribes, but there is one that border the city of Caspatyrus which have more violent tendencies than the others, and that the men from this tribe are sent to the desert in order to find gold. Herodotus then goes on to say “Here, in this desert, there live amid the sand great ants, in size somewhat less than dogs but bigger than foxes</w:t>
      </w:r>
      <w:r w:rsidR="00D235B8">
        <w:t>.”</w:t>
      </w:r>
      <w:r w:rsidR="00D235B8">
        <w:rPr>
          <w:rStyle w:val="FootnoteReference"/>
        </w:rPr>
        <w:footnoteReference w:id="8"/>
      </w:r>
      <w:r w:rsidR="00D235B8">
        <w:t xml:space="preserve"> These ants are also said to resemble “Greek Ants” as they are similar in size. The tribesmen then come to the desert and simply pick up some of this gold filled sand and take </w:t>
      </w:r>
      <w:r w:rsidR="00D235B8">
        <w:lastRenderedPageBreak/>
        <w:t>it back home with them. I think this is account is interesting as it suggests that there are other “similar” giant ants in Greece. However these Greek ants could have been used for a different purpose perhaps; due to their size and burrowing tendencies, they could be used for anything from mining to simply building underground tunnels by humans. The use of these giant ants to mine for them may suggest that India is a very resourceful place as they have made use of an oddity of the animal kingdom to their advantage which has resulted in them flourishing in riches.</w:t>
      </w:r>
      <w:r w:rsidR="005034F9">
        <w:t xml:space="preserve"> </w:t>
      </w:r>
    </w:p>
    <w:p w:rsidR="005034F9" w:rsidRDefault="005034F9" w:rsidP="00222402">
      <w:pPr>
        <w:spacing w:line="480" w:lineRule="auto"/>
      </w:pPr>
      <w:r>
        <w:t xml:space="preserve">There is a more modern idea that has surfaced in recent years that appears to support the giant ant claim of Herodotus. </w:t>
      </w:r>
      <w:proofErr w:type="spellStart"/>
      <w:r>
        <w:t>Marlise</w:t>
      </w:r>
      <w:proofErr w:type="spellEnd"/>
      <w:r>
        <w:t xml:space="preserve"> Simons suggests that the gold digging ants were based on something less monstrous and that there is actual evidence for this happening today. Her claim is that the giant ants were more than likely marmots, a burrowing squirrel with thi</w:t>
      </w:r>
      <w:r w:rsidR="00274EE9">
        <w:t>ck, bushy fur. This doesn’t fit</w:t>
      </w:r>
      <w:r w:rsidR="00222402">
        <w:t xml:space="preserve"> with Herod</w:t>
      </w:r>
      <w:r>
        <w:t xml:space="preserve">otus’ physical description of the ants, as he claimed them to be </w:t>
      </w:r>
      <w:r w:rsidR="00274EE9">
        <w:t>“bigger than a fox, but smaller than a dog” however. Explorers have also claimed to have discovered a few indigenous people that are on the same high located plateau that claim that they have collected gold from the marmot for generations before them. Although Herodotus was also frequently branded as the “father of lies” also, this is of course only a theory and it would be difficult to prove as we do not know fo</w:t>
      </w:r>
      <w:r w:rsidR="00222402">
        <w:t>r certain what it was that Herod</w:t>
      </w:r>
      <w:r w:rsidR="00274EE9">
        <w:t>otus actually saw with his own eyes, although it does provide some sort of explanation that is somewhat similar to the ancient account.</w:t>
      </w:r>
      <w:r w:rsidR="00274EE9">
        <w:rPr>
          <w:rStyle w:val="FootnoteReference"/>
        </w:rPr>
        <w:footnoteReference w:id="9"/>
      </w:r>
    </w:p>
    <w:p w:rsidR="005034F9" w:rsidRDefault="00274EE9" w:rsidP="00222402">
      <w:pPr>
        <w:spacing w:line="480" w:lineRule="auto"/>
      </w:pPr>
      <w:r>
        <w:t xml:space="preserve">Herodotus also writes about another explanation for the acquirement of gold in India. </w:t>
      </w:r>
      <w:r w:rsidR="00B14360">
        <w:t xml:space="preserve">He mentions that in the north of Europe there is the most gold of all due to the fact that “one-eyed men called </w:t>
      </w:r>
      <w:proofErr w:type="spellStart"/>
      <w:r w:rsidR="00B14360">
        <w:t>Arimaspians</w:t>
      </w:r>
      <w:proofErr w:type="spellEnd"/>
      <w:r w:rsidR="00B14360">
        <w:t xml:space="preserve"> steal it from griffins”.</w:t>
      </w:r>
      <w:r w:rsidR="00B14360">
        <w:rPr>
          <w:rStyle w:val="FootnoteReference"/>
        </w:rPr>
        <w:footnoteReference w:id="10"/>
      </w:r>
      <w:r w:rsidR="00B14360">
        <w:t xml:space="preserve"> However he says that he thinks that this is not true and that he doesn’t believe that one-eyed men exist at all. </w:t>
      </w:r>
      <w:r w:rsidR="008869FC">
        <w:t xml:space="preserve">The existence of Griffins in ancient times seems rather popular though as they are frequently mentioned by many scholars, including the Greek physician </w:t>
      </w:r>
      <w:proofErr w:type="spellStart"/>
      <w:r w:rsidR="008869FC">
        <w:t>Ctesias</w:t>
      </w:r>
      <w:proofErr w:type="spellEnd"/>
      <w:r w:rsidR="008869FC">
        <w:t xml:space="preserve">, who describes them as having “wings on their back”, and that they have a variety </w:t>
      </w:r>
      <w:r w:rsidR="008869FC">
        <w:lastRenderedPageBreak/>
        <w:t>of many colours in their feathers.</w:t>
      </w:r>
      <w:r w:rsidR="008869FC">
        <w:rPr>
          <w:rStyle w:val="FootnoteReference"/>
        </w:rPr>
        <w:footnoteReference w:id="11"/>
      </w:r>
      <w:r w:rsidR="00B14360">
        <w:t>He then says that he believes that the places that surround other countries “are likely to have those things which we think the finest and the rarest.”</w:t>
      </w:r>
      <w:r w:rsidR="00B14360">
        <w:rPr>
          <w:rStyle w:val="FootnoteReference"/>
        </w:rPr>
        <w:footnoteReference w:id="12"/>
      </w:r>
      <w:r w:rsidR="00B14360">
        <w:t xml:space="preserve"> It is necessary to note that Herodotus had a different view of the world that we do in modern times, and believed that all of the </w:t>
      </w:r>
      <w:r w:rsidR="00CC2C2A">
        <w:t>world’s</w:t>
      </w:r>
      <w:r w:rsidR="00B14360">
        <w:t xml:space="preserve"> countries were connected to each other in a kind of circle form.</w:t>
      </w:r>
      <w:r w:rsidR="008869FC">
        <w:rPr>
          <w:rStyle w:val="FootnoteReference"/>
        </w:rPr>
        <w:footnoteReference w:id="13"/>
      </w:r>
      <w:r w:rsidR="00B14360">
        <w:t xml:space="preserve"> Taking this into consideration, by the quote above he believed that outer Europe, India, outer Libya and Arabia poss</w:t>
      </w:r>
      <w:r w:rsidR="00435905">
        <w:t>essed the worlds overall wealth, which further emphasises Ancient India’s reputation of being looked up to due to their riches and resultant power from this.</w:t>
      </w:r>
      <w:r w:rsidR="008869FC">
        <w:t xml:space="preserve"> </w:t>
      </w:r>
    </w:p>
    <w:p w:rsidR="00F02451" w:rsidRDefault="000F1037" w:rsidP="00222402">
      <w:pPr>
        <w:spacing w:line="480" w:lineRule="auto"/>
      </w:pPr>
      <w:r>
        <w:t>Cannibalism</w:t>
      </w:r>
    </w:p>
    <w:p w:rsidR="000F1037" w:rsidRDefault="008869FC" w:rsidP="00222402">
      <w:pPr>
        <w:spacing w:line="480" w:lineRule="auto"/>
      </w:pPr>
      <w:r>
        <w:t xml:space="preserve">Although monstrous traits are usually considered to be mostly a physical abnormality, these monstrous bodies can also be easily tied to traits such as communication, diet, religion and sexual practices. In Herodotus’ accounts of the historical world, cannibalism also makes a frequent ugly appearance. </w:t>
      </w:r>
      <w:r w:rsidR="00CE0A4D">
        <w:t>He states that living in the East of the country “are nomads, which eat raw flesh” who are called Padaeans.</w:t>
      </w:r>
      <w:r w:rsidR="00CE0A4D">
        <w:rPr>
          <w:rStyle w:val="FootnoteReference"/>
        </w:rPr>
        <w:footnoteReference w:id="14"/>
      </w:r>
      <w:r w:rsidR="00CE0A4D">
        <w:t xml:space="preserve"> These </w:t>
      </w:r>
      <w:r w:rsidR="002514A9">
        <w:t xml:space="preserve">people had </w:t>
      </w:r>
      <w:r w:rsidR="00CE0A4D">
        <w:t>numerous</w:t>
      </w:r>
      <w:r w:rsidR="002514A9">
        <w:t xml:space="preserve"> </w:t>
      </w:r>
      <w:r w:rsidR="008254E8">
        <w:t>gruesome</w:t>
      </w:r>
      <w:r w:rsidR="00CE0A4D">
        <w:t xml:space="preserve"> customs. For example, if a member of the community contracts an illness, if they are male, their nearest connections must kill him saying that if their body has become a victim of disease, he will be lost to them as meat and they are unable to eat him. However, if the man denies his sickness the nomads will not believe him and they will eat him regardless. This process is more or less the same for the females. However if an individual reaches old age, the nomads will sacrifice the person’s body and then feast on it. In other words, if any person old or young got sick in this community, the rest of the nomads would kill and usually eat them.</w:t>
      </w:r>
      <w:r w:rsidR="00CE0A4D">
        <w:rPr>
          <w:rStyle w:val="FootnoteReference"/>
        </w:rPr>
        <w:footnoteReference w:id="15"/>
      </w:r>
      <w:r w:rsidR="00CE0A4D">
        <w:t xml:space="preserve"> From this account it is evident to see </w:t>
      </w:r>
      <w:r w:rsidR="002514A9">
        <w:t xml:space="preserve">that ritualistic practices seemed to be common at this time. The reason of sacrifice and consumption of a body could be a number of things, but it was more than likely done as a religious statement, perhaps to please higher entities such as Gods or </w:t>
      </w:r>
      <w:r w:rsidR="002514A9">
        <w:lastRenderedPageBreak/>
        <w:t>Goddesses, as this was presumably common at this point in the ancient world</w:t>
      </w:r>
      <w:r w:rsidR="000C06EB">
        <w:t xml:space="preserve"> due to religion being the main focus and core in life</w:t>
      </w:r>
      <w:r w:rsidR="002514A9">
        <w:t>.</w:t>
      </w:r>
      <w:r w:rsidR="000C06EB">
        <w:t xml:space="preserve"> The Padaeans of course are not a representation of the entirety of ancient India, and this seems to only have been practiced in the Eastern areas of the country and Herodotus does not mention cannibalism in any other area. </w:t>
      </w:r>
    </w:p>
    <w:p w:rsidR="00303A08" w:rsidRDefault="000C06EB" w:rsidP="00222402">
      <w:pPr>
        <w:spacing w:line="480" w:lineRule="auto"/>
      </w:pPr>
      <w:r>
        <w:t xml:space="preserve">There is in fact some modern evidence that may support Herodotus’ claim for cannibalistic rituals in ancient India. Scientists have analysed </w:t>
      </w:r>
      <w:r w:rsidR="008254E8">
        <w:t xml:space="preserve">ancient Indian </w:t>
      </w:r>
      <w:r>
        <w:t xml:space="preserve">cutting tools which were found to be stained with human blood, and some human remains can clearly </w:t>
      </w:r>
      <w:r w:rsidR="00303A08">
        <w:t>see</w:t>
      </w:r>
      <w:r>
        <w:t xml:space="preserve"> to have been butchered with sharp tools. Also, a ceramic cooking pot was analysed and the residue of human tissue was discovered on the inside of it.</w:t>
      </w:r>
      <w:r>
        <w:rPr>
          <w:rStyle w:val="FootnoteReference"/>
        </w:rPr>
        <w:footnoteReference w:id="16"/>
      </w:r>
      <w:r>
        <w:t xml:space="preserve"> This supports the idea of </w:t>
      </w:r>
      <w:r w:rsidR="00303A08">
        <w:t xml:space="preserve">Herodotus’ mention of flesh consumption, and signifies how people viewed India as a strange and dangerous land, and this iterates the fear of the unknown also as people would have been afraid of what they didn’t understand. </w:t>
      </w:r>
    </w:p>
    <w:p w:rsidR="00303A08" w:rsidRDefault="00EF0467" w:rsidP="00222402">
      <w:pPr>
        <w:spacing w:line="480" w:lineRule="auto"/>
      </w:pPr>
      <w:r>
        <w:t>In contrast to this gruesome mention of flesh consumption, Herodotus also discusses a collection of Indians who “kill no living creature nor plant anything, nor are accustomed to have houses”, and these people only eat grass and seeds which they can boil and eat without harming any living thing</w:t>
      </w:r>
      <w:r>
        <w:rPr>
          <w:rStyle w:val="FootnoteReference"/>
        </w:rPr>
        <w:footnoteReference w:id="17"/>
      </w:r>
      <w:r>
        <w:t>. These ‘ancient vegans’ clearly come from a different area of India to the cannibalistic communities as they are described to live in peace with their environment and live off the land. Herodotus also states that when these people get sick, “he goes into the desert and lies there, and no one notices whether he is sick or dies.</w:t>
      </w:r>
      <w:r w:rsidR="008254E8">
        <w:rPr>
          <w:rStyle w:val="FootnoteReference"/>
        </w:rPr>
        <w:footnoteReference w:id="18"/>
      </w:r>
      <w:r>
        <w:t xml:space="preserve">” An act such as this could also be considered as “ritualistic” however due to the fact that these people live simple lives, and when they are near death they simply wish to give their body back to the earth; which could also be seen as a religious act. These contrasting acts of communities represent the country of India in a positive way however because it shows the diversity between </w:t>
      </w:r>
      <w:r w:rsidR="008254E8">
        <w:t xml:space="preserve">areas of the land, making it fascinating as it shows how widespread the diverse cultures are that Herodotus has come across on his travels in India. It also reiterates how exotic the country was </w:t>
      </w:r>
      <w:r w:rsidR="008254E8">
        <w:lastRenderedPageBreak/>
        <w:t>considered by people from other cultures at the time as there were many aspects of it that they struggled to understand.</w:t>
      </w:r>
    </w:p>
    <w:p w:rsidR="008254E8" w:rsidRDefault="008254E8" w:rsidP="00222402">
      <w:pPr>
        <w:spacing w:line="480" w:lineRule="auto"/>
      </w:pPr>
      <w:r>
        <w:t>Conclusion</w:t>
      </w:r>
    </w:p>
    <w:p w:rsidR="008254E8" w:rsidRDefault="008254E8" w:rsidP="00222402">
      <w:pPr>
        <w:spacing w:line="480" w:lineRule="auto"/>
      </w:pPr>
      <w:r>
        <w:t>To conclude, although Herodotus is rather vague with his description of monstrous beings that he encountered on his many journey, his accounts are still great aids to the understanding of ancient India and its customs. From the examples above, it would be appropriate to assume that ancient India was looked upon with awe and magnificence due to its diverse culture. For example, the country could be seen as being incredible rich and powerful due to the presence of the giant ants that mined gold in the desert for the tribespeople to collect on a frequent basis. This would have eventually made the country extremely wealthy compared to other countries</w:t>
      </w:r>
      <w:r w:rsidR="00CC2C2A">
        <w:t xml:space="preserve"> of the world as Herodotus mentions (as all of the richest countries were located on the “outside of the world”), causing others to look upon India with both jealousy and awe. The presence of griffins in the ancient world is also evident as two ancient historians discuss them frequently, making them a proposed certainty of existence in the ancient world, whether it was to serve humans or not. </w:t>
      </w:r>
    </w:p>
    <w:p w:rsidR="00CC2C2A" w:rsidRDefault="00CC2C2A" w:rsidP="00222402">
      <w:pPr>
        <w:spacing w:line="480" w:lineRule="auto"/>
      </w:pPr>
      <w:r>
        <w:t>Herodotus’ contrasting descriptions of the cannibalistic tribe and the grass and seed eating tribe demonstrates the diverse communities that ancient India held due to the fact that they came from two very different areas. It also shows that religion and ritual must have been a very significant part of everyday life for the ancient Indians, despite of their location. Sacrifices and bodily consumption may even signify the presence of some sort of religious cult to a God or Goddess, and living off of the land without hurting anything or anyone may be a lifestyle choice in order to please the same type of thing; a God or Goddess in hope that they would be rewarded in the afterlife. The</w:t>
      </w:r>
      <w:r w:rsidR="00222402">
        <w:t>se types of</w:t>
      </w:r>
      <w:r>
        <w:t xml:space="preserve"> ritual or lifestyle choice have the same means, the way they are carried out is just extremely different. </w:t>
      </w:r>
      <w:r w:rsidR="00222402">
        <w:t xml:space="preserve">India as a whole would have thrived as a country based on the evidence stated by Herodotus as an exotic, nourished country of extreme interest. </w:t>
      </w:r>
    </w:p>
    <w:p w:rsidR="00222402" w:rsidRDefault="00222402" w:rsidP="00222402">
      <w:pPr>
        <w:spacing w:line="480" w:lineRule="auto"/>
      </w:pPr>
      <w:r>
        <w:lastRenderedPageBreak/>
        <w:t>Bibliography</w:t>
      </w:r>
    </w:p>
    <w:p w:rsidR="00222402" w:rsidRDefault="00222402" w:rsidP="00222402">
      <w:pPr>
        <w:spacing w:line="480" w:lineRule="auto"/>
      </w:pPr>
      <w:proofErr w:type="spellStart"/>
      <w:r w:rsidRPr="00222402">
        <w:t>Crabben</w:t>
      </w:r>
      <w:proofErr w:type="spellEnd"/>
      <w:r w:rsidRPr="00222402">
        <w:t>, J. (2018). World Map of Herodotus. [</w:t>
      </w:r>
      <w:proofErr w:type="gramStart"/>
      <w:r w:rsidRPr="00222402">
        <w:t>online</w:t>
      </w:r>
      <w:proofErr w:type="gramEnd"/>
      <w:r w:rsidRPr="00222402">
        <w:t xml:space="preserve">] Ancient History </w:t>
      </w:r>
      <w:proofErr w:type="spellStart"/>
      <w:r w:rsidRPr="00222402">
        <w:t>Encyclopedia</w:t>
      </w:r>
      <w:proofErr w:type="spellEnd"/>
      <w:r w:rsidRPr="00222402">
        <w:t xml:space="preserve">. Available at: https://www.ancient.eu/image/159/ [Accessed 19 Jan. 2018]. </w:t>
      </w:r>
    </w:p>
    <w:p w:rsidR="00222402" w:rsidRDefault="00222402" w:rsidP="00222402">
      <w:pPr>
        <w:spacing w:line="480" w:lineRule="auto"/>
      </w:pPr>
      <w:r>
        <w:t>Herodotus, Book 3</w:t>
      </w:r>
    </w:p>
    <w:p w:rsidR="00222402" w:rsidRDefault="00222402" w:rsidP="00222402">
      <w:pPr>
        <w:spacing w:line="480" w:lineRule="auto"/>
      </w:pPr>
      <w:proofErr w:type="spellStart"/>
      <w:r w:rsidRPr="00222402">
        <w:t>Majumdar</w:t>
      </w:r>
      <w:proofErr w:type="spellEnd"/>
      <w:r w:rsidRPr="00222402">
        <w:t>, R. (1981). The Classical Accounts of India. Calcutta: Firma KLM Private LTD.</w:t>
      </w:r>
    </w:p>
    <w:p w:rsidR="00413B5C" w:rsidRDefault="00413B5C" w:rsidP="00222402">
      <w:pPr>
        <w:spacing w:line="480" w:lineRule="auto"/>
      </w:pPr>
      <w:r w:rsidRPr="00413B5C">
        <w:t>Simmons, M. (1996). Himalayas offer clue to legend of gold digging ants. The New York Times.</w:t>
      </w:r>
      <w:bookmarkStart w:id="0" w:name="_GoBack"/>
      <w:bookmarkEnd w:id="0"/>
    </w:p>
    <w:p w:rsidR="00222402" w:rsidRPr="008A7F7C" w:rsidRDefault="00222402" w:rsidP="00222402">
      <w:pPr>
        <w:spacing w:line="480" w:lineRule="auto"/>
      </w:pPr>
    </w:p>
    <w:sectPr w:rsidR="00222402" w:rsidRPr="008A7F7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03CB" w:rsidRDefault="003903CB" w:rsidP="00F02451">
      <w:pPr>
        <w:spacing w:after="0" w:line="240" w:lineRule="auto"/>
      </w:pPr>
      <w:r>
        <w:separator/>
      </w:r>
    </w:p>
  </w:endnote>
  <w:endnote w:type="continuationSeparator" w:id="0">
    <w:p w:rsidR="003903CB" w:rsidRDefault="003903CB" w:rsidP="00F02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03CB" w:rsidRDefault="003903CB" w:rsidP="00F02451">
      <w:pPr>
        <w:spacing w:after="0" w:line="240" w:lineRule="auto"/>
      </w:pPr>
      <w:r>
        <w:separator/>
      </w:r>
    </w:p>
  </w:footnote>
  <w:footnote w:type="continuationSeparator" w:id="0">
    <w:p w:rsidR="003903CB" w:rsidRDefault="003903CB" w:rsidP="00F02451">
      <w:pPr>
        <w:spacing w:after="0" w:line="240" w:lineRule="auto"/>
      </w:pPr>
      <w:r>
        <w:continuationSeparator/>
      </w:r>
    </w:p>
  </w:footnote>
  <w:footnote w:id="1">
    <w:p w:rsidR="00F02451" w:rsidRDefault="00F02451">
      <w:pPr>
        <w:pStyle w:val="FootnoteText"/>
      </w:pPr>
      <w:r>
        <w:rPr>
          <w:rStyle w:val="FootnoteReference"/>
        </w:rPr>
        <w:footnoteRef/>
      </w:r>
      <w:r>
        <w:t xml:space="preserve"> </w:t>
      </w:r>
      <w:proofErr w:type="spellStart"/>
      <w:r w:rsidR="00222402" w:rsidRPr="00222402">
        <w:t>Majumdar</w:t>
      </w:r>
      <w:proofErr w:type="spellEnd"/>
      <w:r w:rsidR="00222402" w:rsidRPr="00222402">
        <w:t xml:space="preserve"> (1981)</w:t>
      </w:r>
    </w:p>
  </w:footnote>
  <w:footnote w:id="2">
    <w:p w:rsidR="0015181F" w:rsidRDefault="0015181F">
      <w:pPr>
        <w:pStyle w:val="FootnoteText"/>
      </w:pPr>
      <w:r>
        <w:rPr>
          <w:rStyle w:val="FootnoteReference"/>
        </w:rPr>
        <w:footnoteRef/>
      </w:r>
      <w:r>
        <w:t xml:space="preserve"> Her 3.104</w:t>
      </w:r>
    </w:p>
  </w:footnote>
  <w:footnote w:id="3">
    <w:p w:rsidR="0015181F" w:rsidRDefault="0015181F">
      <w:pPr>
        <w:pStyle w:val="FootnoteText"/>
      </w:pPr>
      <w:r>
        <w:rPr>
          <w:rStyle w:val="FootnoteReference"/>
        </w:rPr>
        <w:footnoteRef/>
      </w:r>
      <w:r>
        <w:t xml:space="preserve"> Her 3.104</w:t>
      </w:r>
    </w:p>
  </w:footnote>
  <w:footnote w:id="4">
    <w:p w:rsidR="000F1037" w:rsidRDefault="000F1037">
      <w:pPr>
        <w:pStyle w:val="FootnoteText"/>
      </w:pPr>
      <w:r>
        <w:rPr>
          <w:rStyle w:val="FootnoteReference"/>
        </w:rPr>
        <w:footnoteRef/>
      </w:r>
      <w:r>
        <w:t xml:space="preserve"> Her 3.12</w:t>
      </w:r>
    </w:p>
  </w:footnote>
  <w:footnote w:id="5">
    <w:p w:rsidR="000F1037" w:rsidRDefault="000F1037">
      <w:pPr>
        <w:pStyle w:val="FootnoteText"/>
      </w:pPr>
      <w:r>
        <w:rPr>
          <w:rStyle w:val="FootnoteReference"/>
        </w:rPr>
        <w:footnoteRef/>
      </w:r>
      <w:r>
        <w:t xml:space="preserve"> Her 3.12</w:t>
      </w:r>
    </w:p>
  </w:footnote>
  <w:footnote w:id="6">
    <w:p w:rsidR="000F1037" w:rsidRDefault="000F1037">
      <w:pPr>
        <w:pStyle w:val="FootnoteText"/>
      </w:pPr>
      <w:r>
        <w:rPr>
          <w:rStyle w:val="FootnoteReference"/>
        </w:rPr>
        <w:footnoteRef/>
      </w:r>
      <w:r>
        <w:t xml:space="preserve"> Her 3.12</w:t>
      </w:r>
    </w:p>
  </w:footnote>
  <w:footnote w:id="7">
    <w:p w:rsidR="008E5FF7" w:rsidRDefault="008E5FF7">
      <w:pPr>
        <w:pStyle w:val="FootnoteText"/>
      </w:pPr>
      <w:r>
        <w:rPr>
          <w:rStyle w:val="FootnoteReference"/>
        </w:rPr>
        <w:footnoteRef/>
      </w:r>
      <w:r>
        <w:t xml:space="preserve"> </w:t>
      </w:r>
      <w:proofErr w:type="spellStart"/>
      <w:r w:rsidR="00222402">
        <w:t>Crabben</w:t>
      </w:r>
      <w:proofErr w:type="spellEnd"/>
      <w:r w:rsidR="00222402">
        <w:t xml:space="preserve"> (2018)</w:t>
      </w:r>
    </w:p>
  </w:footnote>
  <w:footnote w:id="8">
    <w:p w:rsidR="00D235B8" w:rsidRDefault="00D235B8">
      <w:pPr>
        <w:pStyle w:val="FootnoteText"/>
      </w:pPr>
      <w:r>
        <w:rPr>
          <w:rStyle w:val="FootnoteReference"/>
        </w:rPr>
        <w:footnoteRef/>
      </w:r>
      <w:r>
        <w:t xml:space="preserve"> Her 3.102</w:t>
      </w:r>
    </w:p>
  </w:footnote>
  <w:footnote w:id="9">
    <w:p w:rsidR="00274EE9" w:rsidRDefault="00274EE9">
      <w:pPr>
        <w:pStyle w:val="FootnoteText"/>
      </w:pPr>
      <w:r>
        <w:rPr>
          <w:rStyle w:val="FootnoteReference"/>
        </w:rPr>
        <w:footnoteRef/>
      </w:r>
      <w:r>
        <w:t xml:space="preserve"> Simmons (1996)</w:t>
      </w:r>
    </w:p>
  </w:footnote>
  <w:footnote w:id="10">
    <w:p w:rsidR="00B14360" w:rsidRDefault="00B14360">
      <w:pPr>
        <w:pStyle w:val="FootnoteText"/>
      </w:pPr>
      <w:r>
        <w:rPr>
          <w:rStyle w:val="FootnoteReference"/>
        </w:rPr>
        <w:footnoteRef/>
      </w:r>
      <w:r>
        <w:t xml:space="preserve"> </w:t>
      </w:r>
      <w:proofErr w:type="spellStart"/>
      <w:r>
        <w:t>Hdt</w:t>
      </w:r>
      <w:proofErr w:type="spellEnd"/>
      <w:r>
        <w:t>. 3.116</w:t>
      </w:r>
    </w:p>
  </w:footnote>
  <w:footnote w:id="11">
    <w:p w:rsidR="008869FC" w:rsidRDefault="008869FC">
      <w:pPr>
        <w:pStyle w:val="FootnoteText"/>
      </w:pPr>
      <w:r>
        <w:rPr>
          <w:rStyle w:val="FootnoteReference"/>
        </w:rPr>
        <w:footnoteRef/>
      </w:r>
      <w:r>
        <w:t xml:space="preserve"> Ct. 45.26</w:t>
      </w:r>
    </w:p>
  </w:footnote>
  <w:footnote w:id="12">
    <w:p w:rsidR="00B14360" w:rsidRDefault="00B14360">
      <w:pPr>
        <w:pStyle w:val="FootnoteText"/>
      </w:pPr>
      <w:r>
        <w:rPr>
          <w:rStyle w:val="FootnoteReference"/>
        </w:rPr>
        <w:footnoteRef/>
      </w:r>
      <w:r>
        <w:t xml:space="preserve"> </w:t>
      </w:r>
      <w:proofErr w:type="spellStart"/>
      <w:r>
        <w:t>Hdt</w:t>
      </w:r>
      <w:proofErr w:type="spellEnd"/>
      <w:r>
        <w:t>. 3.116</w:t>
      </w:r>
    </w:p>
  </w:footnote>
  <w:footnote w:id="13">
    <w:p w:rsidR="008869FC" w:rsidRDefault="008869FC">
      <w:pPr>
        <w:pStyle w:val="FootnoteText"/>
      </w:pPr>
      <w:r>
        <w:rPr>
          <w:rStyle w:val="FootnoteReference"/>
        </w:rPr>
        <w:footnoteRef/>
      </w:r>
      <w:r>
        <w:t xml:space="preserve"> </w:t>
      </w:r>
      <w:proofErr w:type="spellStart"/>
      <w:r w:rsidR="00222402">
        <w:t>Crabben</w:t>
      </w:r>
      <w:proofErr w:type="spellEnd"/>
      <w:r w:rsidR="00222402">
        <w:t xml:space="preserve"> (2018)</w:t>
      </w:r>
    </w:p>
  </w:footnote>
  <w:footnote w:id="14">
    <w:p w:rsidR="00CE0A4D" w:rsidRDefault="00CE0A4D">
      <w:pPr>
        <w:pStyle w:val="FootnoteText"/>
      </w:pPr>
      <w:r>
        <w:rPr>
          <w:rStyle w:val="FootnoteReference"/>
        </w:rPr>
        <w:footnoteRef/>
      </w:r>
      <w:r>
        <w:t xml:space="preserve"> </w:t>
      </w:r>
      <w:proofErr w:type="spellStart"/>
      <w:r w:rsidR="00222402">
        <w:t>Majumdar</w:t>
      </w:r>
      <w:proofErr w:type="spellEnd"/>
      <w:r w:rsidR="00222402">
        <w:t xml:space="preserve"> (1981)</w:t>
      </w:r>
    </w:p>
  </w:footnote>
  <w:footnote w:id="15">
    <w:p w:rsidR="00CE0A4D" w:rsidRDefault="00CE0A4D">
      <w:pPr>
        <w:pStyle w:val="FootnoteText"/>
      </w:pPr>
      <w:r>
        <w:rPr>
          <w:rStyle w:val="FootnoteReference"/>
        </w:rPr>
        <w:footnoteRef/>
      </w:r>
      <w:r>
        <w:t xml:space="preserve"> </w:t>
      </w:r>
      <w:proofErr w:type="spellStart"/>
      <w:r>
        <w:t>Hdt</w:t>
      </w:r>
      <w:proofErr w:type="spellEnd"/>
      <w:r>
        <w:t>. 3.99</w:t>
      </w:r>
    </w:p>
  </w:footnote>
  <w:footnote w:id="16">
    <w:p w:rsidR="000C06EB" w:rsidRDefault="000C06EB">
      <w:pPr>
        <w:pStyle w:val="FootnoteText"/>
      </w:pPr>
      <w:r>
        <w:rPr>
          <w:rStyle w:val="FootnoteReference"/>
        </w:rPr>
        <w:footnoteRef/>
      </w:r>
      <w:r>
        <w:t xml:space="preserve"> </w:t>
      </w:r>
      <w:r w:rsidR="008254E8">
        <w:t>Wilford (2000)</w:t>
      </w:r>
    </w:p>
  </w:footnote>
  <w:footnote w:id="17">
    <w:p w:rsidR="00EF0467" w:rsidRDefault="00EF0467">
      <w:pPr>
        <w:pStyle w:val="FootnoteText"/>
      </w:pPr>
      <w:r>
        <w:rPr>
          <w:rStyle w:val="FootnoteReference"/>
        </w:rPr>
        <w:footnoteRef/>
      </w:r>
      <w:r>
        <w:t xml:space="preserve"> </w:t>
      </w:r>
      <w:proofErr w:type="spellStart"/>
      <w:r>
        <w:t>Hdt</w:t>
      </w:r>
      <w:proofErr w:type="spellEnd"/>
      <w:r>
        <w:t>. 3.100</w:t>
      </w:r>
    </w:p>
  </w:footnote>
  <w:footnote w:id="18">
    <w:p w:rsidR="008254E8" w:rsidRDefault="008254E8">
      <w:pPr>
        <w:pStyle w:val="FootnoteText"/>
      </w:pPr>
      <w:r>
        <w:rPr>
          <w:rStyle w:val="FootnoteReference"/>
        </w:rPr>
        <w:footnoteRef/>
      </w:r>
      <w:r>
        <w:t xml:space="preserve"> </w:t>
      </w:r>
      <w:proofErr w:type="spellStart"/>
      <w:r>
        <w:t>Hdt</w:t>
      </w:r>
      <w:proofErr w:type="spellEnd"/>
      <w:r>
        <w:t>. 3.100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3B5C" w:rsidRDefault="00413B5C">
    <w:pPr>
      <w:pStyle w:val="Header"/>
    </w:pPr>
    <w:r>
      <w:t>Kayleigh Cole 1502512</w:t>
    </w:r>
  </w:p>
  <w:p w:rsidR="00413B5C" w:rsidRDefault="00413B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F7C"/>
    <w:rsid w:val="000C06EB"/>
    <w:rsid w:val="000E6332"/>
    <w:rsid w:val="000F1037"/>
    <w:rsid w:val="0015181F"/>
    <w:rsid w:val="00222402"/>
    <w:rsid w:val="002514A9"/>
    <w:rsid w:val="00274EE9"/>
    <w:rsid w:val="00303A08"/>
    <w:rsid w:val="003903CB"/>
    <w:rsid w:val="00413B5C"/>
    <w:rsid w:val="00435905"/>
    <w:rsid w:val="005034F9"/>
    <w:rsid w:val="008254E8"/>
    <w:rsid w:val="008869FC"/>
    <w:rsid w:val="008A7F7C"/>
    <w:rsid w:val="008E5FF7"/>
    <w:rsid w:val="009061A6"/>
    <w:rsid w:val="00B14360"/>
    <w:rsid w:val="00CC2C2A"/>
    <w:rsid w:val="00CE0A4D"/>
    <w:rsid w:val="00D235B8"/>
    <w:rsid w:val="00EF0467"/>
    <w:rsid w:val="00F02451"/>
    <w:rsid w:val="00F16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C88820-0253-4C5F-B7D8-92EDAD8A2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024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2451"/>
    <w:rPr>
      <w:sz w:val="20"/>
      <w:szCs w:val="20"/>
    </w:rPr>
  </w:style>
  <w:style w:type="character" w:styleId="FootnoteReference">
    <w:name w:val="footnote reference"/>
    <w:basedOn w:val="DefaultParagraphFont"/>
    <w:uiPriority w:val="99"/>
    <w:semiHidden/>
    <w:unhideWhenUsed/>
    <w:rsid w:val="00F02451"/>
    <w:rPr>
      <w:vertAlign w:val="superscript"/>
    </w:rPr>
  </w:style>
  <w:style w:type="paragraph" w:styleId="Header">
    <w:name w:val="header"/>
    <w:basedOn w:val="Normal"/>
    <w:link w:val="HeaderChar"/>
    <w:uiPriority w:val="99"/>
    <w:unhideWhenUsed/>
    <w:rsid w:val="00413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B5C"/>
  </w:style>
  <w:style w:type="paragraph" w:styleId="Footer">
    <w:name w:val="footer"/>
    <w:basedOn w:val="Normal"/>
    <w:link w:val="FooterChar"/>
    <w:uiPriority w:val="99"/>
    <w:unhideWhenUsed/>
    <w:rsid w:val="00413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B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8195E-8111-4A23-A4CC-7DE85FB9C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7</Pages>
  <Words>1945</Words>
  <Characters>11092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Cole</dc:creator>
  <cp:keywords/>
  <dc:description/>
  <cp:lastModifiedBy>Kayleigh Cole</cp:lastModifiedBy>
  <cp:revision>1</cp:revision>
  <dcterms:created xsi:type="dcterms:W3CDTF">2018-01-19T09:48:00Z</dcterms:created>
  <dcterms:modified xsi:type="dcterms:W3CDTF">2018-01-19T15:28:00Z</dcterms:modified>
</cp:coreProperties>
</file>