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5CD6C" w14:textId="1EEB810F" w:rsidR="005130B3" w:rsidRDefault="002303B7">
      <w:r>
        <w:rPr>
          <w:rFonts w:ascii="&amp;quot" w:hAnsi="&amp;quot"/>
          <w:noProof/>
          <w:color w:val="BB1122"/>
          <w:sz w:val="21"/>
          <w:szCs w:val="21"/>
        </w:rPr>
        <w:drawing>
          <wp:anchor distT="0" distB="0" distL="114300" distR="114300" simplePos="0" relativeHeight="251659264" behindDoc="0" locked="0" layoutInCell="1" allowOverlap="1" wp14:anchorId="06B63BE1" wp14:editId="4BC2D3BF">
            <wp:simplePos x="0" y="0"/>
            <wp:positionH relativeFrom="margin">
              <wp:align>center</wp:align>
            </wp:positionH>
            <wp:positionV relativeFrom="paragraph">
              <wp:posOffset>152400</wp:posOffset>
            </wp:positionV>
            <wp:extent cx="3971925" cy="1588770"/>
            <wp:effectExtent l="0" t="0" r="9525" b="0"/>
            <wp:wrapSquare wrapText="bothSides"/>
            <wp:docPr id="2" name="Picture 2" descr="UW Trinity Saint David logo">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 Trinity Saint David logo">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71925" cy="15887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954420" w14:textId="175FBB7E" w:rsidR="002303B7" w:rsidRDefault="002303B7"/>
    <w:p w14:paraId="46065B5E" w14:textId="0D8403F0" w:rsidR="002303B7" w:rsidRDefault="002303B7" w:rsidP="002303B7">
      <w:pPr>
        <w:tabs>
          <w:tab w:val="left" w:pos="2820"/>
        </w:tabs>
      </w:pPr>
      <w:r>
        <w:tab/>
      </w:r>
    </w:p>
    <w:p w14:paraId="06D8481C" w14:textId="35B510DF" w:rsidR="002303B7" w:rsidRDefault="002303B7"/>
    <w:p w14:paraId="3642765C" w14:textId="30FE1800" w:rsidR="002303B7" w:rsidRDefault="002303B7"/>
    <w:p w14:paraId="1A0C9E00" w14:textId="728AC9B5" w:rsidR="002303B7" w:rsidRDefault="002303B7"/>
    <w:p w14:paraId="7BF27FEA" w14:textId="21223004" w:rsidR="002303B7" w:rsidRDefault="002303B7"/>
    <w:p w14:paraId="3798D49B" w14:textId="7D211F43" w:rsidR="002303B7" w:rsidRDefault="002303B7"/>
    <w:p w14:paraId="7AB94F30" w14:textId="321FDC66" w:rsidR="002303B7" w:rsidRDefault="002303B7"/>
    <w:p w14:paraId="0B57078E" w14:textId="24C9858A" w:rsidR="002303B7" w:rsidRDefault="002303B7"/>
    <w:p w14:paraId="6214C663" w14:textId="520BBA33" w:rsidR="002303B7" w:rsidRDefault="002303B7"/>
    <w:p w14:paraId="26F3287F" w14:textId="59654E2D" w:rsidR="002303B7" w:rsidRDefault="002303B7"/>
    <w:p w14:paraId="2FCBB329" w14:textId="1C655F5F" w:rsidR="002303B7" w:rsidRPr="008D2581" w:rsidRDefault="008D2581" w:rsidP="008D2581">
      <w:pPr>
        <w:tabs>
          <w:tab w:val="left" w:pos="4035"/>
        </w:tabs>
        <w:rPr>
          <w:b/>
          <w:sz w:val="32"/>
          <w:szCs w:val="32"/>
        </w:rPr>
      </w:pPr>
      <w:r>
        <w:t xml:space="preserve">                                                       </w:t>
      </w:r>
      <w:r w:rsidRPr="008D2581">
        <w:rPr>
          <w:b/>
          <w:sz w:val="32"/>
          <w:szCs w:val="32"/>
        </w:rPr>
        <w:t xml:space="preserve">Assignment one </w:t>
      </w:r>
    </w:p>
    <w:p w14:paraId="5A335201" w14:textId="283C321A" w:rsidR="002303B7" w:rsidRDefault="002303B7" w:rsidP="002303B7">
      <w:pPr>
        <w:spacing w:before="120" w:after="120"/>
        <w:rPr>
          <w:rFonts w:asciiTheme="majorHAnsi" w:hAnsiTheme="majorHAnsi" w:cs="Arial"/>
          <w:b/>
          <w:sz w:val="40"/>
          <w:szCs w:val="40"/>
        </w:rPr>
      </w:pPr>
      <w:r>
        <w:t xml:space="preserve">                      </w:t>
      </w:r>
      <w:r w:rsidRPr="00E82574">
        <w:rPr>
          <w:rFonts w:asciiTheme="majorHAnsi" w:hAnsiTheme="majorHAnsi" w:cs="Arial"/>
          <w:b/>
          <w:sz w:val="40"/>
          <w:szCs w:val="40"/>
          <w:lang w:eastAsia="en-US"/>
        </w:rPr>
        <w:t>Social Policy in Health and Social Care</w:t>
      </w:r>
    </w:p>
    <w:p w14:paraId="20AF4606" w14:textId="00B8C405" w:rsidR="008D2581" w:rsidRDefault="002303B7" w:rsidP="002303B7">
      <w:pPr>
        <w:spacing w:before="120" w:after="120"/>
        <w:rPr>
          <w:rFonts w:asciiTheme="majorHAnsi" w:hAnsiTheme="majorHAnsi" w:cs="Arial"/>
          <w:b/>
          <w:sz w:val="40"/>
          <w:szCs w:val="40"/>
          <w:lang w:eastAsia="en-US"/>
        </w:rPr>
      </w:pPr>
      <w:r>
        <w:rPr>
          <w:rFonts w:asciiTheme="majorHAnsi" w:hAnsiTheme="majorHAnsi" w:cs="Arial"/>
          <w:b/>
          <w:sz w:val="40"/>
          <w:szCs w:val="40"/>
        </w:rPr>
        <w:t xml:space="preserve">                </w:t>
      </w:r>
      <w:r w:rsidRPr="00E82574">
        <w:rPr>
          <w:rFonts w:asciiTheme="majorHAnsi" w:hAnsiTheme="majorHAnsi" w:cs="Arial"/>
          <w:b/>
          <w:sz w:val="40"/>
          <w:szCs w:val="40"/>
          <w:lang w:eastAsia="en-US"/>
        </w:rPr>
        <w:t>Presentation and Supporting Pape</w:t>
      </w:r>
      <w:r w:rsidR="008D2581">
        <w:rPr>
          <w:rFonts w:asciiTheme="majorHAnsi" w:hAnsiTheme="majorHAnsi" w:cs="Arial"/>
          <w:b/>
          <w:sz w:val="40"/>
          <w:szCs w:val="40"/>
          <w:lang w:eastAsia="en-US"/>
        </w:rPr>
        <w:t>r</w:t>
      </w:r>
    </w:p>
    <w:p w14:paraId="5535582B" w14:textId="3A46539A" w:rsidR="008D2581" w:rsidRPr="008D2581" w:rsidRDefault="008D2581" w:rsidP="002303B7">
      <w:pPr>
        <w:spacing w:before="120" w:after="120"/>
        <w:rPr>
          <w:rFonts w:asciiTheme="majorHAnsi" w:hAnsiTheme="majorHAnsi" w:cs="Arial"/>
          <w:b/>
          <w:sz w:val="22"/>
          <w:szCs w:val="22"/>
          <w:lang w:eastAsia="en-US"/>
        </w:rPr>
      </w:pPr>
      <w:r>
        <w:rPr>
          <w:rFonts w:asciiTheme="majorHAnsi" w:hAnsiTheme="majorHAnsi" w:cs="Arial"/>
          <w:b/>
          <w:sz w:val="40"/>
          <w:szCs w:val="40"/>
          <w:lang w:eastAsia="en-US"/>
        </w:rPr>
        <w:t xml:space="preserve">     </w:t>
      </w:r>
      <w:r w:rsidRPr="008D2581">
        <w:rPr>
          <w:rFonts w:asciiTheme="majorHAnsi" w:hAnsiTheme="majorHAnsi" w:cs="Arial"/>
          <w:b/>
          <w:sz w:val="32"/>
          <w:szCs w:val="32"/>
          <w:lang w:eastAsia="en-US"/>
        </w:rPr>
        <w:t xml:space="preserve">     </w:t>
      </w:r>
      <w:r>
        <w:rPr>
          <w:rFonts w:asciiTheme="majorHAnsi" w:hAnsiTheme="majorHAnsi" w:cs="Arial"/>
          <w:b/>
          <w:sz w:val="32"/>
          <w:szCs w:val="32"/>
          <w:lang w:eastAsia="en-US"/>
        </w:rPr>
        <w:t xml:space="preserve">               </w:t>
      </w:r>
      <w:r w:rsidRPr="008D2581">
        <w:rPr>
          <w:rFonts w:asciiTheme="majorHAnsi" w:hAnsiTheme="majorHAnsi" w:cs="Arial"/>
          <w:b/>
          <w:sz w:val="32"/>
          <w:szCs w:val="32"/>
          <w:lang w:eastAsia="en-US"/>
        </w:rPr>
        <w:t xml:space="preserve"> Benjamin Duxbury </w:t>
      </w:r>
      <w:r>
        <w:rPr>
          <w:rFonts w:asciiTheme="majorHAnsi" w:hAnsiTheme="majorHAnsi" w:cs="Arial"/>
          <w:b/>
          <w:sz w:val="22"/>
          <w:szCs w:val="22"/>
          <w:lang w:eastAsia="en-US"/>
        </w:rPr>
        <w:t xml:space="preserve">     </w:t>
      </w:r>
      <w:r>
        <w:rPr>
          <w:rFonts w:asciiTheme="majorHAnsi" w:hAnsiTheme="majorHAnsi" w:cs="Arial"/>
          <w:b/>
          <w:sz w:val="40"/>
          <w:szCs w:val="40"/>
          <w:lang w:eastAsia="en-US"/>
        </w:rPr>
        <w:t xml:space="preserve"> </w:t>
      </w:r>
      <w:r w:rsidRPr="008D2581">
        <w:rPr>
          <w:rFonts w:asciiTheme="majorHAnsi" w:hAnsiTheme="majorHAnsi" w:cs="Arial"/>
          <w:b/>
          <w:sz w:val="32"/>
          <w:szCs w:val="32"/>
        </w:rPr>
        <w:t>BMHP4002</w:t>
      </w:r>
    </w:p>
    <w:p w14:paraId="64630605" w14:textId="77777777" w:rsidR="008D2581" w:rsidRDefault="002303B7" w:rsidP="002303B7">
      <w:pPr>
        <w:spacing w:before="120" w:after="120"/>
        <w:rPr>
          <w:rFonts w:asciiTheme="majorHAnsi" w:hAnsiTheme="majorHAnsi" w:cs="Arial"/>
          <w:b/>
          <w:sz w:val="40"/>
          <w:szCs w:val="40"/>
        </w:rPr>
      </w:pPr>
      <w:r>
        <w:rPr>
          <w:rFonts w:asciiTheme="majorHAnsi" w:hAnsiTheme="majorHAnsi" w:cs="Arial"/>
          <w:b/>
          <w:sz w:val="40"/>
          <w:szCs w:val="40"/>
        </w:rPr>
        <w:t xml:space="preserve">        </w:t>
      </w:r>
    </w:p>
    <w:p w14:paraId="5D2DB05B" w14:textId="77777777" w:rsidR="008D2581" w:rsidRDefault="008D2581" w:rsidP="002303B7">
      <w:pPr>
        <w:spacing w:before="120" w:after="120"/>
        <w:rPr>
          <w:rFonts w:asciiTheme="majorHAnsi" w:hAnsiTheme="majorHAnsi" w:cs="Arial"/>
          <w:b/>
          <w:sz w:val="40"/>
          <w:szCs w:val="40"/>
        </w:rPr>
      </w:pPr>
    </w:p>
    <w:p w14:paraId="6649E283" w14:textId="4C8924E6" w:rsidR="002303B7" w:rsidRDefault="008D2581" w:rsidP="002303B7">
      <w:pPr>
        <w:spacing w:before="120" w:after="120"/>
        <w:rPr>
          <w:rFonts w:asciiTheme="majorHAnsi" w:hAnsiTheme="majorHAnsi" w:cs="Arial"/>
          <w:b/>
          <w:sz w:val="40"/>
          <w:szCs w:val="40"/>
        </w:rPr>
      </w:pPr>
      <w:r>
        <w:rPr>
          <w:rFonts w:asciiTheme="majorHAnsi" w:hAnsiTheme="majorHAnsi" w:cs="Arial"/>
          <w:b/>
          <w:sz w:val="40"/>
          <w:szCs w:val="40"/>
        </w:rPr>
        <w:t xml:space="preserve">            </w:t>
      </w:r>
      <w:r w:rsidR="002303B7">
        <w:rPr>
          <w:rFonts w:asciiTheme="majorHAnsi" w:hAnsiTheme="majorHAnsi" w:cs="Arial"/>
          <w:b/>
          <w:sz w:val="40"/>
          <w:szCs w:val="40"/>
        </w:rPr>
        <w:t>Abbie Hill, Siriol Thomas and B</w:t>
      </w:r>
      <w:r w:rsidR="005526AA">
        <w:rPr>
          <w:rFonts w:asciiTheme="majorHAnsi" w:hAnsiTheme="majorHAnsi" w:cs="Arial"/>
          <w:b/>
          <w:sz w:val="40"/>
          <w:szCs w:val="40"/>
        </w:rPr>
        <w:t>ra</w:t>
      </w:r>
      <w:r w:rsidR="00120CA2">
        <w:rPr>
          <w:rFonts w:asciiTheme="majorHAnsi" w:hAnsiTheme="majorHAnsi" w:cs="Arial"/>
          <w:b/>
          <w:sz w:val="40"/>
          <w:szCs w:val="40"/>
        </w:rPr>
        <w:t>nca</w:t>
      </w:r>
      <w:r w:rsidR="002303B7">
        <w:rPr>
          <w:rFonts w:asciiTheme="majorHAnsi" w:hAnsiTheme="majorHAnsi" w:cs="Arial"/>
          <w:b/>
          <w:sz w:val="40"/>
          <w:szCs w:val="40"/>
        </w:rPr>
        <w:t xml:space="preserve"> Lopes</w:t>
      </w:r>
    </w:p>
    <w:p w14:paraId="51168296" w14:textId="679C9D51" w:rsidR="002303B7" w:rsidRDefault="002303B7"/>
    <w:p w14:paraId="7E4C0AAF" w14:textId="4642C8BF" w:rsidR="002303B7" w:rsidRDefault="002303B7"/>
    <w:p w14:paraId="0B1C13E4" w14:textId="4F33D6C3" w:rsidR="002303B7" w:rsidRDefault="002303B7"/>
    <w:p w14:paraId="12C2D4E1" w14:textId="576D6DA4" w:rsidR="002303B7" w:rsidRDefault="002303B7"/>
    <w:p w14:paraId="1C14055F" w14:textId="471ECA5A" w:rsidR="002303B7" w:rsidRDefault="002303B7"/>
    <w:p w14:paraId="0345CB6C" w14:textId="279990DA" w:rsidR="002303B7" w:rsidRDefault="002303B7"/>
    <w:p w14:paraId="4956D1E4" w14:textId="22BEE861" w:rsidR="002303B7" w:rsidRDefault="002303B7"/>
    <w:p w14:paraId="10E58ED5" w14:textId="51A540B1" w:rsidR="002303B7" w:rsidRDefault="002303B7"/>
    <w:p w14:paraId="4BAFB2CC" w14:textId="2E6B168D" w:rsidR="002303B7" w:rsidRDefault="002303B7"/>
    <w:p w14:paraId="5D4CDBEA" w14:textId="689D7ECA" w:rsidR="002303B7" w:rsidRDefault="002303B7"/>
    <w:p w14:paraId="7D1602F7" w14:textId="507CBA09" w:rsidR="002303B7" w:rsidRDefault="002303B7"/>
    <w:p w14:paraId="5BF9D24B" w14:textId="1A057E16" w:rsidR="002303B7" w:rsidRDefault="002303B7"/>
    <w:p w14:paraId="5FC2C89D" w14:textId="4E9718D5" w:rsidR="002303B7" w:rsidRDefault="002303B7"/>
    <w:p w14:paraId="15A08F81" w14:textId="4BADFF76" w:rsidR="002303B7" w:rsidRDefault="002303B7"/>
    <w:p w14:paraId="6D2E2329" w14:textId="1E07DF2C" w:rsidR="002303B7" w:rsidRDefault="002303B7"/>
    <w:p w14:paraId="2F095774" w14:textId="146CC706" w:rsidR="002303B7" w:rsidRDefault="002303B7"/>
    <w:p w14:paraId="2C1BE867" w14:textId="45AF8C3D" w:rsidR="002303B7" w:rsidRDefault="002303B7"/>
    <w:p w14:paraId="7AA3CB4F" w14:textId="78BB9D04" w:rsidR="002303B7" w:rsidRDefault="002303B7"/>
    <w:p w14:paraId="5083A474" w14:textId="6548D5AC" w:rsidR="002303B7" w:rsidRDefault="002303B7"/>
    <w:p w14:paraId="363A1807" w14:textId="6DB897A3" w:rsidR="002303B7" w:rsidRDefault="002303B7"/>
    <w:p w14:paraId="1CD6751D" w14:textId="77777777" w:rsidR="005130B3" w:rsidRDefault="005130B3"/>
    <w:p w14:paraId="30FBF45D" w14:textId="2ABB42D4" w:rsidR="00100124" w:rsidRPr="00100124" w:rsidRDefault="00100124">
      <w:pPr>
        <w:rPr>
          <w:rFonts w:ascii="Arial" w:eastAsia="Arial" w:hAnsi="Arial" w:cs="Arial"/>
          <w:b/>
          <w:color w:val="000000"/>
          <w:sz w:val="40"/>
          <w:szCs w:val="40"/>
        </w:rPr>
      </w:pPr>
      <w:r w:rsidRPr="00100124">
        <w:rPr>
          <w:rFonts w:ascii="Arial" w:eastAsia="Arial" w:hAnsi="Arial" w:cs="Arial"/>
          <w:b/>
          <w:color w:val="000000"/>
          <w:sz w:val="40"/>
          <w:szCs w:val="40"/>
        </w:rPr>
        <w:lastRenderedPageBreak/>
        <w:t>Human rights act 1998</w:t>
      </w:r>
    </w:p>
    <w:p w14:paraId="75F8EBA6" w14:textId="68B2B1E9" w:rsidR="00FF7BED" w:rsidRDefault="00100124">
      <w:pPr>
        <w:rPr>
          <w:rFonts w:ascii="Arial" w:eastAsia="Arial" w:hAnsi="Arial" w:cs="Arial"/>
          <w:b/>
          <w:color w:val="000000"/>
          <w:sz w:val="32"/>
          <w:szCs w:val="32"/>
        </w:rPr>
      </w:pPr>
      <w:r w:rsidRPr="00100124">
        <w:rPr>
          <w:rFonts w:ascii="Arial" w:eastAsia="Arial" w:hAnsi="Arial" w:cs="Arial"/>
          <w:b/>
          <w:color w:val="000000"/>
          <w:sz w:val="32"/>
          <w:szCs w:val="32"/>
        </w:rPr>
        <w:t xml:space="preserve">Table of contents </w:t>
      </w:r>
    </w:p>
    <w:p w14:paraId="2A602C3C" w14:textId="468DC58D" w:rsidR="00100124" w:rsidRDefault="00100124">
      <w:pPr>
        <w:rPr>
          <w:rFonts w:ascii="Arial" w:eastAsia="Arial" w:hAnsi="Arial" w:cs="Arial"/>
          <w:b/>
          <w:color w:val="000000"/>
          <w:sz w:val="32"/>
          <w:szCs w:val="32"/>
        </w:rPr>
      </w:pPr>
    </w:p>
    <w:p w14:paraId="47E07E33" w14:textId="3296FAC2" w:rsidR="00100124" w:rsidRDefault="00100124">
      <w:pPr>
        <w:rPr>
          <w:rFonts w:ascii="Arial" w:eastAsia="Arial" w:hAnsi="Arial" w:cs="Arial"/>
          <w:b/>
          <w:color w:val="000000"/>
          <w:sz w:val="32"/>
          <w:szCs w:val="32"/>
        </w:rPr>
      </w:pPr>
      <w:r>
        <w:rPr>
          <w:rFonts w:ascii="Arial" w:eastAsia="Arial" w:hAnsi="Arial" w:cs="Arial"/>
          <w:b/>
          <w:color w:val="000000"/>
          <w:sz w:val="32"/>
          <w:szCs w:val="32"/>
        </w:rPr>
        <w:t xml:space="preserve">Introduction </w:t>
      </w:r>
    </w:p>
    <w:p w14:paraId="40D548DA" w14:textId="77777777" w:rsidR="009D4AB8" w:rsidRDefault="00100124" w:rsidP="00100124">
      <w:pPr>
        <w:pStyle w:val="ListParagraph"/>
        <w:numPr>
          <w:ilvl w:val="0"/>
          <w:numId w:val="2"/>
        </w:numPr>
        <w:rPr>
          <w:rFonts w:ascii="Arial" w:eastAsia="Arial" w:hAnsi="Arial" w:cs="Arial"/>
          <w:color w:val="000000"/>
          <w:sz w:val="32"/>
          <w:szCs w:val="32"/>
        </w:rPr>
      </w:pPr>
      <w:r w:rsidRPr="00100124">
        <w:rPr>
          <w:rFonts w:ascii="Arial" w:eastAsia="Arial" w:hAnsi="Arial" w:cs="Arial"/>
          <w:color w:val="000000"/>
          <w:sz w:val="32"/>
          <w:szCs w:val="32"/>
        </w:rPr>
        <w:t>What the assignment will include</w:t>
      </w:r>
    </w:p>
    <w:p w14:paraId="651EA80F" w14:textId="398F62C3" w:rsidR="00100124" w:rsidRPr="00100124" w:rsidRDefault="009D4AB8" w:rsidP="00100124">
      <w:pPr>
        <w:pStyle w:val="ListParagraph"/>
        <w:numPr>
          <w:ilvl w:val="0"/>
          <w:numId w:val="2"/>
        </w:numPr>
        <w:rPr>
          <w:rFonts w:ascii="Arial" w:eastAsia="Arial" w:hAnsi="Arial" w:cs="Arial"/>
          <w:color w:val="000000"/>
          <w:sz w:val="32"/>
          <w:szCs w:val="32"/>
        </w:rPr>
      </w:pPr>
      <w:r>
        <w:rPr>
          <w:rFonts w:ascii="Arial" w:eastAsia="Arial" w:hAnsi="Arial" w:cs="Arial"/>
          <w:color w:val="000000"/>
          <w:sz w:val="32"/>
          <w:szCs w:val="32"/>
        </w:rPr>
        <w:t xml:space="preserve">Social policy </w:t>
      </w:r>
      <w:r w:rsidR="00AE537E">
        <w:rPr>
          <w:rFonts w:ascii="Arial" w:eastAsia="Arial" w:hAnsi="Arial" w:cs="Arial"/>
          <w:color w:val="000000"/>
          <w:sz w:val="32"/>
          <w:szCs w:val="32"/>
        </w:rPr>
        <w:t xml:space="preserve">               </w:t>
      </w:r>
    </w:p>
    <w:p w14:paraId="64B84B91" w14:textId="37BE1B4B" w:rsidR="00100124" w:rsidRDefault="00100124" w:rsidP="00100124">
      <w:pPr>
        <w:rPr>
          <w:rFonts w:ascii="Arial" w:eastAsia="Arial" w:hAnsi="Arial" w:cs="Arial"/>
          <w:b/>
          <w:color w:val="000000"/>
          <w:sz w:val="32"/>
          <w:szCs w:val="32"/>
        </w:rPr>
      </w:pPr>
    </w:p>
    <w:p w14:paraId="1329DAED" w14:textId="7155E9DE" w:rsidR="00100124" w:rsidRDefault="00100124" w:rsidP="00100124">
      <w:pPr>
        <w:rPr>
          <w:rFonts w:ascii="Arial" w:eastAsia="Arial" w:hAnsi="Arial" w:cs="Arial"/>
          <w:b/>
          <w:color w:val="000000"/>
          <w:sz w:val="32"/>
          <w:szCs w:val="32"/>
        </w:rPr>
      </w:pPr>
      <w:r>
        <w:rPr>
          <w:rFonts w:ascii="Arial" w:eastAsia="Arial" w:hAnsi="Arial" w:cs="Arial"/>
          <w:b/>
          <w:color w:val="000000"/>
          <w:sz w:val="32"/>
          <w:szCs w:val="32"/>
        </w:rPr>
        <w:t>Human rights act 1998</w:t>
      </w:r>
    </w:p>
    <w:p w14:paraId="07F9EFA0" w14:textId="095F9D32" w:rsidR="00100124" w:rsidRPr="00100124" w:rsidRDefault="00100124" w:rsidP="00100124">
      <w:pPr>
        <w:pStyle w:val="ListParagraph"/>
        <w:numPr>
          <w:ilvl w:val="0"/>
          <w:numId w:val="2"/>
        </w:numPr>
        <w:rPr>
          <w:rFonts w:ascii="Arial" w:eastAsia="Arial" w:hAnsi="Arial" w:cs="Arial"/>
          <w:color w:val="000000"/>
          <w:sz w:val="32"/>
          <w:szCs w:val="32"/>
        </w:rPr>
      </w:pPr>
      <w:r w:rsidRPr="00100124">
        <w:rPr>
          <w:rFonts w:ascii="Arial" w:eastAsia="Arial" w:hAnsi="Arial" w:cs="Arial"/>
          <w:color w:val="000000"/>
          <w:sz w:val="32"/>
          <w:szCs w:val="32"/>
        </w:rPr>
        <w:t xml:space="preserve">Introduction to the human rights act </w:t>
      </w:r>
      <w:r w:rsidR="00AE537E">
        <w:rPr>
          <w:rFonts w:ascii="Arial" w:eastAsia="Arial" w:hAnsi="Arial" w:cs="Arial"/>
          <w:color w:val="000000"/>
          <w:sz w:val="32"/>
          <w:szCs w:val="32"/>
        </w:rPr>
        <w:t xml:space="preserve">                 </w:t>
      </w:r>
    </w:p>
    <w:p w14:paraId="63E164CF" w14:textId="6D77009E" w:rsidR="00100124" w:rsidRDefault="00100124" w:rsidP="00100124">
      <w:pPr>
        <w:pStyle w:val="ListParagraph"/>
        <w:numPr>
          <w:ilvl w:val="0"/>
          <w:numId w:val="2"/>
        </w:numPr>
        <w:rPr>
          <w:rFonts w:ascii="Arial" w:eastAsia="Arial" w:hAnsi="Arial" w:cs="Arial"/>
          <w:color w:val="000000"/>
          <w:sz w:val="32"/>
          <w:szCs w:val="32"/>
        </w:rPr>
      </w:pPr>
      <w:r w:rsidRPr="00100124">
        <w:rPr>
          <w:rFonts w:ascii="Arial" w:eastAsia="Arial" w:hAnsi="Arial" w:cs="Arial"/>
          <w:color w:val="000000"/>
          <w:sz w:val="32"/>
          <w:szCs w:val="32"/>
        </w:rPr>
        <w:t xml:space="preserve">Why the human rights act is important? </w:t>
      </w:r>
      <w:r w:rsidR="00AE537E">
        <w:rPr>
          <w:rFonts w:ascii="Arial" w:eastAsia="Arial" w:hAnsi="Arial" w:cs="Arial"/>
          <w:color w:val="000000"/>
          <w:sz w:val="32"/>
          <w:szCs w:val="32"/>
        </w:rPr>
        <w:t xml:space="preserve">           </w:t>
      </w:r>
    </w:p>
    <w:p w14:paraId="76D1E89B" w14:textId="54D43EB8" w:rsidR="00100124" w:rsidRDefault="00100124" w:rsidP="00100124">
      <w:pPr>
        <w:pStyle w:val="ListParagraph"/>
        <w:numPr>
          <w:ilvl w:val="0"/>
          <w:numId w:val="2"/>
        </w:numPr>
        <w:rPr>
          <w:rFonts w:ascii="Arial" w:eastAsia="Arial" w:hAnsi="Arial" w:cs="Arial"/>
          <w:color w:val="000000"/>
          <w:sz w:val="32"/>
          <w:szCs w:val="32"/>
        </w:rPr>
      </w:pPr>
      <w:r>
        <w:rPr>
          <w:rFonts w:ascii="Arial" w:eastAsia="Arial" w:hAnsi="Arial" w:cs="Arial"/>
          <w:color w:val="000000"/>
          <w:sz w:val="32"/>
          <w:szCs w:val="32"/>
        </w:rPr>
        <w:t xml:space="preserve">Purpose of the act </w:t>
      </w:r>
      <w:r w:rsidR="00AE537E">
        <w:rPr>
          <w:rFonts w:ascii="Arial" w:eastAsia="Arial" w:hAnsi="Arial" w:cs="Arial"/>
          <w:color w:val="000000"/>
          <w:sz w:val="32"/>
          <w:szCs w:val="32"/>
        </w:rPr>
        <w:t xml:space="preserve">                                            </w:t>
      </w:r>
    </w:p>
    <w:p w14:paraId="376390AD" w14:textId="6CD57AC8" w:rsidR="00AE537E" w:rsidRDefault="00AE537E" w:rsidP="00100124">
      <w:pPr>
        <w:pStyle w:val="ListParagraph"/>
        <w:numPr>
          <w:ilvl w:val="0"/>
          <w:numId w:val="2"/>
        </w:numPr>
        <w:rPr>
          <w:rFonts w:ascii="Arial" w:eastAsia="Arial" w:hAnsi="Arial" w:cs="Arial"/>
          <w:color w:val="000000"/>
          <w:sz w:val="32"/>
          <w:szCs w:val="32"/>
        </w:rPr>
      </w:pPr>
      <w:r>
        <w:rPr>
          <w:rFonts w:ascii="Arial" w:eastAsia="Arial" w:hAnsi="Arial" w:cs="Arial"/>
          <w:color w:val="000000"/>
          <w:sz w:val="32"/>
          <w:szCs w:val="32"/>
        </w:rPr>
        <w:t xml:space="preserve">conclusion                                                         </w:t>
      </w:r>
    </w:p>
    <w:p w14:paraId="03A66149" w14:textId="574A535C" w:rsidR="00100124" w:rsidRDefault="00100124" w:rsidP="00100124">
      <w:pPr>
        <w:rPr>
          <w:rFonts w:ascii="Arial" w:eastAsia="Arial" w:hAnsi="Arial" w:cs="Arial"/>
          <w:color w:val="000000"/>
          <w:sz w:val="32"/>
          <w:szCs w:val="32"/>
        </w:rPr>
      </w:pPr>
    </w:p>
    <w:p w14:paraId="596CE4B6" w14:textId="3863D6A8" w:rsidR="00100124" w:rsidRDefault="00100124" w:rsidP="00100124">
      <w:pPr>
        <w:rPr>
          <w:rFonts w:ascii="Arial" w:eastAsia="Arial" w:hAnsi="Arial" w:cs="Arial"/>
          <w:b/>
          <w:color w:val="000000"/>
          <w:sz w:val="32"/>
          <w:szCs w:val="32"/>
        </w:rPr>
      </w:pPr>
      <w:r w:rsidRPr="00100124">
        <w:rPr>
          <w:rFonts w:ascii="Arial" w:eastAsia="Arial" w:hAnsi="Arial" w:cs="Arial"/>
          <w:b/>
          <w:color w:val="000000"/>
          <w:sz w:val="32"/>
          <w:szCs w:val="32"/>
        </w:rPr>
        <w:t xml:space="preserve">Human rights during world war 2 </w:t>
      </w:r>
    </w:p>
    <w:p w14:paraId="692EBB34" w14:textId="77CC1F30" w:rsidR="00100124" w:rsidRPr="00AE537E" w:rsidRDefault="00AE537E" w:rsidP="00100124">
      <w:pPr>
        <w:pStyle w:val="ListParagraph"/>
        <w:numPr>
          <w:ilvl w:val="0"/>
          <w:numId w:val="2"/>
        </w:numPr>
        <w:rPr>
          <w:rFonts w:ascii="Arial" w:eastAsia="Arial" w:hAnsi="Arial" w:cs="Arial"/>
          <w:color w:val="000000"/>
          <w:sz w:val="32"/>
          <w:szCs w:val="32"/>
        </w:rPr>
      </w:pPr>
      <w:r w:rsidRPr="00AE537E">
        <w:rPr>
          <w:rFonts w:ascii="Arial" w:eastAsia="Arial" w:hAnsi="Arial" w:cs="Arial"/>
          <w:color w:val="000000"/>
          <w:sz w:val="32"/>
          <w:szCs w:val="32"/>
        </w:rPr>
        <w:t xml:space="preserve">Rise of Hitler </w:t>
      </w:r>
      <w:r>
        <w:rPr>
          <w:rFonts w:ascii="Arial" w:eastAsia="Arial" w:hAnsi="Arial" w:cs="Arial"/>
          <w:color w:val="000000"/>
          <w:sz w:val="32"/>
          <w:szCs w:val="32"/>
        </w:rPr>
        <w:t xml:space="preserve">                                                    </w:t>
      </w:r>
    </w:p>
    <w:p w14:paraId="68979855" w14:textId="4050D36F" w:rsidR="00AE537E" w:rsidRPr="00AE537E" w:rsidRDefault="00AE537E" w:rsidP="00100124">
      <w:pPr>
        <w:pStyle w:val="ListParagraph"/>
        <w:numPr>
          <w:ilvl w:val="0"/>
          <w:numId w:val="2"/>
        </w:numPr>
        <w:rPr>
          <w:rFonts w:ascii="Arial" w:eastAsia="Arial" w:hAnsi="Arial" w:cs="Arial"/>
          <w:color w:val="000000"/>
          <w:sz w:val="32"/>
          <w:szCs w:val="32"/>
        </w:rPr>
      </w:pPr>
      <w:r w:rsidRPr="00AE537E">
        <w:rPr>
          <w:rFonts w:ascii="Arial" w:eastAsia="Arial" w:hAnsi="Arial" w:cs="Arial"/>
          <w:color w:val="000000"/>
          <w:sz w:val="32"/>
          <w:szCs w:val="32"/>
        </w:rPr>
        <w:t xml:space="preserve">The Nazi party </w:t>
      </w:r>
      <w:r>
        <w:rPr>
          <w:rFonts w:ascii="Arial" w:eastAsia="Arial" w:hAnsi="Arial" w:cs="Arial"/>
          <w:color w:val="000000"/>
          <w:sz w:val="32"/>
          <w:szCs w:val="32"/>
        </w:rPr>
        <w:t xml:space="preserve">                                                 </w:t>
      </w:r>
    </w:p>
    <w:p w14:paraId="452EBAC1" w14:textId="25982B26" w:rsidR="00AE537E" w:rsidRPr="00AE537E" w:rsidRDefault="00AE537E" w:rsidP="00AE537E">
      <w:pPr>
        <w:pStyle w:val="ListParagraph"/>
        <w:numPr>
          <w:ilvl w:val="0"/>
          <w:numId w:val="2"/>
        </w:numPr>
        <w:rPr>
          <w:rFonts w:ascii="Arial" w:eastAsia="Arial" w:hAnsi="Arial" w:cs="Arial"/>
          <w:color w:val="000000"/>
          <w:sz w:val="32"/>
          <w:szCs w:val="32"/>
        </w:rPr>
      </w:pPr>
      <w:r w:rsidRPr="00AE537E">
        <w:rPr>
          <w:rFonts w:ascii="Arial" w:eastAsia="Arial" w:hAnsi="Arial" w:cs="Arial"/>
          <w:color w:val="000000"/>
          <w:sz w:val="32"/>
          <w:szCs w:val="32"/>
        </w:rPr>
        <w:t>British prisoners</w:t>
      </w:r>
    </w:p>
    <w:p w14:paraId="59BC209A" w14:textId="3F390E6E" w:rsidR="00AE537E" w:rsidRDefault="00AE537E" w:rsidP="00AE537E">
      <w:pPr>
        <w:pStyle w:val="ListParagraph"/>
        <w:numPr>
          <w:ilvl w:val="0"/>
          <w:numId w:val="2"/>
        </w:numPr>
        <w:rPr>
          <w:rFonts w:ascii="Arial" w:eastAsia="Arial" w:hAnsi="Arial" w:cs="Arial"/>
          <w:color w:val="000000"/>
          <w:sz w:val="32"/>
          <w:szCs w:val="32"/>
        </w:rPr>
      </w:pPr>
      <w:r w:rsidRPr="00AE537E">
        <w:rPr>
          <w:rFonts w:ascii="Arial" w:eastAsia="Arial" w:hAnsi="Arial" w:cs="Arial"/>
          <w:color w:val="000000"/>
          <w:sz w:val="32"/>
          <w:szCs w:val="32"/>
        </w:rPr>
        <w:t>POWS camps</w:t>
      </w:r>
    </w:p>
    <w:p w14:paraId="0AEB5AB8" w14:textId="4C5F4085" w:rsidR="00AE537E" w:rsidRDefault="00AE537E" w:rsidP="00AE537E">
      <w:pPr>
        <w:pStyle w:val="ListParagraph"/>
        <w:numPr>
          <w:ilvl w:val="0"/>
          <w:numId w:val="2"/>
        </w:numPr>
        <w:rPr>
          <w:rFonts w:ascii="Arial" w:eastAsia="Arial" w:hAnsi="Arial" w:cs="Arial"/>
          <w:color w:val="000000"/>
          <w:sz w:val="32"/>
          <w:szCs w:val="32"/>
        </w:rPr>
      </w:pPr>
      <w:r>
        <w:rPr>
          <w:rFonts w:ascii="Arial" w:eastAsia="Arial" w:hAnsi="Arial" w:cs="Arial"/>
          <w:color w:val="000000"/>
          <w:sz w:val="32"/>
          <w:szCs w:val="32"/>
        </w:rPr>
        <w:t xml:space="preserve">Human rights violated </w:t>
      </w:r>
    </w:p>
    <w:p w14:paraId="7D3B024F" w14:textId="5E1FDD63" w:rsidR="00AE537E" w:rsidRDefault="00AE537E" w:rsidP="00AE537E">
      <w:pPr>
        <w:pStyle w:val="ListParagraph"/>
        <w:numPr>
          <w:ilvl w:val="0"/>
          <w:numId w:val="2"/>
        </w:numPr>
        <w:rPr>
          <w:rFonts w:ascii="Arial" w:eastAsia="Arial" w:hAnsi="Arial" w:cs="Arial"/>
          <w:color w:val="000000"/>
          <w:sz w:val="32"/>
          <w:szCs w:val="32"/>
        </w:rPr>
      </w:pPr>
      <w:r>
        <w:rPr>
          <w:rFonts w:ascii="Arial" w:eastAsia="Arial" w:hAnsi="Arial" w:cs="Arial"/>
          <w:color w:val="000000"/>
          <w:sz w:val="32"/>
          <w:szCs w:val="32"/>
        </w:rPr>
        <w:t xml:space="preserve">Conclusion </w:t>
      </w:r>
    </w:p>
    <w:p w14:paraId="3E277209" w14:textId="77777777" w:rsidR="00AE537E" w:rsidRDefault="00AE537E" w:rsidP="00AE537E">
      <w:pPr>
        <w:rPr>
          <w:rFonts w:ascii="Arial" w:eastAsia="Arial" w:hAnsi="Arial" w:cs="Arial"/>
          <w:color w:val="000000"/>
          <w:sz w:val="32"/>
          <w:szCs w:val="32"/>
        </w:rPr>
      </w:pPr>
    </w:p>
    <w:p w14:paraId="077CFA4E" w14:textId="0A4E904D" w:rsidR="00AE537E" w:rsidRDefault="00AE537E" w:rsidP="00AE537E">
      <w:pPr>
        <w:rPr>
          <w:rFonts w:ascii="Arial" w:eastAsia="Arial" w:hAnsi="Arial" w:cs="Arial"/>
          <w:b/>
          <w:color w:val="000000"/>
          <w:sz w:val="32"/>
          <w:szCs w:val="32"/>
        </w:rPr>
      </w:pPr>
      <w:r>
        <w:rPr>
          <w:rFonts w:ascii="Arial" w:eastAsia="Arial" w:hAnsi="Arial" w:cs="Arial"/>
          <w:color w:val="000000"/>
          <w:sz w:val="32"/>
          <w:szCs w:val="32"/>
        </w:rPr>
        <w:t xml:space="preserve"> </w:t>
      </w:r>
      <w:r w:rsidRPr="00AE537E">
        <w:rPr>
          <w:rFonts w:ascii="Arial" w:eastAsia="Arial" w:hAnsi="Arial" w:cs="Arial"/>
          <w:b/>
          <w:color w:val="000000"/>
          <w:sz w:val="32"/>
          <w:szCs w:val="32"/>
        </w:rPr>
        <w:t xml:space="preserve">Human rights act in health and social care settings </w:t>
      </w:r>
    </w:p>
    <w:p w14:paraId="030282F6" w14:textId="685FE1C5" w:rsidR="00AE537E" w:rsidRPr="00AE537E" w:rsidRDefault="00AE537E" w:rsidP="00AE537E">
      <w:pPr>
        <w:pStyle w:val="ListParagraph"/>
        <w:numPr>
          <w:ilvl w:val="0"/>
          <w:numId w:val="2"/>
        </w:numPr>
        <w:rPr>
          <w:rFonts w:ascii="Arial" w:eastAsia="Arial" w:hAnsi="Arial" w:cs="Arial"/>
          <w:color w:val="000000"/>
          <w:sz w:val="32"/>
          <w:szCs w:val="32"/>
        </w:rPr>
      </w:pPr>
      <w:r w:rsidRPr="00AE537E">
        <w:rPr>
          <w:rFonts w:ascii="Arial" w:eastAsia="Arial" w:hAnsi="Arial" w:cs="Arial"/>
          <w:color w:val="000000"/>
          <w:sz w:val="32"/>
          <w:szCs w:val="32"/>
        </w:rPr>
        <w:t xml:space="preserve">Right to life </w:t>
      </w:r>
    </w:p>
    <w:p w14:paraId="416524A6" w14:textId="7D658F71" w:rsidR="00AE537E" w:rsidRPr="00AE537E" w:rsidRDefault="00AE537E" w:rsidP="00AE537E">
      <w:pPr>
        <w:pStyle w:val="ListParagraph"/>
        <w:numPr>
          <w:ilvl w:val="0"/>
          <w:numId w:val="2"/>
        </w:numPr>
        <w:rPr>
          <w:rFonts w:ascii="Arial" w:eastAsia="Arial" w:hAnsi="Arial" w:cs="Arial"/>
          <w:color w:val="000000"/>
          <w:sz w:val="32"/>
          <w:szCs w:val="32"/>
        </w:rPr>
      </w:pPr>
      <w:r w:rsidRPr="00AE537E">
        <w:rPr>
          <w:rFonts w:ascii="Arial" w:eastAsia="Arial" w:hAnsi="Arial" w:cs="Arial"/>
          <w:color w:val="000000"/>
          <w:sz w:val="32"/>
          <w:szCs w:val="32"/>
        </w:rPr>
        <w:t>Equality</w:t>
      </w:r>
    </w:p>
    <w:p w14:paraId="3058B8AE" w14:textId="293278DA" w:rsidR="00AE537E" w:rsidRDefault="00AE537E" w:rsidP="00AE537E">
      <w:pPr>
        <w:pStyle w:val="ListParagraph"/>
        <w:numPr>
          <w:ilvl w:val="0"/>
          <w:numId w:val="2"/>
        </w:numPr>
        <w:rPr>
          <w:rFonts w:ascii="Arial" w:eastAsia="Arial" w:hAnsi="Arial" w:cs="Arial"/>
          <w:color w:val="000000"/>
          <w:sz w:val="32"/>
          <w:szCs w:val="32"/>
        </w:rPr>
      </w:pPr>
      <w:r>
        <w:rPr>
          <w:rFonts w:ascii="Arial" w:eastAsia="Arial" w:hAnsi="Arial" w:cs="Arial"/>
          <w:color w:val="000000"/>
          <w:sz w:val="32"/>
          <w:szCs w:val="32"/>
        </w:rPr>
        <w:t xml:space="preserve">Department of health and social care </w:t>
      </w:r>
    </w:p>
    <w:p w14:paraId="10531146" w14:textId="7070AB1F" w:rsidR="00AE537E" w:rsidRDefault="00AE537E" w:rsidP="00AE537E">
      <w:pPr>
        <w:pStyle w:val="ListParagraph"/>
        <w:numPr>
          <w:ilvl w:val="0"/>
          <w:numId w:val="2"/>
        </w:numPr>
        <w:rPr>
          <w:rFonts w:ascii="Arial" w:eastAsia="Arial" w:hAnsi="Arial" w:cs="Arial"/>
          <w:color w:val="000000"/>
          <w:sz w:val="32"/>
          <w:szCs w:val="32"/>
        </w:rPr>
      </w:pPr>
      <w:r>
        <w:rPr>
          <w:rFonts w:ascii="Arial" w:eastAsia="Arial" w:hAnsi="Arial" w:cs="Arial"/>
          <w:color w:val="000000"/>
          <w:sz w:val="32"/>
          <w:szCs w:val="32"/>
        </w:rPr>
        <w:t xml:space="preserve">The care quality commission </w:t>
      </w:r>
    </w:p>
    <w:p w14:paraId="2D61A645" w14:textId="2D6EDE47" w:rsidR="00AE537E" w:rsidRPr="00AE537E" w:rsidRDefault="00AE537E" w:rsidP="00AE537E">
      <w:pPr>
        <w:pStyle w:val="ListParagraph"/>
        <w:numPr>
          <w:ilvl w:val="0"/>
          <w:numId w:val="2"/>
        </w:numPr>
        <w:rPr>
          <w:rFonts w:ascii="Arial" w:eastAsia="Arial" w:hAnsi="Arial" w:cs="Arial"/>
          <w:color w:val="000000"/>
          <w:sz w:val="32"/>
          <w:szCs w:val="32"/>
        </w:rPr>
      </w:pPr>
      <w:r>
        <w:rPr>
          <w:rFonts w:ascii="Arial" w:eastAsia="Arial" w:hAnsi="Arial" w:cs="Arial"/>
          <w:color w:val="000000"/>
          <w:sz w:val="32"/>
          <w:szCs w:val="32"/>
        </w:rPr>
        <w:t xml:space="preserve">Conclusion </w:t>
      </w:r>
    </w:p>
    <w:p w14:paraId="4F3AF0C4" w14:textId="62ED3F17" w:rsidR="00FF7BED" w:rsidRDefault="00FF7BED">
      <w:pPr>
        <w:rPr>
          <w:rFonts w:ascii="Arial" w:eastAsia="Arial" w:hAnsi="Arial" w:cs="Arial"/>
          <w:b/>
          <w:color w:val="000000"/>
        </w:rPr>
      </w:pPr>
    </w:p>
    <w:p w14:paraId="429A30CE" w14:textId="3CD44395" w:rsidR="00AE537E" w:rsidRPr="00AE537E" w:rsidRDefault="00AE537E">
      <w:pPr>
        <w:rPr>
          <w:rFonts w:ascii="Arial" w:eastAsia="Arial" w:hAnsi="Arial" w:cs="Arial"/>
          <w:b/>
          <w:color w:val="000000"/>
          <w:sz w:val="32"/>
          <w:szCs w:val="32"/>
        </w:rPr>
      </w:pPr>
      <w:r w:rsidRPr="00AE537E">
        <w:rPr>
          <w:rFonts w:ascii="Arial" w:eastAsia="Arial" w:hAnsi="Arial" w:cs="Arial"/>
          <w:b/>
          <w:color w:val="000000"/>
          <w:sz w:val="32"/>
          <w:szCs w:val="32"/>
        </w:rPr>
        <w:t xml:space="preserve">References </w:t>
      </w:r>
    </w:p>
    <w:p w14:paraId="4618C7C4" w14:textId="77777777" w:rsidR="00FF7BED" w:rsidRDefault="00FF7BED">
      <w:pPr>
        <w:rPr>
          <w:rFonts w:ascii="Arial" w:eastAsia="Arial" w:hAnsi="Arial" w:cs="Arial"/>
          <w:b/>
          <w:color w:val="000000"/>
        </w:rPr>
      </w:pPr>
    </w:p>
    <w:p w14:paraId="09D31BD6" w14:textId="77777777" w:rsidR="00FF7BED" w:rsidRDefault="00FF7BED">
      <w:pPr>
        <w:rPr>
          <w:rFonts w:ascii="Arial" w:eastAsia="Arial" w:hAnsi="Arial" w:cs="Arial"/>
          <w:b/>
          <w:color w:val="000000"/>
        </w:rPr>
      </w:pPr>
    </w:p>
    <w:p w14:paraId="58AA3E78" w14:textId="77777777" w:rsidR="00FF7BED" w:rsidRDefault="00FF7BED">
      <w:pPr>
        <w:rPr>
          <w:rFonts w:ascii="Arial" w:eastAsia="Arial" w:hAnsi="Arial" w:cs="Arial"/>
          <w:b/>
          <w:color w:val="000000"/>
        </w:rPr>
      </w:pPr>
    </w:p>
    <w:p w14:paraId="18FDB2E4" w14:textId="77777777" w:rsidR="00FF7BED" w:rsidRDefault="00FF7BED">
      <w:pPr>
        <w:rPr>
          <w:rFonts w:ascii="Arial" w:eastAsia="Arial" w:hAnsi="Arial" w:cs="Arial"/>
          <w:b/>
          <w:color w:val="000000"/>
        </w:rPr>
      </w:pPr>
    </w:p>
    <w:p w14:paraId="28C7F45B" w14:textId="77777777" w:rsidR="00FF7BED" w:rsidRDefault="00FF7BED">
      <w:pPr>
        <w:rPr>
          <w:rFonts w:ascii="Arial" w:eastAsia="Arial" w:hAnsi="Arial" w:cs="Arial"/>
          <w:b/>
          <w:color w:val="000000"/>
        </w:rPr>
      </w:pPr>
    </w:p>
    <w:p w14:paraId="6ECDAB81" w14:textId="77777777" w:rsidR="00FF7BED" w:rsidRDefault="00FF7BED">
      <w:pPr>
        <w:rPr>
          <w:rFonts w:ascii="Arial" w:eastAsia="Arial" w:hAnsi="Arial" w:cs="Arial"/>
          <w:b/>
          <w:color w:val="000000"/>
        </w:rPr>
      </w:pPr>
    </w:p>
    <w:p w14:paraId="2BBC7DA7" w14:textId="77777777" w:rsidR="00FF7BED" w:rsidRDefault="00FF7BED">
      <w:pPr>
        <w:rPr>
          <w:rFonts w:ascii="Arial" w:eastAsia="Arial" w:hAnsi="Arial" w:cs="Arial"/>
          <w:b/>
          <w:color w:val="000000"/>
        </w:rPr>
      </w:pPr>
    </w:p>
    <w:p w14:paraId="59E56C56" w14:textId="77777777" w:rsidR="00FF7BED" w:rsidRDefault="00FF7BED">
      <w:pPr>
        <w:rPr>
          <w:rFonts w:ascii="Arial" w:eastAsia="Arial" w:hAnsi="Arial" w:cs="Arial"/>
          <w:b/>
          <w:color w:val="000000"/>
        </w:rPr>
      </w:pPr>
    </w:p>
    <w:p w14:paraId="517793BA" w14:textId="77777777" w:rsidR="00FF7BED" w:rsidRDefault="00FF7BED">
      <w:pPr>
        <w:rPr>
          <w:rFonts w:ascii="Arial" w:eastAsia="Arial" w:hAnsi="Arial" w:cs="Arial"/>
          <w:b/>
          <w:color w:val="000000"/>
        </w:rPr>
      </w:pPr>
    </w:p>
    <w:p w14:paraId="731A0788" w14:textId="77777777" w:rsidR="00FF7BED" w:rsidRDefault="00FF7BED">
      <w:pPr>
        <w:rPr>
          <w:rFonts w:ascii="Arial" w:eastAsia="Arial" w:hAnsi="Arial" w:cs="Arial"/>
          <w:b/>
          <w:color w:val="000000"/>
        </w:rPr>
      </w:pPr>
    </w:p>
    <w:p w14:paraId="3B64617D" w14:textId="77777777" w:rsidR="00FF7BED" w:rsidRDefault="00FF7BED">
      <w:pPr>
        <w:rPr>
          <w:rFonts w:ascii="Arial" w:eastAsia="Arial" w:hAnsi="Arial" w:cs="Arial"/>
          <w:b/>
          <w:color w:val="000000"/>
        </w:rPr>
      </w:pPr>
    </w:p>
    <w:p w14:paraId="3ED078D1" w14:textId="77777777" w:rsidR="00FF7BED" w:rsidRDefault="00FF7BED">
      <w:pPr>
        <w:rPr>
          <w:rFonts w:ascii="Arial" w:eastAsia="Arial" w:hAnsi="Arial" w:cs="Arial"/>
          <w:b/>
          <w:color w:val="000000"/>
        </w:rPr>
      </w:pPr>
    </w:p>
    <w:p w14:paraId="47C78B70" w14:textId="77777777" w:rsidR="00FF7BED" w:rsidRDefault="00FF7BED">
      <w:pPr>
        <w:rPr>
          <w:rFonts w:ascii="Arial" w:eastAsia="Arial" w:hAnsi="Arial" w:cs="Arial"/>
          <w:b/>
          <w:color w:val="000000"/>
        </w:rPr>
      </w:pPr>
    </w:p>
    <w:p w14:paraId="404706AB" w14:textId="0BD52811" w:rsidR="00FF7BED" w:rsidRDefault="009D4AB8">
      <w:pPr>
        <w:rPr>
          <w:rFonts w:ascii="Arial" w:eastAsia="Arial" w:hAnsi="Arial" w:cs="Arial"/>
          <w:b/>
          <w:color w:val="000000"/>
        </w:rPr>
      </w:pPr>
      <w:r>
        <w:rPr>
          <w:rFonts w:ascii="Arial" w:eastAsia="Arial" w:hAnsi="Arial" w:cs="Arial"/>
          <w:b/>
          <w:color w:val="000000"/>
        </w:rPr>
        <w:t>Human rights act 1998.</w:t>
      </w:r>
    </w:p>
    <w:p w14:paraId="0B6EBBF7" w14:textId="77777777" w:rsidR="009D4AB8" w:rsidRDefault="009D4AB8">
      <w:pPr>
        <w:rPr>
          <w:rFonts w:ascii="Arial" w:eastAsia="Arial" w:hAnsi="Arial" w:cs="Arial"/>
          <w:b/>
          <w:color w:val="000000"/>
        </w:rPr>
      </w:pPr>
    </w:p>
    <w:p w14:paraId="491BAADC" w14:textId="15AF1099" w:rsidR="00FF7BED" w:rsidRDefault="00321D87">
      <w:pPr>
        <w:rPr>
          <w:rFonts w:ascii="-webkit-standard" w:eastAsia="-webkit-standard" w:hAnsi="-webkit-standard" w:cs="-webkit-standard"/>
          <w:color w:val="000000"/>
        </w:rPr>
      </w:pPr>
      <w:r>
        <w:rPr>
          <w:rFonts w:ascii="Arial" w:eastAsia="Arial" w:hAnsi="Arial" w:cs="Arial"/>
          <w:b/>
          <w:color w:val="000000"/>
        </w:rPr>
        <w:t>Social Policy</w:t>
      </w:r>
    </w:p>
    <w:p w14:paraId="3DE025B5" w14:textId="0FF1C4E8" w:rsidR="005130B3" w:rsidRDefault="00321D87">
      <w:pPr>
        <w:rPr>
          <w:rFonts w:ascii="-webkit-standard" w:eastAsia="-webkit-standard" w:hAnsi="-webkit-standard" w:cs="-webkit-standard"/>
          <w:color w:val="000000"/>
        </w:rPr>
      </w:pPr>
      <w:r>
        <w:rPr>
          <w:rFonts w:ascii="Arial" w:eastAsia="Arial" w:hAnsi="Arial" w:cs="Arial"/>
          <w:color w:val="000000"/>
        </w:rPr>
        <w:t>Social Policy can include many different factors, it is seen as a part of everyday life and is a very critical factor of life. The recent implementation will be considered within this essay before moving</w:t>
      </w:r>
      <w:r w:rsidR="008C2988">
        <w:rPr>
          <w:rFonts w:ascii="Arial" w:eastAsia="Arial" w:hAnsi="Arial" w:cs="Arial"/>
          <w:color w:val="000000"/>
        </w:rPr>
        <w:t xml:space="preserve"> on</w:t>
      </w:r>
      <w:r>
        <w:rPr>
          <w:rFonts w:ascii="Arial" w:eastAsia="Arial" w:hAnsi="Arial" w:cs="Arial"/>
          <w:color w:val="000000"/>
        </w:rPr>
        <w:t xml:space="preserve"> to an evaluation of the policy itself where the importance of this initiative will be considered.</w:t>
      </w:r>
    </w:p>
    <w:p w14:paraId="5B136AE4" w14:textId="77777777" w:rsidR="005130B3" w:rsidRDefault="005130B3">
      <w:pPr>
        <w:rPr>
          <w:rFonts w:ascii="-webkit-standard" w:eastAsia="-webkit-standard" w:hAnsi="-webkit-standard" w:cs="-webkit-standard"/>
          <w:color w:val="000000"/>
        </w:rPr>
      </w:pPr>
    </w:p>
    <w:p w14:paraId="12F89A60" w14:textId="2C3DFC7E" w:rsidR="005130B3" w:rsidRDefault="00321D87">
      <w:pPr>
        <w:rPr>
          <w:rFonts w:ascii="-webkit-standard" w:eastAsia="-webkit-standard" w:hAnsi="-webkit-standard" w:cs="-webkit-standard"/>
          <w:color w:val="000000"/>
        </w:rPr>
      </w:pPr>
      <w:r>
        <w:rPr>
          <w:rFonts w:ascii="Arial" w:eastAsia="Arial" w:hAnsi="Arial" w:cs="Arial"/>
          <w:b/>
          <w:color w:val="000000"/>
        </w:rPr>
        <w:t>Human Rights Act 1998</w:t>
      </w:r>
      <w:r w:rsidR="005726C6">
        <w:rPr>
          <w:rFonts w:ascii="Arial" w:eastAsia="Arial" w:hAnsi="Arial" w:cs="Arial"/>
          <w:b/>
          <w:color w:val="000000"/>
        </w:rPr>
        <w:t xml:space="preserve"> </w:t>
      </w:r>
      <w:r w:rsidR="005726C6" w:rsidRPr="00EB6567">
        <w:rPr>
          <w:rFonts w:ascii="Arial" w:eastAsia="Arial" w:hAnsi="Arial" w:cs="Arial"/>
          <w:b/>
          <w:color w:val="000000"/>
          <w:highlight w:val="red"/>
        </w:rPr>
        <w:t>(Siriol)</w:t>
      </w:r>
    </w:p>
    <w:p w14:paraId="21C51589" w14:textId="77777777" w:rsidR="006176BD" w:rsidRDefault="00321D87">
      <w:pPr>
        <w:jc w:val="both"/>
        <w:rPr>
          <w:rFonts w:ascii="Arial" w:eastAsia="Arial" w:hAnsi="Arial" w:cs="Arial"/>
          <w:color w:val="000000"/>
        </w:rPr>
      </w:pPr>
      <w:r>
        <w:rPr>
          <w:rFonts w:ascii="Arial" w:eastAsia="Arial" w:hAnsi="Arial" w:cs="Arial"/>
          <w:color w:val="000000"/>
        </w:rPr>
        <w:t xml:space="preserve">The Human Rights Act was placed in 1998 which allows an individual to defend their human rights in the courts of United Kingdom and public organisations which include the police service and local councils in aim that everyone will get treated equally with fairness and respect. The act was put in place to help and protect every individual from young to old, the rich and poor so that everybody can be treated equally. The act is in place to protect every person living in the United Kingdom regardless of their background and nationality, the purpose of the act is to aim for further effect to rights and freedom which are guaranteed from the </w:t>
      </w:r>
      <w:r w:rsidR="004E14BC">
        <w:rPr>
          <w:rFonts w:ascii="Arial" w:eastAsia="Arial" w:hAnsi="Arial" w:cs="Arial"/>
          <w:color w:val="000000"/>
        </w:rPr>
        <w:t>European</w:t>
      </w:r>
      <w:r>
        <w:rPr>
          <w:rFonts w:ascii="Arial" w:eastAsia="Arial" w:hAnsi="Arial" w:cs="Arial"/>
          <w:color w:val="000000"/>
        </w:rPr>
        <w:t xml:space="preserve"> convention, the judges should read and provide effect to other laws in a force which is </w:t>
      </w:r>
      <w:r w:rsidR="004E14BC">
        <w:rPr>
          <w:rFonts w:ascii="Arial" w:eastAsia="Arial" w:hAnsi="Arial" w:cs="Arial"/>
          <w:color w:val="000000"/>
        </w:rPr>
        <w:t>compliable</w:t>
      </w:r>
      <w:r>
        <w:rPr>
          <w:rFonts w:ascii="Arial" w:eastAsia="Arial" w:hAnsi="Arial" w:cs="Arial"/>
          <w:color w:val="000000"/>
        </w:rPr>
        <w:t xml:space="preserve"> with the convention rights.</w:t>
      </w:r>
      <w:r w:rsidR="00120CA2">
        <w:rPr>
          <w:rFonts w:ascii="Arial" w:eastAsia="Arial" w:hAnsi="Arial" w:cs="Arial"/>
          <w:color w:val="000000"/>
        </w:rPr>
        <w:t xml:space="preserve"> </w:t>
      </w:r>
      <w:r>
        <w:rPr>
          <w:rFonts w:ascii="Arial" w:eastAsia="Arial" w:hAnsi="Arial" w:cs="Arial"/>
          <w:color w:val="000000"/>
        </w:rPr>
        <w:t xml:space="preserve">The main role of the Human Rights Act 1998 is to protect your life and to help </w:t>
      </w:r>
      <w:r w:rsidR="006176BD">
        <w:rPr>
          <w:rFonts w:ascii="Arial" w:eastAsia="Arial" w:hAnsi="Arial" w:cs="Arial"/>
          <w:color w:val="000000"/>
        </w:rPr>
        <w:t>everyone</w:t>
      </w:r>
      <w:r>
        <w:rPr>
          <w:rFonts w:ascii="Arial" w:eastAsia="Arial" w:hAnsi="Arial" w:cs="Arial"/>
          <w:color w:val="000000"/>
        </w:rPr>
        <w:t xml:space="preserve"> maintain their rights in life, an example of your right of the act can be free elections as elections must be free and fair for </w:t>
      </w:r>
      <w:r w:rsidR="006176BD">
        <w:rPr>
          <w:rFonts w:ascii="Arial" w:eastAsia="Arial" w:hAnsi="Arial" w:cs="Arial"/>
          <w:color w:val="000000"/>
        </w:rPr>
        <w:t xml:space="preserve">everyone. (Dawes S 2018). </w:t>
      </w:r>
      <w:r>
        <w:rPr>
          <w:rFonts w:ascii="Arial" w:eastAsia="Arial" w:hAnsi="Arial" w:cs="Arial"/>
          <w:color w:val="000000"/>
        </w:rPr>
        <w:t xml:space="preserve">What this means for an individual is that if they have seen that a public authority has interfered with any of the rights recognised by the convention, you have the right to take action by putting a situation into writing  to the public authority to make them revise their legal obligation to the Human rights Act and ask them to amend the situation that has arisen. </w:t>
      </w:r>
    </w:p>
    <w:p w14:paraId="66471DC7" w14:textId="01DA252F" w:rsidR="005130B3" w:rsidRDefault="006176BD">
      <w:pPr>
        <w:jc w:val="both"/>
        <w:rPr>
          <w:rFonts w:ascii="-webkit-standard" w:eastAsia="-webkit-standard" w:hAnsi="-webkit-standard" w:cs="-webkit-standard"/>
          <w:color w:val="000000"/>
        </w:rPr>
      </w:pPr>
      <w:r>
        <w:rPr>
          <w:rFonts w:ascii="Arial" w:eastAsia="Arial" w:hAnsi="Arial" w:cs="Arial"/>
          <w:color w:val="000000"/>
        </w:rPr>
        <w:t>Going to</w:t>
      </w:r>
      <w:r w:rsidR="00321D87">
        <w:rPr>
          <w:rFonts w:ascii="Arial" w:eastAsia="Arial" w:hAnsi="Arial" w:cs="Arial"/>
          <w:color w:val="000000"/>
        </w:rPr>
        <w:t xml:space="preserve"> court can give power to tell the public authority to stop interfering with the individual’s right or </w:t>
      </w:r>
      <w:proofErr w:type="gramStart"/>
      <w:r w:rsidR="00321D87">
        <w:rPr>
          <w:rFonts w:ascii="Arial" w:eastAsia="Arial" w:hAnsi="Arial" w:cs="Arial"/>
          <w:color w:val="000000"/>
        </w:rPr>
        <w:t>a</w:t>
      </w:r>
      <w:proofErr w:type="gramEnd"/>
      <w:r w:rsidR="00321D87">
        <w:rPr>
          <w:rFonts w:ascii="Arial" w:eastAsia="Arial" w:hAnsi="Arial" w:cs="Arial"/>
          <w:color w:val="000000"/>
        </w:rPr>
        <w:t xml:space="preserve"> appropriate action could be taken to protect the individual’s right.</w:t>
      </w:r>
    </w:p>
    <w:p w14:paraId="3D915E88" w14:textId="77777777" w:rsidR="00FF7BED" w:rsidRDefault="00FF7BED">
      <w:pPr>
        <w:jc w:val="both"/>
        <w:rPr>
          <w:rFonts w:ascii="Arial" w:eastAsia="Arial" w:hAnsi="Arial" w:cs="Arial"/>
          <w:color w:val="000000"/>
        </w:rPr>
      </w:pPr>
    </w:p>
    <w:p w14:paraId="62089A5A" w14:textId="15036048" w:rsidR="00FF7BED" w:rsidRPr="00FF7BED" w:rsidRDefault="00321D87">
      <w:pPr>
        <w:jc w:val="both"/>
        <w:rPr>
          <w:rFonts w:ascii="Arial" w:eastAsia="Arial" w:hAnsi="Arial" w:cs="Arial"/>
          <w:color w:val="000000"/>
        </w:rPr>
      </w:pPr>
      <w:r>
        <w:rPr>
          <w:rFonts w:ascii="Arial" w:eastAsia="Arial" w:hAnsi="Arial" w:cs="Arial"/>
          <w:color w:val="000000"/>
        </w:rPr>
        <w:t>Conclusion</w:t>
      </w:r>
    </w:p>
    <w:p w14:paraId="4494DA45" w14:textId="4B23743C" w:rsidR="005130B3" w:rsidRDefault="00321D87">
      <w:pPr>
        <w:jc w:val="both"/>
        <w:rPr>
          <w:rFonts w:ascii="Arial" w:eastAsia="Arial" w:hAnsi="Arial" w:cs="Arial"/>
          <w:color w:val="000000"/>
        </w:rPr>
      </w:pPr>
      <w:r>
        <w:rPr>
          <w:rFonts w:ascii="Arial" w:eastAsia="Arial" w:hAnsi="Arial" w:cs="Arial"/>
          <w:color w:val="000000"/>
        </w:rPr>
        <w:t xml:space="preserve">The main purpose of the act is to create a safer place for the United Kingdom making ‘never again’ a reality </w:t>
      </w:r>
    </w:p>
    <w:p w14:paraId="2A2EF6B1" w14:textId="66BAB66C" w:rsidR="00CD04A4" w:rsidRDefault="00CD04A4">
      <w:pPr>
        <w:jc w:val="both"/>
        <w:rPr>
          <w:rFonts w:ascii="Arial" w:eastAsia="Arial" w:hAnsi="Arial" w:cs="Arial"/>
          <w:color w:val="000000"/>
        </w:rPr>
      </w:pPr>
    </w:p>
    <w:p w14:paraId="23F52A13" w14:textId="66627082" w:rsidR="00CD04A4" w:rsidRPr="00CD04A4" w:rsidRDefault="00CD04A4">
      <w:pPr>
        <w:jc w:val="both"/>
        <w:rPr>
          <w:rFonts w:ascii="Arial" w:eastAsia="Arial" w:hAnsi="Arial" w:cs="Arial"/>
          <w:color w:val="000000"/>
          <w:sz w:val="28"/>
          <w:szCs w:val="28"/>
        </w:rPr>
      </w:pPr>
    </w:p>
    <w:p w14:paraId="7A23F549" w14:textId="2E172707" w:rsidR="00812F0B" w:rsidRPr="00CD04A4" w:rsidRDefault="00CD04A4">
      <w:pPr>
        <w:jc w:val="both"/>
        <w:rPr>
          <w:rFonts w:ascii="Arial" w:eastAsia="Arial" w:hAnsi="Arial" w:cs="Arial"/>
          <w:b/>
          <w:color w:val="000000"/>
        </w:rPr>
      </w:pPr>
      <w:r w:rsidRPr="00CD04A4">
        <w:rPr>
          <w:rFonts w:ascii="Arial" w:eastAsia="Arial" w:hAnsi="Arial" w:cs="Arial"/>
          <w:b/>
          <w:color w:val="000000"/>
        </w:rPr>
        <w:t xml:space="preserve">Human rights during world war </w:t>
      </w:r>
      <w:r>
        <w:rPr>
          <w:rFonts w:ascii="Arial" w:eastAsia="Arial" w:hAnsi="Arial" w:cs="Arial"/>
          <w:b/>
          <w:color w:val="000000"/>
        </w:rPr>
        <w:t>two</w:t>
      </w:r>
      <w:r w:rsidR="005726C6">
        <w:rPr>
          <w:rFonts w:ascii="Arial" w:eastAsia="Arial" w:hAnsi="Arial" w:cs="Arial"/>
          <w:b/>
          <w:color w:val="000000"/>
        </w:rPr>
        <w:t xml:space="preserve"> </w:t>
      </w:r>
      <w:r w:rsidR="005726C6" w:rsidRPr="00EB6567">
        <w:rPr>
          <w:rFonts w:ascii="Arial" w:eastAsia="Arial" w:hAnsi="Arial" w:cs="Arial"/>
          <w:b/>
          <w:color w:val="000000"/>
          <w:highlight w:val="magenta"/>
        </w:rPr>
        <w:t>(Abbie)</w:t>
      </w:r>
    </w:p>
    <w:p w14:paraId="1F0EFAC9" w14:textId="69B08B84" w:rsidR="00FF7BED" w:rsidRDefault="00B62D51" w:rsidP="008C2988">
      <w:pPr>
        <w:jc w:val="both"/>
        <w:rPr>
          <w:rFonts w:ascii="Arial" w:eastAsia="Arial" w:hAnsi="Arial" w:cs="Arial"/>
          <w:color w:val="000000"/>
        </w:rPr>
      </w:pPr>
      <w:r>
        <w:rPr>
          <w:rFonts w:ascii="Arial" w:eastAsia="Arial" w:hAnsi="Arial" w:cs="Arial"/>
          <w:color w:val="000000"/>
        </w:rPr>
        <w:t>According to (Ndebele</w:t>
      </w:r>
      <w:r w:rsidR="00104BFC">
        <w:rPr>
          <w:rFonts w:ascii="Arial" w:eastAsia="Arial" w:hAnsi="Arial" w:cs="Arial"/>
          <w:color w:val="000000"/>
        </w:rPr>
        <w:t>,</w:t>
      </w:r>
      <w:r>
        <w:rPr>
          <w:rFonts w:ascii="Arial" w:eastAsia="Arial" w:hAnsi="Arial" w:cs="Arial"/>
          <w:color w:val="000000"/>
        </w:rPr>
        <w:t xml:space="preserve"> 2011) h</w:t>
      </w:r>
      <w:r w:rsidR="00812F0B">
        <w:rPr>
          <w:rFonts w:ascii="Arial" w:eastAsia="Arial" w:hAnsi="Arial" w:cs="Arial"/>
          <w:color w:val="000000"/>
        </w:rPr>
        <w:t xml:space="preserve">uman rights during the second world war were </w:t>
      </w:r>
      <w:r>
        <w:rPr>
          <w:rFonts w:ascii="Arial" w:eastAsia="Arial" w:hAnsi="Arial" w:cs="Arial"/>
          <w:color w:val="000000"/>
        </w:rPr>
        <w:t>abused</w:t>
      </w:r>
      <w:r w:rsidR="00812F0B">
        <w:rPr>
          <w:rFonts w:ascii="Arial" w:eastAsia="Arial" w:hAnsi="Arial" w:cs="Arial"/>
          <w:color w:val="000000"/>
        </w:rPr>
        <w:t xml:space="preserve"> and continually violated under the fascist regimes (Nazi part</w:t>
      </w:r>
      <w:r w:rsidR="004E14BC">
        <w:rPr>
          <w:rFonts w:ascii="Arial" w:eastAsia="Arial" w:hAnsi="Arial" w:cs="Arial"/>
          <w:color w:val="000000"/>
        </w:rPr>
        <w:t>y</w:t>
      </w:r>
      <w:r w:rsidR="00812F0B">
        <w:rPr>
          <w:rFonts w:ascii="Arial" w:eastAsia="Arial" w:hAnsi="Arial" w:cs="Arial"/>
          <w:color w:val="000000"/>
        </w:rPr>
        <w:t xml:space="preserve">). </w:t>
      </w:r>
      <w:r w:rsidR="00CD04A4">
        <w:rPr>
          <w:rFonts w:ascii="Arial" w:eastAsia="Arial" w:hAnsi="Arial" w:cs="Arial"/>
          <w:color w:val="000000"/>
        </w:rPr>
        <w:t xml:space="preserve">In 1933, Hitler’s (1889- 1945) rise to power climaxed in the march elections in Germany. The </w:t>
      </w:r>
      <w:r w:rsidR="00F23EEF">
        <w:rPr>
          <w:rFonts w:ascii="Arial" w:eastAsia="Arial" w:hAnsi="Arial" w:cs="Arial"/>
          <w:color w:val="000000"/>
        </w:rPr>
        <w:t>Nazi’s (National Socialists German Workers Party) were a far-right political party founded on 24</w:t>
      </w:r>
      <w:r w:rsidR="00F23EEF" w:rsidRPr="00F23EEF">
        <w:rPr>
          <w:rFonts w:ascii="Arial" w:eastAsia="Arial" w:hAnsi="Arial" w:cs="Arial"/>
          <w:color w:val="000000"/>
          <w:vertAlign w:val="superscript"/>
        </w:rPr>
        <w:t>th</w:t>
      </w:r>
      <w:r w:rsidR="00F23EEF">
        <w:rPr>
          <w:rFonts w:ascii="Arial" w:eastAsia="Arial" w:hAnsi="Arial" w:cs="Arial"/>
          <w:color w:val="000000"/>
        </w:rPr>
        <w:t xml:space="preserve"> February 1920. </w:t>
      </w:r>
      <w:r w:rsidR="00F50A2F">
        <w:rPr>
          <w:rFonts w:ascii="Arial" w:eastAsia="Arial" w:hAnsi="Arial" w:cs="Arial"/>
          <w:color w:val="000000"/>
        </w:rPr>
        <w:t xml:space="preserve">Many Germans saw Hitler as a strong leader who promised to </w:t>
      </w:r>
      <w:r w:rsidR="005D6AC1">
        <w:rPr>
          <w:rFonts w:ascii="Arial" w:eastAsia="Arial" w:hAnsi="Arial" w:cs="Arial"/>
          <w:color w:val="000000"/>
        </w:rPr>
        <w:t xml:space="preserve">restore law and order, in 1930 he was offering something new to the Germans, </w:t>
      </w:r>
      <w:r w:rsidR="005A6C33">
        <w:rPr>
          <w:rFonts w:ascii="Arial" w:eastAsia="Arial" w:hAnsi="Arial" w:cs="Arial"/>
          <w:color w:val="000000"/>
        </w:rPr>
        <w:t>this being</w:t>
      </w:r>
      <w:r w:rsidR="005D6AC1">
        <w:rPr>
          <w:rFonts w:ascii="Arial" w:eastAsia="Arial" w:hAnsi="Arial" w:cs="Arial"/>
          <w:color w:val="000000"/>
        </w:rPr>
        <w:t xml:space="preserve"> unity</w:t>
      </w:r>
      <w:r w:rsidR="009C1559">
        <w:rPr>
          <w:rFonts w:ascii="Arial" w:eastAsia="Arial" w:hAnsi="Arial" w:cs="Arial"/>
          <w:color w:val="000000"/>
        </w:rPr>
        <w:t xml:space="preserve">. </w:t>
      </w:r>
      <w:r w:rsidR="00812F0B">
        <w:rPr>
          <w:rFonts w:ascii="Arial" w:eastAsia="Arial" w:hAnsi="Arial" w:cs="Arial"/>
          <w:color w:val="000000"/>
        </w:rPr>
        <w:t xml:space="preserve">September 1939 Germany invaded Poland and subsequently Britain and France </w:t>
      </w:r>
      <w:r w:rsidR="008B699E">
        <w:rPr>
          <w:rFonts w:ascii="Arial" w:eastAsia="Arial" w:hAnsi="Arial" w:cs="Arial"/>
          <w:color w:val="000000"/>
        </w:rPr>
        <w:t>declared</w:t>
      </w:r>
      <w:r w:rsidR="00812F0B">
        <w:rPr>
          <w:rFonts w:ascii="Arial" w:eastAsia="Arial" w:hAnsi="Arial" w:cs="Arial"/>
          <w:color w:val="000000"/>
        </w:rPr>
        <w:t xml:space="preserve"> war on Germany together. </w:t>
      </w:r>
      <w:r w:rsidR="005A6C33">
        <w:rPr>
          <w:rFonts w:ascii="Arial" w:eastAsia="Arial" w:hAnsi="Arial" w:cs="Arial"/>
          <w:color w:val="000000"/>
        </w:rPr>
        <w:t xml:space="preserve">After the French surrendered </w:t>
      </w:r>
      <w:r w:rsidR="00812F0B">
        <w:rPr>
          <w:rFonts w:ascii="Arial" w:eastAsia="Arial" w:hAnsi="Arial" w:cs="Arial"/>
          <w:color w:val="000000"/>
        </w:rPr>
        <w:t>in 1940, for under a year Britain fought Germany alone, during this time several British pilots were shot down and captured and were subjected to unspeakable conditions in the German war camps. Just over 170,000 British prisoners of war were taken by the German forces throughout the duration of the second world war where their human rights were non-existent. All prisoners of war were denied some of the most basic human rights such as clean water, rest, freedom of speech</w:t>
      </w:r>
      <w:r w:rsidR="008261FB">
        <w:rPr>
          <w:rFonts w:ascii="Arial" w:eastAsia="Arial" w:hAnsi="Arial" w:cs="Arial"/>
          <w:color w:val="000000"/>
        </w:rPr>
        <w:t xml:space="preserve">, in some instance’s prisoners were literally </w:t>
      </w:r>
      <w:r w:rsidR="008261FB">
        <w:rPr>
          <w:rFonts w:ascii="Arial" w:eastAsia="Arial" w:hAnsi="Arial" w:cs="Arial"/>
          <w:color w:val="000000"/>
        </w:rPr>
        <w:lastRenderedPageBreak/>
        <w:t xml:space="preserve">worked to the bone and then death. Conditions of the </w:t>
      </w:r>
      <w:r w:rsidR="008B699E">
        <w:rPr>
          <w:rFonts w:ascii="Arial" w:eastAsia="Arial" w:hAnsi="Arial" w:cs="Arial"/>
          <w:color w:val="000000"/>
        </w:rPr>
        <w:t>POWS</w:t>
      </w:r>
      <w:r w:rsidR="008261FB">
        <w:rPr>
          <w:rFonts w:ascii="Arial" w:eastAsia="Arial" w:hAnsi="Arial" w:cs="Arial"/>
          <w:color w:val="000000"/>
        </w:rPr>
        <w:t xml:space="preserve"> camp were tough, rations were meagre, most of the camp prisoners were so weak from starvation and work to have the ability to escape</w:t>
      </w:r>
      <w:r>
        <w:rPr>
          <w:rFonts w:ascii="Arial" w:eastAsia="Arial" w:hAnsi="Arial" w:cs="Arial"/>
          <w:color w:val="000000"/>
        </w:rPr>
        <w:t xml:space="preserve"> (Mason</w:t>
      </w:r>
      <w:r w:rsidR="00104BFC">
        <w:rPr>
          <w:rFonts w:ascii="Arial" w:eastAsia="Arial" w:hAnsi="Arial" w:cs="Arial"/>
          <w:color w:val="000000"/>
        </w:rPr>
        <w:t>,</w:t>
      </w:r>
      <w:r>
        <w:rPr>
          <w:rFonts w:ascii="Arial" w:eastAsia="Arial" w:hAnsi="Arial" w:cs="Arial"/>
          <w:color w:val="000000"/>
        </w:rPr>
        <w:t xml:space="preserve"> 2018)</w:t>
      </w:r>
      <w:r w:rsidR="008261FB">
        <w:rPr>
          <w:rFonts w:ascii="Arial" w:eastAsia="Arial" w:hAnsi="Arial" w:cs="Arial"/>
          <w:color w:val="000000"/>
        </w:rPr>
        <w:t xml:space="preserve">. Those who did escape ran the high possibility of being hunted and executed on sight. </w:t>
      </w:r>
      <w:r w:rsidR="008B699E">
        <w:rPr>
          <w:rFonts w:ascii="Arial" w:eastAsia="Arial" w:hAnsi="Arial" w:cs="Arial"/>
          <w:color w:val="000000"/>
        </w:rPr>
        <w:t xml:space="preserve">Prisoners that were selected for work faced </w:t>
      </w:r>
      <w:r w:rsidR="009C1559">
        <w:rPr>
          <w:rFonts w:ascii="Arial" w:eastAsia="Arial" w:hAnsi="Arial" w:cs="Arial"/>
          <w:color w:val="000000"/>
        </w:rPr>
        <w:t>unfair</w:t>
      </w:r>
      <w:r w:rsidR="008B699E">
        <w:rPr>
          <w:rFonts w:ascii="Arial" w:eastAsia="Arial" w:hAnsi="Arial" w:cs="Arial"/>
          <w:color w:val="000000"/>
        </w:rPr>
        <w:t xml:space="preserve"> treatment, they were woken before dawn where they would be forced to stand in line for the roll call</w:t>
      </w:r>
      <w:r w:rsidR="00E3134A">
        <w:rPr>
          <w:rFonts w:ascii="Arial" w:eastAsia="Arial" w:hAnsi="Arial" w:cs="Arial"/>
          <w:color w:val="000000"/>
        </w:rPr>
        <w:t xml:space="preserve"> where they would endure many hours of difficult labour</w:t>
      </w:r>
      <w:r w:rsidR="00324D43">
        <w:rPr>
          <w:rFonts w:ascii="Arial" w:eastAsia="Arial" w:hAnsi="Arial" w:cs="Arial"/>
          <w:color w:val="000000"/>
        </w:rPr>
        <w:t>.</w:t>
      </w:r>
      <w:r w:rsidR="00E3134A">
        <w:rPr>
          <w:rFonts w:ascii="Arial" w:eastAsia="Arial" w:hAnsi="Arial" w:cs="Arial"/>
          <w:color w:val="000000"/>
        </w:rPr>
        <w:t xml:space="preserve"> The duration of roll call would insist upon the camp prisoners to stand still in all weather conditions wearing only thin clothing for endless hours. </w:t>
      </w:r>
      <w:r w:rsidR="004E14BC">
        <w:rPr>
          <w:rFonts w:ascii="Arial" w:eastAsia="Arial" w:hAnsi="Arial" w:cs="Arial"/>
          <w:color w:val="000000"/>
        </w:rPr>
        <w:t>Roll call was repeatedly used as a form of punishment against the prisoners, if a prisoner had not worked strong enough or had undertaken some form of refusal or escape, they would then face a punishment which usually meant death.</w:t>
      </w:r>
      <w:r w:rsidR="008C2988">
        <w:rPr>
          <w:rFonts w:ascii="Arial" w:eastAsia="Arial" w:hAnsi="Arial" w:cs="Arial"/>
          <w:color w:val="000000"/>
        </w:rPr>
        <w:t xml:space="preserve"> </w:t>
      </w:r>
      <w:r w:rsidR="009D4AB8">
        <w:rPr>
          <w:rFonts w:ascii="Arial" w:eastAsia="Arial" w:hAnsi="Arial" w:cs="Arial"/>
          <w:color w:val="000000"/>
        </w:rPr>
        <w:t xml:space="preserve">(Howe C, 2018). </w:t>
      </w:r>
    </w:p>
    <w:p w14:paraId="212C69A2" w14:textId="77777777" w:rsidR="00FF7BED" w:rsidRDefault="00FF7BED" w:rsidP="008C2988">
      <w:pPr>
        <w:jc w:val="both"/>
        <w:rPr>
          <w:rFonts w:ascii="Arial" w:eastAsia="Arial" w:hAnsi="Arial" w:cs="Arial"/>
          <w:color w:val="000000"/>
        </w:rPr>
      </w:pPr>
    </w:p>
    <w:p w14:paraId="4C4B2C84" w14:textId="37570A21" w:rsidR="00FF7BED" w:rsidRDefault="00FF7BED" w:rsidP="008C2988">
      <w:pPr>
        <w:jc w:val="both"/>
        <w:rPr>
          <w:rFonts w:ascii="Arial" w:eastAsia="Arial" w:hAnsi="Arial" w:cs="Arial"/>
          <w:color w:val="000000"/>
        </w:rPr>
      </w:pPr>
      <w:r>
        <w:rPr>
          <w:rFonts w:ascii="Arial" w:eastAsia="Arial" w:hAnsi="Arial" w:cs="Arial"/>
          <w:color w:val="000000"/>
        </w:rPr>
        <w:t xml:space="preserve">Conclusion </w:t>
      </w:r>
    </w:p>
    <w:p w14:paraId="1D864F5A" w14:textId="1CB7A53F" w:rsidR="005130B3" w:rsidRDefault="008C2988" w:rsidP="008C2988">
      <w:pPr>
        <w:jc w:val="both"/>
        <w:rPr>
          <w:rFonts w:ascii="Arial" w:eastAsia="Arial" w:hAnsi="Arial" w:cs="Arial"/>
          <w:color w:val="000000"/>
        </w:rPr>
      </w:pPr>
      <w:r>
        <w:rPr>
          <w:rFonts w:ascii="Arial" w:eastAsia="Arial" w:hAnsi="Arial" w:cs="Arial"/>
          <w:color w:val="000000"/>
        </w:rPr>
        <w:t xml:space="preserve">Nazi Germany and their treatment of prisoners led to several key developments </w:t>
      </w:r>
      <w:r w:rsidR="00776C32">
        <w:rPr>
          <w:rFonts w:ascii="Arial" w:eastAsia="Arial" w:hAnsi="Arial" w:cs="Arial"/>
          <w:color w:val="000000"/>
        </w:rPr>
        <w:t>in human</w:t>
      </w:r>
      <w:r>
        <w:rPr>
          <w:rFonts w:ascii="Arial" w:eastAsia="Arial" w:hAnsi="Arial" w:cs="Arial"/>
          <w:color w:val="000000"/>
        </w:rPr>
        <w:t xml:space="preserve"> rights seen today in the modern world. </w:t>
      </w:r>
      <w:r w:rsidR="004E14BC">
        <w:rPr>
          <w:rFonts w:ascii="Arial" w:eastAsia="Arial" w:hAnsi="Arial" w:cs="Arial"/>
          <w:color w:val="000000"/>
        </w:rPr>
        <w:t xml:space="preserve"> As examined, you can see that British prisoners as well as other prisoners were treated </w:t>
      </w:r>
      <w:r w:rsidR="00FC4FCA">
        <w:rPr>
          <w:rFonts w:ascii="Arial" w:eastAsia="Arial" w:hAnsi="Arial" w:cs="Arial"/>
          <w:color w:val="000000"/>
        </w:rPr>
        <w:t xml:space="preserve">poorly </w:t>
      </w:r>
      <w:r w:rsidR="004E14BC">
        <w:rPr>
          <w:rFonts w:ascii="Arial" w:eastAsia="Arial" w:hAnsi="Arial" w:cs="Arial"/>
          <w:color w:val="000000"/>
        </w:rPr>
        <w:t xml:space="preserve">due to having no </w:t>
      </w:r>
      <w:r>
        <w:rPr>
          <w:rFonts w:ascii="Arial" w:eastAsia="Arial" w:hAnsi="Arial" w:cs="Arial"/>
          <w:color w:val="000000"/>
        </w:rPr>
        <w:t xml:space="preserve">human rights law in place. </w:t>
      </w:r>
    </w:p>
    <w:p w14:paraId="7F9E3828" w14:textId="3CEB572F" w:rsidR="00D16B91" w:rsidRDefault="00D16B91" w:rsidP="008C2988">
      <w:pPr>
        <w:jc w:val="both"/>
        <w:rPr>
          <w:rFonts w:ascii="Arial" w:eastAsia="Arial" w:hAnsi="Arial" w:cs="Arial"/>
          <w:color w:val="000000"/>
        </w:rPr>
      </w:pPr>
    </w:p>
    <w:p w14:paraId="0BB693AC" w14:textId="764BEC6C" w:rsidR="009C1559" w:rsidRDefault="009C1559" w:rsidP="008C2988">
      <w:pPr>
        <w:jc w:val="both"/>
        <w:rPr>
          <w:rFonts w:ascii="Arial" w:eastAsia="Arial" w:hAnsi="Arial" w:cs="Arial"/>
          <w:color w:val="000000"/>
        </w:rPr>
      </w:pPr>
    </w:p>
    <w:p w14:paraId="374A3F88" w14:textId="19755F61" w:rsidR="009C1559" w:rsidRDefault="009C1559" w:rsidP="009C1559">
      <w:pPr>
        <w:rPr>
          <w:rFonts w:ascii="Arial" w:hAnsi="Arial" w:cs="Arial"/>
          <w:b/>
        </w:rPr>
      </w:pPr>
      <w:r>
        <w:rPr>
          <w:rFonts w:ascii="Arial" w:hAnsi="Arial" w:cs="Arial"/>
          <w:b/>
        </w:rPr>
        <w:t xml:space="preserve">Human Rights in Health and Social Care. </w:t>
      </w:r>
      <w:r w:rsidR="00FF7BED" w:rsidRPr="00FF7BED">
        <w:rPr>
          <w:rFonts w:ascii="Arial" w:hAnsi="Arial" w:cs="Arial"/>
          <w:b/>
          <w:highlight w:val="yellow"/>
        </w:rPr>
        <w:t>(B</w:t>
      </w:r>
      <w:r w:rsidR="005526AA">
        <w:rPr>
          <w:rFonts w:ascii="Arial" w:hAnsi="Arial" w:cs="Arial"/>
          <w:b/>
          <w:highlight w:val="yellow"/>
        </w:rPr>
        <w:t>ranca)</w:t>
      </w:r>
      <w:bookmarkStart w:id="0" w:name="_GoBack"/>
      <w:bookmarkEnd w:id="0"/>
    </w:p>
    <w:p w14:paraId="36742883" w14:textId="69CC9960" w:rsidR="009C1559" w:rsidRDefault="009C1559" w:rsidP="009C1559">
      <w:pPr>
        <w:jc w:val="both"/>
        <w:rPr>
          <w:rFonts w:ascii="Arial" w:hAnsi="Arial" w:cs="Arial"/>
        </w:rPr>
      </w:pPr>
      <w:r>
        <w:rPr>
          <w:rFonts w:ascii="Arial" w:hAnsi="Arial" w:cs="Arial"/>
        </w:rPr>
        <w:t xml:space="preserve">There are several factors in place that contribute to the way in which human rights are addressed in the most ethnical manner, in order to promote equality amongst individuals according to their caring needs and acts as a deterrent to discriminating actions and instead provides protection. The Human Rights Act (1998) guarantees everyone certain fundamental rights. There are some rights that are particularly relevant to the health and social care sector, such as the right to life and to be treated with respect. (Equality and Human Rights Commission, 2018). The Care Quality Commission (CQC, 2009) and Department of Health and Social Care (DHSC, 2018) share the same perspective in relation to human rights within the health and social care services by ensuring that all staff are aware of the principles and skills required to fulfil their duties to service users. The DHSC work with the government and other organisations to develop policies and strategies to enhance better health care and improve lifestyle for individuals (Department of Health, </w:t>
      </w:r>
      <w:proofErr w:type="spellStart"/>
      <w:r>
        <w:rPr>
          <w:rFonts w:ascii="Arial" w:hAnsi="Arial" w:cs="Arial"/>
        </w:rPr>
        <w:t>nd</w:t>
      </w:r>
      <w:proofErr w:type="spellEnd"/>
      <w:r>
        <w:rPr>
          <w:rFonts w:ascii="Arial" w:hAnsi="Arial" w:cs="Arial"/>
        </w:rPr>
        <w:t>). In doing so, the Equality Act (2010) helps to prevent any types of discrimination towards a specific group of people or individual. (UK GOV, 2018)</w:t>
      </w:r>
    </w:p>
    <w:p w14:paraId="6924FA53" w14:textId="77777777" w:rsidR="009D4AB8" w:rsidRDefault="009D4AB8" w:rsidP="009C1559">
      <w:pPr>
        <w:jc w:val="both"/>
        <w:rPr>
          <w:rFonts w:ascii="Arial" w:hAnsi="Arial" w:cs="Arial"/>
        </w:rPr>
      </w:pPr>
    </w:p>
    <w:p w14:paraId="2142F6D8" w14:textId="6F0240FC" w:rsidR="009C1559" w:rsidRDefault="009C1559" w:rsidP="009C1559">
      <w:pPr>
        <w:jc w:val="both"/>
        <w:rPr>
          <w:rFonts w:ascii="Arial" w:hAnsi="Arial" w:cs="Arial"/>
        </w:rPr>
      </w:pPr>
      <w:r>
        <w:rPr>
          <w:rFonts w:ascii="Arial" w:hAnsi="Arial" w:cs="Arial"/>
        </w:rPr>
        <w:t xml:space="preserve">CQC priorities is the promotion of equality and human rights within the health and social care sector. To ensure users receive the best care, services provided are monitored and regulated through inspections, questionnaires, observations or feedback from service users. Where there is a below standard of care </w:t>
      </w:r>
      <w:r w:rsidR="006176BD">
        <w:rPr>
          <w:rFonts w:ascii="Arial" w:hAnsi="Arial" w:cs="Arial"/>
        </w:rPr>
        <w:t>recommendations made</w:t>
      </w:r>
      <w:r>
        <w:rPr>
          <w:rFonts w:ascii="Arial" w:hAnsi="Arial" w:cs="Arial"/>
        </w:rPr>
        <w:t xml:space="preserve"> to make improvement and provide a better service of care.</w:t>
      </w:r>
      <w:r>
        <w:rPr>
          <w:rFonts w:ascii="Arial" w:hAnsi="Arial" w:cs="Arial"/>
          <w:color w:val="000000" w:themeColor="text1"/>
        </w:rPr>
        <w:t xml:space="preserve"> (The Care Quality Commission, 2014).</w:t>
      </w:r>
    </w:p>
    <w:p w14:paraId="00B76D00" w14:textId="18FCFF68" w:rsidR="009C1559" w:rsidRDefault="009C1559" w:rsidP="009C1559">
      <w:pPr>
        <w:jc w:val="both"/>
        <w:rPr>
          <w:rFonts w:ascii="Arial" w:hAnsi="Arial" w:cs="Arial"/>
        </w:rPr>
      </w:pPr>
    </w:p>
    <w:p w14:paraId="3CDF00DD" w14:textId="4851B7A4" w:rsidR="009D4AB8" w:rsidRDefault="009D4AB8" w:rsidP="009C1559">
      <w:pPr>
        <w:jc w:val="both"/>
        <w:rPr>
          <w:rFonts w:ascii="Arial" w:hAnsi="Arial" w:cs="Arial"/>
        </w:rPr>
      </w:pPr>
      <w:r>
        <w:rPr>
          <w:rFonts w:ascii="Arial" w:hAnsi="Arial" w:cs="Arial"/>
        </w:rPr>
        <w:t>conclusion</w:t>
      </w:r>
    </w:p>
    <w:p w14:paraId="735C0027" w14:textId="4D08C4B6" w:rsidR="009C1559" w:rsidRPr="009D4AB8" w:rsidRDefault="009C1559" w:rsidP="009D4AB8">
      <w:pPr>
        <w:jc w:val="both"/>
        <w:rPr>
          <w:rFonts w:ascii="Arial" w:hAnsi="Arial" w:cs="Arial"/>
        </w:rPr>
      </w:pPr>
      <w:r>
        <w:rPr>
          <w:rFonts w:ascii="Arial" w:hAnsi="Arial" w:cs="Arial"/>
        </w:rPr>
        <w:t>In addition, the organisations have a duty to review all aspects of the services provided to ensure the individual is in a safe and clean environment to make sure the individual will not be at risk of harm. Obtaining consent from the individual before a treatment or the offering of a service, will give to the individual autonomy to have the right of choice and opinion. This will demonstrate an awareness and respect to the individual’s culture and diverse beliefs.</w:t>
      </w:r>
      <w:r w:rsidRPr="00FC752F">
        <w:rPr>
          <w:rFonts w:ascii="Arial" w:hAnsi="Arial" w:cs="Arial"/>
          <w:color w:val="000000" w:themeColor="text1"/>
        </w:rPr>
        <w:t xml:space="preserve"> </w:t>
      </w:r>
      <w:bookmarkStart w:id="1" w:name="_gjdgxs" w:colFirst="0" w:colLast="0"/>
      <w:bookmarkEnd w:id="1"/>
    </w:p>
    <w:sdt>
      <w:sdtPr>
        <w:rPr>
          <w:b w:val="0"/>
          <w:sz w:val="24"/>
          <w:szCs w:val="24"/>
        </w:rPr>
        <w:id w:val="-1751193486"/>
        <w:docPartObj>
          <w:docPartGallery w:val="Bibliographies"/>
          <w:docPartUnique/>
        </w:docPartObj>
      </w:sdtPr>
      <w:sdtEndPr/>
      <w:sdtContent>
        <w:p w14:paraId="5126E50F" w14:textId="0D097FEC" w:rsidR="005D6AC1" w:rsidRDefault="005D6AC1">
          <w:pPr>
            <w:pStyle w:val="Heading1"/>
          </w:pPr>
          <w:r>
            <w:t>References</w:t>
          </w:r>
        </w:p>
        <w:sdt>
          <w:sdtPr>
            <w:id w:val="-573587230"/>
            <w:showingPlcHdr/>
            <w:bibliography/>
          </w:sdtPr>
          <w:sdtEndPr/>
          <w:sdtContent>
            <w:p w14:paraId="1C0B3355" w14:textId="13724CD1" w:rsidR="00FF7BED" w:rsidRDefault="00FF7BED" w:rsidP="00FF7BED">
              <w:r>
                <w:t xml:space="preserve">     </w:t>
              </w:r>
            </w:p>
          </w:sdtContent>
        </w:sdt>
      </w:sdtContent>
    </w:sdt>
    <w:p w14:paraId="2B2B9667" w14:textId="43A13F6E" w:rsidR="00FF7BED" w:rsidRDefault="00FF7BED" w:rsidP="00FF7BED">
      <w:r w:rsidRPr="00FF7BED">
        <w:rPr>
          <w:bCs/>
          <w:noProof/>
          <w:highlight w:val="yellow"/>
        </w:rPr>
        <w:t xml:space="preserve">Care Quality Commission (2014). </w:t>
      </w:r>
      <w:r w:rsidRPr="00FF7BED">
        <w:rPr>
          <w:bCs/>
          <w:i/>
          <w:noProof/>
          <w:highlight w:val="yellow"/>
        </w:rPr>
        <w:t>Human rights approach for our regulation of health and social care services</w:t>
      </w:r>
      <w:r w:rsidRPr="00FF7BED">
        <w:rPr>
          <w:bCs/>
          <w:noProof/>
          <w:highlight w:val="yellow"/>
        </w:rPr>
        <w:t xml:space="preserve">. [online]. Available at:  </w:t>
      </w:r>
      <w:r w:rsidRPr="00FF7BED">
        <w:rPr>
          <w:highlight w:val="yellow"/>
        </w:rPr>
        <w:t xml:space="preserve"> </w:t>
      </w:r>
      <w:hyperlink r:id="rId10" w:history="1">
        <w:r w:rsidRPr="00FF7BED">
          <w:rPr>
            <w:rStyle w:val="Hyperlink"/>
            <w:highlight w:val="yellow"/>
          </w:rPr>
          <w:t>https://www.cqc.org.uk/sites/default/files/20150416_our_human_rights_approach.pdf</w:t>
        </w:r>
      </w:hyperlink>
      <w:r w:rsidRPr="00FF7BED">
        <w:rPr>
          <w:highlight w:val="yellow"/>
        </w:rPr>
        <w:t xml:space="preserve"> [Accessed: 29 November 2018].</w:t>
      </w:r>
    </w:p>
    <w:p w14:paraId="4DF45542" w14:textId="77777777" w:rsidR="00FF7BED" w:rsidRDefault="00FF7BED" w:rsidP="00FC4FCA">
      <w:pPr>
        <w:rPr>
          <w:rStyle w:val="selectable"/>
          <w:rFonts w:ascii="&amp;quot" w:hAnsi="&amp;quot"/>
          <w:color w:val="000000"/>
          <w:sz w:val="20"/>
          <w:szCs w:val="20"/>
        </w:rPr>
      </w:pPr>
    </w:p>
    <w:p w14:paraId="57171272" w14:textId="77777777" w:rsidR="00FF7BED" w:rsidRDefault="00FF7BED" w:rsidP="00FC4FCA">
      <w:pPr>
        <w:rPr>
          <w:rStyle w:val="selectable"/>
          <w:rFonts w:ascii="&amp;quot" w:hAnsi="&amp;quot"/>
          <w:color w:val="000000"/>
          <w:sz w:val="20"/>
          <w:szCs w:val="20"/>
        </w:rPr>
      </w:pPr>
    </w:p>
    <w:p w14:paraId="37A00163" w14:textId="3177AC3B" w:rsidR="00FC4FCA" w:rsidRPr="00FF7BED" w:rsidRDefault="00FC4FCA" w:rsidP="00FC4FCA">
      <w:pPr>
        <w:rPr>
          <w:highlight w:val="magenta"/>
          <w:lang w:val="en-US" w:eastAsia="en-US"/>
        </w:rPr>
      </w:pPr>
      <w:r w:rsidRPr="00FF7BED">
        <w:rPr>
          <w:rStyle w:val="selectable"/>
          <w:rFonts w:ascii="&amp;quot" w:hAnsi="&amp;quot"/>
          <w:color w:val="000000"/>
          <w:sz w:val="20"/>
          <w:szCs w:val="20"/>
          <w:highlight w:val="magenta"/>
        </w:rPr>
        <w:t xml:space="preserve">Chadwick, R. and </w:t>
      </w:r>
      <w:proofErr w:type="spellStart"/>
      <w:r w:rsidRPr="00FF7BED">
        <w:rPr>
          <w:rStyle w:val="selectable"/>
          <w:rFonts w:ascii="&amp;quot" w:hAnsi="&amp;quot"/>
          <w:color w:val="000000"/>
          <w:sz w:val="20"/>
          <w:szCs w:val="20"/>
          <w:highlight w:val="magenta"/>
        </w:rPr>
        <w:t>Meslin</w:t>
      </w:r>
      <w:proofErr w:type="spellEnd"/>
      <w:r w:rsidRPr="00FF7BED">
        <w:rPr>
          <w:rStyle w:val="selectable"/>
          <w:rFonts w:ascii="&amp;quot" w:hAnsi="&amp;quot"/>
          <w:color w:val="000000"/>
          <w:sz w:val="20"/>
          <w:szCs w:val="20"/>
          <w:highlight w:val="magenta"/>
        </w:rPr>
        <w:t xml:space="preserve">, E. (2011). </w:t>
      </w:r>
      <w:r w:rsidRPr="00FF7BED">
        <w:rPr>
          <w:rStyle w:val="selectable"/>
          <w:rFonts w:ascii="&amp;quot" w:hAnsi="&amp;quot"/>
          <w:i/>
          <w:iCs/>
          <w:color w:val="000000"/>
          <w:sz w:val="20"/>
          <w:szCs w:val="20"/>
          <w:highlight w:val="magenta"/>
        </w:rPr>
        <w:t>THE SAGE handbook of health care ethics</w:t>
      </w:r>
      <w:r w:rsidRPr="00FF7BED">
        <w:rPr>
          <w:rStyle w:val="selectable"/>
          <w:rFonts w:ascii="&amp;quot" w:hAnsi="&amp;quot"/>
          <w:color w:val="000000"/>
          <w:sz w:val="20"/>
          <w:szCs w:val="20"/>
          <w:highlight w:val="magenta"/>
        </w:rPr>
        <w:t>. LONDON; Sage, p.307.</w:t>
      </w:r>
    </w:p>
    <w:p w14:paraId="66B7DF08" w14:textId="77777777" w:rsidR="00AF5C70" w:rsidRPr="00FF7BED" w:rsidRDefault="00AF5C70">
      <w:pPr>
        <w:rPr>
          <w:rFonts w:ascii="Arial" w:hAnsi="Arial" w:cs="Arial"/>
          <w:color w:val="000000"/>
          <w:sz w:val="20"/>
          <w:szCs w:val="20"/>
          <w:highlight w:val="magenta"/>
        </w:rPr>
      </w:pPr>
    </w:p>
    <w:p w14:paraId="56A74FEF" w14:textId="5FAE16AE" w:rsidR="005D6AC1" w:rsidRDefault="00136AF3">
      <w:pPr>
        <w:rPr>
          <w:rFonts w:ascii="Arial" w:hAnsi="Arial" w:cs="Arial"/>
          <w:color w:val="000000"/>
          <w:sz w:val="20"/>
          <w:szCs w:val="20"/>
        </w:rPr>
      </w:pPr>
      <w:r w:rsidRPr="00FF7BED">
        <w:rPr>
          <w:rFonts w:ascii="Arial" w:hAnsi="Arial" w:cs="Arial"/>
          <w:color w:val="000000"/>
          <w:sz w:val="20"/>
          <w:szCs w:val="20"/>
          <w:highlight w:val="magenta"/>
        </w:rPr>
        <w:t xml:space="preserve">Child, J. (2016). </w:t>
      </w:r>
      <w:r w:rsidRPr="00FF7BED">
        <w:rPr>
          <w:rFonts w:ascii="&amp;quot" w:hAnsi="&amp;quot"/>
          <w:i/>
          <w:iCs/>
          <w:color w:val="000000"/>
          <w:sz w:val="20"/>
          <w:szCs w:val="20"/>
          <w:highlight w:val="magenta"/>
        </w:rPr>
        <w:t>Weimar and Nazi Germany, 1918-1939</w:t>
      </w:r>
      <w:r w:rsidRPr="00FF7BED">
        <w:rPr>
          <w:rFonts w:ascii="Arial" w:hAnsi="Arial" w:cs="Arial"/>
          <w:color w:val="000000"/>
          <w:sz w:val="20"/>
          <w:szCs w:val="20"/>
          <w:highlight w:val="magenta"/>
        </w:rPr>
        <w:t xml:space="preserve">. Pearson, </w:t>
      </w:r>
      <w:proofErr w:type="gramStart"/>
      <w:r w:rsidRPr="00FF7BED">
        <w:rPr>
          <w:rFonts w:ascii="Arial" w:hAnsi="Arial" w:cs="Arial"/>
          <w:color w:val="000000"/>
          <w:sz w:val="20"/>
          <w:szCs w:val="20"/>
          <w:highlight w:val="magenta"/>
        </w:rPr>
        <w:t>p.62,.</w:t>
      </w:r>
      <w:proofErr w:type="gramEnd"/>
    </w:p>
    <w:p w14:paraId="1AEB7F85" w14:textId="77777777" w:rsidR="00FC4FCA" w:rsidRDefault="00FC4FCA" w:rsidP="00FC4FCA">
      <w:pPr>
        <w:pStyle w:val="Bibliography"/>
        <w:rPr>
          <w:noProof/>
          <w:lang w:val="en-US"/>
        </w:rPr>
      </w:pPr>
    </w:p>
    <w:p w14:paraId="51DD85E8" w14:textId="48E94CC4" w:rsidR="00AF5C70" w:rsidRDefault="00AF5C70" w:rsidP="00FC4FCA">
      <w:pPr>
        <w:pStyle w:val="Bibliography"/>
        <w:rPr>
          <w:noProof/>
          <w:highlight w:val="yellow"/>
          <w:lang w:val="en-US"/>
        </w:rPr>
      </w:pPr>
      <w:r w:rsidRPr="00FF7BED">
        <w:rPr>
          <w:noProof/>
          <w:highlight w:val="yellow"/>
          <w:lang w:val="en-US"/>
        </w:rPr>
        <w:t xml:space="preserve">Commission, C. (2014). </w:t>
      </w:r>
      <w:r w:rsidRPr="00FF7BED">
        <w:rPr>
          <w:i/>
          <w:iCs/>
          <w:noProof/>
          <w:highlight w:val="yellow"/>
          <w:lang w:val="en-US"/>
        </w:rPr>
        <w:t>Human rights approach for our regulation of health and social care services .</w:t>
      </w:r>
      <w:r w:rsidRPr="00FF7BED">
        <w:rPr>
          <w:noProof/>
          <w:highlight w:val="yellow"/>
          <w:lang w:val="en-US"/>
        </w:rPr>
        <w:t xml:space="preserve"> London .</w:t>
      </w:r>
    </w:p>
    <w:p w14:paraId="10A789D5" w14:textId="77777777" w:rsidR="00104BFC" w:rsidRPr="003743CA" w:rsidRDefault="00104BFC" w:rsidP="00104BFC">
      <w:r w:rsidRPr="00104BFC">
        <w:rPr>
          <w:highlight w:val="red"/>
        </w:rPr>
        <w:t xml:space="preserve">Dawes, S (2018) </w:t>
      </w:r>
      <w:r w:rsidRPr="009D4AB8">
        <w:rPr>
          <w:i/>
          <w:highlight w:val="red"/>
        </w:rPr>
        <w:t>‘twenty years on, the human rights act has proved its worth</w:t>
      </w:r>
      <w:r w:rsidRPr="00104BFC">
        <w:rPr>
          <w:highlight w:val="red"/>
        </w:rPr>
        <w:t xml:space="preserve"> ‘The</w:t>
      </w:r>
      <w:r w:rsidRPr="00104BFC">
        <w:rPr>
          <w:i/>
          <w:highlight w:val="red"/>
        </w:rPr>
        <w:t xml:space="preserve"> Guardian</w:t>
      </w:r>
      <w:r w:rsidRPr="00104BFC">
        <w:rPr>
          <w:highlight w:val="red"/>
        </w:rPr>
        <w:t>, 9</w:t>
      </w:r>
      <w:r w:rsidRPr="00104BFC">
        <w:rPr>
          <w:highlight w:val="red"/>
          <w:vertAlign w:val="superscript"/>
        </w:rPr>
        <w:t>th</w:t>
      </w:r>
      <w:r w:rsidRPr="00104BFC">
        <w:rPr>
          <w:highlight w:val="red"/>
        </w:rPr>
        <w:t xml:space="preserve"> November.</w:t>
      </w:r>
      <w:r>
        <w:t xml:space="preserve"> </w:t>
      </w:r>
    </w:p>
    <w:p w14:paraId="72610FC9" w14:textId="77777777" w:rsidR="00104BFC" w:rsidRPr="00104BFC" w:rsidRDefault="00104BFC" w:rsidP="00104BFC">
      <w:pPr>
        <w:rPr>
          <w:highlight w:val="yellow"/>
          <w:lang w:val="en-US" w:eastAsia="en-US"/>
        </w:rPr>
      </w:pPr>
    </w:p>
    <w:p w14:paraId="06E3ABAE" w14:textId="77777777" w:rsidR="00FF7BED" w:rsidRPr="00FF7BED" w:rsidRDefault="00FF7BED" w:rsidP="00FF7BED">
      <w:pPr>
        <w:rPr>
          <w:highlight w:val="yellow"/>
        </w:rPr>
      </w:pPr>
      <w:r w:rsidRPr="00FF7BED">
        <w:rPr>
          <w:highlight w:val="yellow"/>
        </w:rPr>
        <w:t xml:space="preserve">Department of Health and Social Care (n.d.). </w:t>
      </w:r>
      <w:r w:rsidRPr="00FF7BED">
        <w:rPr>
          <w:i/>
          <w:highlight w:val="yellow"/>
        </w:rPr>
        <w:t>Our responsibilities</w:t>
      </w:r>
      <w:r w:rsidRPr="00FF7BED">
        <w:rPr>
          <w:highlight w:val="yellow"/>
        </w:rPr>
        <w:t xml:space="preserve">. [online]. Available at: </w:t>
      </w:r>
      <w:hyperlink r:id="rId11" w:anchor="our-responsibilities" w:history="1">
        <w:r w:rsidRPr="00FF7BED">
          <w:rPr>
            <w:rStyle w:val="Hyperlink"/>
            <w:highlight w:val="yellow"/>
          </w:rPr>
          <w:t>https://www.gov.uk/government/organisations/department-of-health-and-social-care/about#our-responsibilities</w:t>
        </w:r>
      </w:hyperlink>
      <w:r w:rsidRPr="00FF7BED">
        <w:rPr>
          <w:highlight w:val="yellow"/>
        </w:rPr>
        <w:t xml:space="preserve"> [Accessed 28 November 2018].</w:t>
      </w:r>
    </w:p>
    <w:p w14:paraId="30389CCA" w14:textId="4E730DA8" w:rsidR="00FF7BED" w:rsidRPr="00FF7BED" w:rsidRDefault="00FF7BED" w:rsidP="00FF7BED">
      <w:pPr>
        <w:rPr>
          <w:highlight w:val="yellow"/>
          <w:lang w:val="en-US" w:eastAsia="en-US"/>
        </w:rPr>
      </w:pPr>
    </w:p>
    <w:p w14:paraId="04AD2FCA" w14:textId="77777777" w:rsidR="00FF7BED" w:rsidRDefault="00FF7BED" w:rsidP="00FF7BED">
      <w:pPr>
        <w:rPr>
          <w:bCs/>
          <w:noProof/>
        </w:rPr>
      </w:pPr>
      <w:r w:rsidRPr="00FF7BED">
        <w:rPr>
          <w:highlight w:val="yellow"/>
        </w:rPr>
        <w:t xml:space="preserve">Equality and Human Rights Commission (2018). </w:t>
      </w:r>
      <w:r w:rsidRPr="00FF7BED">
        <w:rPr>
          <w:i/>
          <w:highlight w:val="yellow"/>
        </w:rPr>
        <w:t>Human rights in health and social care.</w:t>
      </w:r>
      <w:r w:rsidRPr="00FF7BED">
        <w:rPr>
          <w:highlight w:val="yellow"/>
        </w:rPr>
        <w:t xml:space="preserve"> [online]. (Last updated: 08 October 2018). Available at: </w:t>
      </w:r>
      <w:hyperlink r:id="rId12" w:anchor="resources" w:history="1">
        <w:r w:rsidRPr="00FF7BED">
          <w:rPr>
            <w:rStyle w:val="Hyperlink"/>
            <w:highlight w:val="yellow"/>
          </w:rPr>
          <w:t>https://www.equalityhumanrights.com/en/advice-and-guidance/human-rights-health-and-social-care#resources</w:t>
        </w:r>
      </w:hyperlink>
      <w:r w:rsidRPr="00FF7BED">
        <w:rPr>
          <w:highlight w:val="yellow"/>
        </w:rPr>
        <w:t xml:space="preserve"> [Accessed 26 November 2018].</w:t>
      </w:r>
    </w:p>
    <w:p w14:paraId="110EED2A" w14:textId="77777777" w:rsidR="00FF7BED" w:rsidRPr="00FF7BED" w:rsidRDefault="00FF7BED" w:rsidP="00FF7BED">
      <w:pPr>
        <w:rPr>
          <w:lang w:val="en-US" w:eastAsia="en-US"/>
        </w:rPr>
      </w:pPr>
    </w:p>
    <w:p w14:paraId="13105DD2" w14:textId="77777777" w:rsidR="00FC4FCA" w:rsidRDefault="00FC4FCA" w:rsidP="00AF5C70">
      <w:pPr>
        <w:pStyle w:val="Bibliography"/>
        <w:ind w:left="720" w:hanging="720"/>
        <w:rPr>
          <w:rFonts w:ascii="Calibri" w:eastAsia="Calibri" w:hAnsi="Calibri" w:cs="Calibri"/>
          <w:sz w:val="24"/>
          <w:szCs w:val="24"/>
          <w:lang w:val="en-US"/>
        </w:rPr>
      </w:pPr>
    </w:p>
    <w:p w14:paraId="60287239" w14:textId="5787E2B0" w:rsidR="00AF5C70" w:rsidRPr="00FF7BED" w:rsidRDefault="00AF5C70" w:rsidP="00AF5C70">
      <w:pPr>
        <w:pStyle w:val="Bibliography"/>
        <w:ind w:left="720" w:hanging="720"/>
        <w:rPr>
          <w:noProof/>
          <w:highlight w:val="yellow"/>
          <w:lang w:val="en-US"/>
        </w:rPr>
      </w:pPr>
      <w:r w:rsidRPr="00FF7BED">
        <w:rPr>
          <w:i/>
          <w:iCs/>
          <w:noProof/>
          <w:highlight w:val="yellow"/>
          <w:lang w:val="en-US"/>
        </w:rPr>
        <w:t>gov.uk</w:t>
      </w:r>
      <w:r w:rsidRPr="00FF7BED">
        <w:rPr>
          <w:noProof/>
          <w:highlight w:val="yellow"/>
          <w:lang w:val="en-US"/>
        </w:rPr>
        <w:t>. (2018, November 28). Retrieved from Department of Health &amp; Social care : https://www.gov.uk/government/organisations/department-of-health-and-social-care/about#our-responsibilities</w:t>
      </w:r>
    </w:p>
    <w:p w14:paraId="461CF67A" w14:textId="77777777" w:rsidR="00AF5C70" w:rsidRPr="00FF7BED" w:rsidRDefault="00AF5C70" w:rsidP="00AF5C70">
      <w:pPr>
        <w:rPr>
          <w:highlight w:val="yellow"/>
          <w:lang w:val="en-US" w:eastAsia="en-US"/>
        </w:rPr>
      </w:pPr>
    </w:p>
    <w:p w14:paraId="1137B8F2" w14:textId="21BEDC94" w:rsidR="00AF5C70" w:rsidRPr="00FF7BED" w:rsidRDefault="00AF5C70" w:rsidP="00AF5C70">
      <w:pPr>
        <w:rPr>
          <w:highlight w:val="yellow"/>
          <w:lang w:val="en-US" w:eastAsia="en-US"/>
        </w:rPr>
      </w:pPr>
      <w:r w:rsidRPr="00FF7BED">
        <w:rPr>
          <w:noProof/>
          <w:highlight w:val="yellow"/>
          <w:lang w:val="en-US"/>
        </w:rPr>
        <w:t xml:space="preserve">Health, T. D. (2011-2012). </w:t>
      </w:r>
      <w:r w:rsidRPr="00FF7BED">
        <w:rPr>
          <w:i/>
          <w:iCs/>
          <w:noProof/>
          <w:highlight w:val="yellow"/>
          <w:lang w:val="en-US"/>
        </w:rPr>
        <w:t>Human Rights in Healthcare Programme .</w:t>
      </w:r>
      <w:r w:rsidRPr="00FF7BED">
        <w:rPr>
          <w:noProof/>
          <w:highlight w:val="yellow"/>
          <w:lang w:val="en-US"/>
        </w:rPr>
        <w:t xml:space="preserve"> London.</w:t>
      </w:r>
    </w:p>
    <w:p w14:paraId="5B956431" w14:textId="67557B5C" w:rsidR="00AF5C70" w:rsidRDefault="00AF5C70" w:rsidP="00AF5C70">
      <w:pPr>
        <w:pStyle w:val="Bibliography"/>
        <w:ind w:left="720" w:hanging="720"/>
        <w:rPr>
          <w:rFonts w:ascii="Arial" w:hAnsi="Arial" w:cs="Arial"/>
          <w:color w:val="000000"/>
          <w:sz w:val="20"/>
          <w:szCs w:val="20"/>
          <w:highlight w:val="yellow"/>
        </w:rPr>
      </w:pPr>
    </w:p>
    <w:p w14:paraId="556A6272" w14:textId="27AABE03" w:rsidR="009D4AB8" w:rsidRPr="009D4AB8" w:rsidRDefault="009D4AB8" w:rsidP="009D4AB8">
      <w:pPr>
        <w:rPr>
          <w:rFonts w:ascii="Arial" w:hAnsi="Arial" w:cs="Arial"/>
          <w:bCs/>
          <w:i/>
          <w:color w:val="000000"/>
          <w:spacing w:val="-5"/>
          <w:highlight w:val="magenta"/>
        </w:rPr>
      </w:pPr>
      <w:proofErr w:type="spellStart"/>
      <w:r w:rsidRPr="009D4AB8">
        <w:rPr>
          <w:highlight w:val="magenta"/>
          <w:lang w:eastAsia="en-US"/>
        </w:rPr>
        <w:t>Howe,C</w:t>
      </w:r>
      <w:proofErr w:type="spellEnd"/>
      <w:r w:rsidRPr="009D4AB8">
        <w:rPr>
          <w:highlight w:val="magenta"/>
          <w:lang w:eastAsia="en-US"/>
        </w:rPr>
        <w:t xml:space="preserve">, (2018), </w:t>
      </w:r>
      <w:r w:rsidRPr="009D4AB8">
        <w:rPr>
          <w:rFonts w:ascii="Arial" w:hAnsi="Arial" w:cs="Arial"/>
          <w:bCs/>
          <w:i/>
          <w:color w:val="000000"/>
          <w:spacing w:val="-5"/>
          <w:highlight w:val="magenta"/>
        </w:rPr>
        <w:t xml:space="preserve">Dachau survivor tells how he still found hope in Hitler's death camps, </w:t>
      </w:r>
      <w:r w:rsidRPr="009D4AB8">
        <w:rPr>
          <w:rFonts w:ascii="Arial" w:hAnsi="Arial" w:cs="Arial"/>
          <w:bCs/>
          <w:color w:val="000000"/>
          <w:spacing w:val="-5"/>
          <w:highlight w:val="magenta"/>
        </w:rPr>
        <w:t>Daily mail</w:t>
      </w:r>
      <w:r w:rsidRPr="009D4AB8">
        <w:rPr>
          <w:rFonts w:ascii="Arial" w:hAnsi="Arial" w:cs="Arial"/>
          <w:bCs/>
          <w:i/>
          <w:color w:val="000000"/>
          <w:spacing w:val="-5"/>
          <w:highlight w:val="magenta"/>
        </w:rPr>
        <w:t xml:space="preserve">, retrieved from: </w:t>
      </w:r>
      <w:hyperlink r:id="rId13" w:history="1">
        <w:r w:rsidRPr="009D4AB8">
          <w:rPr>
            <w:rStyle w:val="Hyperlink"/>
            <w:rFonts w:ascii="Arial" w:hAnsi="Arial" w:cs="Arial"/>
            <w:bCs/>
            <w:i/>
            <w:spacing w:val="-5"/>
            <w:highlight w:val="magenta"/>
          </w:rPr>
          <w:t>https://www.dailymail.co.uk/news/article-5762239/Holocaust-survivor-reveals-beaten-starved-Nazi-camps.html</w:t>
        </w:r>
      </w:hyperlink>
      <w:r w:rsidRPr="009D4AB8">
        <w:rPr>
          <w:rFonts w:ascii="Arial" w:hAnsi="Arial" w:cs="Arial"/>
          <w:bCs/>
          <w:i/>
          <w:color w:val="000000"/>
          <w:spacing w:val="-5"/>
          <w:highlight w:val="magenta"/>
        </w:rPr>
        <w:t xml:space="preserve">. </w:t>
      </w:r>
    </w:p>
    <w:p w14:paraId="5C485254" w14:textId="52A1B8D3" w:rsidR="009D4AB8" w:rsidRPr="009D4AB8" w:rsidRDefault="009D4AB8" w:rsidP="009D4AB8">
      <w:pPr>
        <w:rPr>
          <w:highlight w:val="magenta"/>
          <w:lang w:eastAsia="en-US"/>
        </w:rPr>
      </w:pPr>
      <w:r w:rsidRPr="009D4AB8">
        <w:rPr>
          <w:highlight w:val="magenta"/>
          <w:lang w:eastAsia="en-US"/>
        </w:rPr>
        <w:t>Retrieved</w:t>
      </w:r>
      <w:r>
        <w:rPr>
          <w:highlight w:val="magenta"/>
          <w:lang w:eastAsia="en-US"/>
        </w:rPr>
        <w:t>;</w:t>
      </w:r>
      <w:r w:rsidRPr="009D4AB8">
        <w:rPr>
          <w:highlight w:val="magenta"/>
          <w:lang w:eastAsia="en-US"/>
        </w:rPr>
        <w:t xml:space="preserve"> (5</w:t>
      </w:r>
      <w:r w:rsidRPr="009D4AB8">
        <w:rPr>
          <w:highlight w:val="magenta"/>
          <w:vertAlign w:val="superscript"/>
          <w:lang w:eastAsia="en-US"/>
        </w:rPr>
        <w:t>th</w:t>
      </w:r>
      <w:r w:rsidRPr="009D4AB8">
        <w:rPr>
          <w:highlight w:val="magenta"/>
          <w:lang w:eastAsia="en-US"/>
        </w:rPr>
        <w:t xml:space="preserve"> December 2018).</w:t>
      </w:r>
    </w:p>
    <w:p w14:paraId="6E1644AC" w14:textId="77777777" w:rsidR="009D4AB8" w:rsidRPr="009D4AB8" w:rsidRDefault="009D4AB8" w:rsidP="009D4AB8">
      <w:pPr>
        <w:rPr>
          <w:highlight w:val="yellow"/>
          <w:lang w:eastAsia="en-US"/>
        </w:rPr>
      </w:pPr>
    </w:p>
    <w:p w14:paraId="74D08C3D" w14:textId="097E55F9" w:rsidR="00AF5C70" w:rsidRDefault="00AF5C70" w:rsidP="00AF5C70">
      <w:pPr>
        <w:pStyle w:val="Bibliography"/>
        <w:ind w:left="720" w:hanging="720"/>
        <w:rPr>
          <w:noProof/>
          <w:lang w:val="en-US"/>
        </w:rPr>
      </w:pPr>
      <w:r w:rsidRPr="00FF7BED">
        <w:rPr>
          <w:rFonts w:ascii="Arial" w:hAnsi="Arial" w:cs="Arial"/>
          <w:color w:val="000000"/>
          <w:sz w:val="20"/>
          <w:szCs w:val="20"/>
          <w:highlight w:val="yellow"/>
        </w:rPr>
        <w:t xml:space="preserve"> </w:t>
      </w:r>
      <w:r w:rsidRPr="00FF7BED">
        <w:rPr>
          <w:i/>
          <w:iCs/>
          <w:noProof/>
          <w:highlight w:val="yellow"/>
          <w:lang w:val="en-US"/>
        </w:rPr>
        <w:t>Human Rights in health and social care</w:t>
      </w:r>
      <w:r w:rsidRPr="00FF7BED">
        <w:rPr>
          <w:noProof/>
          <w:highlight w:val="yellow"/>
          <w:lang w:val="en-US"/>
        </w:rPr>
        <w:t xml:space="preserve">. (2018, November 26). Retrieved from Equality and human rights commission: </w:t>
      </w:r>
      <w:hyperlink r:id="rId14" w:anchor="resources" w:history="1">
        <w:r w:rsidRPr="00FF7BED">
          <w:rPr>
            <w:rStyle w:val="Hyperlink"/>
            <w:noProof/>
            <w:highlight w:val="yellow"/>
            <w:lang w:val="en-US"/>
          </w:rPr>
          <w:t>https://www.equalityhumanrights.com/en/advice-and-guidance/human-rights-health-and-social-care#resources</w:t>
        </w:r>
      </w:hyperlink>
    </w:p>
    <w:p w14:paraId="451344A0" w14:textId="77777777" w:rsidR="00B62D51" w:rsidRPr="00AF5C70" w:rsidRDefault="00B62D51" w:rsidP="00AF5C70">
      <w:pPr>
        <w:rPr>
          <w:lang w:val="en-US" w:eastAsia="en-US"/>
        </w:rPr>
      </w:pPr>
    </w:p>
    <w:p w14:paraId="7DE9B2D3" w14:textId="4F5D656C" w:rsidR="00AF5C70" w:rsidRPr="00FF7BED" w:rsidRDefault="00AF5C70" w:rsidP="00AF5C70">
      <w:pPr>
        <w:rPr>
          <w:rFonts w:ascii="Arial" w:hAnsi="Arial" w:cs="Arial"/>
          <w:color w:val="000000"/>
          <w:sz w:val="20"/>
          <w:szCs w:val="20"/>
          <w:highlight w:val="magenta"/>
        </w:rPr>
      </w:pPr>
      <w:r w:rsidRPr="00FF7BED">
        <w:rPr>
          <w:rFonts w:ascii="Arial" w:hAnsi="Arial" w:cs="Arial"/>
          <w:color w:val="000000"/>
          <w:sz w:val="20"/>
          <w:szCs w:val="20"/>
          <w:highlight w:val="magenta"/>
        </w:rPr>
        <w:t>Mason, A (2018</w:t>
      </w:r>
      <w:r w:rsidRPr="009D4AB8">
        <w:rPr>
          <w:rFonts w:ascii="Arial" w:hAnsi="Arial" w:cs="Arial"/>
          <w:i/>
          <w:color w:val="000000"/>
          <w:sz w:val="20"/>
          <w:szCs w:val="20"/>
          <w:highlight w:val="magenta"/>
        </w:rPr>
        <w:t>) what life was like for POWS in Europe during the second world war</w:t>
      </w:r>
      <w:r w:rsidRPr="00FF7BED">
        <w:rPr>
          <w:rFonts w:ascii="Arial" w:hAnsi="Arial" w:cs="Arial"/>
          <w:color w:val="000000"/>
          <w:sz w:val="20"/>
          <w:szCs w:val="20"/>
          <w:highlight w:val="magenta"/>
        </w:rPr>
        <w:t xml:space="preserve">, London, Imperial war museum, retrieved from </w:t>
      </w:r>
      <w:hyperlink r:id="rId15" w:history="1">
        <w:r w:rsidRPr="00FF7BED">
          <w:rPr>
            <w:rStyle w:val="Hyperlink"/>
            <w:rFonts w:ascii="Arial" w:hAnsi="Arial" w:cs="Arial"/>
            <w:sz w:val="20"/>
            <w:szCs w:val="20"/>
            <w:highlight w:val="magenta"/>
          </w:rPr>
          <w:t>https://www.iwm.org.uk/history/what-life-was-like-for-pows-in-europe-during-the-second-world-war</w:t>
        </w:r>
      </w:hyperlink>
      <w:r w:rsidRPr="00FF7BED">
        <w:rPr>
          <w:rFonts w:ascii="Arial" w:hAnsi="Arial" w:cs="Arial"/>
          <w:color w:val="000000"/>
          <w:sz w:val="20"/>
          <w:szCs w:val="20"/>
          <w:highlight w:val="magenta"/>
        </w:rPr>
        <w:t xml:space="preserve"> </w:t>
      </w:r>
      <w:r w:rsidR="009D4AB8">
        <w:rPr>
          <w:rFonts w:ascii="Arial" w:hAnsi="Arial" w:cs="Arial"/>
          <w:color w:val="000000"/>
          <w:sz w:val="20"/>
          <w:szCs w:val="20"/>
          <w:highlight w:val="magenta"/>
        </w:rPr>
        <w:t xml:space="preserve"> retrieved;</w:t>
      </w:r>
      <w:r w:rsidRPr="00FF7BED">
        <w:rPr>
          <w:rFonts w:ascii="Arial" w:hAnsi="Arial" w:cs="Arial"/>
          <w:color w:val="000000"/>
          <w:sz w:val="20"/>
          <w:szCs w:val="20"/>
          <w:highlight w:val="magenta"/>
        </w:rPr>
        <w:t xml:space="preserve"> </w:t>
      </w:r>
      <w:r w:rsidR="009D4AB8">
        <w:rPr>
          <w:rFonts w:ascii="Arial" w:hAnsi="Arial" w:cs="Arial"/>
          <w:color w:val="000000"/>
          <w:sz w:val="20"/>
          <w:szCs w:val="20"/>
          <w:highlight w:val="magenta"/>
        </w:rPr>
        <w:t>(</w:t>
      </w:r>
      <w:r w:rsidRPr="00FF7BED">
        <w:rPr>
          <w:rFonts w:ascii="Arial" w:hAnsi="Arial" w:cs="Arial"/>
          <w:color w:val="000000"/>
          <w:sz w:val="20"/>
          <w:szCs w:val="20"/>
          <w:highlight w:val="magenta"/>
        </w:rPr>
        <w:t>26</w:t>
      </w:r>
      <w:r w:rsidRPr="00FF7BED">
        <w:rPr>
          <w:rFonts w:ascii="Arial" w:hAnsi="Arial" w:cs="Arial"/>
          <w:color w:val="000000"/>
          <w:sz w:val="20"/>
          <w:szCs w:val="20"/>
          <w:highlight w:val="magenta"/>
          <w:vertAlign w:val="superscript"/>
        </w:rPr>
        <w:t>th</w:t>
      </w:r>
      <w:r w:rsidRPr="00FF7BED">
        <w:rPr>
          <w:rFonts w:ascii="Arial" w:hAnsi="Arial" w:cs="Arial"/>
          <w:color w:val="000000"/>
          <w:sz w:val="20"/>
          <w:szCs w:val="20"/>
          <w:highlight w:val="magenta"/>
        </w:rPr>
        <w:t xml:space="preserve"> November</w:t>
      </w:r>
      <w:r w:rsidR="009D4AB8">
        <w:rPr>
          <w:rFonts w:ascii="Arial" w:hAnsi="Arial" w:cs="Arial"/>
          <w:color w:val="000000"/>
          <w:sz w:val="20"/>
          <w:szCs w:val="20"/>
          <w:highlight w:val="magenta"/>
        </w:rPr>
        <w:t xml:space="preserve"> 2018)</w:t>
      </w:r>
    </w:p>
    <w:p w14:paraId="0D3C48D4" w14:textId="77777777" w:rsidR="00AF5C70" w:rsidRPr="00FF7BED" w:rsidRDefault="00AF5C70" w:rsidP="00AF5C70">
      <w:pPr>
        <w:rPr>
          <w:highlight w:val="magenta"/>
          <w:lang w:val="en-US" w:eastAsia="en-US"/>
        </w:rPr>
      </w:pPr>
    </w:p>
    <w:p w14:paraId="34A8FC22" w14:textId="3A670227" w:rsidR="00AF5C70" w:rsidRPr="00FF7BED" w:rsidRDefault="00AF5C70">
      <w:pPr>
        <w:rPr>
          <w:rFonts w:ascii="Arial" w:hAnsi="Arial" w:cs="Arial"/>
          <w:color w:val="000000"/>
          <w:sz w:val="20"/>
          <w:szCs w:val="20"/>
          <w:highlight w:val="magenta"/>
        </w:rPr>
      </w:pPr>
    </w:p>
    <w:p w14:paraId="357E5CE3" w14:textId="48E7AE2A" w:rsidR="00AF5C70" w:rsidRDefault="004E14BC" w:rsidP="00AF5C70">
      <w:pPr>
        <w:rPr>
          <w:rFonts w:ascii="Arial" w:hAnsi="Arial" w:cs="Arial"/>
          <w:color w:val="000000"/>
          <w:sz w:val="20"/>
          <w:szCs w:val="20"/>
        </w:rPr>
      </w:pPr>
      <w:r w:rsidRPr="00FF7BED">
        <w:rPr>
          <w:rFonts w:ascii="Arial" w:hAnsi="Arial" w:cs="Arial"/>
          <w:color w:val="000000"/>
          <w:sz w:val="20"/>
          <w:szCs w:val="20"/>
          <w:highlight w:val="magenta"/>
        </w:rPr>
        <w:t xml:space="preserve">Theholocaustexplained.org. (2018). </w:t>
      </w:r>
      <w:r w:rsidRPr="00FF7BED">
        <w:rPr>
          <w:rFonts w:ascii="&amp;quot" w:hAnsi="&amp;quot"/>
          <w:i/>
          <w:iCs/>
          <w:color w:val="000000"/>
          <w:sz w:val="20"/>
          <w:szCs w:val="20"/>
          <w:highlight w:val="magenta"/>
        </w:rPr>
        <w:t>The Holocaust Explained: Designed for schools</w:t>
      </w:r>
      <w:r w:rsidR="00AF5C70" w:rsidRPr="00FF7BED">
        <w:rPr>
          <w:rFonts w:ascii="Arial" w:hAnsi="Arial" w:cs="Arial"/>
          <w:color w:val="000000"/>
          <w:sz w:val="20"/>
          <w:szCs w:val="20"/>
          <w:highlight w:val="magenta"/>
        </w:rPr>
        <w:t xml:space="preserve">, retrieved from </w:t>
      </w:r>
      <w:hyperlink r:id="rId16" w:history="1">
        <w:r w:rsidR="00AF5C70" w:rsidRPr="00FF7BED">
          <w:rPr>
            <w:rStyle w:val="Hyperlink"/>
            <w:rFonts w:ascii="Arial" w:hAnsi="Arial" w:cs="Arial"/>
            <w:sz w:val="20"/>
            <w:szCs w:val="20"/>
            <w:highlight w:val="magenta"/>
          </w:rPr>
          <w:t>https://www.theholocaustexplained.org</w:t>
        </w:r>
      </w:hyperlink>
      <w:r w:rsidR="00AF5C70" w:rsidRPr="00FF7BED">
        <w:rPr>
          <w:rFonts w:ascii="Arial" w:hAnsi="Arial" w:cs="Arial"/>
          <w:color w:val="000000"/>
          <w:sz w:val="20"/>
          <w:szCs w:val="20"/>
          <w:highlight w:val="magenta"/>
        </w:rPr>
        <w:t xml:space="preserve"> (retrieved 20</w:t>
      </w:r>
      <w:r w:rsidR="00AF5C70" w:rsidRPr="00FF7BED">
        <w:rPr>
          <w:rFonts w:ascii="Arial" w:hAnsi="Arial" w:cs="Arial"/>
          <w:color w:val="000000"/>
          <w:sz w:val="20"/>
          <w:szCs w:val="20"/>
          <w:highlight w:val="magenta"/>
          <w:vertAlign w:val="superscript"/>
        </w:rPr>
        <w:t>th</w:t>
      </w:r>
      <w:r w:rsidR="00AF5C70" w:rsidRPr="00FF7BED">
        <w:rPr>
          <w:rFonts w:ascii="Arial" w:hAnsi="Arial" w:cs="Arial"/>
          <w:color w:val="000000"/>
          <w:sz w:val="20"/>
          <w:szCs w:val="20"/>
          <w:highlight w:val="magenta"/>
        </w:rPr>
        <w:t xml:space="preserve"> November)</w:t>
      </w:r>
      <w:r w:rsidR="00AF5C70">
        <w:rPr>
          <w:rFonts w:ascii="Arial" w:hAnsi="Arial" w:cs="Arial"/>
          <w:color w:val="000000"/>
          <w:sz w:val="20"/>
          <w:szCs w:val="20"/>
        </w:rPr>
        <w:t xml:space="preserve"> </w:t>
      </w:r>
    </w:p>
    <w:p w14:paraId="7460369F" w14:textId="5E386B6F" w:rsidR="004E14BC" w:rsidRDefault="004E14BC">
      <w:pPr>
        <w:rPr>
          <w:rFonts w:ascii="Arial" w:hAnsi="Arial" w:cs="Arial"/>
          <w:color w:val="000000"/>
          <w:sz w:val="20"/>
          <w:szCs w:val="20"/>
        </w:rPr>
      </w:pPr>
    </w:p>
    <w:p w14:paraId="7C25079E" w14:textId="4483F297" w:rsidR="00FF7BED" w:rsidRDefault="00FF7BED" w:rsidP="00FF7BED">
      <w:r w:rsidRPr="00FF7BED">
        <w:rPr>
          <w:highlight w:val="yellow"/>
        </w:rPr>
        <w:t xml:space="preserve">UK Government (2018), </w:t>
      </w:r>
      <w:r w:rsidRPr="00FF7BED">
        <w:rPr>
          <w:i/>
          <w:highlight w:val="yellow"/>
        </w:rPr>
        <w:t>Equality and Diversity</w:t>
      </w:r>
      <w:r w:rsidRPr="00FF7BED">
        <w:rPr>
          <w:highlight w:val="yellow"/>
        </w:rPr>
        <w:t xml:space="preserve"> Available at:  </w:t>
      </w:r>
      <w:hyperlink r:id="rId17" w:history="1">
        <w:r w:rsidRPr="00FF7BED">
          <w:rPr>
            <w:rStyle w:val="Hyperlink"/>
            <w:highlight w:val="yellow"/>
          </w:rPr>
          <w:t>https://www.gov.uk/government/organisations/department-of-health-and-social-care/about/equality-and-diversity</w:t>
        </w:r>
      </w:hyperlink>
      <w:r w:rsidRPr="00FF7BED">
        <w:rPr>
          <w:highlight w:val="yellow"/>
        </w:rPr>
        <w:t xml:space="preserve"> [Accessed on 28 November 2018].</w:t>
      </w:r>
      <w:r>
        <w:t xml:space="preserve">  </w:t>
      </w:r>
    </w:p>
    <w:p w14:paraId="67C336CA" w14:textId="0EB5A8F9" w:rsidR="00FF7BED" w:rsidRDefault="00FF7BED" w:rsidP="009C1559"/>
    <w:p w14:paraId="6A1FFF7E" w14:textId="340B506D" w:rsidR="00104BFC" w:rsidRPr="00104BFC" w:rsidRDefault="00104BFC" w:rsidP="009C1559">
      <w:pPr>
        <w:rPr>
          <w:highlight w:val="red"/>
        </w:rPr>
      </w:pPr>
      <w:r w:rsidRPr="00104BFC">
        <w:rPr>
          <w:highlight w:val="red"/>
        </w:rPr>
        <w:t>Date accessed -27/10/18</w:t>
      </w:r>
    </w:p>
    <w:p w14:paraId="3119285C" w14:textId="4DF36C38" w:rsidR="00104BFC" w:rsidRDefault="005526AA" w:rsidP="009C1559">
      <w:hyperlink r:id="rId18" w:history="1">
        <w:r w:rsidR="00104BFC" w:rsidRPr="00104BFC">
          <w:rPr>
            <w:rStyle w:val="Hyperlink"/>
            <w:highlight w:val="red"/>
          </w:rPr>
          <w:t>www.libertyhumanrights.org.uk</w:t>
        </w:r>
      </w:hyperlink>
      <w:r w:rsidR="00104BFC">
        <w:t xml:space="preserve"> </w:t>
      </w:r>
    </w:p>
    <w:p w14:paraId="0E8B7D09" w14:textId="7C6C3E38" w:rsidR="00104BFC" w:rsidRDefault="00104BFC" w:rsidP="009C1559"/>
    <w:p w14:paraId="5F9BF017" w14:textId="77777777" w:rsidR="00104BFC" w:rsidRDefault="00104BFC" w:rsidP="009C1559"/>
    <w:p w14:paraId="5608125F" w14:textId="77777777" w:rsidR="00104BFC" w:rsidRDefault="00104BFC" w:rsidP="009C1559">
      <w:pPr>
        <w:rPr>
          <w:bCs/>
          <w:noProof/>
        </w:rPr>
      </w:pPr>
    </w:p>
    <w:p w14:paraId="2944E9DD" w14:textId="73D0C262" w:rsidR="009C1559" w:rsidRDefault="009C1559" w:rsidP="009C1559">
      <w:pPr>
        <w:rPr>
          <w:bCs/>
          <w:noProof/>
        </w:rPr>
      </w:pPr>
      <w:r>
        <w:t xml:space="preserve"> </w:t>
      </w:r>
    </w:p>
    <w:p w14:paraId="196F061C" w14:textId="77777777" w:rsidR="00D16B91" w:rsidRDefault="00D16B91">
      <w:pPr>
        <w:rPr>
          <w:rFonts w:ascii="Arial" w:hAnsi="Arial" w:cs="Arial"/>
          <w:color w:val="000000"/>
          <w:sz w:val="20"/>
          <w:szCs w:val="20"/>
        </w:rPr>
      </w:pPr>
    </w:p>
    <w:sdt>
      <w:sdtPr>
        <w:rPr>
          <w:rFonts w:ascii="Calibri" w:eastAsia="Calibri" w:hAnsi="Calibri" w:cs="Calibri"/>
          <w:sz w:val="24"/>
          <w:szCs w:val="24"/>
          <w:lang w:eastAsia="en-GB"/>
        </w:rPr>
        <w:id w:val="-1719654454"/>
        <w:bibliography/>
      </w:sdtPr>
      <w:sdtEndPr/>
      <w:sdtContent>
        <w:p w14:paraId="578655FF" w14:textId="03707EB1" w:rsidR="00AF5C70" w:rsidRDefault="00AF5C70" w:rsidP="00AF5C70">
          <w:pPr>
            <w:pStyle w:val="Bibliography"/>
            <w:ind w:left="720" w:hanging="720"/>
          </w:pPr>
        </w:p>
        <w:p w14:paraId="3EE9F39C" w14:textId="0AB2CEA0" w:rsidR="00D16B91" w:rsidRDefault="005526AA" w:rsidP="00D16B91"/>
      </w:sdtContent>
    </w:sdt>
    <w:p w14:paraId="36176ED5" w14:textId="77777777" w:rsidR="00D16B91" w:rsidRDefault="00D16B91">
      <w:pPr>
        <w:rPr>
          <w:rFonts w:ascii="Arial" w:hAnsi="Arial" w:cs="Arial"/>
          <w:color w:val="000000"/>
          <w:sz w:val="20"/>
          <w:szCs w:val="20"/>
        </w:rPr>
      </w:pPr>
    </w:p>
    <w:p w14:paraId="225D0935" w14:textId="1EDB9D5D" w:rsidR="00E3134A" w:rsidRDefault="00E3134A"/>
    <w:sectPr w:rsidR="00E3134A">
      <w:footerReference w:type="default" r:id="rId19"/>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ACC804" w14:textId="77777777" w:rsidR="004A77BF" w:rsidRDefault="004A77BF" w:rsidP="00100124">
      <w:r>
        <w:separator/>
      </w:r>
    </w:p>
  </w:endnote>
  <w:endnote w:type="continuationSeparator" w:id="0">
    <w:p w14:paraId="5DC0478F" w14:textId="77777777" w:rsidR="004A77BF" w:rsidRDefault="004A77BF" w:rsidP="001001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webkit-standard">
    <w:altName w:val="Calibri"/>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4309717"/>
      <w:docPartObj>
        <w:docPartGallery w:val="Page Numbers (Bottom of Page)"/>
        <w:docPartUnique/>
      </w:docPartObj>
    </w:sdtPr>
    <w:sdtEndPr>
      <w:rPr>
        <w:color w:val="7F7F7F" w:themeColor="background1" w:themeShade="7F"/>
        <w:spacing w:val="60"/>
      </w:rPr>
    </w:sdtEndPr>
    <w:sdtContent>
      <w:p w14:paraId="77C76993" w14:textId="437719A5" w:rsidR="00100124" w:rsidRDefault="0010012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7C9A235" w14:textId="77777777" w:rsidR="00100124" w:rsidRDefault="00100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B85B5B" w14:textId="77777777" w:rsidR="004A77BF" w:rsidRDefault="004A77BF" w:rsidP="00100124">
      <w:r>
        <w:separator/>
      </w:r>
    </w:p>
  </w:footnote>
  <w:footnote w:type="continuationSeparator" w:id="0">
    <w:p w14:paraId="0F6FDBE3" w14:textId="77777777" w:rsidR="004A77BF" w:rsidRDefault="004A77BF" w:rsidP="001001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8D18A8"/>
    <w:multiLevelType w:val="hybridMultilevel"/>
    <w:tmpl w:val="C076E5EE"/>
    <w:lvl w:ilvl="0" w:tplc="033EAD9C">
      <w:numFmt w:val="bullet"/>
      <w:lvlText w:val="-"/>
      <w:lvlJc w:val="left"/>
      <w:pPr>
        <w:ind w:left="2145" w:hanging="360"/>
      </w:pPr>
      <w:rPr>
        <w:rFonts w:ascii="Arial" w:eastAsia="Arial" w:hAnsi="Arial" w:cs="Arial" w:hint="default"/>
      </w:rPr>
    </w:lvl>
    <w:lvl w:ilvl="1" w:tplc="08090003" w:tentative="1">
      <w:start w:val="1"/>
      <w:numFmt w:val="bullet"/>
      <w:lvlText w:val="o"/>
      <w:lvlJc w:val="left"/>
      <w:pPr>
        <w:ind w:left="2865" w:hanging="360"/>
      </w:pPr>
      <w:rPr>
        <w:rFonts w:ascii="Courier New" w:hAnsi="Courier New" w:cs="Courier New" w:hint="default"/>
      </w:rPr>
    </w:lvl>
    <w:lvl w:ilvl="2" w:tplc="08090005" w:tentative="1">
      <w:start w:val="1"/>
      <w:numFmt w:val="bullet"/>
      <w:lvlText w:val=""/>
      <w:lvlJc w:val="left"/>
      <w:pPr>
        <w:ind w:left="3585" w:hanging="360"/>
      </w:pPr>
      <w:rPr>
        <w:rFonts w:ascii="Wingdings" w:hAnsi="Wingdings" w:hint="default"/>
      </w:rPr>
    </w:lvl>
    <w:lvl w:ilvl="3" w:tplc="08090001" w:tentative="1">
      <w:start w:val="1"/>
      <w:numFmt w:val="bullet"/>
      <w:lvlText w:val=""/>
      <w:lvlJc w:val="left"/>
      <w:pPr>
        <w:ind w:left="4305" w:hanging="360"/>
      </w:pPr>
      <w:rPr>
        <w:rFonts w:ascii="Symbol" w:hAnsi="Symbol" w:hint="default"/>
      </w:rPr>
    </w:lvl>
    <w:lvl w:ilvl="4" w:tplc="08090003" w:tentative="1">
      <w:start w:val="1"/>
      <w:numFmt w:val="bullet"/>
      <w:lvlText w:val="o"/>
      <w:lvlJc w:val="left"/>
      <w:pPr>
        <w:ind w:left="5025" w:hanging="360"/>
      </w:pPr>
      <w:rPr>
        <w:rFonts w:ascii="Courier New" w:hAnsi="Courier New" w:cs="Courier New" w:hint="default"/>
      </w:rPr>
    </w:lvl>
    <w:lvl w:ilvl="5" w:tplc="08090005" w:tentative="1">
      <w:start w:val="1"/>
      <w:numFmt w:val="bullet"/>
      <w:lvlText w:val=""/>
      <w:lvlJc w:val="left"/>
      <w:pPr>
        <w:ind w:left="5745" w:hanging="360"/>
      </w:pPr>
      <w:rPr>
        <w:rFonts w:ascii="Wingdings" w:hAnsi="Wingdings" w:hint="default"/>
      </w:rPr>
    </w:lvl>
    <w:lvl w:ilvl="6" w:tplc="08090001" w:tentative="1">
      <w:start w:val="1"/>
      <w:numFmt w:val="bullet"/>
      <w:lvlText w:val=""/>
      <w:lvlJc w:val="left"/>
      <w:pPr>
        <w:ind w:left="6465" w:hanging="360"/>
      </w:pPr>
      <w:rPr>
        <w:rFonts w:ascii="Symbol" w:hAnsi="Symbol" w:hint="default"/>
      </w:rPr>
    </w:lvl>
    <w:lvl w:ilvl="7" w:tplc="08090003" w:tentative="1">
      <w:start w:val="1"/>
      <w:numFmt w:val="bullet"/>
      <w:lvlText w:val="o"/>
      <w:lvlJc w:val="left"/>
      <w:pPr>
        <w:ind w:left="7185" w:hanging="360"/>
      </w:pPr>
      <w:rPr>
        <w:rFonts w:ascii="Courier New" w:hAnsi="Courier New" w:cs="Courier New" w:hint="default"/>
      </w:rPr>
    </w:lvl>
    <w:lvl w:ilvl="8" w:tplc="08090005" w:tentative="1">
      <w:start w:val="1"/>
      <w:numFmt w:val="bullet"/>
      <w:lvlText w:val=""/>
      <w:lvlJc w:val="left"/>
      <w:pPr>
        <w:ind w:left="7905" w:hanging="360"/>
      </w:pPr>
      <w:rPr>
        <w:rFonts w:ascii="Wingdings" w:hAnsi="Wingdings" w:hint="default"/>
      </w:rPr>
    </w:lvl>
  </w:abstractNum>
  <w:abstractNum w:abstractNumId="1" w15:restartNumberingAfterBreak="0">
    <w:nsid w:val="7BFF2777"/>
    <w:multiLevelType w:val="hybridMultilevel"/>
    <w:tmpl w:val="ACD6F8D4"/>
    <w:lvl w:ilvl="0" w:tplc="50B6E2D6">
      <w:numFmt w:val="bullet"/>
      <w:lvlText w:val="-"/>
      <w:lvlJc w:val="left"/>
      <w:pPr>
        <w:ind w:left="450" w:hanging="360"/>
      </w:pPr>
      <w:rPr>
        <w:rFonts w:ascii="Arial" w:eastAsia="Arial" w:hAnsi="Arial" w:cs="Arial" w:hint="default"/>
      </w:rPr>
    </w:lvl>
    <w:lvl w:ilvl="1" w:tplc="08090003" w:tentative="1">
      <w:start w:val="1"/>
      <w:numFmt w:val="bullet"/>
      <w:lvlText w:val="o"/>
      <w:lvlJc w:val="left"/>
      <w:pPr>
        <w:ind w:left="1170" w:hanging="360"/>
      </w:pPr>
      <w:rPr>
        <w:rFonts w:ascii="Courier New" w:hAnsi="Courier New" w:cs="Courier New" w:hint="default"/>
      </w:rPr>
    </w:lvl>
    <w:lvl w:ilvl="2" w:tplc="08090005" w:tentative="1">
      <w:start w:val="1"/>
      <w:numFmt w:val="bullet"/>
      <w:lvlText w:val=""/>
      <w:lvlJc w:val="left"/>
      <w:pPr>
        <w:ind w:left="1890" w:hanging="360"/>
      </w:pPr>
      <w:rPr>
        <w:rFonts w:ascii="Wingdings" w:hAnsi="Wingdings" w:hint="default"/>
      </w:rPr>
    </w:lvl>
    <w:lvl w:ilvl="3" w:tplc="08090001" w:tentative="1">
      <w:start w:val="1"/>
      <w:numFmt w:val="bullet"/>
      <w:lvlText w:val=""/>
      <w:lvlJc w:val="left"/>
      <w:pPr>
        <w:ind w:left="2610" w:hanging="360"/>
      </w:pPr>
      <w:rPr>
        <w:rFonts w:ascii="Symbol" w:hAnsi="Symbol" w:hint="default"/>
      </w:rPr>
    </w:lvl>
    <w:lvl w:ilvl="4" w:tplc="08090003" w:tentative="1">
      <w:start w:val="1"/>
      <w:numFmt w:val="bullet"/>
      <w:lvlText w:val="o"/>
      <w:lvlJc w:val="left"/>
      <w:pPr>
        <w:ind w:left="3330" w:hanging="360"/>
      </w:pPr>
      <w:rPr>
        <w:rFonts w:ascii="Courier New" w:hAnsi="Courier New" w:cs="Courier New" w:hint="default"/>
      </w:rPr>
    </w:lvl>
    <w:lvl w:ilvl="5" w:tplc="08090005" w:tentative="1">
      <w:start w:val="1"/>
      <w:numFmt w:val="bullet"/>
      <w:lvlText w:val=""/>
      <w:lvlJc w:val="left"/>
      <w:pPr>
        <w:ind w:left="4050" w:hanging="360"/>
      </w:pPr>
      <w:rPr>
        <w:rFonts w:ascii="Wingdings" w:hAnsi="Wingdings" w:hint="default"/>
      </w:rPr>
    </w:lvl>
    <w:lvl w:ilvl="6" w:tplc="08090001" w:tentative="1">
      <w:start w:val="1"/>
      <w:numFmt w:val="bullet"/>
      <w:lvlText w:val=""/>
      <w:lvlJc w:val="left"/>
      <w:pPr>
        <w:ind w:left="4770" w:hanging="360"/>
      </w:pPr>
      <w:rPr>
        <w:rFonts w:ascii="Symbol" w:hAnsi="Symbol" w:hint="default"/>
      </w:rPr>
    </w:lvl>
    <w:lvl w:ilvl="7" w:tplc="08090003" w:tentative="1">
      <w:start w:val="1"/>
      <w:numFmt w:val="bullet"/>
      <w:lvlText w:val="o"/>
      <w:lvlJc w:val="left"/>
      <w:pPr>
        <w:ind w:left="5490" w:hanging="360"/>
      </w:pPr>
      <w:rPr>
        <w:rFonts w:ascii="Courier New" w:hAnsi="Courier New" w:cs="Courier New" w:hint="default"/>
      </w:rPr>
    </w:lvl>
    <w:lvl w:ilvl="8" w:tplc="08090005" w:tentative="1">
      <w:start w:val="1"/>
      <w:numFmt w:val="bullet"/>
      <w:lvlText w:val=""/>
      <w:lvlJc w:val="left"/>
      <w:pPr>
        <w:ind w:left="621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0B3"/>
    <w:rsid w:val="00034F42"/>
    <w:rsid w:val="00100124"/>
    <w:rsid w:val="00104BFC"/>
    <w:rsid w:val="00120CA2"/>
    <w:rsid w:val="00136AF3"/>
    <w:rsid w:val="00163839"/>
    <w:rsid w:val="002303B7"/>
    <w:rsid w:val="00321D87"/>
    <w:rsid w:val="00324D43"/>
    <w:rsid w:val="0036643C"/>
    <w:rsid w:val="004A77BF"/>
    <w:rsid w:val="004E14BC"/>
    <w:rsid w:val="005130B3"/>
    <w:rsid w:val="005526AA"/>
    <w:rsid w:val="005726C6"/>
    <w:rsid w:val="005A6C33"/>
    <w:rsid w:val="005D6AC1"/>
    <w:rsid w:val="006176BD"/>
    <w:rsid w:val="00776C32"/>
    <w:rsid w:val="00812F0B"/>
    <w:rsid w:val="008261FB"/>
    <w:rsid w:val="008B699E"/>
    <w:rsid w:val="008C2988"/>
    <w:rsid w:val="008D2581"/>
    <w:rsid w:val="009C1559"/>
    <w:rsid w:val="009D4AB8"/>
    <w:rsid w:val="00AE537E"/>
    <w:rsid w:val="00AF5C70"/>
    <w:rsid w:val="00B62D51"/>
    <w:rsid w:val="00C109E3"/>
    <w:rsid w:val="00CD04A4"/>
    <w:rsid w:val="00D16B91"/>
    <w:rsid w:val="00E06AA1"/>
    <w:rsid w:val="00E3134A"/>
    <w:rsid w:val="00EB6567"/>
    <w:rsid w:val="00F06364"/>
    <w:rsid w:val="00F23EEF"/>
    <w:rsid w:val="00F50A2F"/>
    <w:rsid w:val="00FC4FCA"/>
    <w:rsid w:val="00FF7B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CA535"/>
  <w15:docId w15:val="{0022349A-37CF-420B-8BBD-C7D0155D8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customStyle="1" w:styleId="Heading1Char">
    <w:name w:val="Heading 1 Char"/>
    <w:basedOn w:val="DefaultParagraphFont"/>
    <w:link w:val="Heading1"/>
    <w:uiPriority w:val="9"/>
    <w:rsid w:val="005D6AC1"/>
    <w:rPr>
      <w:b/>
      <w:sz w:val="48"/>
      <w:szCs w:val="48"/>
    </w:rPr>
  </w:style>
  <w:style w:type="character" w:styleId="Hyperlink">
    <w:name w:val="Hyperlink"/>
    <w:basedOn w:val="DefaultParagraphFont"/>
    <w:uiPriority w:val="99"/>
    <w:unhideWhenUsed/>
    <w:rsid w:val="004E14BC"/>
    <w:rPr>
      <w:color w:val="0000FF" w:themeColor="hyperlink"/>
      <w:u w:val="single"/>
    </w:rPr>
  </w:style>
  <w:style w:type="character" w:styleId="UnresolvedMention">
    <w:name w:val="Unresolved Mention"/>
    <w:basedOn w:val="DefaultParagraphFont"/>
    <w:uiPriority w:val="99"/>
    <w:semiHidden/>
    <w:unhideWhenUsed/>
    <w:rsid w:val="004E14BC"/>
    <w:rPr>
      <w:color w:val="605E5C"/>
      <w:shd w:val="clear" w:color="auto" w:fill="E1DFDD"/>
    </w:rPr>
  </w:style>
  <w:style w:type="paragraph" w:styleId="Bibliography">
    <w:name w:val="Bibliography"/>
    <w:basedOn w:val="Normal"/>
    <w:next w:val="Normal"/>
    <w:uiPriority w:val="37"/>
    <w:unhideWhenUsed/>
    <w:rsid w:val="00D16B91"/>
    <w:pPr>
      <w:spacing w:after="160" w:line="259" w:lineRule="auto"/>
    </w:pPr>
    <w:rPr>
      <w:rFonts w:asciiTheme="minorHAnsi" w:eastAsiaTheme="minorHAnsi" w:hAnsiTheme="minorHAnsi" w:cstheme="minorBidi"/>
      <w:sz w:val="22"/>
      <w:szCs w:val="22"/>
      <w:lang w:eastAsia="en-US"/>
    </w:rPr>
  </w:style>
  <w:style w:type="paragraph" w:styleId="ListParagraph">
    <w:name w:val="List Paragraph"/>
    <w:basedOn w:val="Normal"/>
    <w:uiPriority w:val="34"/>
    <w:qFormat/>
    <w:rsid w:val="00EB6567"/>
    <w:pPr>
      <w:ind w:left="720"/>
      <w:contextualSpacing/>
    </w:pPr>
  </w:style>
  <w:style w:type="character" w:customStyle="1" w:styleId="selectable">
    <w:name w:val="selectable"/>
    <w:basedOn w:val="DefaultParagraphFont"/>
    <w:rsid w:val="00B62D51"/>
  </w:style>
  <w:style w:type="paragraph" w:styleId="Header">
    <w:name w:val="header"/>
    <w:basedOn w:val="Normal"/>
    <w:link w:val="HeaderChar"/>
    <w:uiPriority w:val="99"/>
    <w:unhideWhenUsed/>
    <w:rsid w:val="00100124"/>
    <w:pPr>
      <w:tabs>
        <w:tab w:val="center" w:pos="4513"/>
        <w:tab w:val="right" w:pos="9026"/>
      </w:tabs>
    </w:pPr>
  </w:style>
  <w:style w:type="character" w:customStyle="1" w:styleId="HeaderChar">
    <w:name w:val="Header Char"/>
    <w:basedOn w:val="DefaultParagraphFont"/>
    <w:link w:val="Header"/>
    <w:uiPriority w:val="99"/>
    <w:rsid w:val="00100124"/>
  </w:style>
  <w:style w:type="paragraph" w:styleId="Footer">
    <w:name w:val="footer"/>
    <w:basedOn w:val="Normal"/>
    <w:link w:val="FooterChar"/>
    <w:uiPriority w:val="99"/>
    <w:unhideWhenUsed/>
    <w:rsid w:val="00100124"/>
    <w:pPr>
      <w:tabs>
        <w:tab w:val="center" w:pos="4513"/>
        <w:tab w:val="right" w:pos="9026"/>
      </w:tabs>
    </w:pPr>
  </w:style>
  <w:style w:type="character" w:customStyle="1" w:styleId="FooterChar">
    <w:name w:val="Footer Char"/>
    <w:basedOn w:val="DefaultParagraphFont"/>
    <w:link w:val="Footer"/>
    <w:uiPriority w:val="99"/>
    <w:rsid w:val="00100124"/>
  </w:style>
  <w:style w:type="paragraph" w:styleId="TOCHeading">
    <w:name w:val="TOC Heading"/>
    <w:basedOn w:val="Heading1"/>
    <w:next w:val="Normal"/>
    <w:uiPriority w:val="39"/>
    <w:unhideWhenUsed/>
    <w:qFormat/>
    <w:rsid w:val="0010012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100124"/>
    <w:pPr>
      <w:spacing w:after="100" w:line="259" w:lineRule="auto"/>
      <w:ind w:left="220"/>
    </w:pPr>
    <w:rPr>
      <w:rFonts w:asciiTheme="minorHAnsi" w:eastAsiaTheme="minorEastAsia" w:hAnsiTheme="minorHAnsi" w:cs="Times New Roman"/>
      <w:sz w:val="22"/>
      <w:szCs w:val="22"/>
      <w:lang w:val="en-US" w:eastAsia="en-US"/>
    </w:rPr>
  </w:style>
  <w:style w:type="paragraph" w:styleId="TOC1">
    <w:name w:val="toc 1"/>
    <w:basedOn w:val="Normal"/>
    <w:next w:val="Normal"/>
    <w:autoRedefine/>
    <w:uiPriority w:val="39"/>
    <w:unhideWhenUsed/>
    <w:rsid w:val="00100124"/>
    <w:pPr>
      <w:spacing w:after="100" w:line="259" w:lineRule="auto"/>
    </w:pPr>
    <w:rPr>
      <w:rFonts w:asciiTheme="minorHAnsi" w:eastAsiaTheme="minorEastAsia" w:hAnsiTheme="minorHAnsi" w:cs="Times New Roman"/>
      <w:sz w:val="22"/>
      <w:szCs w:val="22"/>
      <w:lang w:val="en-US" w:eastAsia="en-US"/>
    </w:rPr>
  </w:style>
  <w:style w:type="paragraph" w:styleId="TOC3">
    <w:name w:val="toc 3"/>
    <w:basedOn w:val="Normal"/>
    <w:next w:val="Normal"/>
    <w:autoRedefine/>
    <w:uiPriority w:val="39"/>
    <w:unhideWhenUsed/>
    <w:rsid w:val="00100124"/>
    <w:pPr>
      <w:spacing w:after="100" w:line="259" w:lineRule="auto"/>
      <w:ind w:left="440"/>
    </w:pPr>
    <w:rPr>
      <w:rFonts w:asciiTheme="minorHAnsi" w:eastAsiaTheme="minorEastAsia" w:hAnsiTheme="minorHAnsi" w:cs="Times New Roman"/>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2080907">
      <w:bodyDiv w:val="1"/>
      <w:marLeft w:val="0"/>
      <w:marRight w:val="0"/>
      <w:marTop w:val="0"/>
      <w:marBottom w:val="0"/>
      <w:divBdr>
        <w:top w:val="none" w:sz="0" w:space="0" w:color="auto"/>
        <w:left w:val="none" w:sz="0" w:space="0" w:color="auto"/>
        <w:bottom w:val="none" w:sz="0" w:space="0" w:color="auto"/>
        <w:right w:val="none" w:sz="0" w:space="0" w:color="auto"/>
      </w:divBdr>
    </w:div>
    <w:div w:id="20940891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wtsd.ac.uk/" TargetMode="External"/><Relationship Id="rId13" Type="http://schemas.openxmlformats.org/officeDocument/2006/relationships/hyperlink" Target="https://www.dailymail.co.uk/news/article-5762239/Holocaust-survivor-reveals-beaten-starved-Nazi-camps.html" TargetMode="External"/><Relationship Id="rId18" Type="http://schemas.openxmlformats.org/officeDocument/2006/relationships/hyperlink" Target="http://www.libertyhumanrights.org.u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equalityhumanrights.com/en/advice-and-guidance/human-rights-health-and-social-care" TargetMode="External"/><Relationship Id="rId17" Type="http://schemas.openxmlformats.org/officeDocument/2006/relationships/hyperlink" Target="https://www.gov.uk/government/organisations/department-of-health-and-social-care/about/equality-and-diversity" TargetMode="External"/><Relationship Id="rId2" Type="http://schemas.openxmlformats.org/officeDocument/2006/relationships/numbering" Target="numbering.xml"/><Relationship Id="rId16" Type="http://schemas.openxmlformats.org/officeDocument/2006/relationships/hyperlink" Target="https://www.theholocaustexplained.org"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organisations/department-of-health-and-social-care/about" TargetMode="External"/><Relationship Id="rId5" Type="http://schemas.openxmlformats.org/officeDocument/2006/relationships/webSettings" Target="webSettings.xml"/><Relationship Id="rId15" Type="http://schemas.openxmlformats.org/officeDocument/2006/relationships/hyperlink" Target="https://www.iwm.org.uk/history/what-life-was-like-for-pows-in-europe-during-the-second-world-war" TargetMode="External"/><Relationship Id="rId10" Type="http://schemas.openxmlformats.org/officeDocument/2006/relationships/hyperlink" Target="https://www.cqc.org.uk/sites/default/files/20150416_our_human_rights_approach.pdf"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equalityhumanrights.com/en/advice-and-guidance/human-rights-health-and-social-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Joh16</b:Tag>
    <b:SourceType>Book</b:SourceType>
    <b:Guid>{F102505A-A97A-483D-B5BA-390C0EDE6360}</b:Guid>
    <b:Author>
      <b:Author>
        <b:NameList>
          <b:Person>
            <b:Last>John Child</b:Last>
            <b:First>Dan</b:First>
            <b:Middle>Nuttall</b:Middle>
          </b:Person>
        </b:NameList>
      </b:Author>
    </b:Author>
    <b:Title>Weimar and Nazi Germany 1918-1939</b:Title>
    <b:Year>2016</b:Year>
    <b:Publisher>Pearson </b:Publisher>
    <b:RefOrder>1</b:RefOrder>
  </b:Source>
  <b:Source>
    <b:Tag>Hum18</b:Tag>
    <b:SourceType>InternetSite</b:SourceType>
    <b:Guid>{C629AF14-650F-4711-902B-D7AC7D7B93FE}</b:Guid>
    <b:Title>Human Rights in health and social care</b:Title>
    <b:Year>2018</b:Year>
    <b:InternetSiteTitle>Equality and human rights commission</b:InternetSiteTitle>
    <b:Month>November</b:Month>
    <b:Day>26</b:Day>
    <b:URL>https://www.equalityhumanrights.com/en/advice-and-guidance/human-rights-health-and-social-care#resources</b:URL>
    <b:RefOrder>1</b:RefOrder>
  </b:Source>
  <b:Source>
    <b:Tag>The12</b:Tag>
    <b:SourceType>Report</b:SourceType>
    <b:Guid>{8D18615C-545F-4F81-9C89-F35AEDF9BE06}</b:Guid>
    <b:Title>Human Rights in Healthcare Programme </b:Title>
    <b:Year>2011-2012</b:Year>
    <b:Author>
      <b:Author>
        <b:NameList>
          <b:Person>
            <b:Last>Health</b:Last>
            <b:First>The</b:First>
            <b:Middle>Department of</b:Middle>
          </b:Person>
        </b:NameList>
      </b:Author>
    </b:Author>
    <b:City>London</b:City>
    <b:RefOrder>2</b:RefOrder>
  </b:Source>
  <b:Source>
    <b:Tag>Car14</b:Tag>
    <b:SourceType>Report</b:SourceType>
    <b:Guid>{5C69C180-92EA-47BA-9714-F00EB9A4ADA1}</b:Guid>
    <b:Title>Human rights approach for our regulation of health and social care services </b:Title>
    <b:Year>2014</b:Year>
    <b:City>London </b:City>
    <b:Author>
      <b:Author>
        <b:NameList>
          <b:Person>
            <b:Last>Commission</b:Last>
            <b:First>CareQuality</b:First>
          </b:Person>
        </b:NameList>
      </b:Author>
    </b:Author>
    <b:RefOrder>3</b:RefOrder>
  </b:Source>
  <b:Source>
    <b:Tag>gov18</b:Tag>
    <b:SourceType>InternetSite</b:SourceType>
    <b:Guid>{3E59BF29-C5E6-4AB9-B79C-4564045B7C6C}</b:Guid>
    <b:Title>gov.uk</b:Title>
    <b:Year>2018</b:Year>
    <b:InternetSiteTitle>Department of Health &amp; Social care </b:InternetSiteTitle>
    <b:Month>November</b:Month>
    <b:Day>28</b:Day>
    <b:URL>https://www.gov.uk/government/organisations/department-of-health-and-social-care/about#our-responsibilities</b:URL>
    <b:RefOrder>4</b:RefOrder>
  </b:Source>
</b:Sources>
</file>

<file path=customXml/itemProps1.xml><?xml version="1.0" encoding="utf-8"?>
<ds:datastoreItem xmlns:ds="http://schemas.openxmlformats.org/officeDocument/2006/customXml" ds:itemID="{D40A5CF9-1F29-483F-9BDA-D17B6C1A8B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1687</Words>
  <Characters>9617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Abbs</dc:creator>
  <cp:lastModifiedBy>Abbie Hill</cp:lastModifiedBy>
  <cp:revision>4</cp:revision>
  <dcterms:created xsi:type="dcterms:W3CDTF">2018-12-03T16:39:00Z</dcterms:created>
  <dcterms:modified xsi:type="dcterms:W3CDTF">2018-12-05T11:28:00Z</dcterms:modified>
</cp:coreProperties>
</file>