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B843DC" w14:textId="46FEA6E9" w:rsidR="00367994" w:rsidRPr="004A2F10" w:rsidRDefault="00367994" w:rsidP="0017529D">
      <w:pPr>
        <w:pStyle w:val="FirstParagraph"/>
        <w:spacing w:before="0" w:after="0"/>
        <w:contextualSpacing/>
        <w:jc w:val="center"/>
        <w:rPr>
          <w:rFonts w:cs="Arial"/>
          <w:color w:val="000000" w:themeColor="text1"/>
        </w:rPr>
      </w:pPr>
      <w:r w:rsidRPr="004A2F10">
        <w:rPr>
          <w:rFonts w:cs="Arial"/>
          <w:noProof/>
          <w:color w:val="000000" w:themeColor="text1"/>
          <w:lang w:val="en-IN" w:eastAsia="en-IN"/>
        </w:rPr>
        <w:drawing>
          <wp:inline distT="0" distB="0" distL="0" distR="0" wp14:anchorId="5A657A15" wp14:editId="2A858A9C">
            <wp:extent cx="2197100" cy="1209515"/>
            <wp:effectExtent l="0" t="0" r="0" b="0"/>
            <wp:docPr id="6" name="Picture 6"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0556" cy="1211418"/>
                    </a:xfrm>
                    <a:prstGeom prst="rect">
                      <a:avLst/>
                    </a:prstGeom>
                    <a:noFill/>
                    <a:ln>
                      <a:noFill/>
                    </a:ln>
                  </pic:spPr>
                </pic:pic>
              </a:graphicData>
            </a:graphic>
          </wp:inline>
        </w:drawing>
      </w:r>
    </w:p>
    <w:p w14:paraId="193D6B17" w14:textId="77777777" w:rsidR="007A1C45" w:rsidRPr="004A2F10" w:rsidRDefault="007A1C45" w:rsidP="007A1C45">
      <w:pPr>
        <w:spacing w:line="240" w:lineRule="auto"/>
        <w:jc w:val="center"/>
        <w:rPr>
          <w:sz w:val="32"/>
          <w:szCs w:val="32"/>
        </w:rPr>
      </w:pPr>
      <w:r w:rsidRPr="004A2F10">
        <w:rPr>
          <w:sz w:val="32"/>
          <w:szCs w:val="32"/>
        </w:rPr>
        <w:t>Master of Business Administration</w:t>
      </w:r>
    </w:p>
    <w:p w14:paraId="64420E0C" w14:textId="77777777" w:rsidR="007A1C45" w:rsidRPr="004A2F10" w:rsidRDefault="007A1C45" w:rsidP="007A1C45">
      <w:pPr>
        <w:spacing w:line="240" w:lineRule="auto"/>
        <w:jc w:val="center"/>
      </w:pPr>
      <w:r w:rsidRPr="004A2F10">
        <w:t>International Business pathway</w:t>
      </w:r>
    </w:p>
    <w:p w14:paraId="253FBCDF" w14:textId="4A985061" w:rsidR="007A1C45" w:rsidRPr="004A2F10" w:rsidRDefault="002167EB" w:rsidP="002167EB">
      <w:pPr>
        <w:pStyle w:val="BodyText"/>
        <w:jc w:val="center"/>
      </w:pPr>
      <w:r w:rsidRPr="004A2F10">
        <w:rPr>
          <w:noProof/>
          <w:sz w:val="28"/>
          <w:szCs w:val="28"/>
          <w:lang w:val="en-IN" w:eastAsia="en-IN"/>
        </w:rPr>
        <w:drawing>
          <wp:inline distT="0" distB="0" distL="0" distR="0" wp14:anchorId="50508429" wp14:editId="63E53ACC">
            <wp:extent cx="1609725" cy="16097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09725" cy="1609725"/>
                    </a:xfrm>
                    <a:prstGeom prst="rect">
                      <a:avLst/>
                    </a:prstGeom>
                    <a:noFill/>
                    <a:ln>
                      <a:noFill/>
                    </a:ln>
                  </pic:spPr>
                </pic:pic>
              </a:graphicData>
            </a:graphic>
          </wp:inline>
        </w:drawing>
      </w:r>
    </w:p>
    <w:p w14:paraId="7BB2E47A" w14:textId="77777777" w:rsidR="000D72DF" w:rsidRPr="004A2F10" w:rsidRDefault="00E218FF" w:rsidP="0017529D">
      <w:pPr>
        <w:spacing w:after="0"/>
        <w:contextualSpacing/>
        <w:jc w:val="center"/>
        <w:rPr>
          <w:rFonts w:cs="Arial"/>
          <w:b/>
          <w:bCs/>
          <w:color w:val="000000" w:themeColor="text1"/>
          <w:sz w:val="32"/>
          <w:szCs w:val="32"/>
        </w:rPr>
      </w:pPr>
      <w:bookmarkStart w:id="0" w:name="X1f03c5b8b9749f5dcfaac54f49b821662daf14e"/>
      <w:r w:rsidRPr="004A2F10">
        <w:rPr>
          <w:rFonts w:cs="Arial"/>
          <w:b/>
          <w:bCs/>
          <w:color w:val="000000" w:themeColor="text1"/>
          <w:sz w:val="32"/>
          <w:szCs w:val="32"/>
        </w:rPr>
        <w:t>The International Market Entry of Tesco PLC into Bangladesh: A Strategic and Environmental Analysis</w:t>
      </w:r>
      <w:bookmarkEnd w:id="0"/>
    </w:p>
    <w:p w14:paraId="78BA1529" w14:textId="77777777" w:rsidR="00722277" w:rsidRPr="004A2F10" w:rsidRDefault="00722277" w:rsidP="0017529D">
      <w:pPr>
        <w:spacing w:after="0"/>
        <w:contextualSpacing/>
        <w:jc w:val="center"/>
        <w:rPr>
          <w:rFonts w:cs="Arial"/>
          <w:b/>
          <w:bCs/>
          <w:color w:val="000000" w:themeColor="text1"/>
          <w:sz w:val="32"/>
          <w:szCs w:val="32"/>
        </w:rPr>
      </w:pPr>
    </w:p>
    <w:p w14:paraId="3F60D1BD" w14:textId="0F9257B5" w:rsidR="002167EB" w:rsidRPr="004A2F10" w:rsidRDefault="002167EB" w:rsidP="002167EB">
      <w:pPr>
        <w:jc w:val="center"/>
        <w:rPr>
          <w:color w:val="000000" w:themeColor="text1"/>
          <w:sz w:val="28"/>
          <w:szCs w:val="28"/>
        </w:rPr>
      </w:pPr>
      <w:r w:rsidRPr="004A2F10">
        <w:rPr>
          <w:color w:val="000000" w:themeColor="text1"/>
          <w:sz w:val="28"/>
          <w:szCs w:val="28"/>
        </w:rPr>
        <w:t>Assessment: Individual report. Weight: 100%</w:t>
      </w:r>
    </w:p>
    <w:p w14:paraId="7E774D9F" w14:textId="0E02C6D6"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 xml:space="preserve">Module name: </w:t>
      </w:r>
      <w:r w:rsidRPr="004A2F10">
        <w:rPr>
          <w:rFonts w:cs="Arial"/>
          <w:color w:val="000000" w:themeColor="text1"/>
          <w:sz w:val="28"/>
          <w:szCs w:val="28"/>
        </w:rPr>
        <w:t>International Business Concepts</w:t>
      </w:r>
    </w:p>
    <w:p w14:paraId="41E9CE76" w14:textId="723E6EFA"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Module code</w:t>
      </w:r>
      <w:r w:rsidRPr="004A2F10">
        <w:rPr>
          <w:sz w:val="28"/>
          <w:szCs w:val="28"/>
        </w:rPr>
        <w:t xml:space="preserve">: </w:t>
      </w:r>
      <w:r w:rsidRPr="004A2F10">
        <w:rPr>
          <w:rFonts w:cs="Arial"/>
          <w:color w:val="000000" w:themeColor="text1"/>
          <w:sz w:val="28"/>
          <w:szCs w:val="28"/>
        </w:rPr>
        <w:t>LCMB7034</w:t>
      </w:r>
    </w:p>
    <w:p w14:paraId="0F84FB7F" w14:textId="7E6336DD" w:rsidR="00170257" w:rsidRPr="004A2F10" w:rsidRDefault="00170257" w:rsidP="001A3B68">
      <w:pPr>
        <w:spacing w:after="0"/>
        <w:rPr>
          <w:sz w:val="28"/>
          <w:szCs w:val="28"/>
        </w:rPr>
      </w:pPr>
      <w:r w:rsidRPr="004A2F10">
        <w:rPr>
          <w:b/>
          <w:bCs/>
          <w:sz w:val="28"/>
          <w:szCs w:val="28"/>
        </w:rPr>
        <w:t>Lecturer name</w:t>
      </w:r>
      <w:r w:rsidRPr="004A2F10">
        <w:rPr>
          <w:sz w:val="28"/>
          <w:szCs w:val="28"/>
        </w:rPr>
        <w:t xml:space="preserve">: </w:t>
      </w:r>
      <w:r w:rsidR="00CE27B3">
        <w:rPr>
          <w:rFonts w:ascii="Helvetica" w:hAnsi="Helvetica"/>
          <w:color w:val="242130"/>
          <w:sz w:val="21"/>
          <w:szCs w:val="21"/>
          <w:shd w:val="clear" w:color="auto" w:fill="FFFFFF"/>
        </w:rPr>
        <w:t> J</w:t>
      </w:r>
      <w:r w:rsidR="00CE27B3">
        <w:rPr>
          <w:rFonts w:ascii="Helvetica" w:hAnsi="Helvetica"/>
          <w:color w:val="242130"/>
          <w:sz w:val="21"/>
          <w:szCs w:val="21"/>
          <w:shd w:val="clear" w:color="auto" w:fill="FFFFFF"/>
        </w:rPr>
        <w:t>ean Wang</w:t>
      </w:r>
    </w:p>
    <w:p w14:paraId="4A0DABA7" w14:textId="77777777" w:rsidR="001A3B68" w:rsidRPr="004A2F10" w:rsidRDefault="001A3B68" w:rsidP="001A3B68">
      <w:pPr>
        <w:spacing w:after="0"/>
        <w:rPr>
          <w:sz w:val="28"/>
          <w:szCs w:val="28"/>
        </w:rPr>
      </w:pPr>
    </w:p>
    <w:p w14:paraId="7BB0E25E" w14:textId="738AFB03" w:rsidR="00170257" w:rsidRPr="004A2F10" w:rsidRDefault="00170257" w:rsidP="001A3B68">
      <w:pPr>
        <w:spacing w:after="0"/>
        <w:rPr>
          <w:sz w:val="28"/>
          <w:szCs w:val="28"/>
        </w:rPr>
      </w:pPr>
      <w:r w:rsidRPr="004A2F10">
        <w:rPr>
          <w:b/>
          <w:bCs/>
          <w:sz w:val="28"/>
          <w:szCs w:val="28"/>
        </w:rPr>
        <w:t>Student name</w:t>
      </w:r>
      <w:r w:rsidRPr="004A2F10">
        <w:rPr>
          <w:sz w:val="28"/>
          <w:szCs w:val="28"/>
        </w:rPr>
        <w:t>:</w:t>
      </w:r>
      <w:r w:rsidR="00CE27B3">
        <w:rPr>
          <w:sz w:val="28"/>
          <w:szCs w:val="28"/>
        </w:rPr>
        <w:t xml:space="preserve"> HIRABEN RAMA MODHAVADIYA</w:t>
      </w:r>
    </w:p>
    <w:p w14:paraId="4BE928EF" w14:textId="11D8B254" w:rsidR="00170257" w:rsidRPr="004A2F10" w:rsidRDefault="00170257" w:rsidP="001A3B68">
      <w:pPr>
        <w:spacing w:after="0"/>
        <w:rPr>
          <w:sz w:val="28"/>
          <w:szCs w:val="28"/>
        </w:rPr>
      </w:pPr>
      <w:r w:rsidRPr="004A2F10">
        <w:rPr>
          <w:b/>
          <w:bCs/>
          <w:sz w:val="28"/>
          <w:szCs w:val="28"/>
        </w:rPr>
        <w:t>Student ID</w:t>
      </w:r>
      <w:r w:rsidRPr="004A2F10">
        <w:rPr>
          <w:sz w:val="28"/>
          <w:szCs w:val="28"/>
        </w:rPr>
        <w:t>:</w:t>
      </w:r>
      <w:r w:rsidR="00CE27B3">
        <w:rPr>
          <w:sz w:val="28"/>
          <w:szCs w:val="28"/>
        </w:rPr>
        <w:t xml:space="preserve"> 2532030</w:t>
      </w:r>
    </w:p>
    <w:p w14:paraId="4AD42B2C" w14:textId="77777777" w:rsidR="00170257" w:rsidRPr="004A2F10" w:rsidRDefault="00170257" w:rsidP="001A3B68">
      <w:pPr>
        <w:spacing w:after="0"/>
        <w:rPr>
          <w:sz w:val="28"/>
          <w:szCs w:val="28"/>
        </w:rPr>
      </w:pPr>
    </w:p>
    <w:p w14:paraId="4889025D" w14:textId="2DB6AD73" w:rsidR="00170257"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Word count</w:t>
      </w:r>
      <w:r w:rsidRPr="004A2F10">
        <w:rPr>
          <w:sz w:val="28"/>
          <w:szCs w:val="28"/>
        </w:rPr>
        <w:t xml:space="preserve">: </w:t>
      </w:r>
      <w:r w:rsidRPr="004A2F10">
        <w:rPr>
          <w:rFonts w:cs="Arial"/>
          <w:color w:val="000000" w:themeColor="text1"/>
          <w:sz w:val="28"/>
          <w:szCs w:val="28"/>
        </w:rPr>
        <w:t>53</w:t>
      </w:r>
      <w:r w:rsidR="00304F8A" w:rsidRPr="004A2F10">
        <w:rPr>
          <w:rFonts w:cs="Arial"/>
          <w:color w:val="000000" w:themeColor="text1"/>
          <w:sz w:val="28"/>
          <w:szCs w:val="28"/>
        </w:rPr>
        <w:t>68</w:t>
      </w:r>
    </w:p>
    <w:p w14:paraId="6AE5A49A" w14:textId="229345C4" w:rsidR="005E0D7C" w:rsidRPr="004A2F10" w:rsidRDefault="00170257" w:rsidP="001A3B68">
      <w:pPr>
        <w:pStyle w:val="BodyText"/>
        <w:spacing w:before="0" w:after="0"/>
        <w:contextualSpacing/>
        <w:rPr>
          <w:rFonts w:cs="Arial"/>
          <w:color w:val="000000" w:themeColor="text1"/>
          <w:sz w:val="28"/>
          <w:szCs w:val="28"/>
        </w:rPr>
      </w:pPr>
      <w:r w:rsidRPr="004A2F10">
        <w:rPr>
          <w:b/>
          <w:bCs/>
          <w:sz w:val="28"/>
          <w:szCs w:val="28"/>
        </w:rPr>
        <w:t>Submission date</w:t>
      </w:r>
      <w:r w:rsidRPr="004A2F10">
        <w:rPr>
          <w:sz w:val="28"/>
          <w:szCs w:val="28"/>
        </w:rPr>
        <w:t xml:space="preserve">: </w:t>
      </w:r>
      <w:r w:rsidRPr="004A2F10">
        <w:rPr>
          <w:rFonts w:cs="Arial"/>
          <w:color w:val="000000" w:themeColor="text1"/>
          <w:sz w:val="28"/>
          <w:szCs w:val="28"/>
        </w:rPr>
        <w:t>14th August 2026</w:t>
      </w:r>
    </w:p>
    <w:p w14:paraId="2613519A" w14:textId="77777777" w:rsidR="0096540E" w:rsidRPr="004A2F10" w:rsidRDefault="0096540E" w:rsidP="001A3B68">
      <w:pPr>
        <w:pStyle w:val="BodyText"/>
        <w:spacing w:before="0" w:after="0"/>
        <w:contextualSpacing/>
        <w:rPr>
          <w:rFonts w:cs="Arial"/>
          <w:color w:val="000000" w:themeColor="text1"/>
          <w:sz w:val="28"/>
          <w:szCs w:val="28"/>
        </w:rPr>
      </w:pPr>
    </w:p>
    <w:p w14:paraId="412D5FB1" w14:textId="77777777" w:rsidR="0096540E" w:rsidRPr="004A2F10" w:rsidRDefault="0096540E" w:rsidP="0096540E">
      <w:pPr>
        <w:spacing w:after="0"/>
        <w:contextualSpacing/>
        <w:jc w:val="center"/>
        <w:outlineLvl w:val="1"/>
        <w:rPr>
          <w:rFonts w:eastAsia="Times New Roman" w:cs="Arial"/>
          <w:b/>
          <w:bCs/>
        </w:rPr>
      </w:pPr>
      <w:r w:rsidRPr="004A2F10">
        <w:rPr>
          <w:rFonts w:eastAsia="Times New Roman" w:cs="Arial"/>
          <w:b/>
          <w:bCs/>
        </w:rPr>
        <w:lastRenderedPageBreak/>
        <w:t>AI Use Acknowledgement</w:t>
      </w:r>
    </w:p>
    <w:p w14:paraId="04BCDE59" w14:textId="77777777" w:rsidR="0096540E" w:rsidRPr="004A2F10" w:rsidRDefault="0096540E" w:rsidP="0096540E">
      <w:pPr>
        <w:spacing w:after="0"/>
        <w:jc w:val="both"/>
        <w:rPr>
          <w:rFonts w:eastAsia="Times New Roman" w:cs="Arial"/>
        </w:rPr>
      </w:pPr>
      <w:r w:rsidRPr="004A2F10">
        <w:rPr>
          <w:rFonts w:eastAsia="Times New Roman" w:cs="Arial"/>
        </w:rPr>
        <w:t>I acknowledge the use of ChatGPT (OpenAI)</w:t>
      </w:r>
      <w:r w:rsidRPr="004A2F10">
        <w:rPr>
          <w:rFonts w:eastAsia="Times New Roman" w:cs="Arial"/>
          <w:b/>
          <w:bCs/>
        </w:rPr>
        <w:t xml:space="preserve"> (</w:t>
      </w:r>
      <w:hyperlink r:id="rId11" w:tgtFrame="_new" w:history="1">
        <w:r w:rsidRPr="004A2F10">
          <w:rPr>
            <w:rFonts w:eastAsia="Times New Roman" w:cs="Arial"/>
            <w:b/>
            <w:bCs/>
            <w:color w:val="0000FF"/>
            <w:u w:val="single"/>
          </w:rPr>
          <w:t>https://chatgpt.com/</w:t>
        </w:r>
      </w:hyperlink>
      <w:r w:rsidRPr="004A2F10">
        <w:rPr>
          <w:rFonts w:eastAsia="Times New Roman" w:cs="Arial"/>
          <w:b/>
          <w:bCs/>
        </w:rPr>
        <w:t>)</w:t>
      </w:r>
      <w:r w:rsidRPr="004A2F10">
        <w:rPr>
          <w:rFonts w:eastAsia="Times New Roman" w:cs="Arial"/>
        </w:rPr>
        <w:t xml:space="preserve"> during July–August 2026 to support this assignment in accordance with the University's Generative AI policy.</w:t>
      </w:r>
    </w:p>
    <w:p w14:paraId="5CAAB607" w14:textId="77777777" w:rsidR="0096540E" w:rsidRPr="004A2F10" w:rsidRDefault="0096540E" w:rsidP="0096540E">
      <w:pPr>
        <w:spacing w:after="0"/>
        <w:jc w:val="both"/>
        <w:rPr>
          <w:rFonts w:eastAsia="Times New Roman" w:cs="Arial"/>
        </w:rPr>
      </w:pPr>
    </w:p>
    <w:p w14:paraId="1C15FF24" w14:textId="77777777" w:rsidR="0096540E" w:rsidRPr="004A2F10" w:rsidRDefault="0096540E" w:rsidP="0096540E">
      <w:pPr>
        <w:spacing w:after="0"/>
        <w:jc w:val="both"/>
        <w:rPr>
          <w:rFonts w:eastAsia="Times New Roman" w:cs="Arial"/>
        </w:rPr>
      </w:pPr>
      <w:r w:rsidRPr="004A2F10">
        <w:rPr>
          <w:rFonts w:eastAsia="Times New Roman" w:cs="Arial"/>
          <w:b/>
          <w:bCs/>
        </w:rPr>
        <w:t>Research</w:t>
      </w:r>
      <w:r w:rsidRPr="004A2F10">
        <w:rPr>
          <w:rFonts w:eastAsia="Times New Roman" w:cs="Arial"/>
        </w:rPr>
        <w:br/>
        <w:t>Used to identify relevant literature, compare international business theories, and locate recent evidence.</w:t>
      </w:r>
    </w:p>
    <w:p w14:paraId="12E9BE54" w14:textId="77777777" w:rsidR="0096540E" w:rsidRPr="004A2F10" w:rsidRDefault="0096540E" w:rsidP="0096540E">
      <w:pPr>
        <w:spacing w:after="0"/>
        <w:jc w:val="both"/>
        <w:rPr>
          <w:rFonts w:eastAsia="Times New Roman" w:cs="Arial"/>
        </w:rPr>
      </w:pPr>
      <w:r w:rsidRPr="004A2F10">
        <w:rPr>
          <w:rFonts w:eastAsia="Times New Roman" w:cs="Arial"/>
        </w:rPr>
        <w:t>Example prompts:</w:t>
      </w:r>
    </w:p>
    <w:p w14:paraId="2C376379" w14:textId="77777777" w:rsidR="0096540E" w:rsidRPr="004A2F10" w:rsidRDefault="0096540E" w:rsidP="0096540E">
      <w:pPr>
        <w:spacing w:after="0"/>
        <w:jc w:val="both"/>
        <w:rPr>
          <w:rFonts w:eastAsia="Times New Roman" w:cs="Arial"/>
        </w:rPr>
      </w:pPr>
      <w:r w:rsidRPr="004A2F10">
        <w:rPr>
          <w:rFonts w:eastAsia="Times New Roman" w:cs="Arial"/>
        </w:rPr>
        <w:t>• “Identify recent studies on Tesco's international expansion.”</w:t>
      </w:r>
    </w:p>
    <w:p w14:paraId="63EFF352" w14:textId="77777777" w:rsidR="0096540E" w:rsidRPr="004A2F10" w:rsidRDefault="0096540E" w:rsidP="0096540E">
      <w:pPr>
        <w:spacing w:after="0"/>
        <w:jc w:val="both"/>
        <w:rPr>
          <w:rFonts w:eastAsia="Times New Roman" w:cs="Arial"/>
        </w:rPr>
      </w:pPr>
      <w:r w:rsidRPr="004A2F10">
        <w:rPr>
          <w:rFonts w:eastAsia="Times New Roman" w:cs="Arial"/>
        </w:rPr>
        <w:t>• “Compare Bartlett and Ghoshal's framework with Dunning's OLI paradigm.”</w:t>
      </w:r>
    </w:p>
    <w:p w14:paraId="07566CE1" w14:textId="77777777" w:rsidR="0096540E" w:rsidRPr="004A2F10" w:rsidRDefault="0096540E" w:rsidP="0096540E">
      <w:pPr>
        <w:spacing w:after="0"/>
        <w:jc w:val="both"/>
        <w:rPr>
          <w:rFonts w:eastAsia="Times New Roman" w:cs="Arial"/>
        </w:rPr>
      </w:pPr>
    </w:p>
    <w:p w14:paraId="199BB048" w14:textId="77777777" w:rsidR="0096540E" w:rsidRPr="004A2F10" w:rsidRDefault="0096540E" w:rsidP="0096540E">
      <w:pPr>
        <w:spacing w:after="0"/>
        <w:jc w:val="both"/>
        <w:rPr>
          <w:rFonts w:eastAsia="Times New Roman" w:cs="Arial"/>
        </w:rPr>
      </w:pPr>
      <w:r w:rsidRPr="004A2F10">
        <w:rPr>
          <w:rFonts w:eastAsia="Times New Roman" w:cs="Arial"/>
          <w:b/>
          <w:bCs/>
        </w:rPr>
        <w:t>Creative Materials</w:t>
      </w:r>
    </w:p>
    <w:p w14:paraId="04C68B02" w14:textId="77777777" w:rsidR="0096540E" w:rsidRPr="004A2F10" w:rsidRDefault="0096540E" w:rsidP="0096540E">
      <w:pPr>
        <w:spacing w:after="0"/>
        <w:jc w:val="both"/>
        <w:rPr>
          <w:rFonts w:eastAsia="Times New Roman" w:cs="Arial"/>
        </w:rPr>
      </w:pPr>
      <w:r w:rsidRPr="004A2F10">
        <w:rPr>
          <w:rFonts w:eastAsia="Times New Roman" w:cs="Arial"/>
        </w:rPr>
        <w:t>Used to create figures based on my own analysis.</w:t>
      </w:r>
    </w:p>
    <w:p w14:paraId="4FCF7ED4" w14:textId="77777777" w:rsidR="0096540E" w:rsidRPr="004A2F10" w:rsidRDefault="0096540E" w:rsidP="0096540E">
      <w:pPr>
        <w:spacing w:after="0"/>
        <w:jc w:val="both"/>
        <w:rPr>
          <w:rFonts w:eastAsia="Times New Roman" w:cs="Arial"/>
        </w:rPr>
      </w:pPr>
      <w:r w:rsidRPr="004A2F10">
        <w:rPr>
          <w:rFonts w:eastAsia="Times New Roman" w:cs="Arial"/>
        </w:rPr>
        <w:t>Example prompts:</w:t>
      </w:r>
    </w:p>
    <w:p w14:paraId="66416035" w14:textId="77777777" w:rsidR="0096540E" w:rsidRPr="004A2F10" w:rsidRDefault="0096540E" w:rsidP="0096540E">
      <w:pPr>
        <w:spacing w:after="0"/>
        <w:jc w:val="both"/>
        <w:rPr>
          <w:rFonts w:eastAsia="Times New Roman" w:cs="Arial"/>
        </w:rPr>
      </w:pPr>
      <w:r w:rsidRPr="004A2F10">
        <w:rPr>
          <w:rFonts w:eastAsia="Times New Roman" w:cs="Arial"/>
        </w:rPr>
        <w:t>• “Create a Bartlett and Ghoshal framework diagram for Tesco.”</w:t>
      </w:r>
    </w:p>
    <w:p w14:paraId="7514BF3F" w14:textId="77777777" w:rsidR="0096540E" w:rsidRPr="004A2F10" w:rsidRDefault="0096540E" w:rsidP="0096540E">
      <w:pPr>
        <w:spacing w:after="0"/>
        <w:jc w:val="both"/>
        <w:rPr>
          <w:rFonts w:eastAsia="Times New Roman" w:cs="Arial"/>
        </w:rPr>
      </w:pPr>
      <w:r w:rsidRPr="004A2F10">
        <w:rPr>
          <w:rFonts w:eastAsia="Times New Roman" w:cs="Arial"/>
        </w:rPr>
        <w:t>• “Design a Tesco global value chain figure.”</w:t>
      </w:r>
    </w:p>
    <w:p w14:paraId="37F9C69A" w14:textId="77777777" w:rsidR="0096540E" w:rsidRPr="004A2F10" w:rsidRDefault="0096540E" w:rsidP="0096540E">
      <w:pPr>
        <w:spacing w:after="0"/>
        <w:jc w:val="both"/>
        <w:rPr>
          <w:rFonts w:eastAsia="Times New Roman" w:cs="Arial"/>
        </w:rPr>
      </w:pPr>
    </w:p>
    <w:p w14:paraId="0444DF63" w14:textId="77777777" w:rsidR="0096540E" w:rsidRPr="004A2F10" w:rsidRDefault="0096540E" w:rsidP="0096540E">
      <w:pPr>
        <w:spacing w:after="0"/>
        <w:jc w:val="both"/>
        <w:rPr>
          <w:rFonts w:eastAsia="Times New Roman" w:cs="Arial"/>
        </w:rPr>
      </w:pPr>
      <w:r w:rsidRPr="004A2F10">
        <w:rPr>
          <w:rFonts w:eastAsia="Times New Roman" w:cs="Arial"/>
          <w:b/>
          <w:bCs/>
        </w:rPr>
        <w:t>Proofreading</w:t>
      </w:r>
      <w:r w:rsidRPr="004A2F10">
        <w:rPr>
          <w:rFonts w:eastAsia="Times New Roman" w:cs="Arial"/>
        </w:rPr>
        <w:br/>
        <w:t>Used to review my own writing for grammar and clarity.</w:t>
      </w:r>
    </w:p>
    <w:p w14:paraId="613A797B" w14:textId="77777777" w:rsidR="0096540E" w:rsidRPr="004A2F10" w:rsidRDefault="0096540E" w:rsidP="0096540E">
      <w:pPr>
        <w:spacing w:after="0"/>
        <w:jc w:val="both"/>
        <w:rPr>
          <w:rFonts w:eastAsia="Times New Roman" w:cs="Arial"/>
        </w:rPr>
      </w:pPr>
      <w:r w:rsidRPr="004A2F10">
        <w:rPr>
          <w:rFonts w:eastAsia="Times New Roman" w:cs="Arial"/>
        </w:rPr>
        <w:t>Example prompt:</w:t>
      </w:r>
    </w:p>
    <w:p w14:paraId="1B535D72" w14:textId="77777777" w:rsidR="0096540E" w:rsidRPr="004A2F10" w:rsidRDefault="0096540E" w:rsidP="0096540E">
      <w:pPr>
        <w:spacing w:after="0"/>
        <w:jc w:val="both"/>
        <w:rPr>
          <w:rFonts w:eastAsia="Times New Roman" w:cs="Arial"/>
        </w:rPr>
      </w:pPr>
      <w:r w:rsidRPr="004A2F10">
        <w:rPr>
          <w:rFonts w:eastAsia="Times New Roman" w:cs="Arial"/>
        </w:rPr>
        <w:t>• “Proofread this paragraph for grammar and academic clarity.”</w:t>
      </w:r>
    </w:p>
    <w:p w14:paraId="68349842" w14:textId="77777777" w:rsidR="0096540E" w:rsidRPr="004A2F10" w:rsidRDefault="0096540E" w:rsidP="0096540E">
      <w:pPr>
        <w:spacing w:after="0"/>
        <w:jc w:val="both"/>
        <w:rPr>
          <w:rFonts w:eastAsia="Times New Roman" w:cs="Arial"/>
        </w:rPr>
      </w:pPr>
    </w:p>
    <w:p w14:paraId="44C1FE82" w14:textId="77777777" w:rsidR="0096540E" w:rsidRPr="004A2F10" w:rsidRDefault="0096540E" w:rsidP="0096540E">
      <w:pPr>
        <w:spacing w:after="0"/>
        <w:jc w:val="both"/>
        <w:rPr>
          <w:rFonts w:eastAsia="Times New Roman" w:cs="Arial"/>
        </w:rPr>
      </w:pPr>
      <w:r w:rsidRPr="004A2F10">
        <w:rPr>
          <w:rFonts w:eastAsia="Times New Roman" w:cs="Arial"/>
        </w:rPr>
        <w:t>I confirm that I have not presented AI-generated text as my own work. AI was used only for the permitted purposes of research, proofreading, and creating visual materials. It was not used to structure the assignment, generate written content, develop the arguments, or write the reflective account. I have retained drafts and supporting materials that can be provided as evidence if required.</w:t>
      </w:r>
    </w:p>
    <w:p w14:paraId="614D9598" w14:textId="77777777" w:rsidR="0096540E" w:rsidRPr="004A2F10" w:rsidRDefault="0096540E" w:rsidP="0096540E">
      <w:pPr>
        <w:spacing w:after="0"/>
        <w:contextualSpacing/>
        <w:jc w:val="both"/>
        <w:rPr>
          <w:rFonts w:eastAsia="Times New Roman" w:cs="Arial"/>
        </w:rPr>
      </w:pPr>
    </w:p>
    <w:p w14:paraId="633F740C" w14:textId="77777777" w:rsidR="0096540E" w:rsidRPr="004A2F10" w:rsidRDefault="0096540E" w:rsidP="0096540E"/>
    <w:p w14:paraId="7538735D" w14:textId="77777777" w:rsidR="005E0D7C" w:rsidRPr="004A2F10" w:rsidRDefault="005E0D7C" w:rsidP="005E0D7C">
      <w:pPr>
        <w:spacing w:after="0"/>
        <w:contextualSpacing/>
        <w:jc w:val="both"/>
        <w:rPr>
          <w:rFonts w:eastAsia="Times New Roman" w:cs="Arial"/>
        </w:rPr>
      </w:pPr>
    </w:p>
    <w:p w14:paraId="79BF5010" w14:textId="77777777" w:rsidR="000D72DF" w:rsidRPr="004A2F10" w:rsidRDefault="00E218FF" w:rsidP="00E7579D">
      <w:pPr>
        <w:pStyle w:val="Heading1"/>
        <w:spacing w:before="0"/>
        <w:contextualSpacing/>
        <w:jc w:val="both"/>
        <w:rPr>
          <w:rFonts w:ascii="Arial" w:hAnsi="Arial" w:cs="Arial"/>
          <w:color w:val="000000" w:themeColor="text1"/>
          <w:sz w:val="24"/>
          <w:szCs w:val="24"/>
        </w:rPr>
      </w:pPr>
      <w:bookmarkStart w:id="1" w:name="table-of-contents"/>
      <w:bookmarkStart w:id="2" w:name="_Toc236047215"/>
      <w:bookmarkStart w:id="3" w:name="_Toc236047526"/>
      <w:r w:rsidRPr="004A2F10">
        <w:rPr>
          <w:rFonts w:ascii="Arial" w:hAnsi="Arial" w:cs="Arial"/>
          <w:color w:val="000000" w:themeColor="text1"/>
          <w:sz w:val="24"/>
          <w:szCs w:val="24"/>
        </w:rPr>
        <w:lastRenderedPageBreak/>
        <w:t>Table of Contents</w:t>
      </w:r>
      <w:bookmarkEnd w:id="1"/>
      <w:bookmarkEnd w:id="2"/>
      <w:bookmarkEnd w:id="3"/>
    </w:p>
    <w:sdt>
      <w:sdtPr>
        <w:rPr>
          <w:rFonts w:cs="Arial"/>
          <w:color w:val="000000" w:themeColor="text1"/>
        </w:rPr>
        <w:id w:val="-436134494"/>
        <w:docPartObj>
          <w:docPartGallery w:val="Table of Contents"/>
        </w:docPartObj>
      </w:sdtPr>
      <w:sdtEndPr/>
      <w:sdtContent>
        <w:p w14:paraId="5F619FA5" w14:textId="7DD73C99" w:rsidR="00577B53" w:rsidRPr="004A2F10" w:rsidRDefault="00E218FF">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color w:val="000000" w:themeColor="text1"/>
            </w:rPr>
            <w:fldChar w:fldCharType="begin"/>
          </w:r>
          <w:r w:rsidRPr="004A2F10">
            <w:rPr>
              <w:rFonts w:cs="Arial"/>
              <w:color w:val="000000" w:themeColor="text1"/>
            </w:rPr>
            <w:instrText xml:space="preserve"> TOC \\o "1-3" \\h \\z \\u </w:instrText>
          </w:r>
          <w:r w:rsidRPr="004A2F10">
            <w:rPr>
              <w:rFonts w:cs="Arial"/>
              <w:color w:val="000000" w:themeColor="text1"/>
            </w:rPr>
            <w:fldChar w:fldCharType="separate"/>
          </w:r>
        </w:p>
        <w:p w14:paraId="3F36658B" w14:textId="57ABC6E1"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Section 1: MNC Analysis and Market Entry Evaluation</w:t>
          </w:r>
          <w:r w:rsidRPr="004A2F10">
            <w:rPr>
              <w:noProof/>
            </w:rPr>
            <w:tab/>
          </w:r>
          <w:r w:rsidRPr="004A2F10">
            <w:rPr>
              <w:noProof/>
            </w:rPr>
            <w:fldChar w:fldCharType="begin"/>
          </w:r>
          <w:r w:rsidRPr="004A2F10">
            <w:rPr>
              <w:noProof/>
            </w:rPr>
            <w:instrText xml:space="preserve"> PAGEREF _Toc236047527 \h </w:instrText>
          </w:r>
          <w:r w:rsidRPr="004A2F10">
            <w:rPr>
              <w:noProof/>
            </w:rPr>
          </w:r>
          <w:r w:rsidRPr="004A2F10">
            <w:rPr>
              <w:noProof/>
            </w:rPr>
            <w:fldChar w:fldCharType="separate"/>
          </w:r>
          <w:r w:rsidRPr="004A2F10">
            <w:rPr>
              <w:noProof/>
            </w:rPr>
            <w:t>4</w:t>
          </w:r>
          <w:r w:rsidRPr="004A2F10">
            <w:rPr>
              <w:noProof/>
            </w:rPr>
            <w:fldChar w:fldCharType="end"/>
          </w:r>
        </w:p>
        <w:p w14:paraId="24E24EDA" w14:textId="483B046F"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1. Introduction</w:t>
          </w:r>
          <w:r w:rsidRPr="004A2F10">
            <w:rPr>
              <w:noProof/>
            </w:rPr>
            <w:tab/>
          </w:r>
          <w:r w:rsidRPr="004A2F10">
            <w:rPr>
              <w:noProof/>
            </w:rPr>
            <w:fldChar w:fldCharType="begin"/>
          </w:r>
          <w:r w:rsidRPr="004A2F10">
            <w:rPr>
              <w:noProof/>
            </w:rPr>
            <w:instrText xml:space="preserve"> PAGEREF _Toc236047528 \h </w:instrText>
          </w:r>
          <w:r w:rsidRPr="004A2F10">
            <w:rPr>
              <w:noProof/>
            </w:rPr>
          </w:r>
          <w:r w:rsidRPr="004A2F10">
            <w:rPr>
              <w:noProof/>
            </w:rPr>
            <w:fldChar w:fldCharType="separate"/>
          </w:r>
          <w:r w:rsidRPr="004A2F10">
            <w:rPr>
              <w:noProof/>
            </w:rPr>
            <w:t>4</w:t>
          </w:r>
          <w:r w:rsidRPr="004A2F10">
            <w:rPr>
              <w:noProof/>
            </w:rPr>
            <w:fldChar w:fldCharType="end"/>
          </w:r>
        </w:p>
        <w:p w14:paraId="18F7D45E" w14:textId="19E2C847"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 Organisational Classification and Global Strategy</w:t>
          </w:r>
          <w:r w:rsidRPr="004A2F10">
            <w:rPr>
              <w:noProof/>
            </w:rPr>
            <w:tab/>
          </w:r>
          <w:r w:rsidRPr="004A2F10">
            <w:rPr>
              <w:noProof/>
            </w:rPr>
            <w:fldChar w:fldCharType="begin"/>
          </w:r>
          <w:r w:rsidRPr="004A2F10">
            <w:rPr>
              <w:noProof/>
            </w:rPr>
            <w:instrText xml:space="preserve"> PAGEREF _Toc236047529 \h </w:instrText>
          </w:r>
          <w:r w:rsidRPr="004A2F10">
            <w:rPr>
              <w:noProof/>
            </w:rPr>
          </w:r>
          <w:r w:rsidRPr="004A2F10">
            <w:rPr>
              <w:noProof/>
            </w:rPr>
            <w:fldChar w:fldCharType="separate"/>
          </w:r>
          <w:r w:rsidRPr="004A2F10">
            <w:rPr>
              <w:noProof/>
            </w:rPr>
            <w:t>4</w:t>
          </w:r>
          <w:r w:rsidRPr="004A2F10">
            <w:rPr>
              <w:noProof/>
            </w:rPr>
            <w:fldChar w:fldCharType="end"/>
          </w:r>
        </w:p>
        <w:p w14:paraId="769AE573" w14:textId="62E503B8"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2.1 Strategic Categorisation Using the Bartlett and Ghoshal Framework</w:t>
          </w:r>
          <w:r w:rsidRPr="004A2F10">
            <w:rPr>
              <w:noProof/>
            </w:rPr>
            <w:tab/>
          </w:r>
          <w:r w:rsidRPr="004A2F10">
            <w:rPr>
              <w:noProof/>
            </w:rPr>
            <w:fldChar w:fldCharType="begin"/>
          </w:r>
          <w:r w:rsidRPr="004A2F10">
            <w:rPr>
              <w:noProof/>
            </w:rPr>
            <w:instrText xml:space="preserve"> PAGEREF _Toc236047530 \h </w:instrText>
          </w:r>
          <w:r w:rsidRPr="004A2F10">
            <w:rPr>
              <w:noProof/>
            </w:rPr>
          </w:r>
          <w:r w:rsidRPr="004A2F10">
            <w:rPr>
              <w:noProof/>
            </w:rPr>
            <w:fldChar w:fldCharType="separate"/>
          </w:r>
          <w:r w:rsidRPr="004A2F10">
            <w:rPr>
              <w:noProof/>
            </w:rPr>
            <w:t>4</w:t>
          </w:r>
          <w:r w:rsidRPr="004A2F10">
            <w:rPr>
              <w:noProof/>
            </w:rPr>
            <w:fldChar w:fldCharType="end"/>
          </w:r>
        </w:p>
        <w:p w14:paraId="2F615BAC" w14:textId="70C78C84"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2.2 Global Configuration and Competitive Advantage</w:t>
          </w:r>
          <w:r w:rsidRPr="004A2F10">
            <w:rPr>
              <w:noProof/>
            </w:rPr>
            <w:tab/>
          </w:r>
          <w:r w:rsidRPr="004A2F10">
            <w:rPr>
              <w:noProof/>
            </w:rPr>
            <w:fldChar w:fldCharType="begin"/>
          </w:r>
          <w:r w:rsidRPr="004A2F10">
            <w:rPr>
              <w:noProof/>
            </w:rPr>
            <w:instrText xml:space="preserve"> PAGEREF _Toc236047531 \h </w:instrText>
          </w:r>
          <w:r w:rsidRPr="004A2F10">
            <w:rPr>
              <w:noProof/>
            </w:rPr>
          </w:r>
          <w:r w:rsidRPr="004A2F10">
            <w:rPr>
              <w:noProof/>
            </w:rPr>
            <w:fldChar w:fldCharType="separate"/>
          </w:r>
          <w:r w:rsidRPr="004A2F10">
            <w:rPr>
              <w:noProof/>
            </w:rPr>
            <w:t>6</w:t>
          </w:r>
          <w:r w:rsidRPr="004A2F10">
            <w:rPr>
              <w:noProof/>
            </w:rPr>
            <w:fldChar w:fldCharType="end"/>
          </w:r>
        </w:p>
        <w:p w14:paraId="4506A8BB" w14:textId="265E2829"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 Macro-Environmental Appraisal and Market Attractiveness</w:t>
          </w:r>
          <w:r w:rsidRPr="004A2F10">
            <w:rPr>
              <w:noProof/>
            </w:rPr>
            <w:tab/>
          </w:r>
          <w:r w:rsidRPr="004A2F10">
            <w:rPr>
              <w:noProof/>
            </w:rPr>
            <w:fldChar w:fldCharType="begin"/>
          </w:r>
          <w:r w:rsidRPr="004A2F10">
            <w:rPr>
              <w:noProof/>
            </w:rPr>
            <w:instrText xml:space="preserve"> PAGEREF _Toc236047532 \h </w:instrText>
          </w:r>
          <w:r w:rsidRPr="004A2F10">
            <w:rPr>
              <w:noProof/>
            </w:rPr>
          </w:r>
          <w:r w:rsidRPr="004A2F10">
            <w:rPr>
              <w:noProof/>
            </w:rPr>
            <w:fldChar w:fldCharType="separate"/>
          </w:r>
          <w:r w:rsidRPr="004A2F10">
            <w:rPr>
              <w:noProof/>
            </w:rPr>
            <w:t>7</w:t>
          </w:r>
          <w:r w:rsidRPr="004A2F10">
            <w:rPr>
              <w:noProof/>
            </w:rPr>
            <w:fldChar w:fldCharType="end"/>
          </w:r>
        </w:p>
        <w:p w14:paraId="2B83E035" w14:textId="3ABAB431"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3.1 Political Environment</w:t>
          </w:r>
          <w:r w:rsidRPr="004A2F10">
            <w:rPr>
              <w:noProof/>
            </w:rPr>
            <w:tab/>
          </w:r>
          <w:r w:rsidRPr="004A2F10">
            <w:rPr>
              <w:noProof/>
            </w:rPr>
            <w:fldChar w:fldCharType="begin"/>
          </w:r>
          <w:r w:rsidRPr="004A2F10">
            <w:rPr>
              <w:noProof/>
            </w:rPr>
            <w:instrText xml:space="preserve"> PAGEREF _Toc236047533 \h </w:instrText>
          </w:r>
          <w:r w:rsidRPr="004A2F10">
            <w:rPr>
              <w:noProof/>
            </w:rPr>
          </w:r>
          <w:r w:rsidRPr="004A2F10">
            <w:rPr>
              <w:noProof/>
            </w:rPr>
            <w:fldChar w:fldCharType="separate"/>
          </w:r>
          <w:r w:rsidRPr="004A2F10">
            <w:rPr>
              <w:noProof/>
            </w:rPr>
            <w:t>7</w:t>
          </w:r>
          <w:r w:rsidRPr="004A2F10">
            <w:rPr>
              <w:noProof/>
            </w:rPr>
            <w:fldChar w:fldCharType="end"/>
          </w:r>
        </w:p>
        <w:p w14:paraId="7D3D15A9" w14:textId="2CC44E37"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3.2 Economic Environment</w:t>
          </w:r>
          <w:r w:rsidRPr="004A2F10">
            <w:rPr>
              <w:noProof/>
            </w:rPr>
            <w:tab/>
          </w:r>
          <w:r w:rsidRPr="004A2F10">
            <w:rPr>
              <w:noProof/>
            </w:rPr>
            <w:fldChar w:fldCharType="begin"/>
          </w:r>
          <w:r w:rsidRPr="004A2F10">
            <w:rPr>
              <w:noProof/>
            </w:rPr>
            <w:instrText xml:space="preserve"> PAGEREF _Toc236047534 \h </w:instrText>
          </w:r>
          <w:r w:rsidRPr="004A2F10">
            <w:rPr>
              <w:noProof/>
            </w:rPr>
          </w:r>
          <w:r w:rsidRPr="004A2F10">
            <w:rPr>
              <w:noProof/>
            </w:rPr>
            <w:fldChar w:fldCharType="separate"/>
          </w:r>
          <w:r w:rsidRPr="004A2F10">
            <w:rPr>
              <w:noProof/>
            </w:rPr>
            <w:t>8</w:t>
          </w:r>
          <w:r w:rsidRPr="004A2F10">
            <w:rPr>
              <w:noProof/>
            </w:rPr>
            <w:fldChar w:fldCharType="end"/>
          </w:r>
        </w:p>
        <w:p w14:paraId="2B74EE61" w14:textId="54427926"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3.3 Legal and Regulatory Environment</w:t>
          </w:r>
          <w:r w:rsidRPr="004A2F10">
            <w:rPr>
              <w:noProof/>
            </w:rPr>
            <w:tab/>
          </w:r>
          <w:r w:rsidRPr="004A2F10">
            <w:rPr>
              <w:noProof/>
            </w:rPr>
            <w:fldChar w:fldCharType="begin"/>
          </w:r>
          <w:r w:rsidRPr="004A2F10">
            <w:rPr>
              <w:noProof/>
            </w:rPr>
            <w:instrText xml:space="preserve"> PAGEREF _Toc236047535 \h </w:instrText>
          </w:r>
          <w:r w:rsidRPr="004A2F10">
            <w:rPr>
              <w:noProof/>
            </w:rPr>
          </w:r>
          <w:r w:rsidRPr="004A2F10">
            <w:rPr>
              <w:noProof/>
            </w:rPr>
            <w:fldChar w:fldCharType="separate"/>
          </w:r>
          <w:r w:rsidRPr="004A2F10">
            <w:rPr>
              <w:noProof/>
            </w:rPr>
            <w:t>10</w:t>
          </w:r>
          <w:r w:rsidRPr="004A2F10">
            <w:rPr>
              <w:noProof/>
            </w:rPr>
            <w:fldChar w:fldCharType="end"/>
          </w:r>
        </w:p>
        <w:p w14:paraId="3FE9CDFD" w14:textId="340742B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3.4 Cultural Environment</w:t>
          </w:r>
          <w:r w:rsidRPr="004A2F10">
            <w:rPr>
              <w:noProof/>
            </w:rPr>
            <w:tab/>
          </w:r>
          <w:r w:rsidRPr="004A2F10">
            <w:rPr>
              <w:noProof/>
            </w:rPr>
            <w:fldChar w:fldCharType="begin"/>
          </w:r>
          <w:r w:rsidRPr="004A2F10">
            <w:rPr>
              <w:noProof/>
            </w:rPr>
            <w:instrText xml:space="preserve"> PAGEREF _Toc236047536 \h </w:instrText>
          </w:r>
          <w:r w:rsidRPr="004A2F10">
            <w:rPr>
              <w:noProof/>
            </w:rPr>
          </w:r>
          <w:r w:rsidRPr="004A2F10">
            <w:rPr>
              <w:noProof/>
            </w:rPr>
            <w:fldChar w:fldCharType="separate"/>
          </w:r>
          <w:r w:rsidRPr="004A2F10">
            <w:rPr>
              <w:noProof/>
            </w:rPr>
            <w:t>11</w:t>
          </w:r>
          <w:r w:rsidRPr="004A2F10">
            <w:rPr>
              <w:noProof/>
            </w:rPr>
            <w:fldChar w:fldCharType="end"/>
          </w:r>
        </w:p>
        <w:p w14:paraId="07903915" w14:textId="13BA530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3.5 Market Entry Synthesis Using Dunning’s Eclectic (OLI) Paradigm</w:t>
          </w:r>
          <w:r w:rsidRPr="004A2F10">
            <w:rPr>
              <w:noProof/>
            </w:rPr>
            <w:tab/>
          </w:r>
          <w:r w:rsidRPr="004A2F10">
            <w:rPr>
              <w:noProof/>
            </w:rPr>
            <w:fldChar w:fldCharType="begin"/>
          </w:r>
          <w:r w:rsidRPr="004A2F10">
            <w:rPr>
              <w:noProof/>
            </w:rPr>
            <w:instrText xml:space="preserve"> PAGEREF _Toc236047537 \h </w:instrText>
          </w:r>
          <w:r w:rsidRPr="004A2F10">
            <w:rPr>
              <w:noProof/>
            </w:rPr>
          </w:r>
          <w:r w:rsidRPr="004A2F10">
            <w:rPr>
              <w:noProof/>
            </w:rPr>
            <w:fldChar w:fldCharType="separate"/>
          </w:r>
          <w:r w:rsidRPr="004A2F10">
            <w:rPr>
              <w:noProof/>
            </w:rPr>
            <w:t>12</w:t>
          </w:r>
          <w:r w:rsidRPr="004A2F10">
            <w:rPr>
              <w:noProof/>
            </w:rPr>
            <w:fldChar w:fldCharType="end"/>
          </w:r>
        </w:p>
        <w:p w14:paraId="42EA89C2" w14:textId="1F843D23" w:rsidR="00577B53" w:rsidRPr="004A2F10" w:rsidRDefault="00577B53">
          <w:pPr>
            <w:pStyle w:val="TOC2"/>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 Entry Mode Strategy and Strategic Synthesis</w:t>
          </w:r>
          <w:r w:rsidRPr="004A2F10">
            <w:rPr>
              <w:noProof/>
            </w:rPr>
            <w:tab/>
          </w:r>
          <w:r w:rsidRPr="004A2F10">
            <w:rPr>
              <w:noProof/>
            </w:rPr>
            <w:fldChar w:fldCharType="begin"/>
          </w:r>
          <w:r w:rsidRPr="004A2F10">
            <w:rPr>
              <w:noProof/>
            </w:rPr>
            <w:instrText xml:space="preserve"> PAGEREF _Toc236047538 \h </w:instrText>
          </w:r>
          <w:r w:rsidRPr="004A2F10">
            <w:rPr>
              <w:noProof/>
            </w:rPr>
          </w:r>
          <w:r w:rsidRPr="004A2F10">
            <w:rPr>
              <w:noProof/>
            </w:rPr>
            <w:fldChar w:fldCharType="separate"/>
          </w:r>
          <w:r w:rsidRPr="004A2F10">
            <w:rPr>
              <w:noProof/>
            </w:rPr>
            <w:t>13</w:t>
          </w:r>
          <w:r w:rsidRPr="004A2F10">
            <w:rPr>
              <w:noProof/>
            </w:rPr>
            <w:fldChar w:fldCharType="end"/>
          </w:r>
        </w:p>
        <w:p w14:paraId="3AB3BAFB" w14:textId="7EC6686F"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4.1 Historical Pattern Recognition</w:t>
          </w:r>
          <w:r w:rsidRPr="004A2F10">
            <w:rPr>
              <w:noProof/>
            </w:rPr>
            <w:tab/>
          </w:r>
          <w:r w:rsidRPr="004A2F10">
            <w:rPr>
              <w:noProof/>
            </w:rPr>
            <w:fldChar w:fldCharType="begin"/>
          </w:r>
          <w:r w:rsidRPr="004A2F10">
            <w:rPr>
              <w:noProof/>
            </w:rPr>
            <w:instrText xml:space="preserve"> PAGEREF _Toc236047539 \h </w:instrText>
          </w:r>
          <w:r w:rsidRPr="004A2F10">
            <w:rPr>
              <w:noProof/>
            </w:rPr>
          </w:r>
          <w:r w:rsidRPr="004A2F10">
            <w:rPr>
              <w:noProof/>
            </w:rPr>
            <w:fldChar w:fldCharType="separate"/>
          </w:r>
          <w:r w:rsidRPr="004A2F10">
            <w:rPr>
              <w:noProof/>
            </w:rPr>
            <w:t>13</w:t>
          </w:r>
          <w:r w:rsidRPr="004A2F10">
            <w:rPr>
              <w:noProof/>
            </w:rPr>
            <w:fldChar w:fldCharType="end"/>
          </w:r>
        </w:p>
        <w:p w14:paraId="1C19116B" w14:textId="7597E4C6" w:rsidR="00577B53" w:rsidRPr="004A2F10" w:rsidRDefault="00577B53">
          <w:pPr>
            <w:pStyle w:val="TOC3"/>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4.2 Strategic Fit and Justification</w:t>
          </w:r>
          <w:r w:rsidRPr="004A2F10">
            <w:rPr>
              <w:noProof/>
            </w:rPr>
            <w:tab/>
          </w:r>
          <w:r w:rsidRPr="004A2F10">
            <w:rPr>
              <w:noProof/>
            </w:rPr>
            <w:fldChar w:fldCharType="begin"/>
          </w:r>
          <w:r w:rsidRPr="004A2F10">
            <w:rPr>
              <w:noProof/>
            </w:rPr>
            <w:instrText xml:space="preserve"> PAGEREF _Toc236047540 \h </w:instrText>
          </w:r>
          <w:r w:rsidRPr="004A2F10">
            <w:rPr>
              <w:noProof/>
            </w:rPr>
          </w:r>
          <w:r w:rsidRPr="004A2F10">
            <w:rPr>
              <w:noProof/>
            </w:rPr>
            <w:fldChar w:fldCharType="separate"/>
          </w:r>
          <w:r w:rsidRPr="004A2F10">
            <w:rPr>
              <w:noProof/>
            </w:rPr>
            <w:t>14</w:t>
          </w:r>
          <w:r w:rsidRPr="004A2F10">
            <w:rPr>
              <w:noProof/>
            </w:rPr>
            <w:fldChar w:fldCharType="end"/>
          </w:r>
        </w:p>
        <w:p w14:paraId="08BDEE5F" w14:textId="5E2582A8" w:rsidR="00577B53" w:rsidRPr="004A2F10" w:rsidRDefault="00CE27B3">
          <w:pPr>
            <w:pStyle w:val="TOC2"/>
            <w:tabs>
              <w:tab w:val="right" w:leader="dot" w:pos="9396"/>
            </w:tabs>
            <w:rPr>
              <w:rFonts w:asciiTheme="minorHAnsi" w:eastAsiaTheme="minorEastAsia" w:hAnsiTheme="minorHAnsi"/>
              <w:b/>
              <w:noProof/>
              <w:kern w:val="2"/>
              <w:sz w:val="22"/>
              <w:szCs w:val="22"/>
              <w14:ligatures w14:val="standardContextual"/>
            </w:rPr>
          </w:pPr>
          <w:r>
            <w:rPr>
              <w:rFonts w:cs="Arial"/>
              <w:b/>
              <w:noProof/>
              <w:color w:val="000000" w:themeColor="text1"/>
            </w:rPr>
            <w:t>5.</w:t>
          </w:r>
          <w:r w:rsidR="00577B53" w:rsidRPr="004A2F10">
            <w:rPr>
              <w:rFonts w:cs="Arial"/>
              <w:b/>
              <w:noProof/>
              <w:color w:val="000000" w:themeColor="text1"/>
            </w:rPr>
            <w:t xml:space="preserve"> Recommendations</w:t>
          </w:r>
          <w:r w:rsidR="00D362E5">
            <w:rPr>
              <w:rFonts w:cs="Arial"/>
              <w:b/>
              <w:noProof/>
              <w:color w:val="000000" w:themeColor="text1"/>
            </w:rPr>
            <w:t xml:space="preserve"> &amp;</w:t>
          </w:r>
          <w:r w:rsidR="00D362E5" w:rsidRPr="00D362E5">
            <w:rPr>
              <w:rFonts w:cs="Arial"/>
              <w:b/>
              <w:noProof/>
              <w:color w:val="000000" w:themeColor="text1"/>
            </w:rPr>
            <w:t xml:space="preserve"> </w:t>
          </w:r>
          <w:r w:rsidR="00D362E5" w:rsidRPr="004A2F10">
            <w:rPr>
              <w:rFonts w:cs="Arial"/>
              <w:b/>
              <w:noProof/>
              <w:color w:val="000000" w:themeColor="text1"/>
            </w:rPr>
            <w:t>Conclusion</w:t>
          </w:r>
          <w:r w:rsidR="00577B53" w:rsidRPr="004A2F10">
            <w:rPr>
              <w:noProof/>
            </w:rPr>
            <w:tab/>
          </w:r>
          <w:r w:rsidR="00577B53" w:rsidRPr="004A2F10">
            <w:rPr>
              <w:noProof/>
            </w:rPr>
            <w:fldChar w:fldCharType="begin"/>
          </w:r>
          <w:r w:rsidR="00577B53" w:rsidRPr="004A2F10">
            <w:rPr>
              <w:noProof/>
            </w:rPr>
            <w:instrText xml:space="preserve"> PAGEREF _Toc236047541 \h </w:instrText>
          </w:r>
          <w:r w:rsidR="00577B53" w:rsidRPr="004A2F10">
            <w:rPr>
              <w:noProof/>
            </w:rPr>
          </w:r>
          <w:r w:rsidR="00577B53" w:rsidRPr="004A2F10">
            <w:rPr>
              <w:noProof/>
            </w:rPr>
            <w:fldChar w:fldCharType="separate"/>
          </w:r>
          <w:r w:rsidR="00577B53" w:rsidRPr="004A2F10">
            <w:rPr>
              <w:noProof/>
            </w:rPr>
            <w:t>17</w:t>
          </w:r>
          <w:r w:rsidR="00577B53" w:rsidRPr="004A2F10">
            <w:rPr>
              <w:noProof/>
            </w:rPr>
            <w:fldChar w:fldCharType="end"/>
          </w:r>
        </w:p>
        <w:p w14:paraId="796E6456" w14:textId="0A812143"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Section 2: Reflective Account</w:t>
          </w:r>
          <w:r w:rsidRPr="004A2F10">
            <w:rPr>
              <w:noProof/>
            </w:rPr>
            <w:tab/>
          </w:r>
          <w:r w:rsidRPr="004A2F10">
            <w:rPr>
              <w:noProof/>
            </w:rPr>
            <w:fldChar w:fldCharType="begin"/>
          </w:r>
          <w:r w:rsidRPr="004A2F10">
            <w:rPr>
              <w:noProof/>
            </w:rPr>
            <w:instrText xml:space="preserve"> PAGEREF _Toc236047542 \h </w:instrText>
          </w:r>
          <w:r w:rsidRPr="004A2F10">
            <w:rPr>
              <w:noProof/>
            </w:rPr>
          </w:r>
          <w:r w:rsidRPr="004A2F10">
            <w:rPr>
              <w:noProof/>
            </w:rPr>
            <w:fldChar w:fldCharType="separate"/>
          </w:r>
          <w:r w:rsidRPr="004A2F10">
            <w:rPr>
              <w:noProof/>
            </w:rPr>
            <w:t>18</w:t>
          </w:r>
          <w:r w:rsidRPr="004A2F10">
            <w:rPr>
              <w:noProof/>
            </w:rPr>
            <w:fldChar w:fldCharType="end"/>
          </w:r>
        </w:p>
        <w:p w14:paraId="1B0C2F6E" w14:textId="08397EB6" w:rsidR="00577B53" w:rsidRPr="004A2F10" w:rsidRDefault="00577B53">
          <w:pPr>
            <w:pStyle w:val="TOC1"/>
            <w:tabs>
              <w:tab w:val="right" w:leader="dot" w:pos="9396"/>
            </w:tabs>
            <w:rPr>
              <w:rFonts w:asciiTheme="minorHAnsi" w:eastAsiaTheme="minorEastAsia" w:hAnsiTheme="minorHAnsi"/>
              <w:noProof/>
              <w:kern w:val="2"/>
              <w:sz w:val="22"/>
              <w:szCs w:val="22"/>
              <w14:ligatures w14:val="standardContextual"/>
            </w:rPr>
          </w:pPr>
          <w:r w:rsidRPr="004A2F10">
            <w:rPr>
              <w:rFonts w:cs="Arial"/>
              <w:noProof/>
              <w:color w:val="000000" w:themeColor="text1"/>
            </w:rPr>
            <w:t>References</w:t>
          </w:r>
          <w:r w:rsidRPr="004A2F10">
            <w:rPr>
              <w:noProof/>
            </w:rPr>
            <w:tab/>
          </w:r>
          <w:r w:rsidRPr="004A2F10">
            <w:rPr>
              <w:noProof/>
            </w:rPr>
            <w:fldChar w:fldCharType="begin"/>
          </w:r>
          <w:r w:rsidRPr="004A2F10">
            <w:rPr>
              <w:noProof/>
            </w:rPr>
            <w:instrText xml:space="preserve"> PAGEREF _Toc236047543 \h </w:instrText>
          </w:r>
          <w:r w:rsidRPr="004A2F10">
            <w:rPr>
              <w:noProof/>
            </w:rPr>
          </w:r>
          <w:r w:rsidRPr="004A2F10">
            <w:rPr>
              <w:noProof/>
            </w:rPr>
            <w:fldChar w:fldCharType="separate"/>
          </w:r>
          <w:r w:rsidRPr="004A2F10">
            <w:rPr>
              <w:noProof/>
            </w:rPr>
            <w:t>21</w:t>
          </w:r>
          <w:r w:rsidRPr="004A2F10">
            <w:rPr>
              <w:noProof/>
            </w:rPr>
            <w:fldChar w:fldCharType="end"/>
          </w:r>
        </w:p>
        <w:p w14:paraId="42F6923C" w14:textId="3D844FED" w:rsidR="000D72DF" w:rsidRPr="004A2F10" w:rsidRDefault="00E218FF" w:rsidP="00E7579D">
          <w:pPr>
            <w:spacing w:after="0"/>
            <w:contextualSpacing/>
            <w:jc w:val="both"/>
            <w:rPr>
              <w:rFonts w:cs="Arial"/>
              <w:color w:val="000000" w:themeColor="text1"/>
            </w:rPr>
          </w:pPr>
          <w:r w:rsidRPr="004A2F10">
            <w:rPr>
              <w:rFonts w:cs="Arial"/>
              <w:color w:val="000000" w:themeColor="text1"/>
            </w:rPr>
            <w:fldChar w:fldCharType="end"/>
          </w:r>
        </w:p>
      </w:sdtContent>
    </w:sdt>
    <w:p w14:paraId="0854E6CF" w14:textId="77777777" w:rsidR="000D72DF" w:rsidRPr="004A2F10" w:rsidRDefault="00E218FF" w:rsidP="00E7579D">
      <w:pPr>
        <w:spacing w:after="0"/>
        <w:contextualSpacing/>
        <w:jc w:val="both"/>
        <w:rPr>
          <w:rFonts w:cs="Arial"/>
          <w:color w:val="000000" w:themeColor="text1"/>
        </w:rPr>
      </w:pPr>
      <w:r w:rsidRPr="004A2F10">
        <w:rPr>
          <w:rFonts w:cs="Arial"/>
          <w:color w:val="000000" w:themeColor="text1"/>
        </w:rPr>
        <w:br w:type="page"/>
      </w:r>
    </w:p>
    <w:p w14:paraId="4BA6974F" w14:textId="77777777" w:rsidR="000D72DF" w:rsidRPr="004A2F10" w:rsidRDefault="00E218FF" w:rsidP="00E7579D">
      <w:pPr>
        <w:pStyle w:val="Heading1"/>
        <w:spacing w:before="0"/>
        <w:contextualSpacing/>
        <w:jc w:val="both"/>
        <w:rPr>
          <w:rFonts w:ascii="Arial" w:hAnsi="Arial" w:cs="Arial"/>
          <w:color w:val="000000" w:themeColor="text1"/>
          <w:sz w:val="24"/>
          <w:szCs w:val="24"/>
        </w:rPr>
      </w:pPr>
      <w:bookmarkStart w:id="4" w:name="Xdbeeb406bfedb8714f21364d8e1547133449f1f"/>
      <w:bookmarkStart w:id="5" w:name="_Toc236047527"/>
      <w:r w:rsidRPr="004A2F10">
        <w:rPr>
          <w:rFonts w:ascii="Arial" w:hAnsi="Arial" w:cs="Arial"/>
          <w:color w:val="000000" w:themeColor="text1"/>
          <w:sz w:val="24"/>
          <w:szCs w:val="24"/>
        </w:rPr>
        <w:lastRenderedPageBreak/>
        <w:t>Section 1: MNC Analysis and Market Entry Evaluation</w:t>
      </w:r>
      <w:bookmarkEnd w:id="4"/>
      <w:bookmarkEnd w:id="5"/>
    </w:p>
    <w:p w14:paraId="510799C6" w14:textId="77777777" w:rsidR="000D72DF" w:rsidRPr="004A2F10" w:rsidRDefault="00E218FF" w:rsidP="00E7579D">
      <w:pPr>
        <w:pStyle w:val="Heading2"/>
        <w:spacing w:before="0"/>
        <w:contextualSpacing/>
        <w:jc w:val="both"/>
        <w:rPr>
          <w:rFonts w:ascii="Arial" w:hAnsi="Arial" w:cs="Arial"/>
          <w:color w:val="000000" w:themeColor="text1"/>
          <w:sz w:val="24"/>
          <w:szCs w:val="24"/>
        </w:rPr>
      </w:pPr>
      <w:bookmarkStart w:id="6" w:name="introduction"/>
      <w:bookmarkStart w:id="7" w:name="_Toc236047528"/>
      <w:r w:rsidRPr="004A2F10">
        <w:rPr>
          <w:rFonts w:ascii="Arial" w:hAnsi="Arial" w:cs="Arial"/>
          <w:color w:val="000000" w:themeColor="text1"/>
          <w:sz w:val="24"/>
          <w:szCs w:val="24"/>
        </w:rPr>
        <w:t>1. Introduction</w:t>
      </w:r>
      <w:bookmarkEnd w:id="6"/>
      <w:bookmarkEnd w:id="7"/>
    </w:p>
    <w:p w14:paraId="3A0D7315" w14:textId="58B7D114" w:rsidR="00A34E83" w:rsidRPr="004A2F10" w:rsidRDefault="00A34E83" w:rsidP="00E7579D">
      <w:pPr>
        <w:pStyle w:val="FirstParagraph"/>
        <w:spacing w:before="0" w:after="0"/>
        <w:contextualSpacing/>
        <w:jc w:val="both"/>
        <w:rPr>
          <w:rFonts w:cs="Arial"/>
          <w:color w:val="000000" w:themeColor="text1"/>
        </w:rPr>
      </w:pPr>
      <w:r w:rsidRPr="004A2F10">
        <w:rPr>
          <w:rFonts w:cs="Arial"/>
          <w:color w:val="000000" w:themeColor="text1"/>
        </w:rPr>
        <w:t>Tesco PLC is a publicly listed multinational retailer based in the UK with the main business in the UK and Ireland, Central Europe (Czech Republic, Hungary, Slovakia) and the Booker wholesale division (Tesco PLC, 2026). Although Tesco has been buying garments from Bangladeshi factories for more than 20 years and helped establish the post-Rana Plaza Accord on Fire and Building Safety in Bangladesh (The Diplomat, 2023), the company does not have a retail store presence or a distributor relationship or a franchise arrangement in Bangladesh as of June 2026. This asymmetry, the longstanding sourcing relationship and the absence of retail market entry make it appropriate to consider Bangladesh as the target country: Tesco's relationship with Bangladesh is that of a buyer of manufactured goods, rather than a seller to Bangladeshi consumers, and retail presence is analytically different from its current sourcing footprint. This report categorises Tesco's strategy according to Bartlett and Ghoshal's typology, assesses the macro-environment in Bangladesh based on Dunning's eclectic (OLI) paradigm and compares the historical modes of entry of Tesco with the existing theory to suggest an appropriate mode.</w:t>
      </w:r>
    </w:p>
    <w:p w14:paraId="2CFE9574" w14:textId="77777777" w:rsidR="000D72DF" w:rsidRPr="004A2F10" w:rsidRDefault="00E218FF" w:rsidP="00E7579D">
      <w:pPr>
        <w:pStyle w:val="Heading2"/>
        <w:spacing w:before="0"/>
        <w:contextualSpacing/>
        <w:jc w:val="both"/>
        <w:rPr>
          <w:rFonts w:ascii="Arial" w:hAnsi="Arial" w:cs="Arial"/>
          <w:color w:val="000000" w:themeColor="text1"/>
          <w:sz w:val="24"/>
          <w:szCs w:val="24"/>
        </w:rPr>
      </w:pPr>
      <w:bookmarkStart w:id="8" w:name="Xed1723b0f8d514dacd7b699be4116cdd4fe6608"/>
      <w:bookmarkStart w:id="9" w:name="_Toc236047529"/>
      <w:r w:rsidRPr="004A2F10">
        <w:rPr>
          <w:rFonts w:ascii="Arial" w:hAnsi="Arial" w:cs="Arial"/>
          <w:color w:val="000000" w:themeColor="text1"/>
          <w:sz w:val="24"/>
          <w:szCs w:val="24"/>
        </w:rPr>
        <w:t>2. Organisational Classification and Global Strategy</w:t>
      </w:r>
      <w:bookmarkEnd w:id="8"/>
      <w:bookmarkEnd w:id="9"/>
    </w:p>
    <w:p w14:paraId="3DB84BD2" w14:textId="77777777" w:rsidR="000D72DF" w:rsidRPr="004A2F10" w:rsidRDefault="00E218FF" w:rsidP="00E7579D">
      <w:pPr>
        <w:pStyle w:val="Heading3"/>
        <w:spacing w:before="0"/>
        <w:contextualSpacing/>
        <w:jc w:val="both"/>
        <w:rPr>
          <w:rFonts w:ascii="Arial" w:hAnsi="Arial" w:cs="Arial"/>
          <w:color w:val="000000" w:themeColor="text1"/>
        </w:rPr>
      </w:pPr>
      <w:bookmarkStart w:id="10" w:name="X569a705cebeca15914420de390814e45d771435"/>
      <w:bookmarkStart w:id="11" w:name="_Toc236047530"/>
      <w:r w:rsidRPr="004A2F10">
        <w:rPr>
          <w:rFonts w:ascii="Arial" w:hAnsi="Arial" w:cs="Arial"/>
          <w:color w:val="000000" w:themeColor="text1"/>
        </w:rPr>
        <w:t>2.1 Strategic Categorisation Using the Bartlett and Ghoshal Framework</w:t>
      </w:r>
      <w:bookmarkEnd w:id="10"/>
      <w:bookmarkEnd w:id="11"/>
    </w:p>
    <w:p w14:paraId="1440147D" w14:textId="77777777" w:rsidR="005061CE" w:rsidRPr="004A2F10" w:rsidRDefault="005061CE" w:rsidP="00E7579D">
      <w:pPr>
        <w:pStyle w:val="FirstParagraph"/>
        <w:spacing w:before="0" w:after="0"/>
        <w:contextualSpacing/>
        <w:jc w:val="both"/>
        <w:rPr>
          <w:rFonts w:cs="Arial"/>
          <w:color w:val="000000" w:themeColor="text1"/>
        </w:rPr>
      </w:pPr>
      <w:r w:rsidRPr="004A2F10">
        <w:rPr>
          <w:rFonts w:cs="Arial"/>
          <w:color w:val="000000" w:themeColor="text1"/>
        </w:rPr>
        <w:t>According to Bartlett and Ghoshal (1989), there are four archetypes of multinational strategy: multinational, global, international and transnational, based on the two dimensions of pressure for global integration and pressure for local responsiveness.Bartlett and Ghoshal (1989) identified these four types of multinational strategy based on two pressures: pressure for global integration and pressure for local responsiveness (Collinson, Narula and Rugman, 2020; Daniels et al., 2022). Tesco is a more obvious example than many grocery multinationals, as it has been explicitly and repeatedly targeted to change its geographic focus from global to regional.</w:t>
      </w:r>
    </w:p>
    <w:p w14:paraId="4120F2E9" w14:textId="795EC64A" w:rsidR="005061CE" w:rsidRPr="004A2F10" w:rsidRDefault="005061CE" w:rsidP="00E7579D">
      <w:pPr>
        <w:pStyle w:val="FirstParagraph"/>
        <w:spacing w:before="0" w:after="0"/>
        <w:contextualSpacing/>
        <w:jc w:val="both"/>
        <w:rPr>
          <w:rFonts w:cs="Arial"/>
          <w:color w:val="000000" w:themeColor="text1"/>
        </w:rPr>
      </w:pPr>
      <w:r w:rsidRPr="004A2F10">
        <w:rPr>
          <w:rFonts w:cs="Arial"/>
          <w:color w:val="000000" w:themeColor="text1"/>
        </w:rPr>
        <w:t xml:space="preserve">The pressure on integration is medium: Tesco develops private labels centrally from the UK, has an integrated supply chain technology, loyalty data analytics (Clubcard) and buying scale </w:t>
      </w:r>
      <w:r w:rsidRPr="004A2F10">
        <w:rPr>
          <w:rFonts w:cs="Arial"/>
          <w:bCs/>
          <w:color w:val="000000" w:themeColor="text1"/>
        </w:rPr>
        <w:t>across its operations (its full geographic footprint and existing markets are set out in Section 2.2 below)</w:t>
      </w:r>
      <w:r w:rsidRPr="004A2F10">
        <w:rPr>
          <w:rFonts w:cs="Arial"/>
          <w:color w:val="000000" w:themeColor="text1"/>
        </w:rPr>
        <w:t xml:space="preserve"> (Tesco PLC, 2026). The pressure on responsiveness is </w:t>
      </w:r>
      <w:r w:rsidRPr="004A2F10">
        <w:rPr>
          <w:rFonts w:cs="Arial"/>
          <w:color w:val="000000" w:themeColor="text1"/>
        </w:rPr>
        <w:lastRenderedPageBreak/>
        <w:t>relatively high: food retailing is among the most locally sensitive categories in international business and therefore needs to be adapted to local tastes and competitive conditions, in line with the standardisation-adaptation literature that positions grocery categories at the adaptation end of the spectrum compared to globally standardised technology or luxury goods (Griffith, 2021; James, Inyang and Eze, 2024; Poulis, 2024). This positioning is summarised in Figure 1.</w:t>
      </w:r>
    </w:p>
    <w:p w14:paraId="7B41C07C" w14:textId="74BF617A" w:rsidR="0096384E" w:rsidRPr="004A2F10" w:rsidRDefault="00A324FB" w:rsidP="0017529D">
      <w:pPr>
        <w:pStyle w:val="FirstParagraph"/>
        <w:spacing w:before="0" w:after="0"/>
        <w:contextualSpacing/>
        <w:jc w:val="center"/>
        <w:rPr>
          <w:rFonts w:cs="Arial"/>
          <w:color w:val="000000" w:themeColor="text1"/>
        </w:rPr>
      </w:pPr>
      <w:r w:rsidRPr="004A2F10">
        <w:rPr>
          <w:rFonts w:cs="Arial"/>
          <w:noProof/>
          <w:color w:val="000000" w:themeColor="text1"/>
          <w:lang w:val="en-IN" w:eastAsia="en-IN"/>
        </w:rPr>
        <w:drawing>
          <wp:inline distT="0" distB="0" distL="0" distR="0" wp14:anchorId="160224E7" wp14:editId="5C42A4F3">
            <wp:extent cx="3397250" cy="3225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t="9213" r="43122" b="18781"/>
                    <a:stretch/>
                  </pic:blipFill>
                  <pic:spPr bwMode="auto">
                    <a:xfrm>
                      <a:off x="0" y="0"/>
                      <a:ext cx="3397250" cy="3225800"/>
                    </a:xfrm>
                    <a:prstGeom prst="rect">
                      <a:avLst/>
                    </a:prstGeom>
                    <a:ln>
                      <a:noFill/>
                    </a:ln>
                    <a:extLst>
                      <a:ext uri="{53640926-AAD7-44D8-BBD7-CCE9431645EC}">
                        <a14:shadowObscured xmlns:a14="http://schemas.microsoft.com/office/drawing/2010/main"/>
                      </a:ext>
                    </a:extLst>
                  </pic:spPr>
                </pic:pic>
              </a:graphicData>
            </a:graphic>
          </wp:inline>
        </w:drawing>
      </w:r>
    </w:p>
    <w:p w14:paraId="07086613" w14:textId="3C90DA9E" w:rsidR="000D72DF" w:rsidRPr="004A2F10" w:rsidRDefault="00D125EA" w:rsidP="007B29B9">
      <w:pPr>
        <w:pStyle w:val="BodyText"/>
        <w:spacing w:before="0" w:after="0"/>
        <w:contextualSpacing/>
        <w:jc w:val="center"/>
        <w:rPr>
          <w:rFonts w:cs="Arial"/>
          <w:b/>
          <w:i/>
          <w:iCs/>
          <w:color w:val="000000" w:themeColor="text1"/>
        </w:rPr>
      </w:pPr>
      <w:r w:rsidRPr="004A2F10">
        <w:rPr>
          <w:rFonts w:cs="Arial"/>
          <w:b/>
          <w:i/>
          <w:iCs/>
          <w:color w:val="000000" w:themeColor="text1"/>
        </w:rPr>
        <w:t>Figure 1: Bartlett and Ghoshal (1989) Classification Applied to Tesco</w:t>
      </w:r>
    </w:p>
    <w:p w14:paraId="18FEB095" w14:textId="68EE5927" w:rsidR="0017529D" w:rsidRPr="004A2F10" w:rsidRDefault="007B29B9" w:rsidP="007B29B9">
      <w:pPr>
        <w:pStyle w:val="BodyText"/>
        <w:spacing w:before="0" w:after="0"/>
        <w:contextualSpacing/>
        <w:jc w:val="center"/>
        <w:rPr>
          <w:rFonts w:cs="Arial"/>
          <w:i/>
          <w:iCs/>
          <w:color w:val="000000" w:themeColor="text1"/>
        </w:rPr>
      </w:pPr>
      <w:r w:rsidRPr="004A2F10">
        <w:rPr>
          <w:rFonts w:cs="Arial"/>
          <w:i/>
          <w:iCs/>
          <w:color w:val="000000" w:themeColor="text1"/>
        </w:rPr>
        <w:t>Source: (Tesco PLC, 2026)</w:t>
      </w:r>
    </w:p>
    <w:p w14:paraId="589ECA9B" w14:textId="1C0308B9" w:rsidR="006C4611" w:rsidRPr="004A2F10" w:rsidRDefault="006C4611" w:rsidP="00E7579D">
      <w:pPr>
        <w:pStyle w:val="BodyText"/>
        <w:spacing w:before="0" w:after="0"/>
        <w:contextualSpacing/>
        <w:jc w:val="both"/>
        <w:rPr>
          <w:rFonts w:cs="Arial"/>
          <w:color w:val="000000" w:themeColor="text1"/>
        </w:rPr>
      </w:pPr>
      <w:r w:rsidRPr="004A2F10">
        <w:rPr>
          <w:rFonts w:cs="Arial"/>
          <w:color w:val="000000" w:themeColor="text1"/>
        </w:rPr>
        <w:t>Overall, Tesco is more of a multi-domestic player with a definite direct control and quick exit from markets that do not generate a sufficient return or manageable risk. This is reflected in its adapted format strategy in the current markets and its history, as it has exited the United States (2013), Japan (2012), China (2020), Thailand and Malaysia (2020) and sold down its South Korea joint venture (2015) in each case due to failure to sustain competitive position locally and/or acceptable returns (Kar, Bansal and Mishra, 2021; Malay Mail, 2020). This is in stark contrast to a global strategy that is based on a single standardised format which is exported with minimal adaptation, and is an important factor in assessing how Tesco is likely to approach entry into any new, unfamiliar market</w:t>
      </w:r>
      <w:r w:rsidR="0049671C" w:rsidRPr="004A2F10">
        <w:rPr>
          <w:rFonts w:cs="Arial"/>
          <w:color w:val="000000" w:themeColor="text1"/>
        </w:rPr>
        <w:t>. T</w:t>
      </w:r>
      <w:r w:rsidRPr="004A2F10">
        <w:rPr>
          <w:rFonts w:cs="Arial"/>
          <w:color w:val="000000" w:themeColor="text1"/>
        </w:rPr>
        <w:t>he company's stated preference is for careful, reversible entry rather than for taking a bold first step (Griffin and Pustay, 2020).</w:t>
      </w:r>
    </w:p>
    <w:p w14:paraId="44097C15" w14:textId="77777777" w:rsidR="00F67313" w:rsidRPr="004A2F10" w:rsidRDefault="00F67313" w:rsidP="00E7579D">
      <w:pPr>
        <w:pStyle w:val="BodyText"/>
        <w:spacing w:before="0" w:after="0"/>
        <w:contextualSpacing/>
        <w:jc w:val="both"/>
        <w:rPr>
          <w:rFonts w:cs="Arial"/>
          <w:color w:val="000000" w:themeColor="text1"/>
        </w:rPr>
      </w:pPr>
    </w:p>
    <w:p w14:paraId="23F9D2A8" w14:textId="77777777" w:rsidR="000D72DF" w:rsidRPr="004A2F10" w:rsidRDefault="00E218FF" w:rsidP="00E7579D">
      <w:pPr>
        <w:pStyle w:val="Heading3"/>
        <w:spacing w:before="0"/>
        <w:contextualSpacing/>
        <w:jc w:val="both"/>
        <w:rPr>
          <w:rFonts w:ascii="Arial" w:hAnsi="Arial" w:cs="Arial"/>
          <w:color w:val="000000" w:themeColor="text1"/>
        </w:rPr>
      </w:pPr>
      <w:bookmarkStart w:id="12" w:name="X3ebcd8f97ebdc449686765c287ea2d2abcc1d86"/>
      <w:bookmarkStart w:id="13" w:name="_Toc236047531"/>
      <w:r w:rsidRPr="004A2F10">
        <w:rPr>
          <w:rFonts w:ascii="Arial" w:hAnsi="Arial" w:cs="Arial"/>
          <w:color w:val="000000" w:themeColor="text1"/>
        </w:rPr>
        <w:t>2.2 Global Configuration and Competitive Advantage</w:t>
      </w:r>
      <w:bookmarkEnd w:id="12"/>
      <w:bookmarkEnd w:id="13"/>
    </w:p>
    <w:p w14:paraId="78794A39" w14:textId="77777777" w:rsidR="00C8523D" w:rsidRPr="004A2F10" w:rsidRDefault="00C8523D" w:rsidP="00E7579D">
      <w:pPr>
        <w:pStyle w:val="FirstParagraph"/>
        <w:spacing w:before="0" w:after="0"/>
        <w:contextualSpacing/>
        <w:jc w:val="both"/>
        <w:rPr>
          <w:rFonts w:cs="Arial"/>
          <w:color w:val="000000" w:themeColor="text1"/>
        </w:rPr>
      </w:pPr>
      <w:r w:rsidRPr="004A2F10">
        <w:rPr>
          <w:rFonts w:cs="Arial"/>
          <w:bCs/>
          <w:color w:val="000000" w:themeColor="text1"/>
        </w:rPr>
        <w:t>Tesco's geographic footprint, its existing markets, how it operates within them, and how this creates value and competitive advantage, is set out below.</w:t>
      </w:r>
      <w:r w:rsidRPr="004A2F10">
        <w:rPr>
          <w:rFonts w:cs="Arial"/>
          <w:b/>
          <w:color w:val="000000" w:themeColor="text1"/>
        </w:rPr>
        <w:t xml:space="preserve"> </w:t>
      </w:r>
      <w:r w:rsidRPr="004A2F10">
        <w:rPr>
          <w:rFonts w:cs="Arial"/>
          <w:color w:val="000000" w:themeColor="text1"/>
        </w:rPr>
        <w:t>The current structure is designed to be smaller than the one it had at its peak: a core UK and Ireland grocery/gen.merch. business, a Central European regional network of more than 560 stores in three culturally and economically similar markets, and the food-service and cash-and-carry Booker wholesale division acquired in 2018, which did not involve Tesco entering new countries at all (Tesco PLC, 2026; Economics Online, 2024).</w:t>
      </w:r>
      <w:r w:rsidRPr="004A2F10">
        <w:rPr>
          <w:rFonts w:cs="Arial"/>
          <w:b/>
          <w:color w:val="000000" w:themeColor="text1"/>
        </w:rPr>
        <w:t xml:space="preserve"> </w:t>
      </w:r>
      <w:r w:rsidRPr="004A2F10">
        <w:rPr>
          <w:rFonts w:cs="Arial"/>
          <w:bCs/>
          <w:color w:val="000000" w:themeColor="text1"/>
        </w:rPr>
        <w:t xml:space="preserve">In each Central European market, Tesco has adapted its private label ranges and store formats to suit local shopper preferences rather than introducing a single UK format unchanged (Retail Analysis IGD, 2024). </w:t>
      </w:r>
      <w:r w:rsidRPr="004A2F10">
        <w:rPr>
          <w:rFonts w:cs="Arial"/>
          <w:color w:val="000000" w:themeColor="text1"/>
        </w:rPr>
        <w:t>This configuration is a logic of the value chain as the buying, private label manufacturing contracts and supply chain technology are kept and shared centrally, and stores operate, range curation and supplier relations are done at country level, which fits with the multi-domestic classification above.</w:t>
      </w:r>
    </w:p>
    <w:p w14:paraId="137C2BA0" w14:textId="60216869" w:rsidR="00C8523D" w:rsidRPr="004A2F10" w:rsidRDefault="00C8523D" w:rsidP="00E7579D">
      <w:pPr>
        <w:pStyle w:val="FirstParagraph"/>
        <w:spacing w:before="0" w:after="0"/>
        <w:contextualSpacing/>
        <w:jc w:val="both"/>
        <w:rPr>
          <w:rFonts w:cs="Arial"/>
          <w:color w:val="000000" w:themeColor="text1"/>
        </w:rPr>
      </w:pPr>
      <w:r w:rsidRPr="004A2F10">
        <w:rPr>
          <w:rFonts w:cs="Arial"/>
          <w:color w:val="000000" w:themeColor="text1"/>
        </w:rPr>
        <w:t>This arrangement creates competitive advantage in two ways that are relevant to a decision to enter Bangladesh. First, private-label and buying-scale benefits enable Tesco to offer competitive prices and quality assurance, which can be replicated in a new market by implementing management systems and supplier connections, not the physical assets that would be required for a slow organic expansion. Second, the retailer has not had a relationship with Bangladesh that would qualify as a retail relationship, but rather has had 20 years of experience with the ready-made garment (RMG) sector in Bangladesh, which would provide the retailer with location-specific knowledge that a retailer without a prior relationship in Bangladesh would not have, consistent with the finding that firm-specific relational advantages, not only asset ownership, allow for deeper international market embeddedness (Fraccastoro, Gabrielsson and Chetty, 2021). Tesco's risk is not asset concentration but organisational caution; after exiting the North East Asian market during the 2010s and the South East Asian market during 2020, Tesco is burdened with reputational caution about renewed expansion into Asia that it will have to overcome (Yahoo Finance, 2026; Kar, Bansal and Mishra, 2021).</w:t>
      </w:r>
    </w:p>
    <w:p w14:paraId="521AC39D" w14:textId="1673BD76" w:rsidR="0045638F" w:rsidRPr="004A2F10" w:rsidRDefault="0045638F" w:rsidP="00E7579D">
      <w:pPr>
        <w:pStyle w:val="BodyText"/>
        <w:spacing w:before="0"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71380831" wp14:editId="71F092AD">
            <wp:extent cx="5972810" cy="35115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3" cstate="print">
                      <a:extLst>
                        <a:ext uri="{28A0092B-C50C-407E-A947-70E740481C1C}">
                          <a14:useLocalDpi xmlns:a14="http://schemas.microsoft.com/office/drawing/2010/main" val="0"/>
                        </a:ext>
                      </a:extLst>
                    </a:blip>
                    <a:srcRect t="8930" b="2886"/>
                    <a:stretch/>
                  </pic:blipFill>
                  <pic:spPr bwMode="auto">
                    <a:xfrm>
                      <a:off x="0" y="0"/>
                      <a:ext cx="5972810" cy="3511550"/>
                    </a:xfrm>
                    <a:prstGeom prst="rect">
                      <a:avLst/>
                    </a:prstGeom>
                    <a:ln>
                      <a:noFill/>
                    </a:ln>
                    <a:extLst>
                      <a:ext uri="{53640926-AAD7-44D8-BBD7-CCE9431645EC}">
                        <a14:shadowObscured xmlns:a14="http://schemas.microsoft.com/office/drawing/2010/main"/>
                      </a:ext>
                    </a:extLst>
                  </pic:spPr>
                </pic:pic>
              </a:graphicData>
            </a:graphic>
          </wp:inline>
        </w:drawing>
      </w:r>
    </w:p>
    <w:p w14:paraId="6DAF8DCC" w14:textId="004FE96C" w:rsidR="00C8523D" w:rsidRPr="004A2F10" w:rsidRDefault="0045638F" w:rsidP="00DA3408">
      <w:pPr>
        <w:pStyle w:val="BodyText"/>
        <w:spacing w:before="0" w:after="0"/>
        <w:contextualSpacing/>
        <w:jc w:val="center"/>
        <w:rPr>
          <w:rFonts w:cs="Arial"/>
          <w:b/>
          <w:bCs/>
          <w:i/>
          <w:iCs/>
          <w:color w:val="000000" w:themeColor="text1"/>
        </w:rPr>
      </w:pPr>
      <w:r w:rsidRPr="004A2F10">
        <w:rPr>
          <w:rFonts w:cs="Arial"/>
          <w:b/>
          <w:bCs/>
          <w:i/>
          <w:iCs/>
          <w:color w:val="000000" w:themeColor="text1"/>
        </w:rPr>
        <w:t>Figure 2: Tesco Global Value Chain.</w:t>
      </w:r>
    </w:p>
    <w:p w14:paraId="3D9ECD34" w14:textId="5A41656B" w:rsidR="007B29B9" w:rsidRPr="004A2F10" w:rsidRDefault="007B29B9" w:rsidP="00DA3408">
      <w:pPr>
        <w:pStyle w:val="BodyText"/>
        <w:spacing w:before="0" w:after="0"/>
        <w:contextualSpacing/>
        <w:jc w:val="center"/>
        <w:rPr>
          <w:rFonts w:cs="Arial"/>
          <w:i/>
          <w:iCs/>
          <w:color w:val="000000" w:themeColor="text1"/>
        </w:rPr>
      </w:pPr>
      <w:r w:rsidRPr="004A2F10">
        <w:rPr>
          <w:rFonts w:cs="Arial"/>
          <w:i/>
          <w:iCs/>
          <w:color w:val="000000" w:themeColor="text1"/>
        </w:rPr>
        <w:t>Source: (Tesco PLC, 2026).</w:t>
      </w:r>
    </w:p>
    <w:p w14:paraId="472A8524" w14:textId="77777777" w:rsidR="000D72DF" w:rsidRPr="004A2F10" w:rsidRDefault="00E218FF" w:rsidP="00E7579D">
      <w:pPr>
        <w:pStyle w:val="Heading2"/>
        <w:spacing w:before="0"/>
        <w:contextualSpacing/>
        <w:jc w:val="both"/>
        <w:rPr>
          <w:rFonts w:ascii="Arial" w:hAnsi="Arial" w:cs="Arial"/>
          <w:color w:val="000000" w:themeColor="text1"/>
          <w:sz w:val="24"/>
          <w:szCs w:val="24"/>
        </w:rPr>
      </w:pPr>
      <w:bookmarkStart w:id="14" w:name="X2ffc258749f2395d3a2ca891e5aa2513a8efeaf"/>
      <w:bookmarkStart w:id="15" w:name="_Toc236047532"/>
      <w:r w:rsidRPr="004A2F10">
        <w:rPr>
          <w:rFonts w:ascii="Arial" w:hAnsi="Arial" w:cs="Arial"/>
          <w:color w:val="000000" w:themeColor="text1"/>
          <w:sz w:val="24"/>
          <w:szCs w:val="24"/>
        </w:rPr>
        <w:t>3. Macro-Environmental Appraisal and Market Attractiveness</w:t>
      </w:r>
      <w:bookmarkEnd w:id="14"/>
      <w:bookmarkEnd w:id="15"/>
    </w:p>
    <w:p w14:paraId="784850B0" w14:textId="213D1B08" w:rsidR="005C5711" w:rsidRPr="004A2F10" w:rsidRDefault="005C5711" w:rsidP="00E7579D">
      <w:pPr>
        <w:pStyle w:val="BodyText"/>
        <w:spacing w:before="0" w:after="0"/>
        <w:contextualSpacing/>
        <w:jc w:val="both"/>
        <w:rPr>
          <w:rFonts w:cs="Arial"/>
          <w:color w:val="000000" w:themeColor="text1"/>
        </w:rPr>
      </w:pPr>
      <w:r w:rsidRPr="004A2F10">
        <w:rPr>
          <w:rFonts w:cs="Arial"/>
          <w:color w:val="000000" w:themeColor="text1"/>
        </w:rPr>
        <w:t>To make a retail entry decision in Bangladesh, rather than repeating a country profile, the environmental factors most relevant to such a move are considered. The analysis is organised around the political, economic, legal and cultural aspects that are most relevant to an organised grocery and general merchandise retailer.</w:t>
      </w:r>
    </w:p>
    <w:p w14:paraId="259DBBC9" w14:textId="77777777" w:rsidR="000D72DF" w:rsidRPr="004A2F10" w:rsidRDefault="00E218FF" w:rsidP="00E7579D">
      <w:pPr>
        <w:pStyle w:val="Heading3"/>
        <w:spacing w:before="0"/>
        <w:contextualSpacing/>
        <w:jc w:val="both"/>
        <w:rPr>
          <w:rFonts w:ascii="Arial" w:hAnsi="Arial" w:cs="Arial"/>
          <w:color w:val="000000" w:themeColor="text1"/>
        </w:rPr>
      </w:pPr>
      <w:bookmarkStart w:id="16" w:name="political-environment"/>
      <w:bookmarkStart w:id="17" w:name="_Toc236047533"/>
      <w:r w:rsidRPr="004A2F10">
        <w:rPr>
          <w:rFonts w:ascii="Arial" w:hAnsi="Arial" w:cs="Arial"/>
          <w:color w:val="000000" w:themeColor="text1"/>
        </w:rPr>
        <w:t>3.1 Political Environment</w:t>
      </w:r>
      <w:bookmarkEnd w:id="16"/>
      <w:bookmarkEnd w:id="17"/>
    </w:p>
    <w:p w14:paraId="3D99F857" w14:textId="5BF236E7" w:rsidR="0053199B" w:rsidRPr="004A2F10" w:rsidRDefault="0053199B" w:rsidP="00E7579D">
      <w:pPr>
        <w:pStyle w:val="FirstParagraph"/>
        <w:spacing w:before="0" w:after="0"/>
        <w:contextualSpacing/>
        <w:jc w:val="both"/>
        <w:rPr>
          <w:rFonts w:cs="Arial"/>
          <w:color w:val="000000" w:themeColor="text1"/>
        </w:rPr>
      </w:pPr>
      <w:r w:rsidRPr="004A2F10">
        <w:rPr>
          <w:rFonts w:cs="Arial"/>
          <w:color w:val="000000" w:themeColor="text1"/>
        </w:rPr>
        <w:t xml:space="preserve">The most important obstacle to retail FDI in Bangladesh is currently the political climate. The August 2024 mass uprising led to the resignation of long serving Prime Minister Sheikh Hasina and an interim government headed by Nobel laureate Muhammad Yunus has ruled the country since then, with national elections set for February 2026 (Atlantic Council, 2025). This shift has been a real destabilising one, not just a procedural one: incidents of mob violence, disputed police authority and a growing power struggle between the armed forces and the interim administration have been reported over the last few years, while diplomatic relations with Bangladesh's key trade and logistics partner, India, have deteriorated since mid-2024 (Al Jazeera, 2025; GIS Reports, 2026), in line with Bangladesh's high country-risk rating in independent country risk </w:t>
      </w:r>
      <w:r w:rsidRPr="004A2F10">
        <w:rPr>
          <w:rFonts w:cs="Arial"/>
          <w:color w:val="000000" w:themeColor="text1"/>
        </w:rPr>
        <w:lastRenderedPageBreak/>
        <w:t>assessments (Coface, 2024). Academic interpretation of the crisis highlights three interacting causes which are unlikely to be solved in the near future after the planned election: lack of democratic consolidation, politicisation of religion and external powers (Behera, 2025). The impact on foreign investors is tangible and is significant: net FDI inflows have dropped from estimated USD 2.2 billion in 2024 to USD 1.5 billion in 2025, and the quarterly inflows have been trending downwards since early 2026 (Bangladesh Pratidin, 2026; Daily Sun, 2025). Finally, while it is a reason for caution for a retailer like Tesco, who has historically tended to withdraw rather than persevere with the uncertainty on the ground (Section 2.1), this is not the reason to exclude indefinitely; the interim government's declared aim is to restore investor confidence before returning to elected government (World Governments Summit, 2025), and the cross-country evidence on political stability and FDI in the wider Asia-Pacific region suggests such effects are often cyclical rather than permanent once trade openness is maintained (World Economic Forum, 2024).</w:t>
      </w:r>
    </w:p>
    <w:p w14:paraId="5A334398" w14:textId="77777777" w:rsidR="000D72DF" w:rsidRPr="004A2F10" w:rsidRDefault="00E218FF" w:rsidP="00E7579D">
      <w:pPr>
        <w:pStyle w:val="Heading3"/>
        <w:spacing w:before="0"/>
        <w:contextualSpacing/>
        <w:jc w:val="both"/>
        <w:rPr>
          <w:rFonts w:ascii="Arial" w:hAnsi="Arial" w:cs="Arial"/>
          <w:color w:val="000000" w:themeColor="text1"/>
        </w:rPr>
      </w:pPr>
      <w:bookmarkStart w:id="18" w:name="economic-environment"/>
      <w:bookmarkStart w:id="19" w:name="_Toc236047534"/>
      <w:r w:rsidRPr="004A2F10">
        <w:rPr>
          <w:rFonts w:ascii="Arial" w:hAnsi="Arial" w:cs="Arial"/>
          <w:color w:val="000000" w:themeColor="text1"/>
        </w:rPr>
        <w:t>3.2 Economic Environment</w:t>
      </w:r>
      <w:bookmarkEnd w:id="18"/>
      <w:bookmarkEnd w:id="19"/>
    </w:p>
    <w:p w14:paraId="4828F0C2" w14:textId="28F735C3" w:rsidR="00F21CF9" w:rsidRPr="004A2F10" w:rsidRDefault="00F21CF9" w:rsidP="00E7579D">
      <w:pPr>
        <w:pStyle w:val="BodyText"/>
        <w:spacing w:before="0" w:after="0"/>
        <w:contextualSpacing/>
        <w:jc w:val="both"/>
        <w:rPr>
          <w:rFonts w:cs="Arial"/>
          <w:color w:val="000000" w:themeColor="text1"/>
        </w:rPr>
      </w:pPr>
      <w:r w:rsidRPr="004A2F10">
        <w:rPr>
          <w:rFonts w:cs="Arial"/>
          <w:color w:val="000000" w:themeColor="text1"/>
        </w:rPr>
        <w:t>Bangladesh's economic growth has been significantly lowered from the pre-crisis trend, contracting to 3.7 per cent in FY2025 from 5.8 per cent in FY2023, and projected to reach a low of 4.9 per cent in FY2026 by the IMF in the face of ongoing fiscal and financial-sector fragilities (IMF, 2026; World Bank, 2026). Figure 3 shows the dramatic drop in net FDI inflows during the same time period, a key factor for Tesco's caution.</w:t>
      </w:r>
    </w:p>
    <w:p w14:paraId="03828682" w14:textId="77777777" w:rsidR="000D72DF" w:rsidRPr="004A2F10" w:rsidRDefault="00E218FF" w:rsidP="00E7579D">
      <w:pPr>
        <w:pStyle w:val="CaptionedFigure"/>
        <w:spacing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77C1A929" wp14:editId="16993253">
            <wp:extent cx="5332913" cy="2831465"/>
            <wp:effectExtent l="0" t="0" r="1270" b="6985"/>
            <wp:docPr id="1" name="Picture" descr="Bangladesh FDI Inflows"/>
            <wp:cNvGraphicFramePr/>
            <a:graphic xmlns:a="http://schemas.openxmlformats.org/drawingml/2006/main">
              <a:graphicData uri="http://schemas.openxmlformats.org/drawingml/2006/picture">
                <pic:pic xmlns:pic="http://schemas.openxmlformats.org/drawingml/2006/picture">
                  <pic:nvPicPr>
                    <pic:cNvPr id="0" name="Picture" descr="fig1_bangladesh_fdi.png"/>
                    <pic:cNvPicPr>
                      <a:picLocks noChangeAspect="1" noChangeArrowheads="1"/>
                    </pic:cNvPicPr>
                  </pic:nvPicPr>
                  <pic:blipFill rotWithShape="1">
                    <a:blip r:embed="rId14"/>
                    <a:srcRect t="8982"/>
                    <a:stretch/>
                  </pic:blipFill>
                  <pic:spPr bwMode="auto">
                    <a:xfrm>
                      <a:off x="0" y="0"/>
                      <a:ext cx="5334000" cy="2832042"/>
                    </a:xfrm>
                    <a:prstGeom prst="rect">
                      <a:avLst/>
                    </a:prstGeom>
                    <a:noFill/>
                    <a:ln>
                      <a:noFill/>
                    </a:ln>
                    <a:extLst>
                      <a:ext uri="{53640926-AAD7-44D8-BBD7-CCE9431645EC}">
                        <a14:shadowObscured xmlns:a14="http://schemas.microsoft.com/office/drawing/2010/main"/>
                      </a:ext>
                    </a:extLst>
                  </pic:spPr>
                </pic:pic>
              </a:graphicData>
            </a:graphic>
          </wp:inline>
        </w:drawing>
      </w:r>
    </w:p>
    <w:p w14:paraId="58603C7A" w14:textId="6CF0C76D" w:rsidR="00C81FAA" w:rsidRPr="004A2F10" w:rsidRDefault="00C81FAA" w:rsidP="00783959">
      <w:pPr>
        <w:pStyle w:val="BodyText"/>
        <w:spacing w:before="0" w:after="0"/>
        <w:contextualSpacing/>
        <w:jc w:val="center"/>
        <w:rPr>
          <w:rFonts w:cs="Arial"/>
          <w:i/>
          <w:iCs/>
          <w:color w:val="000000" w:themeColor="text1"/>
        </w:rPr>
      </w:pPr>
      <w:r w:rsidRPr="004A2F10">
        <w:rPr>
          <w:rFonts w:cs="Arial"/>
          <w:b/>
          <w:i/>
          <w:iCs/>
          <w:color w:val="000000" w:themeColor="text1"/>
        </w:rPr>
        <w:t>Figure 3: Bangladesh Net FDI Inflows, 2021 to 2025 (USD billion)</w:t>
      </w:r>
    </w:p>
    <w:p w14:paraId="54C53AAF" w14:textId="4D3CCDCA" w:rsidR="000D72DF" w:rsidRPr="004A2F10" w:rsidRDefault="00E218FF" w:rsidP="00783959">
      <w:pPr>
        <w:pStyle w:val="BodyText"/>
        <w:spacing w:before="0" w:after="0"/>
        <w:contextualSpacing/>
        <w:jc w:val="center"/>
        <w:rPr>
          <w:rFonts w:cs="Arial"/>
          <w:i/>
          <w:iCs/>
          <w:color w:val="000000" w:themeColor="text1"/>
        </w:rPr>
      </w:pPr>
      <w:r w:rsidRPr="004A2F10">
        <w:rPr>
          <w:rFonts w:cs="Arial"/>
          <w:i/>
          <w:iCs/>
          <w:color w:val="000000" w:themeColor="text1"/>
        </w:rPr>
        <w:t xml:space="preserve">Source: Daily Sun (2025) and Bangladesh Pratidin (2026) reporting </w:t>
      </w:r>
      <w:r w:rsidRPr="004A2F10">
        <w:rPr>
          <w:rFonts w:cs="Arial"/>
          <w:i/>
          <w:iCs/>
          <w:color w:val="000000" w:themeColor="text1"/>
        </w:rPr>
        <w:t>on Bangladesh Bank data.</w:t>
      </w:r>
    </w:p>
    <w:p w14:paraId="1394340F" w14:textId="090B2AE2" w:rsidR="00867E6D" w:rsidRPr="004A2F10" w:rsidRDefault="00867E6D" w:rsidP="00E7579D">
      <w:pPr>
        <w:pStyle w:val="BodyText"/>
        <w:spacing w:before="0" w:after="0"/>
        <w:contextualSpacing/>
        <w:jc w:val="both"/>
        <w:rPr>
          <w:rFonts w:cs="Arial"/>
          <w:color w:val="000000" w:themeColor="text1"/>
        </w:rPr>
      </w:pPr>
      <w:r w:rsidRPr="004A2F10">
        <w:rPr>
          <w:rFonts w:cs="Arial"/>
          <w:color w:val="000000" w:themeColor="text1"/>
        </w:rPr>
        <w:t>The macroeconomic caution is juxtaposed by an expanding opportunity for organised retail, which is now increasingly moving from manufacturing to services as noted in the latest World Investment Report by UNCTAD, of which the latest report notes a more general shift in FDI towards services in south Asia as a whole, from a low base (UNCTAD, 2025). The number of stores in the supermarket chain is now over 1,500, up from around 750 the previous year, and the estimated turnover of the supermarket chain has increased by 33 per cent to USD 800 million per year in 2025 (The Daily Star, 2026a; Statista, 2026). The retail market in Bangladesh is expected to grow at a compound annual rate of 7.3 to 8.4 per cent by 2031 as consumers are moving from traditional bazaars to organised outlets. This fast outlet expansion is shown in figure 4.</w:t>
      </w:r>
    </w:p>
    <w:p w14:paraId="3D8B5B52" w14:textId="77777777" w:rsidR="000D72DF" w:rsidRPr="004A2F10" w:rsidRDefault="00E218FF" w:rsidP="00E7579D">
      <w:pPr>
        <w:pStyle w:val="CaptionedFigure"/>
        <w:spacing w:after="0"/>
        <w:contextualSpacing/>
        <w:jc w:val="both"/>
        <w:rPr>
          <w:rFonts w:cs="Arial"/>
          <w:color w:val="000000" w:themeColor="text1"/>
        </w:rPr>
      </w:pPr>
      <w:r w:rsidRPr="004A2F10">
        <w:rPr>
          <w:rFonts w:cs="Arial"/>
          <w:noProof/>
          <w:color w:val="000000" w:themeColor="text1"/>
          <w:lang w:val="en-IN" w:eastAsia="en-IN"/>
        </w:rPr>
        <w:lastRenderedPageBreak/>
        <w:drawing>
          <wp:inline distT="0" distB="0" distL="0" distR="0" wp14:anchorId="5EE003A4" wp14:editId="419BBA62">
            <wp:extent cx="5332913" cy="2863215"/>
            <wp:effectExtent l="0" t="0" r="1270" b="0"/>
            <wp:docPr id="2" name="Picture" descr="Bangladesh Retail Outlets"/>
            <wp:cNvGraphicFramePr/>
            <a:graphic xmlns:a="http://schemas.openxmlformats.org/drawingml/2006/main">
              <a:graphicData uri="http://schemas.openxmlformats.org/drawingml/2006/picture">
                <pic:pic xmlns:pic="http://schemas.openxmlformats.org/drawingml/2006/picture">
                  <pic:nvPicPr>
                    <pic:cNvPr id="0" name="Picture" descr="fig2_bangladesh_retail.png"/>
                    <pic:cNvPicPr>
                      <a:picLocks noChangeAspect="1" noChangeArrowheads="1"/>
                    </pic:cNvPicPr>
                  </pic:nvPicPr>
                  <pic:blipFill rotWithShape="1">
                    <a:blip r:embed="rId15"/>
                    <a:srcRect t="7961"/>
                    <a:stretch/>
                  </pic:blipFill>
                  <pic:spPr bwMode="auto">
                    <a:xfrm>
                      <a:off x="0" y="0"/>
                      <a:ext cx="5334000" cy="2863799"/>
                    </a:xfrm>
                    <a:prstGeom prst="rect">
                      <a:avLst/>
                    </a:prstGeom>
                    <a:noFill/>
                    <a:ln>
                      <a:noFill/>
                    </a:ln>
                    <a:extLst>
                      <a:ext uri="{53640926-AAD7-44D8-BBD7-CCE9431645EC}">
                        <a14:shadowObscured xmlns:a14="http://schemas.microsoft.com/office/drawing/2010/main"/>
                      </a:ext>
                    </a:extLst>
                  </pic:spPr>
                </pic:pic>
              </a:graphicData>
            </a:graphic>
          </wp:inline>
        </w:drawing>
      </w:r>
    </w:p>
    <w:p w14:paraId="2C40F686" w14:textId="13A812D0" w:rsidR="00D0707B" w:rsidRPr="004A2F10" w:rsidRDefault="00D0707B" w:rsidP="00783959">
      <w:pPr>
        <w:pStyle w:val="BodyText"/>
        <w:spacing w:before="0" w:after="0"/>
        <w:contextualSpacing/>
        <w:jc w:val="center"/>
        <w:rPr>
          <w:rFonts w:cs="Arial"/>
          <w:i/>
          <w:iCs/>
          <w:color w:val="000000" w:themeColor="text1"/>
        </w:rPr>
      </w:pPr>
      <w:r w:rsidRPr="004A2F10">
        <w:rPr>
          <w:rFonts w:cs="Arial"/>
          <w:b/>
          <w:i/>
          <w:iCs/>
          <w:color w:val="000000" w:themeColor="text1"/>
        </w:rPr>
        <w:t>Figure 4: Bangladesh Supermarket Chain Outlets, 2024 to 2025</w:t>
      </w:r>
    </w:p>
    <w:p w14:paraId="4637D180" w14:textId="1283A7CD" w:rsidR="000D72DF" w:rsidRPr="004A2F10" w:rsidRDefault="00E218FF" w:rsidP="00783959">
      <w:pPr>
        <w:pStyle w:val="BodyText"/>
        <w:spacing w:before="0" w:after="0"/>
        <w:contextualSpacing/>
        <w:jc w:val="center"/>
        <w:rPr>
          <w:rFonts w:cs="Arial"/>
          <w:i/>
          <w:iCs/>
          <w:color w:val="000000" w:themeColor="text1"/>
        </w:rPr>
      </w:pPr>
      <w:r w:rsidRPr="004A2F10">
        <w:rPr>
          <w:rFonts w:cs="Arial"/>
          <w:i/>
          <w:iCs/>
          <w:color w:val="000000" w:themeColor="text1"/>
        </w:rPr>
        <w:t>Source: The Daily Star (2026a) reporting.</w:t>
      </w:r>
    </w:p>
    <w:p w14:paraId="0DA8894B" w14:textId="40703508" w:rsidR="009B73DE" w:rsidRPr="004A2F10" w:rsidRDefault="009B73DE" w:rsidP="00E7579D">
      <w:pPr>
        <w:pStyle w:val="BodyText"/>
        <w:spacing w:before="0" w:after="0"/>
        <w:contextualSpacing/>
        <w:jc w:val="both"/>
        <w:rPr>
          <w:rFonts w:cs="Arial"/>
          <w:color w:val="000000" w:themeColor="text1"/>
        </w:rPr>
      </w:pPr>
      <w:r w:rsidRPr="004A2F10">
        <w:rPr>
          <w:rFonts w:cs="Arial"/>
          <w:color w:val="000000" w:themeColor="text1"/>
        </w:rPr>
        <w:t>This is a truly unique mix: a macro-political environment that is currently in decline, and at the same time a consumer retail market that is accelerating off a low base of organised penetration and growing incomes and GDP per capita (now around USD 2,911) suggesting long-term opportunity, but temporarily masked by short-term political risk (Worldometer, 2026). The market is not yet saturated; local chain Shwapno has an estimated 53 per cent modern retail market share with more than 900 outlets, while Agora and Meena Bazar have fewer than twenty outlets each, meaning that organised retail is yet to be fully saturated in comparison to the population of over 170 million Bangladeshis (Business Inspection BD, 2025). This fragmented competitive set and the lack of a large number of well capitalised domestic conglomerates to enter the market (at least at present: PRAN-RFL Group, Akij Group, Meghna Group) makes it clear that the immediate competitive challenge for a new entrant is not a dominant incumbent but a rapidly consolidating group of local players keen to beat them, making it better to come in with a local partner.</w:t>
      </w:r>
    </w:p>
    <w:p w14:paraId="7B664F49" w14:textId="77777777" w:rsidR="000D72DF" w:rsidRPr="004A2F10" w:rsidRDefault="00E218FF" w:rsidP="00E7579D">
      <w:pPr>
        <w:pStyle w:val="Heading3"/>
        <w:spacing w:before="0"/>
        <w:contextualSpacing/>
        <w:jc w:val="both"/>
        <w:rPr>
          <w:rFonts w:ascii="Arial" w:hAnsi="Arial" w:cs="Arial"/>
          <w:color w:val="000000" w:themeColor="text1"/>
        </w:rPr>
      </w:pPr>
      <w:bookmarkStart w:id="20" w:name="legal-and-regulatory-environment"/>
      <w:bookmarkStart w:id="21" w:name="_Toc236047535"/>
      <w:r w:rsidRPr="004A2F10">
        <w:rPr>
          <w:rFonts w:ascii="Arial" w:hAnsi="Arial" w:cs="Arial"/>
          <w:color w:val="000000" w:themeColor="text1"/>
        </w:rPr>
        <w:t>3.3 Legal and Regulatory Environment</w:t>
      </w:r>
      <w:bookmarkEnd w:id="20"/>
      <w:bookmarkEnd w:id="21"/>
    </w:p>
    <w:p w14:paraId="1EFC9B42" w14:textId="4D11B272" w:rsidR="000D72DF" w:rsidRPr="004A2F10" w:rsidRDefault="009B73DE" w:rsidP="00E7579D">
      <w:pPr>
        <w:pStyle w:val="FirstParagraph"/>
        <w:spacing w:before="0" w:after="0"/>
        <w:contextualSpacing/>
        <w:jc w:val="both"/>
        <w:rPr>
          <w:rFonts w:cs="Arial"/>
          <w:color w:val="000000" w:themeColor="text1"/>
        </w:rPr>
      </w:pPr>
      <w:r w:rsidRPr="004A2F10">
        <w:rPr>
          <w:rFonts w:cs="Arial"/>
          <w:color w:val="000000" w:themeColor="text1"/>
        </w:rPr>
        <w:t xml:space="preserve">On paper, Bangladesh has a relatively liberal FDI policy: 100 per cent foreign ownership is allowed in most sectors, and the sectors that are reserved for state ownership, such as arms production or printing currency, are limited to a few (Tahmidur Rahman Remura </w:t>
      </w:r>
      <w:r w:rsidRPr="004A2F10">
        <w:rPr>
          <w:rFonts w:cs="Arial"/>
          <w:color w:val="000000" w:themeColor="text1"/>
        </w:rPr>
        <w:lastRenderedPageBreak/>
        <w:t>Wahid, 2026); and, Bangladesh's formal regulatory restrictiveness is comparatively low, and lower than a number of regional countries (OECD, 2025). This is more liberal than several comparators in the region, which require multi-brand retail companies to have a local joint-venture partner with a stake in the business; in addition, it is in line with Bangladesh's WTO trade liberalisation commitments (WTO, 2024) and, as such, would not, in principle, require Tesco to have a mandatory local joint venture partner to hold equity, as it does in India, where it has chosen to form a joint venture with the local business Trent Hypermarket of the Tata group (Kar, Bansal and Mishra, 2021). However, in practice, discretionary risks, discriminatory treatment of foreign entities, delays in contract enforcement, and the potential for abrupt policy shifts by an interim administration are material in countries with a liberal formal statutory regime (U.S. Department of State, 2025b). The ready-made garment sector in Bangladesh, from which Tesco already buys ready-made garments, has improved significantly since Rana Plaza, having the multi-brand Accord mechanism that Tesco helped establish (The Diplomat, 2023) and existing legal and audit relationships in-country that a genuinely new entrant would not have. This distinction is important because many of the discretionary risks outlined in the U.S. investment climate statement relate to contract enforcement and administrative approvals for new market entrants specifically, where Tesco's legal relationship with suppliers, rather than retail, at least provides a point of contact in the regulatory and judicial system in Bangladesh. The legal landscape is permissive, with a middling but improving rating on the independent economic freedom indexes from the Heritage Foundation (2025), but the implementation is discretionary, transitional era risk that justifies a cautious initial legal structure, like a wholly owned subsidiary rather than a large and irreversible capital commitment.</w:t>
      </w:r>
    </w:p>
    <w:p w14:paraId="5BDCF0A4" w14:textId="77777777" w:rsidR="000D72DF" w:rsidRPr="004A2F10" w:rsidRDefault="00E218FF" w:rsidP="00E7579D">
      <w:pPr>
        <w:pStyle w:val="Heading3"/>
        <w:spacing w:before="0"/>
        <w:contextualSpacing/>
        <w:jc w:val="both"/>
        <w:rPr>
          <w:rFonts w:ascii="Arial" w:hAnsi="Arial" w:cs="Arial"/>
          <w:color w:val="000000" w:themeColor="text1"/>
        </w:rPr>
      </w:pPr>
      <w:bookmarkStart w:id="22" w:name="cultural-environment"/>
      <w:bookmarkStart w:id="23" w:name="_Toc236047536"/>
      <w:r w:rsidRPr="004A2F10">
        <w:rPr>
          <w:rFonts w:ascii="Arial" w:hAnsi="Arial" w:cs="Arial"/>
          <w:color w:val="000000" w:themeColor="text1"/>
        </w:rPr>
        <w:t>3.4 Cultural Environment</w:t>
      </w:r>
      <w:bookmarkEnd w:id="22"/>
      <w:bookmarkEnd w:id="23"/>
    </w:p>
    <w:p w14:paraId="4A2368BD" w14:textId="1D4F7B0F" w:rsidR="00480503" w:rsidRPr="004A2F10" w:rsidRDefault="00480503" w:rsidP="00E7579D">
      <w:pPr>
        <w:pStyle w:val="FirstParagraph"/>
        <w:spacing w:before="0" w:after="0"/>
        <w:contextualSpacing/>
        <w:jc w:val="both"/>
        <w:rPr>
          <w:rFonts w:cs="Arial"/>
          <w:color w:val="000000" w:themeColor="text1"/>
        </w:rPr>
      </w:pPr>
      <w:r w:rsidRPr="004A2F10">
        <w:rPr>
          <w:rFonts w:cs="Arial"/>
          <w:color w:val="000000" w:themeColor="text1"/>
        </w:rPr>
        <w:t xml:space="preserve">Bangladesh's profile on Hofstede's national cultural dimensions theory is very different from the UK's: high power distance, high collectivism, and comparatively high uncertainty avoidance combine to create a culture of business and consumer life that is more about hierarchy, trust developed through personal contact, and risk avoidance in decisions than is the UK (The Culture Factor, 2026). The grocery retailer's implication is more on the supplier and format side than the shopper's side: In the case of </w:t>
      </w:r>
      <w:r w:rsidRPr="004A2F10">
        <w:rPr>
          <w:rFonts w:cs="Arial"/>
          <w:color w:val="000000" w:themeColor="text1"/>
        </w:rPr>
        <w:lastRenderedPageBreak/>
        <w:t>Bangladeshi consumers, they have demonstrated a tendency to switch very rapidly to organised retail when preferred local retailers take the initiative to introduce the format; hence, the format innovation, which is culturally acceptable, only if it is locally anchored and trusted, not perceived as foreign imposition, as seen in the case of Shwapno's rising market leadership (Business Inspection BD, 2025) in the country, which is consistent with the other research on the country, conducted in South Asia, which shows that format innovation, which is culturally acceptable, is only welcomed if it is locally anchored and trusted, but not seen as a foreign imposition, across age groups (Verma and Misra, 2021). This supports an entry approach that rapidly establishes local trust that is visible to the community, local partnership, local branding cues, and community-level relationship building, rather than a wholly foreign-branded, headquarters-led rollout. Collectivism and high power distance are also likely to dictate the supplier and regulatory relationships in Bangladesh to be tied to personal trust with well connected local partners, which aligns with cross-cultural management literature that argues for the importance of relational trust when implementing management practices in high power distance and collectivist host cultures (Stor, 2021; Bano and Liu, 2025).</w:t>
      </w:r>
    </w:p>
    <w:p w14:paraId="1EB247E9" w14:textId="77777777" w:rsidR="00480503" w:rsidRPr="004A2F10" w:rsidRDefault="00480503" w:rsidP="00E7579D">
      <w:pPr>
        <w:pStyle w:val="BodyText"/>
        <w:spacing w:before="0" w:after="0"/>
        <w:contextualSpacing/>
        <w:jc w:val="both"/>
        <w:rPr>
          <w:rFonts w:cs="Arial"/>
          <w:color w:val="000000" w:themeColor="text1"/>
        </w:rPr>
      </w:pPr>
    </w:p>
    <w:p w14:paraId="6955D400" w14:textId="09810862" w:rsidR="00B632C1" w:rsidRPr="004A2F10" w:rsidRDefault="00B632C1" w:rsidP="00E7579D">
      <w:pPr>
        <w:pStyle w:val="BodyText"/>
        <w:spacing w:before="0" w:after="0"/>
        <w:contextualSpacing/>
        <w:jc w:val="both"/>
        <w:rPr>
          <w:rFonts w:cs="Arial"/>
          <w:color w:val="000000" w:themeColor="text1"/>
        </w:rPr>
      </w:pPr>
      <w:r w:rsidRPr="004A2F10">
        <w:rPr>
          <w:rFonts w:cs="Arial"/>
          <w:noProof/>
          <w:color w:val="000000" w:themeColor="text1"/>
          <w:lang w:val="en-IN" w:eastAsia="en-IN"/>
        </w:rPr>
        <w:drawing>
          <wp:inline distT="0" distB="0" distL="0" distR="0" wp14:anchorId="362B423D" wp14:editId="4922AA4D">
            <wp:extent cx="5972810" cy="303339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72810" cy="3033395"/>
                    </a:xfrm>
                    <a:prstGeom prst="rect">
                      <a:avLst/>
                    </a:prstGeom>
                  </pic:spPr>
                </pic:pic>
              </a:graphicData>
            </a:graphic>
          </wp:inline>
        </w:drawing>
      </w:r>
    </w:p>
    <w:p w14:paraId="0EDDC7A2" w14:textId="0A44F87A" w:rsidR="00B632C1" w:rsidRPr="004A2F10" w:rsidRDefault="00B632C1" w:rsidP="00783959">
      <w:pPr>
        <w:pStyle w:val="BodyText"/>
        <w:spacing w:before="0" w:after="0"/>
        <w:contextualSpacing/>
        <w:jc w:val="center"/>
        <w:rPr>
          <w:rFonts w:cs="Arial"/>
          <w:b/>
          <w:bCs/>
          <w:i/>
          <w:iCs/>
          <w:color w:val="000000" w:themeColor="text1"/>
        </w:rPr>
      </w:pPr>
      <w:r w:rsidRPr="004A2F10">
        <w:rPr>
          <w:rFonts w:cs="Arial"/>
          <w:b/>
          <w:bCs/>
          <w:i/>
          <w:iCs/>
          <w:color w:val="000000" w:themeColor="text1"/>
        </w:rPr>
        <w:t>Figure 5: Hofstede Cultural Dimensions: United Kingdom vs Bangladesh</w:t>
      </w:r>
    </w:p>
    <w:p w14:paraId="6CE07DCF" w14:textId="704C529F" w:rsidR="00B632C1" w:rsidRPr="004A2F10" w:rsidRDefault="00B632C1" w:rsidP="00783959">
      <w:pPr>
        <w:spacing w:after="0"/>
        <w:contextualSpacing/>
        <w:jc w:val="center"/>
        <w:rPr>
          <w:rFonts w:eastAsia="Times New Roman" w:cs="Arial"/>
          <w:i/>
          <w:iCs/>
          <w:color w:val="000000" w:themeColor="text1"/>
        </w:rPr>
      </w:pPr>
      <w:r w:rsidRPr="004A2F10">
        <w:rPr>
          <w:rFonts w:cs="Arial"/>
          <w:i/>
          <w:iCs/>
          <w:color w:val="000000" w:themeColor="text1"/>
        </w:rPr>
        <w:t xml:space="preserve">Source: </w:t>
      </w:r>
      <w:r w:rsidRPr="004A2F10">
        <w:rPr>
          <w:rFonts w:eastAsia="Times New Roman" w:cs="Arial"/>
          <w:i/>
          <w:iCs/>
          <w:color w:val="000000" w:themeColor="text1"/>
        </w:rPr>
        <w:t>(The Culture Factor, 2026)</w:t>
      </w:r>
    </w:p>
    <w:p w14:paraId="565D6315" w14:textId="4FF48F8A" w:rsidR="000D72DF" w:rsidRPr="004A2F10" w:rsidRDefault="00E218FF" w:rsidP="00E7579D">
      <w:pPr>
        <w:pStyle w:val="BodyText"/>
        <w:spacing w:before="0" w:after="0"/>
        <w:contextualSpacing/>
        <w:jc w:val="both"/>
        <w:rPr>
          <w:rFonts w:cs="Arial"/>
          <w:color w:val="000000" w:themeColor="text1"/>
        </w:rPr>
      </w:pPr>
      <w:r w:rsidRPr="004A2F10">
        <w:rPr>
          <w:rFonts w:cs="Arial"/>
          <w:b/>
          <w:color w:val="000000" w:themeColor="text1"/>
        </w:rPr>
        <w:lastRenderedPageBreak/>
        <w:t>Table 1: Summary of Macro-Environmental Factors Relevant to Tesco’s Entry into Bangladesh</w:t>
      </w:r>
    </w:p>
    <w:tbl>
      <w:tblPr>
        <w:tblStyle w:val="PlainTable1"/>
        <w:tblW w:w="5000" w:type="pct"/>
        <w:tblLook w:val="07E0" w:firstRow="1" w:lastRow="1" w:firstColumn="1" w:lastColumn="1" w:noHBand="1" w:noVBand="1"/>
      </w:tblPr>
      <w:tblGrid>
        <w:gridCol w:w="1443"/>
        <w:gridCol w:w="3914"/>
        <w:gridCol w:w="4265"/>
      </w:tblGrid>
      <w:tr w:rsidR="0017529D" w:rsidRPr="004A2F10" w14:paraId="2CEDDEBB" w14:textId="77777777" w:rsidTr="00B632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AEF771"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Dimension</w:t>
            </w:r>
          </w:p>
        </w:tc>
        <w:tc>
          <w:tcPr>
            <w:tcW w:w="0" w:type="auto"/>
          </w:tcPr>
          <w:p w14:paraId="6E578995" w14:textId="77777777" w:rsidR="000D72DF" w:rsidRPr="004A2F10" w:rsidRDefault="00E218FF"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Key Opportunity</w:t>
            </w:r>
          </w:p>
        </w:tc>
        <w:tc>
          <w:tcPr>
            <w:cnfStyle w:val="000100000000" w:firstRow="0" w:lastRow="0" w:firstColumn="0" w:lastColumn="1" w:oddVBand="0" w:evenVBand="0" w:oddHBand="0" w:evenHBand="0" w:firstRowFirstColumn="0" w:firstRowLastColumn="0" w:lastRowFirstColumn="0" w:lastRowLastColumn="0"/>
            <w:tcW w:w="0" w:type="auto"/>
          </w:tcPr>
          <w:p w14:paraId="2F4609AC"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Key Risk</w:t>
            </w:r>
          </w:p>
        </w:tc>
      </w:tr>
      <w:tr w:rsidR="0017529D" w:rsidRPr="004A2F10" w14:paraId="5A66E3FD"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3C867E35"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Political</w:t>
            </w:r>
          </w:p>
        </w:tc>
        <w:tc>
          <w:tcPr>
            <w:tcW w:w="0" w:type="auto"/>
          </w:tcPr>
          <w:p w14:paraId="0EA47BAB"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 xml:space="preserve">Interim government prioritises restoring </w:t>
            </w:r>
            <w:r w:rsidRPr="004A2F10">
              <w:rPr>
                <w:rFonts w:cs="Arial"/>
                <w:color w:val="000000" w:themeColor="text1"/>
              </w:rPr>
              <w:t>investor confidence ahead of February 2026 election</w:t>
            </w:r>
          </w:p>
        </w:tc>
        <w:tc>
          <w:tcPr>
            <w:cnfStyle w:val="000100000000" w:firstRow="0" w:lastRow="0" w:firstColumn="0" w:lastColumn="1" w:oddVBand="0" w:evenVBand="0" w:oddHBand="0" w:evenHBand="0" w:firstRowFirstColumn="0" w:firstRowLastColumn="0" w:lastRowFirstColumn="0" w:lastRowLastColumn="0"/>
            <w:tcW w:w="0" w:type="auto"/>
          </w:tcPr>
          <w:p w14:paraId="5728FC60"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Post-uprising instability, contested authority, deteriorating India relations</w:t>
            </w:r>
          </w:p>
        </w:tc>
      </w:tr>
      <w:tr w:rsidR="0017529D" w:rsidRPr="004A2F10" w14:paraId="5012076A"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38453714"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Economic</w:t>
            </w:r>
          </w:p>
        </w:tc>
        <w:tc>
          <w:tcPr>
            <w:tcW w:w="0" w:type="auto"/>
          </w:tcPr>
          <w:p w14:paraId="525ECFC2"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Rapid organised-retail growth (outlets doubled in 2025); rising GDP per capita</w:t>
            </w:r>
          </w:p>
        </w:tc>
        <w:tc>
          <w:tcPr>
            <w:cnfStyle w:val="000100000000" w:firstRow="0" w:lastRow="0" w:firstColumn="0" w:lastColumn="1" w:oddVBand="0" w:evenVBand="0" w:oddHBand="0" w:evenHBand="0" w:firstRowFirstColumn="0" w:firstRowLastColumn="0" w:lastRowFirstColumn="0" w:lastRowLastColumn="0"/>
            <w:tcW w:w="0" w:type="auto"/>
          </w:tcPr>
          <w:p w14:paraId="1A5528FC"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GDP growth slowing to 3.7-4.9%; FDI </w:t>
            </w:r>
            <w:r w:rsidRPr="004A2F10">
              <w:rPr>
                <w:rFonts w:cs="Arial"/>
                <w:b w:val="0"/>
                <w:bCs w:val="0"/>
                <w:color w:val="000000" w:themeColor="text1"/>
              </w:rPr>
              <w:t>nearly halved 2024-2025</w:t>
            </w:r>
          </w:p>
        </w:tc>
      </w:tr>
      <w:tr w:rsidR="0017529D" w:rsidRPr="004A2F10" w14:paraId="16BF25ED" w14:textId="77777777" w:rsidTr="00B632C1">
        <w:tc>
          <w:tcPr>
            <w:cnfStyle w:val="001000000000" w:firstRow="0" w:lastRow="0" w:firstColumn="1" w:lastColumn="0" w:oddVBand="0" w:evenVBand="0" w:oddHBand="0" w:evenHBand="0" w:firstRowFirstColumn="0" w:firstRowLastColumn="0" w:lastRowFirstColumn="0" w:lastRowLastColumn="0"/>
            <w:tcW w:w="0" w:type="auto"/>
          </w:tcPr>
          <w:p w14:paraId="5EB34C5E"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Legal</w:t>
            </w:r>
          </w:p>
        </w:tc>
        <w:tc>
          <w:tcPr>
            <w:tcW w:w="0" w:type="auto"/>
          </w:tcPr>
          <w:p w14:paraId="1F858A57"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100% foreign ownership permitted in retail; no equity cap</w:t>
            </w:r>
          </w:p>
        </w:tc>
        <w:tc>
          <w:tcPr>
            <w:cnfStyle w:val="000100000000" w:firstRow="0" w:lastRow="0" w:firstColumn="0" w:lastColumn="1" w:oddVBand="0" w:evenVBand="0" w:oddHBand="0" w:evenHBand="0" w:firstRowFirstColumn="0" w:firstRowLastColumn="0" w:lastRowFirstColumn="0" w:lastRowLastColumn="0"/>
            <w:tcW w:w="0" w:type="auto"/>
          </w:tcPr>
          <w:p w14:paraId="6118FD6D"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Discretionary and contract-enforcement risk under transitional administration</w:t>
            </w:r>
          </w:p>
        </w:tc>
      </w:tr>
      <w:tr w:rsidR="0017529D" w:rsidRPr="004A2F10" w14:paraId="0443C08F" w14:textId="77777777" w:rsidTr="00B632C1">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E1EBB15"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Cultural</w:t>
            </w:r>
          </w:p>
        </w:tc>
        <w:tc>
          <w:tcPr>
            <w:tcW w:w="0" w:type="auto"/>
          </w:tcPr>
          <w:p w14:paraId="3BFBE122" w14:textId="77777777" w:rsidR="000D72DF" w:rsidRPr="004A2F10" w:rsidRDefault="00E218FF"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 receptivity to trusted, locally anchored organised retail formats</w:t>
            </w:r>
          </w:p>
        </w:tc>
        <w:tc>
          <w:tcPr>
            <w:cnfStyle w:val="000100000000" w:firstRow="0" w:lastRow="0" w:firstColumn="0" w:lastColumn="1" w:oddVBand="0" w:evenVBand="0" w:oddHBand="0" w:evenHBand="0" w:firstRowFirstColumn="0" w:firstRowLastColumn="0" w:lastRowFirstColumn="0" w:lastRowLastColumn="0"/>
            <w:tcW w:w="0" w:type="auto"/>
          </w:tcPr>
          <w:p w14:paraId="48F89A49"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High </w:t>
            </w:r>
            <w:r w:rsidRPr="004A2F10">
              <w:rPr>
                <w:rFonts w:cs="Arial"/>
                <w:b w:val="0"/>
                <w:bCs w:val="0"/>
                <w:color w:val="000000" w:themeColor="text1"/>
              </w:rPr>
              <w:t>power distance and collectivism favour locally connected partners over a purely foreign-led entry</w:t>
            </w:r>
          </w:p>
        </w:tc>
      </w:tr>
    </w:tbl>
    <w:p w14:paraId="08A19077" w14:textId="77777777" w:rsidR="00783959" w:rsidRPr="004A2F10" w:rsidRDefault="00783959" w:rsidP="00E7579D">
      <w:pPr>
        <w:pStyle w:val="Heading3"/>
        <w:spacing w:before="0"/>
        <w:contextualSpacing/>
        <w:jc w:val="both"/>
        <w:rPr>
          <w:rFonts w:ascii="Arial" w:hAnsi="Arial" w:cs="Arial"/>
          <w:color w:val="000000" w:themeColor="text1"/>
        </w:rPr>
      </w:pPr>
      <w:bookmarkStart w:id="24" w:name="X9e4dfa17ab72737487957be04d57eeba1590da5"/>
    </w:p>
    <w:p w14:paraId="363EDFDA" w14:textId="14547F3A" w:rsidR="000D72DF" w:rsidRPr="004A2F10" w:rsidRDefault="00E218FF" w:rsidP="00E7579D">
      <w:pPr>
        <w:pStyle w:val="Heading3"/>
        <w:spacing w:before="0"/>
        <w:contextualSpacing/>
        <w:jc w:val="both"/>
        <w:rPr>
          <w:rFonts w:ascii="Arial" w:hAnsi="Arial" w:cs="Arial"/>
          <w:color w:val="000000" w:themeColor="text1"/>
        </w:rPr>
      </w:pPr>
      <w:bookmarkStart w:id="25" w:name="_Toc236047537"/>
      <w:r w:rsidRPr="004A2F10">
        <w:rPr>
          <w:rFonts w:ascii="Arial" w:hAnsi="Arial" w:cs="Arial"/>
          <w:color w:val="000000" w:themeColor="text1"/>
        </w:rPr>
        <w:t>3.5 Market Entry Synthesis Using Dunning’s Eclectic (OLI) Paradigm</w:t>
      </w:r>
      <w:bookmarkEnd w:id="24"/>
      <w:bookmarkEnd w:id="25"/>
    </w:p>
    <w:p w14:paraId="612AAF49" w14:textId="326A50A4" w:rsidR="00745E33" w:rsidRPr="004A2F10" w:rsidRDefault="00745E33" w:rsidP="00E7579D">
      <w:pPr>
        <w:pStyle w:val="BodyText"/>
        <w:spacing w:before="0" w:after="0"/>
        <w:contextualSpacing/>
        <w:jc w:val="both"/>
        <w:rPr>
          <w:rFonts w:cs="Arial"/>
          <w:color w:val="000000" w:themeColor="text1"/>
        </w:rPr>
      </w:pPr>
      <w:r w:rsidRPr="004A2F10">
        <w:rPr>
          <w:rFonts w:cs="Arial"/>
          <w:color w:val="000000" w:themeColor="text1"/>
        </w:rPr>
        <w:t>According to Dunning's eclectic paradigm, firm will choose FDI over export or licensing when the firm has ownership-specific advantages, the host location has location-specific advantages, and internalisation is more efficient than contracting with an independent host location party (Griffin and Pustay, 2020; Kamal et al., 2020). Table 2 outlines the case of Tesco-Bangladesh in terms of the three elements.</w:t>
      </w:r>
    </w:p>
    <w:p w14:paraId="1F2D54C1" w14:textId="34DF983B" w:rsidR="000D72DF" w:rsidRPr="004A2F10" w:rsidRDefault="00E218FF" w:rsidP="00E7579D">
      <w:pPr>
        <w:pStyle w:val="BodyText"/>
        <w:spacing w:before="0" w:after="0"/>
        <w:contextualSpacing/>
        <w:jc w:val="both"/>
        <w:rPr>
          <w:rFonts w:cs="Arial"/>
          <w:color w:val="000000" w:themeColor="text1"/>
        </w:rPr>
      </w:pPr>
      <w:r w:rsidRPr="004A2F10">
        <w:rPr>
          <w:rFonts w:cs="Arial"/>
          <w:b/>
          <w:color w:val="000000" w:themeColor="text1"/>
        </w:rPr>
        <w:t>Table 2: OLI Framework Applied to Tesco’s Prospective Entry into Bangladesh</w:t>
      </w:r>
    </w:p>
    <w:tbl>
      <w:tblPr>
        <w:tblStyle w:val="PlainTable1"/>
        <w:tblW w:w="5000" w:type="pct"/>
        <w:tblLook w:val="07E0" w:firstRow="1" w:lastRow="1" w:firstColumn="1" w:lastColumn="1" w:noHBand="1" w:noVBand="1"/>
      </w:tblPr>
      <w:tblGrid>
        <w:gridCol w:w="1972"/>
        <w:gridCol w:w="7650"/>
      </w:tblGrid>
      <w:tr w:rsidR="0017529D" w:rsidRPr="004A2F10" w14:paraId="37D135E1" w14:textId="77777777" w:rsidTr="009914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9193679"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OLI Element</w:t>
            </w:r>
          </w:p>
        </w:tc>
        <w:tc>
          <w:tcPr>
            <w:cnfStyle w:val="000100000000" w:firstRow="0" w:lastRow="0" w:firstColumn="0" w:lastColumn="1" w:oddVBand="0" w:evenVBand="0" w:oddHBand="0" w:evenHBand="0" w:firstRowFirstColumn="0" w:firstRowLastColumn="0" w:lastRowFirstColumn="0" w:lastRowLastColumn="0"/>
            <w:tcW w:w="0" w:type="auto"/>
          </w:tcPr>
          <w:p w14:paraId="474B88F0"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Application to Tesco in Bangladesh</w:t>
            </w:r>
          </w:p>
        </w:tc>
      </w:tr>
      <w:tr w:rsidR="0017529D" w:rsidRPr="004A2F10" w14:paraId="2C10A84C" w14:textId="77777777" w:rsidTr="00991453">
        <w:tc>
          <w:tcPr>
            <w:cnfStyle w:val="001000000000" w:firstRow="0" w:lastRow="0" w:firstColumn="1" w:lastColumn="0" w:oddVBand="0" w:evenVBand="0" w:oddHBand="0" w:evenHBand="0" w:firstRowFirstColumn="0" w:firstRowLastColumn="0" w:lastRowFirstColumn="0" w:lastRowLastColumn="0"/>
            <w:tcW w:w="0" w:type="auto"/>
          </w:tcPr>
          <w:p w14:paraId="700CD8A5"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Ownership advantages</w:t>
            </w:r>
          </w:p>
        </w:tc>
        <w:tc>
          <w:tcPr>
            <w:cnfStyle w:val="000100000000" w:firstRow="0" w:lastRow="0" w:firstColumn="0" w:lastColumn="1" w:oddVBand="0" w:evenVBand="0" w:oddHBand="0" w:evenHBand="0" w:firstRowFirstColumn="0" w:firstRowLastColumn="0" w:lastRowFirstColumn="0" w:lastRowLastColumn="0"/>
            <w:tcW w:w="0" w:type="auto"/>
          </w:tcPr>
          <w:p w14:paraId="37E01EF7" w14:textId="0505D12A" w:rsidR="00936D93" w:rsidRPr="004A2F10" w:rsidRDefault="00936D93"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Yes.</w:t>
            </w:r>
            <w:r w:rsidRPr="004A2F10">
              <w:rPr>
                <w:rFonts w:cs="Arial"/>
                <w:color w:val="000000" w:themeColor="text1"/>
              </w:rPr>
              <w:t xml:space="preserve"> </w:t>
            </w:r>
            <w:r w:rsidRPr="004A2F10">
              <w:rPr>
                <w:rFonts w:cs="Arial"/>
                <w:b w:val="0"/>
                <w:bCs w:val="0"/>
                <w:color w:val="000000" w:themeColor="text1"/>
              </w:rPr>
              <w:t>Tesco's own private label development capability, buying scale, supply chain systems and loyalty-data analytics are firm-specific, transferable assets proven across its existing markets, independent of any single host country.</w:t>
            </w:r>
          </w:p>
        </w:tc>
      </w:tr>
      <w:tr w:rsidR="0017529D" w:rsidRPr="004A2F10" w14:paraId="241F13A6" w14:textId="77777777" w:rsidTr="00991453">
        <w:tc>
          <w:tcPr>
            <w:cnfStyle w:val="001000000000" w:firstRow="0" w:lastRow="0" w:firstColumn="1" w:lastColumn="0" w:oddVBand="0" w:evenVBand="0" w:oddHBand="0" w:evenHBand="0" w:firstRowFirstColumn="0" w:firstRowLastColumn="0" w:lastRowFirstColumn="0" w:lastRowLastColumn="0"/>
            <w:tcW w:w="0" w:type="auto"/>
          </w:tcPr>
          <w:p w14:paraId="161538CA"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Location advantages</w:t>
            </w:r>
          </w:p>
        </w:tc>
        <w:tc>
          <w:tcPr>
            <w:cnfStyle w:val="000100000000" w:firstRow="0" w:lastRow="0" w:firstColumn="0" w:lastColumn="1" w:oddVBand="0" w:evenVBand="0" w:oddHBand="0" w:evenHBand="0" w:firstRowFirstColumn="0" w:firstRowLastColumn="0" w:lastRowFirstColumn="0" w:lastRowLastColumn="0"/>
            <w:tcW w:w="0" w:type="auto"/>
          </w:tcPr>
          <w:p w14:paraId="4730544E" w14:textId="769800D4" w:rsidR="00936D93" w:rsidRPr="004A2F10" w:rsidRDefault="00936D93"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Yes.</w:t>
            </w:r>
            <w:r w:rsidRPr="004A2F10">
              <w:rPr>
                <w:rFonts w:cs="Arial"/>
                <w:color w:val="000000" w:themeColor="text1"/>
              </w:rPr>
              <w:t xml:space="preserve"> </w:t>
            </w:r>
            <w:r w:rsidRPr="004A2F10">
              <w:rPr>
                <w:rFonts w:cs="Arial"/>
                <w:b w:val="0"/>
                <w:bCs w:val="0"/>
                <w:color w:val="000000" w:themeColor="text1"/>
              </w:rPr>
              <w:t>Bangladesh offers growth in the organised-retail sector from a low base, a relaxed foreign-ownership policy, and a huge, young, under-penetrated consumer base of more than 170 million people, though this advantage is currently discounted by short-term political risk (Section 3.1).</w:t>
            </w:r>
          </w:p>
        </w:tc>
      </w:tr>
      <w:tr w:rsidR="0017529D" w:rsidRPr="004A2F10" w14:paraId="09B58949" w14:textId="77777777" w:rsidTr="00991453">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7417C94"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Internalisatio</w:t>
            </w:r>
            <w:r w:rsidRPr="004A2F10">
              <w:rPr>
                <w:rFonts w:cs="Arial"/>
                <w:b w:val="0"/>
                <w:bCs w:val="0"/>
                <w:color w:val="000000" w:themeColor="text1"/>
              </w:rPr>
              <w:t>n advantages</w:t>
            </w:r>
          </w:p>
        </w:tc>
        <w:tc>
          <w:tcPr>
            <w:cnfStyle w:val="000100000000" w:firstRow="0" w:lastRow="0" w:firstColumn="0" w:lastColumn="1" w:oddVBand="0" w:evenVBand="0" w:oddHBand="0" w:evenHBand="0" w:firstRowFirstColumn="0" w:firstRowLastColumn="0" w:lastRowFirstColumn="0" w:lastRowLastColumn="0"/>
            <w:tcW w:w="0" w:type="auto"/>
          </w:tcPr>
          <w:p w14:paraId="0655193A" w14:textId="34D21198" w:rsidR="0049671C" w:rsidRPr="004A2F10" w:rsidRDefault="0049671C"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Yes. The transaction cost of Tesco </w:t>
            </w:r>
            <w:proofErr w:type="spellStart"/>
            <w:r w:rsidRPr="004A2F10">
              <w:rPr>
                <w:rFonts w:cs="Arial"/>
                <w:b w:val="0"/>
                <w:bCs w:val="0"/>
                <w:color w:val="000000" w:themeColor="text1"/>
              </w:rPr>
              <w:t>internalising</w:t>
            </w:r>
            <w:proofErr w:type="spellEnd"/>
            <w:r w:rsidRPr="004A2F10">
              <w:rPr>
                <w:rFonts w:cs="Arial"/>
                <w:b w:val="0"/>
                <w:bCs w:val="0"/>
                <w:color w:val="000000" w:themeColor="text1"/>
              </w:rPr>
              <w:t xml:space="preserve"> the retail operation, as opposed to engaging an independent local retailer, is mitigated by Bangladesh's regulatory environment, which is liberal and encourages FDI (Section 3.3); and the cost is also lower, compared to a firm that has no prior relationship with Bangladesh, due to Tesco's existing suppliers and compliance relationships with local firms (Section 2.2).</w:t>
            </w:r>
          </w:p>
        </w:tc>
      </w:tr>
    </w:tbl>
    <w:p w14:paraId="137ACCC9" w14:textId="77777777" w:rsidR="00783959" w:rsidRPr="004A2F10" w:rsidRDefault="00783959" w:rsidP="00E7579D">
      <w:pPr>
        <w:pStyle w:val="BodyText"/>
        <w:spacing w:before="0" w:after="0"/>
        <w:contextualSpacing/>
        <w:jc w:val="both"/>
        <w:rPr>
          <w:rFonts w:cs="Arial"/>
          <w:color w:val="000000" w:themeColor="text1"/>
        </w:rPr>
      </w:pPr>
    </w:p>
    <w:p w14:paraId="3C12D4EB" w14:textId="226B4DEE" w:rsidR="0049671C" w:rsidRPr="004A2F10" w:rsidRDefault="0049671C" w:rsidP="00E7579D">
      <w:pPr>
        <w:pStyle w:val="BodyText"/>
        <w:spacing w:before="0" w:after="0"/>
        <w:contextualSpacing/>
        <w:jc w:val="both"/>
        <w:rPr>
          <w:rFonts w:cs="Arial"/>
          <w:bCs/>
          <w:color w:val="000000" w:themeColor="text1"/>
        </w:rPr>
      </w:pPr>
      <w:r w:rsidRPr="004A2F10">
        <w:rPr>
          <w:rFonts w:cs="Arial"/>
          <w:bCs/>
          <w:color w:val="000000" w:themeColor="text1"/>
        </w:rPr>
        <w:lastRenderedPageBreak/>
        <w:t xml:space="preserve">The political and economic analysis above indicated that the government in Bangladesh actively welcomes FDI (Section 3.1 and 3.3), and the synthesis of the three OLI elements is always positive and never mixed. Ownership advantages are available: Tesco's private label, supply chain management and format-design are proven in many emerging and developed markets and not country specific. Location advantages exist: Bangladesh's liberal ownership regime frees up the traditional formal restrictions on FDI, though there is currently high political risk going into the short term as well as an under-penetrated, fast growing </w:t>
      </w:r>
      <w:proofErr w:type="spellStart"/>
      <w:r w:rsidRPr="004A2F10">
        <w:rPr>
          <w:rFonts w:cs="Arial"/>
          <w:bCs/>
          <w:color w:val="000000" w:themeColor="text1"/>
        </w:rPr>
        <w:t>organised</w:t>
      </w:r>
      <w:proofErr w:type="spellEnd"/>
      <w:r w:rsidRPr="004A2F10">
        <w:rPr>
          <w:rFonts w:cs="Arial"/>
          <w:bCs/>
          <w:color w:val="000000" w:themeColor="text1"/>
        </w:rPr>
        <w:t xml:space="preserve">-retail segment, into which Tesco has already dabbled. </w:t>
      </w:r>
      <w:proofErr w:type="spellStart"/>
      <w:r w:rsidRPr="004A2F10">
        <w:rPr>
          <w:rFonts w:cs="Arial"/>
          <w:bCs/>
          <w:color w:val="000000" w:themeColor="text1"/>
        </w:rPr>
        <w:t>Internalisation</w:t>
      </w:r>
      <w:proofErr w:type="spellEnd"/>
      <w:r w:rsidRPr="004A2F10">
        <w:rPr>
          <w:rFonts w:cs="Arial"/>
          <w:bCs/>
          <w:color w:val="000000" w:themeColor="text1"/>
        </w:rPr>
        <w:t xml:space="preserve"> benefits exist: Bangladesh's FDI-friendly regulatory framework and existing compliance relationship (Section 2.2) facilitate the efficiency of owning and controlling an entity in Bangladesh as compared to contracting an independent local party. Since all three conditions are satisfied, Dunning's paradigm clearly indicates that FDI is the most likely mode of entry for Tesco to enter into Bangladesh, as compared to exporting or licensing/franchising; the next question, however, which is considered in Section 4, is whether a wholly owned subsidiary or a joint venture is most appropriate for Bangladesh's risk profile (Nayyar, Mukherjee and Varma, 2021, on institutional distance as a driver of entry mode; </w:t>
      </w:r>
      <w:proofErr w:type="spellStart"/>
      <w:r w:rsidRPr="004A2F10">
        <w:rPr>
          <w:rFonts w:cs="Arial"/>
          <w:bCs/>
          <w:color w:val="000000" w:themeColor="text1"/>
        </w:rPr>
        <w:t>Hennart</w:t>
      </w:r>
      <w:proofErr w:type="spellEnd"/>
      <w:r w:rsidRPr="004A2F10">
        <w:rPr>
          <w:rFonts w:cs="Arial"/>
          <w:bCs/>
          <w:color w:val="000000" w:themeColor="text1"/>
        </w:rPr>
        <w:t xml:space="preserve"> and </w:t>
      </w:r>
      <w:proofErr w:type="spellStart"/>
      <w:r w:rsidRPr="004A2F10">
        <w:rPr>
          <w:rFonts w:cs="Arial"/>
          <w:bCs/>
          <w:color w:val="000000" w:themeColor="text1"/>
        </w:rPr>
        <w:t>Slangen</w:t>
      </w:r>
      <w:proofErr w:type="spellEnd"/>
      <w:r w:rsidRPr="004A2F10">
        <w:rPr>
          <w:rFonts w:cs="Arial"/>
          <w:bCs/>
          <w:color w:val="000000" w:themeColor="text1"/>
        </w:rPr>
        <w:t>, 2022, on the conditions under which shared control can be efficient even when FDI is justified).</w:t>
      </w:r>
    </w:p>
    <w:p w14:paraId="514434D6" w14:textId="7DA0F2A4" w:rsidR="000D72DF" w:rsidRPr="004A2F10" w:rsidRDefault="00E218FF" w:rsidP="00E7579D">
      <w:pPr>
        <w:pStyle w:val="Heading2"/>
        <w:spacing w:before="0"/>
        <w:contextualSpacing/>
        <w:jc w:val="both"/>
        <w:rPr>
          <w:rFonts w:ascii="Arial" w:hAnsi="Arial" w:cs="Arial"/>
          <w:color w:val="000000" w:themeColor="text1"/>
          <w:sz w:val="24"/>
          <w:szCs w:val="24"/>
        </w:rPr>
      </w:pPr>
      <w:bookmarkStart w:id="26" w:name="X4b4e7bcf544f5ca834f4db7b0b8957f081e0b93"/>
      <w:bookmarkStart w:id="27" w:name="_Toc236047538"/>
      <w:r w:rsidRPr="004A2F10">
        <w:rPr>
          <w:rFonts w:ascii="Arial" w:hAnsi="Arial" w:cs="Arial"/>
          <w:color w:val="000000" w:themeColor="text1"/>
          <w:sz w:val="24"/>
          <w:szCs w:val="24"/>
        </w:rPr>
        <w:t>4. En</w:t>
      </w:r>
      <w:r w:rsidRPr="004A2F10">
        <w:rPr>
          <w:rFonts w:ascii="Arial" w:hAnsi="Arial" w:cs="Arial"/>
          <w:color w:val="000000" w:themeColor="text1"/>
          <w:sz w:val="24"/>
          <w:szCs w:val="24"/>
        </w:rPr>
        <w:t>try Mode Strategy and Strategic Synthesis</w:t>
      </w:r>
      <w:bookmarkEnd w:id="26"/>
      <w:bookmarkEnd w:id="27"/>
    </w:p>
    <w:p w14:paraId="40ABC5EA" w14:textId="77777777" w:rsidR="000D72DF" w:rsidRPr="004A2F10" w:rsidRDefault="00E218FF" w:rsidP="00E7579D">
      <w:pPr>
        <w:pStyle w:val="Heading3"/>
        <w:spacing w:before="0"/>
        <w:contextualSpacing/>
        <w:jc w:val="both"/>
        <w:rPr>
          <w:rFonts w:ascii="Arial" w:hAnsi="Arial" w:cs="Arial"/>
          <w:color w:val="000000" w:themeColor="text1"/>
        </w:rPr>
      </w:pPr>
      <w:bookmarkStart w:id="28" w:name="historical-pattern-recognition"/>
      <w:bookmarkStart w:id="29" w:name="_Toc236047539"/>
      <w:r w:rsidRPr="004A2F10">
        <w:rPr>
          <w:rFonts w:ascii="Arial" w:hAnsi="Arial" w:cs="Arial"/>
          <w:color w:val="000000" w:themeColor="text1"/>
        </w:rPr>
        <w:t>4.1 Historical Pattern Recognition</w:t>
      </w:r>
      <w:bookmarkEnd w:id="28"/>
      <w:bookmarkEnd w:id="29"/>
    </w:p>
    <w:p w14:paraId="3C692BD0" w14:textId="0FCD8AF0" w:rsidR="00012223" w:rsidRPr="004A2F10" w:rsidRDefault="00012223" w:rsidP="00E7579D">
      <w:pPr>
        <w:pStyle w:val="FirstParagraph"/>
        <w:spacing w:before="0" w:after="0"/>
        <w:contextualSpacing/>
        <w:jc w:val="both"/>
        <w:rPr>
          <w:rFonts w:cs="Arial"/>
          <w:bCs/>
          <w:color w:val="000000" w:themeColor="text1"/>
        </w:rPr>
      </w:pPr>
      <w:r w:rsidRPr="004A2F10">
        <w:rPr>
          <w:rFonts w:cs="Arial"/>
          <w:bCs/>
          <w:color w:val="000000" w:themeColor="text1"/>
        </w:rPr>
        <w:t xml:space="preserve">The mapping of Tesco's entry mode history explicitly against the six classic entry modes: exporting, turnkey projects, licensing, franchising, joint ventures and wholly owned subsidiaries (Griffin and </w:t>
      </w:r>
      <w:proofErr w:type="spellStart"/>
      <w:r w:rsidRPr="004A2F10">
        <w:rPr>
          <w:rFonts w:cs="Arial"/>
          <w:bCs/>
          <w:color w:val="000000" w:themeColor="text1"/>
        </w:rPr>
        <w:t>Pustay</w:t>
      </w:r>
      <w:proofErr w:type="spellEnd"/>
      <w:r w:rsidRPr="004A2F10">
        <w:rPr>
          <w:rFonts w:cs="Arial"/>
          <w:bCs/>
          <w:color w:val="000000" w:themeColor="text1"/>
        </w:rPr>
        <w:t xml:space="preserve">, 2020; Hill and </w:t>
      </w:r>
      <w:proofErr w:type="spellStart"/>
      <w:r w:rsidRPr="004A2F10">
        <w:rPr>
          <w:rFonts w:cs="Arial"/>
          <w:bCs/>
          <w:color w:val="000000" w:themeColor="text1"/>
        </w:rPr>
        <w:t>Hult</w:t>
      </w:r>
      <w:proofErr w:type="spellEnd"/>
      <w:r w:rsidRPr="004A2F10">
        <w:rPr>
          <w:rFonts w:cs="Arial"/>
          <w:bCs/>
          <w:color w:val="000000" w:themeColor="text1"/>
        </w:rPr>
        <w:t xml:space="preserve">, 2021; Daniels et al., 2022) is unusually clear. Tesco has only utilized three of these six, and has never pursued an exporting, turnkey projects, licensing or franchising option into an overseas grocery market (Zhang, 2021). Wholly owned subsidiary: In Tesco's core, long established markets in the United Kingdom and Ireland, where they have a strong local knowledge and expertise, they are expected to use a wholly owned subsidiary. Second, acquisition: Tesco's initial venture into Central Europe was through the acquisition of existing local retail outlets in the Czech Republic, Slovakia and Hungary which were then re-branded and grew organically into the current network of over 560 stores (Tesco PLC, 2026). </w:t>
      </w:r>
      <w:r w:rsidRPr="004A2F10">
        <w:rPr>
          <w:rFonts w:cs="Arial"/>
          <w:bCs/>
          <w:color w:val="000000" w:themeColor="text1"/>
        </w:rPr>
        <w:lastRenderedPageBreak/>
        <w:t>Thirdly, joint venture: When local knowledge was limited, and foreign-ownership regulations or cultural distance made a complete takeover too risky, Tesco entered through 50:50 joint ventures with Trent Hypermarket (Tata group) in India, 2014 (Kar, Bansal and Mishra, 2021), and Samsung in South Korea (</w:t>
      </w:r>
      <w:proofErr w:type="spellStart"/>
      <w:r w:rsidRPr="004A2F10">
        <w:rPr>
          <w:rFonts w:cs="Arial"/>
          <w:bCs/>
          <w:color w:val="000000" w:themeColor="text1"/>
        </w:rPr>
        <w:t>Homeplus</w:t>
      </w:r>
      <w:proofErr w:type="spellEnd"/>
      <w:r w:rsidRPr="004A2F10">
        <w:rPr>
          <w:rFonts w:cs="Arial"/>
          <w:bCs/>
          <w:color w:val="000000" w:themeColor="text1"/>
        </w:rPr>
        <w:t>). The South Korean joint venture was exited through a stake sale in 2015, which was a divestment decision and not an entry mode, as were the exits of Tesco from the United States (2013), Japan (2012), China (2020) and Thailand and Malaysia (2020) all of which were unsustainable, even though they had entered with a local partner (Kar, Bansal and Mishra, 2021; Malay Mail, 2020). Tesco applies the wholly owned subsidiary to markets where it already has local knowledge, and the joint venture approach wherever it is lacking, as is the general trend of firms to use risk-sharing to control this control-risk trade-off (</w:t>
      </w:r>
      <w:proofErr w:type="spellStart"/>
      <w:r w:rsidRPr="004A2F10">
        <w:rPr>
          <w:rFonts w:cs="Arial"/>
          <w:bCs/>
          <w:color w:val="000000" w:themeColor="text1"/>
        </w:rPr>
        <w:t>Brouthers</w:t>
      </w:r>
      <w:proofErr w:type="spellEnd"/>
      <w:r w:rsidRPr="004A2F10">
        <w:rPr>
          <w:rFonts w:cs="Arial"/>
          <w:bCs/>
          <w:color w:val="000000" w:themeColor="text1"/>
        </w:rPr>
        <w:t xml:space="preserve"> et al., 2022).</w:t>
      </w:r>
    </w:p>
    <w:p w14:paraId="2CAB2DF8" w14:textId="77777777" w:rsidR="000D72DF" w:rsidRPr="004A2F10" w:rsidRDefault="00E218FF" w:rsidP="00E7579D">
      <w:pPr>
        <w:pStyle w:val="Heading3"/>
        <w:spacing w:before="0"/>
        <w:contextualSpacing/>
        <w:jc w:val="both"/>
        <w:rPr>
          <w:rFonts w:ascii="Arial" w:hAnsi="Arial" w:cs="Arial"/>
          <w:color w:val="000000" w:themeColor="text1"/>
        </w:rPr>
      </w:pPr>
      <w:bookmarkStart w:id="30" w:name="strategic-fit-and-justification"/>
      <w:bookmarkStart w:id="31" w:name="_Toc236047540"/>
      <w:r w:rsidRPr="004A2F10">
        <w:rPr>
          <w:rFonts w:ascii="Arial" w:hAnsi="Arial" w:cs="Arial"/>
          <w:color w:val="000000" w:themeColor="text1"/>
        </w:rPr>
        <w:t>4.2 Strategic Fit and Justification</w:t>
      </w:r>
      <w:bookmarkEnd w:id="30"/>
      <w:bookmarkEnd w:id="31"/>
    </w:p>
    <w:p w14:paraId="67AEFFBC" w14:textId="32326437" w:rsidR="009D74A3" w:rsidRPr="004A2F10" w:rsidRDefault="009D74A3" w:rsidP="00E7579D">
      <w:pPr>
        <w:pStyle w:val="FirstParagraph"/>
        <w:spacing w:before="0" w:after="0"/>
        <w:contextualSpacing/>
        <w:jc w:val="both"/>
        <w:rPr>
          <w:rFonts w:cs="Arial"/>
          <w:bCs/>
          <w:color w:val="000000" w:themeColor="text1"/>
        </w:rPr>
      </w:pPr>
      <w:r w:rsidRPr="004A2F10">
        <w:rPr>
          <w:rFonts w:cs="Arial"/>
          <w:bCs/>
          <w:color w:val="000000" w:themeColor="text1"/>
        </w:rPr>
        <w:t xml:space="preserve">The suggested approach for Tesco to enter Bangladesh is to form a joint venture with a local partner who is established and has connections, not through a wholly owned subsidiary or by not entering the country. This recommendation builds on Section 3.5 which states that while all three OLI conditions are </w:t>
      </w:r>
      <w:proofErr w:type="spellStart"/>
      <w:r w:rsidRPr="004A2F10">
        <w:rPr>
          <w:rFonts w:cs="Arial"/>
          <w:bCs/>
          <w:color w:val="000000" w:themeColor="text1"/>
        </w:rPr>
        <w:t>favourable</w:t>
      </w:r>
      <w:proofErr w:type="spellEnd"/>
      <w:r w:rsidRPr="004A2F10">
        <w:rPr>
          <w:rFonts w:cs="Arial"/>
          <w:bCs/>
          <w:color w:val="000000" w:themeColor="text1"/>
        </w:rPr>
        <w:t xml:space="preserve"> for FDI, the acute short term political risk in Bangladesh and the cultural premium on locally connected partners (Section 3.4) make a shared-control arrangement the more efficient choice for Tesco to exploit its ownership and location advantages without taking on the risk of political and relational risk in Bangladesh in isolation. The wholly-owned subsidiary model, which has worked well for Tesco in the UK and Ireland, and in Central Europe after Tesco's initial acquisitions in the 1990s, is a relatively weak model for Bangladesh specifically, for three reasons. The first is political risk: Bangladesh is likely to have an interim government for a while, a shaky grip on power, and Bangladesh-India relations have been strained since 2024, scaring the Tesco board since its expensive departures in the 2010s and 2020s. Second, local relationship dependence: while the relationship-building and coordination costs of </w:t>
      </w:r>
      <w:proofErr w:type="spellStart"/>
      <w:r w:rsidRPr="004A2F10">
        <w:rPr>
          <w:rFonts w:cs="Arial"/>
          <w:bCs/>
          <w:color w:val="000000" w:themeColor="text1"/>
        </w:rPr>
        <w:t>internalising</w:t>
      </w:r>
      <w:proofErr w:type="spellEnd"/>
      <w:r w:rsidRPr="004A2F10">
        <w:rPr>
          <w:rFonts w:cs="Arial"/>
          <w:bCs/>
          <w:color w:val="000000" w:themeColor="text1"/>
        </w:rPr>
        <w:t xml:space="preserve"> are efficient in theory, the cultural premium on local partners (Section 3.4) implies that such costs will be higher for a solo entry than for an entry in partnership with a local partner, even in theory. Third, resource commitment vs flexibility: having consolidated international operations after exiting Asia to focus on </w:t>
      </w:r>
      <w:r w:rsidRPr="004A2F10">
        <w:rPr>
          <w:rFonts w:cs="Arial"/>
          <w:bCs/>
          <w:color w:val="000000" w:themeColor="text1"/>
        </w:rPr>
        <w:lastRenderedPageBreak/>
        <w:t>the UK and Central Europe, a fifth bid to push into Asia without any risk-sharing arrangement is hard to justify (Yahoo Finance, 2026).</w:t>
      </w:r>
    </w:p>
    <w:p w14:paraId="3699A6C5" w14:textId="77777777" w:rsidR="00216F92" w:rsidRPr="004A2F10" w:rsidRDefault="00216F92" w:rsidP="00E7579D">
      <w:pPr>
        <w:pStyle w:val="FirstParagraph"/>
        <w:spacing w:before="0" w:after="0"/>
        <w:contextualSpacing/>
        <w:jc w:val="both"/>
        <w:rPr>
          <w:rFonts w:cs="Arial"/>
          <w:color w:val="000000" w:themeColor="text1"/>
        </w:rPr>
      </w:pPr>
      <w:r w:rsidRPr="004A2F10">
        <w:rPr>
          <w:rFonts w:cs="Arial"/>
          <w:color w:val="000000" w:themeColor="text1"/>
        </w:rPr>
        <w:t>This is opposed by three considerations: Firstly, Tesco's existing Bangladesh relationship, albeit on the supply side and not retail, does give them an actual head start: 20 years of supply chain audits and familiarity with logistics and compliance relationships in-country lessen the due diligence burden that a new player would have. Second, Bangladesh's liberal ownership regime and the fast-growing organised-retail sector (Section 3.2) are the type of structural, multi-year opportunity that Tesco has sought in the past when local risk can be shared or controlled. Third, the first mover option value exists: Shwapno has the largest share, based on relatively small capital investment, and no global retailer has yet been seen, which means that an early, risk-sharing move will enable Tesco to establish supplier and property connections first, before larger global retailers can arrive once the political situation in Bangladesh stabilises.</w:t>
      </w:r>
    </w:p>
    <w:p w14:paraId="79A78C27" w14:textId="3ECAE868" w:rsidR="00FC28EE" w:rsidRPr="004A2F10" w:rsidRDefault="00FC28EE" w:rsidP="00E7579D">
      <w:pPr>
        <w:pStyle w:val="FirstParagraph"/>
        <w:spacing w:before="0" w:after="0"/>
        <w:contextualSpacing/>
        <w:jc w:val="both"/>
        <w:rPr>
          <w:rFonts w:cs="Arial"/>
          <w:bCs/>
          <w:color w:val="000000" w:themeColor="text1"/>
        </w:rPr>
      </w:pPr>
      <w:r w:rsidRPr="004A2F10">
        <w:rPr>
          <w:rFonts w:cs="Arial"/>
          <w:bCs/>
          <w:color w:val="000000" w:themeColor="text1"/>
        </w:rPr>
        <w:t>Based on the literature of transaction cost economics, joint venture is the optimal method of entry for a company that has scarce local knowledge and uncertainty in the local political climate, as Tesco did so in India (</w:t>
      </w:r>
      <w:proofErr w:type="spellStart"/>
      <w:r w:rsidRPr="004A2F10">
        <w:rPr>
          <w:rFonts w:cs="Arial"/>
          <w:bCs/>
          <w:color w:val="000000" w:themeColor="text1"/>
        </w:rPr>
        <w:t>Sestu</w:t>
      </w:r>
      <w:proofErr w:type="spellEnd"/>
      <w:r w:rsidRPr="004A2F10">
        <w:rPr>
          <w:rFonts w:cs="Arial"/>
          <w:bCs/>
          <w:color w:val="000000" w:themeColor="text1"/>
        </w:rPr>
        <w:t xml:space="preserve"> and </w:t>
      </w:r>
      <w:proofErr w:type="spellStart"/>
      <w:r w:rsidRPr="004A2F10">
        <w:rPr>
          <w:rFonts w:cs="Arial"/>
          <w:bCs/>
          <w:color w:val="000000" w:themeColor="text1"/>
        </w:rPr>
        <w:t>Majocchi</w:t>
      </w:r>
      <w:proofErr w:type="spellEnd"/>
      <w:r w:rsidRPr="004A2F10">
        <w:rPr>
          <w:rFonts w:cs="Arial"/>
          <w:bCs/>
          <w:color w:val="000000" w:themeColor="text1"/>
        </w:rPr>
        <w:t>, 2020). This is the idea behind Tesco's Samsung collaboration in South Korea: go to a potentially foreign market with a foreign partner who will carry the burden of regulatory and relationship risk, and accept the initial mode of entry as a stepping stone, not as an end in itself, and revisit the choice once you have market knowledge. Table 3 shows a comparison between the realistic options based on FDI and the most relevant criteria to Tesco's scenario.</w:t>
      </w:r>
    </w:p>
    <w:p w14:paraId="243789F3" w14:textId="4BC976C1" w:rsidR="000D72DF" w:rsidRPr="004A2F10" w:rsidRDefault="00E218FF" w:rsidP="00E7579D">
      <w:pPr>
        <w:pStyle w:val="BodyText"/>
        <w:spacing w:before="0" w:after="0"/>
        <w:contextualSpacing/>
        <w:jc w:val="both"/>
        <w:rPr>
          <w:rFonts w:cs="Arial"/>
          <w:color w:val="000000" w:themeColor="text1"/>
        </w:rPr>
      </w:pPr>
      <w:r w:rsidRPr="004A2F10">
        <w:rPr>
          <w:rFonts w:cs="Arial"/>
          <w:b/>
          <w:color w:val="000000" w:themeColor="text1"/>
        </w:rPr>
        <w:t>Table 3: Comparison of Entry Mode Options for Tesco’s Entry into Bangladesh</w:t>
      </w:r>
    </w:p>
    <w:tbl>
      <w:tblPr>
        <w:tblStyle w:val="PlainTable1"/>
        <w:tblW w:w="5000" w:type="pct"/>
        <w:tblLook w:val="07E0" w:firstRow="1" w:lastRow="1" w:firstColumn="1" w:lastColumn="1" w:noHBand="1" w:noVBand="1"/>
      </w:tblPr>
      <w:tblGrid>
        <w:gridCol w:w="1706"/>
        <w:gridCol w:w="2294"/>
        <w:gridCol w:w="1784"/>
        <w:gridCol w:w="1070"/>
        <w:gridCol w:w="2768"/>
      </w:tblGrid>
      <w:tr w:rsidR="0017529D" w:rsidRPr="004A2F10" w14:paraId="53DA9ACF" w14:textId="77777777" w:rsidTr="00216F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1B3EC6C"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Entry Mode</w:t>
            </w:r>
          </w:p>
        </w:tc>
        <w:tc>
          <w:tcPr>
            <w:tcW w:w="0" w:type="auto"/>
          </w:tcPr>
          <w:p w14:paraId="6E81A719" w14:textId="77777777" w:rsidR="000D72DF" w:rsidRPr="004A2F10" w:rsidRDefault="00E218FF"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Political/Financial Risk</w:t>
            </w:r>
          </w:p>
        </w:tc>
        <w:tc>
          <w:tcPr>
            <w:tcW w:w="0" w:type="auto"/>
          </w:tcPr>
          <w:p w14:paraId="7EF46F4E" w14:textId="77777777" w:rsidR="000D72DF" w:rsidRPr="004A2F10" w:rsidRDefault="00E218FF"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Resource Commitment</w:t>
            </w:r>
          </w:p>
        </w:tc>
        <w:tc>
          <w:tcPr>
            <w:tcW w:w="0" w:type="auto"/>
          </w:tcPr>
          <w:p w14:paraId="025EF29C" w14:textId="77777777" w:rsidR="000D72DF" w:rsidRPr="004A2F10" w:rsidRDefault="00E218FF" w:rsidP="00783959">
            <w:pPr>
              <w:pStyle w:val="Compact"/>
              <w:spacing w:before="0" w:after="0" w:line="240" w:lineRule="auto"/>
              <w:contextualSpacing/>
              <w:jc w:val="both"/>
              <w:cnfStyle w:val="100000000000" w:firstRow="1"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Control</w:t>
            </w:r>
          </w:p>
        </w:tc>
        <w:tc>
          <w:tcPr>
            <w:cnfStyle w:val="000100000000" w:firstRow="0" w:lastRow="0" w:firstColumn="0" w:lastColumn="1" w:oddVBand="0" w:evenVBand="0" w:oddHBand="0" w:evenHBand="0" w:firstRowFirstColumn="0" w:firstRowLastColumn="0" w:lastRowFirstColumn="0" w:lastRowLastColumn="0"/>
            <w:tcW w:w="0" w:type="auto"/>
          </w:tcPr>
          <w:p w14:paraId="0F8DF41C" w14:textId="77777777" w:rsidR="000D72DF" w:rsidRPr="004A2F10" w:rsidRDefault="00E218FF" w:rsidP="00783959">
            <w:pPr>
              <w:pStyle w:val="Compact"/>
              <w:spacing w:before="0" w:after="0" w:line="240" w:lineRule="auto"/>
              <w:contextualSpacing/>
              <w:jc w:val="both"/>
              <w:rPr>
                <w:rFonts w:cs="Arial"/>
                <w:color w:val="000000" w:themeColor="text1"/>
              </w:rPr>
            </w:pPr>
            <w:r w:rsidRPr="004A2F10">
              <w:rPr>
                <w:rFonts w:cs="Arial"/>
                <w:color w:val="000000" w:themeColor="text1"/>
              </w:rPr>
              <w:t>Long-Term Fit</w:t>
            </w:r>
          </w:p>
        </w:tc>
      </w:tr>
      <w:tr w:rsidR="0017529D" w:rsidRPr="004A2F10" w14:paraId="23717942"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0471D05E"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Continued absence (status quo, sourcing only)</w:t>
            </w:r>
          </w:p>
        </w:tc>
        <w:tc>
          <w:tcPr>
            <w:tcW w:w="0" w:type="auto"/>
          </w:tcPr>
          <w:p w14:paraId="1D535F79"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Lowest</w:t>
            </w:r>
          </w:p>
        </w:tc>
        <w:tc>
          <w:tcPr>
            <w:tcW w:w="0" w:type="auto"/>
          </w:tcPr>
          <w:p w14:paraId="228256B6"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None</w:t>
            </w:r>
          </w:p>
        </w:tc>
        <w:tc>
          <w:tcPr>
            <w:tcW w:w="0" w:type="auto"/>
          </w:tcPr>
          <w:p w14:paraId="7D454EF8"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None</w:t>
            </w:r>
          </w:p>
        </w:tc>
        <w:tc>
          <w:tcPr>
            <w:cnfStyle w:val="000100000000" w:firstRow="0" w:lastRow="0" w:firstColumn="0" w:lastColumn="1" w:oddVBand="0" w:evenVBand="0" w:oddHBand="0" w:evenHBand="0" w:firstRowFirstColumn="0" w:firstRowLastColumn="0" w:lastRowFirstColumn="0" w:lastRowLastColumn="0"/>
            <w:tcW w:w="0" w:type="auto"/>
          </w:tcPr>
          <w:p w14:paraId="66F36B8A"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Poor: forgoes structural growth opportunity in an under-penetrated, fast-growing organised-retail market</w:t>
            </w:r>
          </w:p>
        </w:tc>
      </w:tr>
      <w:tr w:rsidR="0017529D" w:rsidRPr="004A2F10" w14:paraId="00B48C41"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53459093"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Joint </w:t>
            </w:r>
            <w:r w:rsidRPr="004A2F10">
              <w:rPr>
                <w:rFonts w:cs="Arial"/>
                <w:b w:val="0"/>
                <w:bCs w:val="0"/>
                <w:color w:val="000000" w:themeColor="text1"/>
              </w:rPr>
              <w:t xml:space="preserve">venture with a leading local retail </w:t>
            </w:r>
            <w:r w:rsidRPr="004A2F10">
              <w:rPr>
                <w:rFonts w:cs="Arial"/>
                <w:b w:val="0"/>
                <w:bCs w:val="0"/>
                <w:color w:val="000000" w:themeColor="text1"/>
              </w:rPr>
              <w:lastRenderedPageBreak/>
              <w:t>group</w:t>
            </w:r>
          </w:p>
        </w:tc>
        <w:tc>
          <w:tcPr>
            <w:tcW w:w="0" w:type="auto"/>
          </w:tcPr>
          <w:p w14:paraId="2EC828B3"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lastRenderedPageBreak/>
              <w:t>Moderate</w:t>
            </w:r>
          </w:p>
        </w:tc>
        <w:tc>
          <w:tcPr>
            <w:tcW w:w="0" w:type="auto"/>
          </w:tcPr>
          <w:p w14:paraId="4FCE37F0"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Moderate</w:t>
            </w:r>
          </w:p>
        </w:tc>
        <w:tc>
          <w:tcPr>
            <w:tcW w:w="0" w:type="auto"/>
          </w:tcPr>
          <w:p w14:paraId="3544D505"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Shared</w:t>
            </w:r>
          </w:p>
        </w:tc>
        <w:tc>
          <w:tcPr>
            <w:cnfStyle w:val="000100000000" w:firstRow="0" w:lastRow="0" w:firstColumn="0" w:lastColumn="1" w:oddVBand="0" w:evenVBand="0" w:oddHBand="0" w:evenHBand="0" w:firstRowFirstColumn="0" w:firstRowLastColumn="0" w:lastRowFirstColumn="0" w:lastRowLastColumn="0"/>
            <w:tcW w:w="0" w:type="auto"/>
          </w:tcPr>
          <w:p w14:paraId="2CACEAB2"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Strong fit: mirrors Tesco’s own India precedent, shares </w:t>
            </w:r>
            <w:r w:rsidRPr="004A2F10">
              <w:rPr>
                <w:rFonts w:cs="Arial"/>
                <w:b w:val="0"/>
                <w:bCs w:val="0"/>
                <w:color w:val="000000" w:themeColor="text1"/>
              </w:rPr>
              <w:lastRenderedPageBreak/>
              <w:t>political and regulatory risk, and leverages a partner’s local trust and property access</w:t>
            </w:r>
          </w:p>
        </w:tc>
      </w:tr>
      <w:tr w:rsidR="0017529D" w:rsidRPr="004A2F10" w14:paraId="67B1CBB0" w14:textId="77777777" w:rsidTr="00216F92">
        <w:tc>
          <w:tcPr>
            <w:cnfStyle w:val="001000000000" w:firstRow="0" w:lastRow="0" w:firstColumn="1" w:lastColumn="0" w:oddVBand="0" w:evenVBand="0" w:oddHBand="0" w:evenHBand="0" w:firstRowFirstColumn="0" w:firstRowLastColumn="0" w:lastRowFirstColumn="0" w:lastRowLastColumn="0"/>
            <w:tcW w:w="0" w:type="auto"/>
          </w:tcPr>
          <w:p w14:paraId="29754812"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lastRenderedPageBreak/>
              <w:t>Wholly owned subsidiary (greenfield stores)</w:t>
            </w:r>
          </w:p>
        </w:tc>
        <w:tc>
          <w:tcPr>
            <w:tcW w:w="0" w:type="auto"/>
          </w:tcPr>
          <w:p w14:paraId="135AA5B2"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tcW w:w="0" w:type="auto"/>
          </w:tcPr>
          <w:p w14:paraId="179363C3"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tcW w:w="0" w:type="auto"/>
          </w:tcPr>
          <w:p w14:paraId="0C66F39E" w14:textId="77777777" w:rsidR="000D72DF" w:rsidRPr="004A2F10" w:rsidRDefault="00E218FF" w:rsidP="00783959">
            <w:pPr>
              <w:pStyle w:val="Compact"/>
              <w:spacing w:before="0" w:after="0" w:line="240" w:lineRule="auto"/>
              <w:contextualSpacing/>
              <w:jc w:val="both"/>
              <w:cnfStyle w:val="000000000000" w:firstRow="0" w:lastRow="0" w:firstColumn="0" w:lastColumn="0" w:oddVBand="0" w:evenVBand="0" w:oddHBand="0" w:evenHBand="0" w:firstRowFirstColumn="0" w:firstRowLastColumn="0" w:lastRowFirstColumn="0" w:lastRowLastColumn="0"/>
              <w:rPr>
                <w:rFonts w:cs="Arial"/>
                <w:color w:val="000000" w:themeColor="text1"/>
              </w:rPr>
            </w:pPr>
            <w:r w:rsidRPr="004A2F10">
              <w:rPr>
                <w:rFonts w:cs="Arial"/>
                <w:color w:val="000000" w:themeColor="text1"/>
              </w:rPr>
              <w:t>High</w:t>
            </w:r>
          </w:p>
        </w:tc>
        <w:tc>
          <w:tcPr>
            <w:cnfStyle w:val="000100000000" w:firstRow="0" w:lastRow="0" w:firstColumn="0" w:lastColumn="1" w:oddVBand="0" w:evenVBand="0" w:oddHBand="0" w:evenHBand="0" w:firstRowFirstColumn="0" w:firstRowLastColumn="0" w:lastRowFirstColumn="0" w:lastRowLastColumn="0"/>
            <w:tcW w:w="0" w:type="auto"/>
          </w:tcPr>
          <w:p w14:paraId="649C9FF8"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Poor fit given current political risk; inconsistent with Tesco’s repeated exits from unfamiliar Asian markets entered without a local partner</w:t>
            </w:r>
          </w:p>
        </w:tc>
      </w:tr>
      <w:tr w:rsidR="0017529D" w:rsidRPr="004A2F10" w14:paraId="75656396" w14:textId="77777777" w:rsidTr="00216F92">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8F564DB"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Acquisition of an existing local chain</w:t>
            </w:r>
          </w:p>
        </w:tc>
        <w:tc>
          <w:tcPr>
            <w:tcW w:w="0" w:type="auto"/>
          </w:tcPr>
          <w:p w14:paraId="192AE1E1" w14:textId="77777777" w:rsidR="000D72DF" w:rsidRPr="004A2F10" w:rsidRDefault="00E218FF"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Moderate to high</w:t>
            </w:r>
          </w:p>
        </w:tc>
        <w:tc>
          <w:tcPr>
            <w:tcW w:w="0" w:type="auto"/>
          </w:tcPr>
          <w:p w14:paraId="1D2830AF" w14:textId="77777777" w:rsidR="000D72DF" w:rsidRPr="004A2F10" w:rsidRDefault="00E218FF"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w:t>
            </w:r>
          </w:p>
        </w:tc>
        <w:tc>
          <w:tcPr>
            <w:tcW w:w="0" w:type="auto"/>
          </w:tcPr>
          <w:p w14:paraId="29E0690A" w14:textId="77777777" w:rsidR="000D72DF" w:rsidRPr="004A2F10" w:rsidRDefault="00E218FF" w:rsidP="00783959">
            <w:pPr>
              <w:pStyle w:val="Compact"/>
              <w:spacing w:before="0" w:after="0" w:line="240" w:lineRule="auto"/>
              <w:contextualSpacing/>
              <w:jc w:val="both"/>
              <w:cnfStyle w:val="010000000000" w:firstRow="0" w:lastRow="1" w:firstColumn="0" w:lastColumn="0" w:oddVBand="0" w:evenVBand="0" w:oddHBand="0" w:evenHBand="0" w:firstRowFirstColumn="0" w:firstRowLastColumn="0" w:lastRowFirstColumn="0" w:lastRowLastColumn="0"/>
              <w:rPr>
                <w:rFonts w:cs="Arial"/>
                <w:b w:val="0"/>
                <w:bCs w:val="0"/>
                <w:color w:val="000000" w:themeColor="text1"/>
              </w:rPr>
            </w:pPr>
            <w:r w:rsidRPr="004A2F10">
              <w:rPr>
                <w:rFonts w:cs="Arial"/>
                <w:b w:val="0"/>
                <w:bCs w:val="0"/>
                <w:color w:val="000000" w:themeColor="text1"/>
              </w:rPr>
              <w:t>High</w:t>
            </w:r>
          </w:p>
        </w:tc>
        <w:tc>
          <w:tcPr>
            <w:cnfStyle w:val="000100000000" w:firstRow="0" w:lastRow="0" w:firstColumn="0" w:lastColumn="1" w:oddVBand="0" w:evenVBand="0" w:oddHBand="0" w:evenHBand="0" w:firstRowFirstColumn="0" w:firstRowLastColumn="0" w:lastRowFirstColumn="0" w:lastRowLastColumn="0"/>
            <w:tcW w:w="0" w:type="auto"/>
          </w:tcPr>
          <w:p w14:paraId="212A78B4" w14:textId="77777777" w:rsidR="000D72DF" w:rsidRPr="004A2F10" w:rsidRDefault="00E218FF" w:rsidP="00783959">
            <w:pPr>
              <w:pStyle w:val="Compact"/>
              <w:spacing w:before="0" w:after="0" w:line="240" w:lineRule="auto"/>
              <w:contextualSpacing/>
              <w:jc w:val="both"/>
              <w:rPr>
                <w:rFonts w:cs="Arial"/>
                <w:b w:val="0"/>
                <w:bCs w:val="0"/>
                <w:color w:val="000000" w:themeColor="text1"/>
              </w:rPr>
            </w:pPr>
            <w:r w:rsidRPr="004A2F10">
              <w:rPr>
                <w:rFonts w:cs="Arial"/>
                <w:b w:val="0"/>
                <w:bCs w:val="0"/>
                <w:color w:val="000000" w:themeColor="text1"/>
              </w:rPr>
              <w:t xml:space="preserve">Weak fit currently: leading </w:t>
            </w:r>
            <w:r w:rsidRPr="004A2F10">
              <w:rPr>
                <w:rFonts w:cs="Arial"/>
                <w:b w:val="0"/>
                <w:bCs w:val="0"/>
                <w:color w:val="000000" w:themeColor="text1"/>
              </w:rPr>
              <w:t>incumbents such as Shwapno are not evidently for sale, and full acquisition would concentrate rather than share political risk</w:t>
            </w:r>
          </w:p>
        </w:tc>
      </w:tr>
    </w:tbl>
    <w:p w14:paraId="6D7A88F2" w14:textId="58477663" w:rsidR="0018705B" w:rsidRPr="004A2F10" w:rsidRDefault="00D362E5" w:rsidP="0018705B">
      <w:pPr>
        <w:pStyle w:val="FirstParagraph"/>
        <w:spacing w:before="0" w:after="0"/>
        <w:contextualSpacing/>
        <w:jc w:val="both"/>
        <w:rPr>
          <w:rFonts w:cs="Arial"/>
          <w:b/>
          <w:bCs/>
          <w:color w:val="000000" w:themeColor="text1"/>
        </w:rPr>
      </w:pPr>
      <w:r>
        <w:rPr>
          <w:rFonts w:cs="Arial"/>
          <w:b/>
          <w:bCs/>
          <w:color w:val="000000" w:themeColor="text1"/>
        </w:rPr>
        <w:t xml:space="preserve">5. </w:t>
      </w:r>
      <w:bookmarkStart w:id="32" w:name="_GoBack"/>
      <w:bookmarkEnd w:id="32"/>
      <w:r w:rsidR="0018705B" w:rsidRPr="004A2F10">
        <w:rPr>
          <w:rFonts w:cs="Arial"/>
          <w:b/>
          <w:bCs/>
          <w:color w:val="000000" w:themeColor="text1"/>
        </w:rPr>
        <w:t>Recommendations</w:t>
      </w:r>
    </w:p>
    <w:p w14:paraId="10E4AE71" w14:textId="77777777" w:rsidR="0018705B" w:rsidRPr="004A2F10"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Instead of leaving Tesco out of Bangladesh or establishing a 100% subsidiary, it would be better to adopt a joint venture entry mode with a well-capitalised local partner who has strong political, regulatory and reputational connections.</w:t>
      </w:r>
    </w:p>
    <w:p w14:paraId="3004E8B6" w14:textId="77777777" w:rsidR="0018705B" w:rsidRPr="004A2F10" w:rsidRDefault="0018705B" w:rsidP="0018705B">
      <w:pPr>
        <w:pStyle w:val="FirstParagraph"/>
        <w:numPr>
          <w:ilvl w:val="0"/>
          <w:numId w:val="5"/>
        </w:numPr>
        <w:spacing w:before="0" w:after="0"/>
        <w:contextualSpacing/>
        <w:jc w:val="both"/>
        <w:rPr>
          <w:rFonts w:cs="Arial"/>
          <w:bCs/>
          <w:color w:val="000000" w:themeColor="text1"/>
        </w:rPr>
      </w:pPr>
      <w:r w:rsidRPr="004A2F10">
        <w:rPr>
          <w:rFonts w:cs="Arial"/>
          <w:color w:val="000000" w:themeColor="text1"/>
        </w:rPr>
        <w:t xml:space="preserve">Consider the joint venture as a viable choice at this stage of market and political insecurities, not a structural preference. </w:t>
      </w:r>
      <w:r w:rsidRPr="004A2F10">
        <w:rPr>
          <w:rFonts w:cs="Arial"/>
          <w:bCs/>
          <w:color w:val="000000" w:themeColor="text1"/>
        </w:rPr>
        <w:t>Consistent with its own precedent in South Korea and India, Tesco can re-negotiate or take a larger stake in the company when the institutional setting is more mature and the company has a solid retail experience in Bangladesh.</w:t>
      </w:r>
    </w:p>
    <w:p w14:paraId="476068C8" w14:textId="77777777" w:rsidR="0018705B" w:rsidRPr="004A2F10"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 xml:space="preserve">A retail specialist is not an ideal partner; it should be someone from a proven conglomerate already working in either the fast-moving consumer goods or property industry in Bangladesh. Tesco would bring the retail format, private label and supply chain skills, while the local partner would offer local regulatory relationships, access to property and cultural trust, all of which are important to the quick adoption of organised retail, as identified in Section 3.4. Research on partner selection further indicates that the congruence of the goals, complementarity of skills and commitment to the joint venture are the most </w:t>
      </w:r>
      <w:r w:rsidRPr="004A2F10">
        <w:rPr>
          <w:rFonts w:cs="Arial"/>
          <w:color w:val="000000" w:themeColor="text1"/>
        </w:rPr>
        <w:lastRenderedPageBreak/>
        <w:t>important determinants of the success of the joint venture (Goyal and Dubey, 2025).</w:t>
      </w:r>
    </w:p>
    <w:p w14:paraId="7DA3D501" w14:textId="58A09241" w:rsidR="0018705B" w:rsidRDefault="0018705B" w:rsidP="0018705B">
      <w:pPr>
        <w:pStyle w:val="FirstParagraph"/>
        <w:numPr>
          <w:ilvl w:val="0"/>
          <w:numId w:val="5"/>
        </w:numPr>
        <w:spacing w:before="0" w:after="0"/>
        <w:contextualSpacing/>
        <w:jc w:val="both"/>
        <w:rPr>
          <w:rFonts w:cs="Arial"/>
          <w:color w:val="000000" w:themeColor="text1"/>
        </w:rPr>
      </w:pPr>
      <w:r w:rsidRPr="004A2F10">
        <w:rPr>
          <w:rFonts w:cs="Arial"/>
          <w:color w:val="000000" w:themeColor="text1"/>
        </w:rPr>
        <w:t>Consider a period until the February 2026 election, and the immediate aftermath, as a monitoring window, and wait for a credible and stable government before making major capital investments and store roll-outs. It mirrors what Tesco has done in the past – opting for a risk and capital-shared partnership over an exposed high-control move into new territory.</w:t>
      </w:r>
    </w:p>
    <w:p w14:paraId="60125207" w14:textId="77777777" w:rsidR="00D362E5" w:rsidRPr="00D362E5" w:rsidRDefault="00D362E5" w:rsidP="00D362E5">
      <w:pPr>
        <w:pStyle w:val="BodyText"/>
      </w:pPr>
    </w:p>
    <w:p w14:paraId="4892F256" w14:textId="49A477C5" w:rsidR="00CE27B3" w:rsidRPr="004A2F10" w:rsidRDefault="00CE27B3" w:rsidP="00CE27B3">
      <w:pPr>
        <w:pStyle w:val="Heading2"/>
        <w:spacing w:before="0"/>
        <w:contextualSpacing/>
        <w:jc w:val="both"/>
        <w:rPr>
          <w:rFonts w:ascii="Arial" w:hAnsi="Arial" w:cs="Arial"/>
          <w:color w:val="000000" w:themeColor="text1"/>
          <w:sz w:val="24"/>
          <w:szCs w:val="24"/>
        </w:rPr>
      </w:pPr>
      <w:r w:rsidRPr="004A2F10">
        <w:rPr>
          <w:rFonts w:ascii="Arial" w:hAnsi="Arial" w:cs="Arial"/>
          <w:color w:val="000000" w:themeColor="text1"/>
          <w:sz w:val="24"/>
          <w:szCs w:val="24"/>
        </w:rPr>
        <w:t xml:space="preserve">5. Conclusion </w:t>
      </w:r>
    </w:p>
    <w:p w14:paraId="48679AA5" w14:textId="77777777" w:rsidR="00CE27B3" w:rsidRPr="004A2F10" w:rsidRDefault="00CE27B3" w:rsidP="00CE27B3">
      <w:pPr>
        <w:pStyle w:val="FirstParagraph"/>
        <w:spacing w:before="0" w:after="0"/>
        <w:contextualSpacing/>
        <w:jc w:val="both"/>
        <w:rPr>
          <w:rFonts w:cs="Arial"/>
          <w:color w:val="000000" w:themeColor="text1"/>
        </w:rPr>
      </w:pPr>
      <w:r w:rsidRPr="004A2F10">
        <w:rPr>
          <w:rFonts w:cs="Arial"/>
          <w:color w:val="000000" w:themeColor="text1"/>
        </w:rPr>
        <w:t xml:space="preserve">The evidence suggests that the best way for Tesco to enter Bangladesh would be via a joint venture with a partner with political, regulatory and reputational connections and a solid financial backing to handle the risks of such a venture, rather than to either fill the void left by their current non-existence in Bangladesh or to re-enter the fully owned subsidiary model that proved unsuccessful in other similar markets in Asia that were largely unfamiliar to Tesco. This is in line with OLI conclusion of Section 3.5: ownership, location and </w:t>
      </w:r>
      <w:proofErr w:type="spellStart"/>
      <w:r w:rsidRPr="004A2F10">
        <w:rPr>
          <w:rFonts w:cs="Arial"/>
          <w:color w:val="000000" w:themeColor="text1"/>
        </w:rPr>
        <w:t>internalisation</w:t>
      </w:r>
      <w:proofErr w:type="spellEnd"/>
      <w:r w:rsidRPr="004A2F10">
        <w:rPr>
          <w:rFonts w:cs="Arial"/>
          <w:color w:val="000000" w:themeColor="text1"/>
        </w:rPr>
        <w:t xml:space="preserve"> advantages are all present in the case of Bangladesh, which makes FDI a better option than exporting, licensing or franchising, but the short-term political risk and cultural premium on locally connected partners still make a shared control joint venture a better option than an immediate wholly owned subsidiary.</w:t>
      </w:r>
    </w:p>
    <w:p w14:paraId="34C36F55" w14:textId="77777777" w:rsidR="00CE27B3" w:rsidRPr="00CE27B3" w:rsidRDefault="00CE27B3" w:rsidP="00CE27B3">
      <w:pPr>
        <w:pStyle w:val="BodyText"/>
      </w:pPr>
    </w:p>
    <w:p w14:paraId="35305FFA" w14:textId="77777777" w:rsidR="0018705B" w:rsidRPr="004A2F10" w:rsidRDefault="0018705B" w:rsidP="0018705B">
      <w:pPr>
        <w:pStyle w:val="BodyText"/>
      </w:pPr>
    </w:p>
    <w:p w14:paraId="32277712" w14:textId="77777777" w:rsidR="000D72DF" w:rsidRPr="004A2F10" w:rsidRDefault="00E218FF" w:rsidP="0018705B">
      <w:pPr>
        <w:pStyle w:val="Heading1"/>
        <w:spacing w:before="0"/>
        <w:contextualSpacing/>
        <w:jc w:val="both"/>
        <w:rPr>
          <w:rFonts w:ascii="Arial" w:hAnsi="Arial" w:cs="Arial"/>
          <w:color w:val="000000" w:themeColor="text1"/>
          <w:sz w:val="24"/>
          <w:szCs w:val="24"/>
        </w:rPr>
      </w:pPr>
      <w:bookmarkStart w:id="33" w:name="section-2-reflective-account"/>
      <w:bookmarkStart w:id="34" w:name="_Toc236047542"/>
      <w:r w:rsidRPr="004A2F10">
        <w:rPr>
          <w:rFonts w:ascii="Arial" w:hAnsi="Arial" w:cs="Arial"/>
          <w:color w:val="000000" w:themeColor="text1"/>
          <w:sz w:val="24"/>
          <w:szCs w:val="24"/>
        </w:rPr>
        <w:t>Section 2: Reflective Account</w:t>
      </w:r>
      <w:bookmarkEnd w:id="33"/>
      <w:bookmarkEnd w:id="34"/>
    </w:p>
    <w:p w14:paraId="4958A815"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color w:val="000000" w:themeColor="text1"/>
        </w:rPr>
        <w:t>I organized this reflection around Gibbs' (1988) reflective cycle as it had a more explicit and sequential structure, allowing me to distinguish between what I did and what I learned from reflecting on a single bounded reflection task, as Kolb's cycle was more circular.</w:t>
      </w:r>
    </w:p>
    <w:p w14:paraId="693506A4"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Description.</w:t>
      </w:r>
      <w:r w:rsidRPr="004A2F10">
        <w:rPr>
          <w:rFonts w:cs="Arial"/>
          <w:color w:val="000000" w:themeColor="text1"/>
        </w:rPr>
        <w:t xml:space="preserve"> The task was to pick a real multinational company and a country where the company had no strong presence, and develop an evidence-based argument for entry strategy based on a number of different theoretical approaches, namely Bartlett and </w:t>
      </w:r>
      <w:r w:rsidRPr="004A2F10">
        <w:rPr>
          <w:rFonts w:cs="Arial"/>
          <w:color w:val="000000" w:themeColor="text1"/>
        </w:rPr>
        <w:lastRenderedPageBreak/>
        <w:t>Ghoshal's typology, OLI paradigm and entry mode theory, with a limited word count. I selected Tesco and Bangladesh because the relationship between the two is not a straightforward “no presence at all”, as Tesco has been buying garments from Bangladeshi factories for more than 20 years, and has contributed to the development of the factory safety standards there, but has yet to open any retail stores or have any distribution presence there. The assignment was framed around that asymmetry, where there is a very strong connection with the supply side and no demand side, which meant that the analysis had a much clearer question to answer than a generic “should this company enter this country” question would have.</w:t>
      </w:r>
    </w:p>
    <w:p w14:paraId="324CB9B0"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Feelings.</w:t>
      </w:r>
      <w:r w:rsidRPr="004A2F10">
        <w:rPr>
          <w:rFonts w:cs="Arial"/>
          <w:color w:val="000000" w:themeColor="text1"/>
        </w:rPr>
        <w:t xml:space="preserve"> As I began the research, I was a little bit worried about how much of the current material I would have to deal with, as the political scenario in Bangladesh was still in the midst of change at the time of writing. That initial uncertainty was replaced by a greater feeling of engagement when I began to work through Tesco's own history of market entries and exits, the United States, Japan, China, Thailand, Malaysia, South Korea, and Bangladesh was a new market for them, and one that is risky, and one that they have not visited before. The challenge of balancing the underlying retail growth potential of Bangladesh and its volatile short-term political landscape was where the analysis was most truly critical, as it had to hold two truths in tension and not opt for a convenient conclusion either way.</w:t>
      </w:r>
    </w:p>
    <w:p w14:paraId="447C754C"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Evaluation.</w:t>
      </w:r>
      <w:r w:rsidRPr="004A2F10">
        <w:rPr>
          <w:rFonts w:cs="Arial"/>
          <w:color w:val="000000" w:themeColor="text1"/>
        </w:rPr>
        <w:t xml:space="preserve"> What worked well was having a single organising insight in the entire report, that the insight that Tesco's own has given is the best available evidence for how they should enter Bangladesh, and to carry that insight through the strategic classification, the environmental appraisal and the entry mode recommendation. This also involved each section developing on the previous one, rather than repeating it, which reduced repetition in a lengthy, multipart report. What did not go so well was dealing with the quantity of fast-moving political and economic information on Bangladesh, which was not yet academic literature but rather news reporting, and so I had to be careful not to confuse well-sourced factual claims, like the dates of elections, or the figures of FDI, with more speculative commentary; and not to give the impression of certainty when it was not.</w:t>
      </w:r>
    </w:p>
    <w:p w14:paraId="75ACAEB6"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lastRenderedPageBreak/>
        <w:t>Analysis.</w:t>
      </w:r>
      <w:r w:rsidRPr="004A2F10">
        <w:rPr>
          <w:rFonts w:cs="Arial"/>
          <w:color w:val="000000" w:themeColor="text1"/>
        </w:rPr>
        <w:t xml:space="preserve"> The challenge in the main research was balancing the two very different evidence bases: Tesco's UK and European operations are very well documented, but equally credible, specific evidence about the retail sector in Bangladesh and the current political situation was more fragmented and dispersed across news sources than academic literature. To overcome this, I have focused on content with clearly identifiable authorship or institutional origin, such as the IMF, the World Bank, the U.S. Department of State, and peer-reviewed journal articles, including a directly relevant case study of Tesco's own market entry in India, rather than on content that is less traceable, as in market reports, where I have cross-checked politically sensitive content against more than one source of origin. The module's work on FDI theory, especially the decomposition of ownership advantage/location advantage/ internalisation advantage, was the most useful analytical tool in the assignment as it allowed me to hold two competing pieces of evidence in my mind: Bangladesh's organised-retail growth is a strong location advantage, and Bangladesh's current political instability is a strong reason to doubt internalisation efficiency, so I could reach a conclusion that both these pieces of evidence were true simultaneously, and the answer was a shared-control entry mode, not a simple accept-or-reject decision.</w:t>
      </w:r>
    </w:p>
    <w:p w14:paraId="7CB76E9B" w14:textId="77777777"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t>Conclusion</w:t>
      </w:r>
      <w:r w:rsidRPr="004A2F10">
        <w:rPr>
          <w:rFonts w:cs="Arial"/>
          <w:color w:val="000000" w:themeColor="text1"/>
        </w:rPr>
        <w:t>. Looking back, I could have worked with the entry mode literature earlier than when I did the macro-environmental appraisal; in a sense, the OLI synthesis was already making an entry mode argument, which sometimes meant that I'd got ahead of myself with conclusions when I hadn't yet drawn them to myself; a little restructuring during editing was required to avoid the same justification twice. I also feel that the use of secondary data sources, which is acknowledged in the assignment brief as a limitation, has been a constraint in this type of desk based research as opposed to primary data such as interviews with Tesco or Bangladeshi retail executives. Another constraint specific to this topic is the risk of the political situation in Bangladesh changing rapidly during the research and writing process, and the election, which was scheduled for February 2026, had not yet occurred at the time of submission; this meant that I was forced to caveat a lot more than I would have been if the political situation had been more stable in my host country.</w:t>
      </w:r>
    </w:p>
    <w:p w14:paraId="7849498A" w14:textId="241B1F21" w:rsidR="000237E3" w:rsidRPr="004A2F10" w:rsidRDefault="000237E3" w:rsidP="00E7579D">
      <w:pPr>
        <w:pStyle w:val="FirstParagraph"/>
        <w:spacing w:before="0" w:after="0"/>
        <w:contextualSpacing/>
        <w:jc w:val="both"/>
        <w:rPr>
          <w:rFonts w:cs="Arial"/>
          <w:color w:val="000000" w:themeColor="text1"/>
        </w:rPr>
      </w:pPr>
      <w:r w:rsidRPr="004A2F10">
        <w:rPr>
          <w:rFonts w:cs="Arial"/>
          <w:b/>
          <w:bCs/>
          <w:color w:val="000000" w:themeColor="text1"/>
        </w:rPr>
        <w:lastRenderedPageBreak/>
        <w:t>Action Plan.</w:t>
      </w:r>
      <w:r w:rsidRPr="004A2F10">
        <w:rPr>
          <w:rFonts w:cs="Arial"/>
          <w:color w:val="000000" w:themeColor="text1"/>
        </w:rPr>
        <w:t xml:space="preserve"> In future research projects of this type, I would create an easy-to-use log of the citations from the beginning of the research process instead of creating it at the end to ensure that source details are not left out or misattributed under pressure. I would also write the entry mode and macro environmental sections concurrently because from the assignment, I realised that the OLI synthesis and entry mode recommendation go hand in hand. I would establish a definite end date, after which I would not add new current-affairs updates to a still-evolving political situation, and so the analysis would be a snapshot at a specific moment, rather than an attempt to be on top of the latest developments. Finally, having done some of the relevant case studies earlier in the process rather than just at the time of writing this reflection would have helped to hone my critical comparison of Tesco's historical entry mode pattern and the joint venture which this analysis ultimately suggests for Bangladesh.</w:t>
      </w:r>
    </w:p>
    <w:p w14:paraId="783A8BC3" w14:textId="77777777" w:rsidR="000237E3" w:rsidRPr="004A2F10" w:rsidRDefault="000237E3" w:rsidP="00E7579D">
      <w:pPr>
        <w:pStyle w:val="FirstParagraph"/>
        <w:spacing w:before="0" w:after="0"/>
        <w:contextualSpacing/>
        <w:jc w:val="both"/>
        <w:rPr>
          <w:rFonts w:cs="Arial"/>
          <w:color w:val="000000" w:themeColor="text1"/>
        </w:rPr>
      </w:pPr>
    </w:p>
    <w:p w14:paraId="13069D70" w14:textId="77777777" w:rsidR="000237E3" w:rsidRPr="004A2F10" w:rsidRDefault="000237E3" w:rsidP="00E7579D">
      <w:pPr>
        <w:pStyle w:val="FirstParagraph"/>
        <w:spacing w:before="0" w:after="0"/>
        <w:contextualSpacing/>
        <w:jc w:val="both"/>
        <w:rPr>
          <w:rFonts w:cs="Arial"/>
          <w:color w:val="000000" w:themeColor="text1"/>
        </w:rPr>
      </w:pPr>
    </w:p>
    <w:p w14:paraId="6996D8E1" w14:textId="77777777" w:rsidR="00334762" w:rsidRPr="004A2F10" w:rsidRDefault="00334762" w:rsidP="00334762">
      <w:pPr>
        <w:pStyle w:val="BodyText"/>
      </w:pPr>
    </w:p>
    <w:p w14:paraId="559D14D8" w14:textId="77777777" w:rsidR="00334762" w:rsidRPr="004A2F10" w:rsidRDefault="00334762" w:rsidP="00334762">
      <w:pPr>
        <w:pStyle w:val="BodyText"/>
      </w:pPr>
    </w:p>
    <w:p w14:paraId="6B34B097" w14:textId="77777777" w:rsidR="00334762" w:rsidRPr="004A2F10" w:rsidRDefault="00334762" w:rsidP="00334762">
      <w:pPr>
        <w:pStyle w:val="BodyText"/>
      </w:pPr>
    </w:p>
    <w:p w14:paraId="36CA3AC9" w14:textId="77777777" w:rsidR="00334762" w:rsidRPr="004A2F10" w:rsidRDefault="00334762" w:rsidP="00334762">
      <w:pPr>
        <w:pStyle w:val="BodyText"/>
      </w:pPr>
    </w:p>
    <w:p w14:paraId="19111B4E" w14:textId="77777777" w:rsidR="00334762" w:rsidRPr="004A2F10" w:rsidRDefault="00334762" w:rsidP="00334762">
      <w:pPr>
        <w:pStyle w:val="BodyText"/>
      </w:pPr>
    </w:p>
    <w:p w14:paraId="22115503" w14:textId="77777777" w:rsidR="00D53AF0" w:rsidRPr="004A2F10" w:rsidRDefault="00D53AF0" w:rsidP="00334762">
      <w:pPr>
        <w:pStyle w:val="BodyText"/>
      </w:pPr>
    </w:p>
    <w:p w14:paraId="5B991870" w14:textId="77777777" w:rsidR="00D53AF0" w:rsidRPr="004A2F10" w:rsidRDefault="00D53AF0" w:rsidP="00334762">
      <w:pPr>
        <w:pStyle w:val="BodyText"/>
      </w:pPr>
    </w:p>
    <w:p w14:paraId="41A2E8E2" w14:textId="77777777" w:rsidR="00D53AF0" w:rsidRPr="004A2F10" w:rsidRDefault="00D53AF0" w:rsidP="00334762">
      <w:pPr>
        <w:pStyle w:val="BodyText"/>
      </w:pPr>
    </w:p>
    <w:p w14:paraId="26698769" w14:textId="77777777" w:rsidR="000D72DF" w:rsidRPr="004A2F10" w:rsidRDefault="00E218FF" w:rsidP="00E7579D">
      <w:pPr>
        <w:pStyle w:val="Heading1"/>
        <w:spacing w:before="0"/>
        <w:contextualSpacing/>
        <w:jc w:val="both"/>
        <w:rPr>
          <w:rFonts w:ascii="Arial" w:hAnsi="Arial" w:cs="Arial"/>
          <w:color w:val="000000" w:themeColor="text1"/>
          <w:sz w:val="24"/>
          <w:szCs w:val="24"/>
        </w:rPr>
      </w:pPr>
      <w:bookmarkStart w:id="35" w:name="references"/>
      <w:bookmarkStart w:id="36" w:name="_Toc236047543"/>
      <w:r w:rsidRPr="004A2F10">
        <w:rPr>
          <w:rFonts w:ascii="Arial" w:hAnsi="Arial" w:cs="Arial"/>
          <w:color w:val="000000" w:themeColor="text1"/>
          <w:sz w:val="24"/>
          <w:szCs w:val="24"/>
        </w:rPr>
        <w:t>References</w:t>
      </w:r>
      <w:bookmarkEnd w:id="35"/>
      <w:bookmarkEnd w:id="36"/>
    </w:p>
    <w:p w14:paraId="397C850A" w14:textId="77777777" w:rsidR="000D72DF" w:rsidRPr="004A2F10" w:rsidRDefault="00E218FF" w:rsidP="00E7579D">
      <w:pPr>
        <w:pStyle w:val="FirstParagraph"/>
        <w:spacing w:before="0" w:after="0"/>
        <w:contextualSpacing/>
        <w:jc w:val="both"/>
        <w:rPr>
          <w:rFonts w:cs="Arial"/>
          <w:color w:val="000000" w:themeColor="text1"/>
        </w:rPr>
      </w:pPr>
      <w:r w:rsidRPr="004A2F10">
        <w:rPr>
          <w:rFonts w:cs="Arial"/>
          <w:color w:val="000000" w:themeColor="text1"/>
        </w:rPr>
        <w:t xml:space="preserve">Al Jazeera (2025). </w:t>
      </w:r>
      <w:r w:rsidRPr="004A2F10">
        <w:rPr>
          <w:rFonts w:cs="Arial"/>
          <w:i/>
          <w:color w:val="000000" w:themeColor="text1"/>
        </w:rPr>
        <w:t>Why the Future of Bangladesh’s Muhammad Yunus Administration Is Uncertain</w:t>
      </w:r>
      <w:r w:rsidRPr="004A2F10">
        <w:rPr>
          <w:rFonts w:cs="Arial"/>
          <w:color w:val="000000" w:themeColor="text1"/>
        </w:rPr>
        <w:t xml:space="preserve">. [online] Available at: </w:t>
      </w:r>
      <w:hyperlink r:id="rId17" w:history="1">
        <w:r w:rsidRPr="004A2F10">
          <w:rPr>
            <w:rFonts w:cs="Arial"/>
            <w:color w:val="0563C1"/>
            <w:u w:val="single"/>
          </w:rPr>
          <w:t>https://www.aljazeera.com/features/2025/5/24/why-is-bangladeshs-interim-leader-muhammad-yunus-considering-resigning</w:t>
        </w:r>
      </w:hyperlink>
      <w:r w:rsidRPr="004A2F10">
        <w:rPr>
          <w:rFonts w:cs="Arial"/>
          <w:color w:val="000000" w:themeColor="text1"/>
        </w:rPr>
        <w:t xml:space="preserve"> [Accessed 20 July 2026].</w:t>
      </w:r>
    </w:p>
    <w:p w14:paraId="790890F5"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Atlantic Council (2025). </w:t>
      </w:r>
      <w:r w:rsidRPr="004A2F10">
        <w:rPr>
          <w:rFonts w:cs="Arial"/>
          <w:i/>
          <w:color w:val="000000" w:themeColor="text1"/>
        </w:rPr>
        <w:t>What Bangladesh Has Achieved in the Year Since Its Revolution</w:t>
      </w:r>
      <w:r w:rsidRPr="004A2F10">
        <w:rPr>
          <w:rFonts w:cs="Arial"/>
          <w:color w:val="000000" w:themeColor="text1"/>
        </w:rPr>
        <w:t>. [online] Washington, DC</w:t>
      </w:r>
      <w:r w:rsidRPr="004A2F10">
        <w:rPr>
          <w:rFonts w:cs="Arial"/>
          <w:color w:val="000000" w:themeColor="text1"/>
        </w:rPr>
        <w:t xml:space="preserve">: Atlantic Council. Available at: </w:t>
      </w:r>
      <w:hyperlink r:id="rId18" w:history="1">
        <w:r w:rsidRPr="004A2F10">
          <w:rPr>
            <w:rFonts w:cs="Arial"/>
            <w:color w:val="0563C1"/>
            <w:u w:val="single"/>
          </w:rPr>
          <w:t>https://www.atlanticcouncil.org/blogs/new-atlanticist/what-bangladesh-has-achieved-in-the</w:t>
        </w:r>
        <w:r w:rsidRPr="004A2F10">
          <w:rPr>
            <w:rFonts w:cs="Arial"/>
            <w:color w:val="0563C1"/>
            <w:u w:val="single"/>
          </w:rPr>
          <w:t>-year-since-its-revolution/</w:t>
        </w:r>
      </w:hyperlink>
      <w:r w:rsidRPr="004A2F10">
        <w:rPr>
          <w:rFonts w:cs="Arial"/>
          <w:color w:val="000000" w:themeColor="text1"/>
        </w:rPr>
        <w:t xml:space="preserve"> [Accessed 20 July 2026].</w:t>
      </w:r>
    </w:p>
    <w:p w14:paraId="58ADF1B3"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Bangladesh Pratidin (2026). </w:t>
      </w:r>
      <w:r w:rsidRPr="004A2F10">
        <w:rPr>
          <w:rFonts w:cs="Arial"/>
          <w:i/>
          <w:color w:val="000000" w:themeColor="text1"/>
        </w:rPr>
        <w:t>Foreign Investment Continues to Slump amid Political Instability</w:t>
      </w:r>
      <w:r w:rsidRPr="004A2F10">
        <w:rPr>
          <w:rFonts w:cs="Arial"/>
          <w:color w:val="000000" w:themeColor="text1"/>
        </w:rPr>
        <w:t xml:space="preserve">. [online] Available at: </w:t>
      </w:r>
      <w:hyperlink r:id="rId19" w:history="1">
        <w:r w:rsidRPr="004A2F10">
          <w:rPr>
            <w:rFonts w:cs="Arial"/>
            <w:color w:val="0563C1"/>
            <w:u w:val="single"/>
          </w:rPr>
          <w:t>https://en.bd-prat</w:t>
        </w:r>
        <w:r w:rsidRPr="004A2F10">
          <w:rPr>
            <w:rFonts w:cs="Arial"/>
            <w:color w:val="0563C1"/>
            <w:u w:val="single"/>
          </w:rPr>
          <w:t>idin.com/special/2025/10/24/49354</w:t>
        </w:r>
      </w:hyperlink>
      <w:r w:rsidRPr="004A2F10">
        <w:rPr>
          <w:rFonts w:cs="Arial"/>
          <w:color w:val="000000" w:themeColor="text1"/>
        </w:rPr>
        <w:t xml:space="preserve"> [Accessed 20 July 2026].</w:t>
      </w:r>
    </w:p>
    <w:p w14:paraId="691273F4" w14:textId="77777777" w:rsidR="007D60A3"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Bano, N. and Liu, Y. (2025). Cross cultural adaptation challenges: a study on Chinese expatriates in Muslim countries along the Belt and Road. </w:t>
      </w:r>
      <w:r w:rsidRPr="004A2F10">
        <w:rPr>
          <w:rFonts w:cs="Arial"/>
          <w:i/>
          <w:color w:val="000000" w:themeColor="text1"/>
        </w:rPr>
        <w:t>International Journal of Cross Cultural Management</w:t>
      </w:r>
      <w:r w:rsidRPr="004A2F10">
        <w:rPr>
          <w:rFonts w:cs="Arial"/>
          <w:color w:val="000000" w:themeColor="text1"/>
        </w:rPr>
        <w:t>, 25</w:t>
      </w:r>
      <w:r w:rsidRPr="004A2F10">
        <w:rPr>
          <w:rFonts w:cs="Arial"/>
          <w:color w:val="000000" w:themeColor="text1"/>
        </w:rPr>
        <w:t>(1). doi:</w:t>
      </w:r>
      <w:hyperlink r:id="rId20" w:history="1">
        <w:r w:rsidRPr="004A2F10">
          <w:rPr>
            <w:rFonts w:cs="Arial"/>
            <w:color w:val="0563C1"/>
            <w:u w:val="single"/>
          </w:rPr>
          <w:t>10.1177/14705958251325689</w:t>
        </w:r>
      </w:hyperlink>
    </w:p>
    <w:p w14:paraId="3A649FDE" w14:textId="51366F1F"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Behera, A. (2025). Interrogating political crisis in Bangladesh: limited democracy, Islamization of polity, and external power politics. </w:t>
      </w:r>
      <w:r w:rsidRPr="004A2F10">
        <w:rPr>
          <w:rFonts w:cs="Arial"/>
          <w:i/>
          <w:color w:val="000000" w:themeColor="text1"/>
        </w:rPr>
        <w:t xml:space="preserve">Journal of Asian Security </w:t>
      </w:r>
      <w:r w:rsidRPr="004A2F10">
        <w:rPr>
          <w:rFonts w:cs="Arial"/>
          <w:i/>
          <w:color w:val="000000" w:themeColor="text1"/>
        </w:rPr>
        <w:t>and International Affairs</w:t>
      </w:r>
      <w:r w:rsidRPr="004A2F10">
        <w:rPr>
          <w:rFonts w:cs="Arial"/>
          <w:color w:val="000000" w:themeColor="text1"/>
        </w:rPr>
        <w:t>. doi:</w:t>
      </w:r>
      <w:hyperlink r:id="rId21" w:history="1">
        <w:r w:rsidRPr="004A2F10">
          <w:rPr>
            <w:rFonts w:cs="Arial"/>
            <w:color w:val="0563C1"/>
            <w:u w:val="single"/>
          </w:rPr>
          <w:t>10.1177/23477970251357705</w:t>
        </w:r>
      </w:hyperlink>
    </w:p>
    <w:p w14:paraId="4155DD71" w14:textId="064B3AF5"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Brouthers, K.D., Chen, L., Li, S. and Shaheer, N. (2022). Charting new courses to enter foreign markets: conceptualization, theoretical frame</w:t>
      </w:r>
      <w:r w:rsidRPr="004A2F10">
        <w:rPr>
          <w:rFonts w:cs="Arial"/>
          <w:color w:val="000000" w:themeColor="text1"/>
        </w:rPr>
        <w:t xml:space="preserve">work, and research directions on non-traditional entry modes. </w:t>
      </w:r>
      <w:r w:rsidRPr="004A2F10">
        <w:rPr>
          <w:rFonts w:cs="Arial"/>
          <w:i/>
          <w:color w:val="000000" w:themeColor="text1"/>
        </w:rPr>
        <w:t>Journal of International Business Studies</w:t>
      </w:r>
      <w:r w:rsidRPr="004A2F10">
        <w:rPr>
          <w:rFonts w:cs="Arial"/>
          <w:color w:val="000000" w:themeColor="text1"/>
        </w:rPr>
        <w:t>, 53(9), pp.1791-1812. doi:</w:t>
      </w:r>
      <w:hyperlink r:id="rId22" w:history="1">
        <w:r w:rsidRPr="004A2F10">
          <w:rPr>
            <w:rFonts w:cs="Arial"/>
            <w:color w:val="0563C1"/>
            <w:u w:val="single"/>
          </w:rPr>
          <w:t>10.1057/s41267-022-00521-x</w:t>
        </w:r>
      </w:hyperlink>
    </w:p>
    <w:p w14:paraId="161D1112"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Business Inspection BD (2025). </w:t>
      </w:r>
      <w:r w:rsidRPr="004A2F10">
        <w:rPr>
          <w:rFonts w:cs="Arial"/>
          <w:i/>
          <w:color w:val="000000" w:themeColor="text1"/>
        </w:rPr>
        <w:t>Top Large</w:t>
      </w:r>
      <w:r w:rsidRPr="004A2F10">
        <w:rPr>
          <w:rFonts w:cs="Arial"/>
          <w:i/>
          <w:color w:val="000000" w:themeColor="text1"/>
        </w:rPr>
        <w:t>st Supershop Chain Brands in Bangladesh</w:t>
      </w:r>
      <w:r w:rsidRPr="004A2F10">
        <w:rPr>
          <w:rFonts w:cs="Arial"/>
          <w:color w:val="000000" w:themeColor="text1"/>
        </w:rPr>
        <w:t xml:space="preserve">. [online] Available at: </w:t>
      </w:r>
      <w:hyperlink r:id="rId23" w:history="1">
        <w:r w:rsidRPr="004A2F10">
          <w:rPr>
            <w:rFonts w:cs="Arial"/>
            <w:color w:val="0563C1"/>
            <w:u w:val="single"/>
          </w:rPr>
          <w:t>https://businessinspection.com.bd/top-supershop-chains-in-bd/</w:t>
        </w:r>
      </w:hyperlink>
      <w:r w:rsidRPr="004A2F10">
        <w:rPr>
          <w:rFonts w:cs="Arial"/>
          <w:color w:val="000000" w:themeColor="text1"/>
        </w:rPr>
        <w:t xml:space="preserve"> [Accessed 20 July 2026].</w:t>
      </w:r>
    </w:p>
    <w:p w14:paraId="74248AEB" w14:textId="3E682DB5"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Chowdhury, S.H., Barua, S. and Chowdhury, S. (2022). Sustainability of ready-made garments industry and its contribution to economy of Bangladesh: a descriptive study. </w:t>
      </w:r>
      <w:r w:rsidRPr="004A2F10">
        <w:rPr>
          <w:rFonts w:cs="Arial"/>
          <w:i/>
          <w:color w:val="000000" w:themeColor="text1"/>
        </w:rPr>
        <w:t>European Business &amp; Management</w:t>
      </w:r>
      <w:r w:rsidRPr="004A2F10">
        <w:rPr>
          <w:rFonts w:cs="Arial"/>
          <w:color w:val="000000" w:themeColor="text1"/>
        </w:rPr>
        <w:t>, 8(5), pp.99-105. doi:</w:t>
      </w:r>
      <w:hyperlink r:id="rId24" w:history="1">
        <w:r w:rsidRPr="004A2F10">
          <w:rPr>
            <w:rFonts w:cs="Arial"/>
            <w:color w:val="0563C1"/>
            <w:u w:val="single"/>
          </w:rPr>
          <w:t>10.11648/j.ebm.20220805.11</w:t>
        </w:r>
      </w:hyperlink>
    </w:p>
    <w:p w14:paraId="38F2601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Coface (2024). </w:t>
      </w:r>
      <w:r w:rsidRPr="004A2F10">
        <w:rPr>
          <w:rFonts w:cs="Arial"/>
          <w:i/>
          <w:color w:val="000000" w:themeColor="text1"/>
        </w:rPr>
        <w:t>Country and Sector Risks Handbook 2024</w:t>
      </w:r>
      <w:r w:rsidRPr="004A2F10">
        <w:rPr>
          <w:rFonts w:cs="Arial"/>
          <w:color w:val="000000" w:themeColor="text1"/>
        </w:rPr>
        <w:t xml:space="preserve">. [online] Paris: Coface. Available at: </w:t>
      </w:r>
      <w:hyperlink r:id="rId25" w:history="1">
        <w:r w:rsidRPr="004A2F10">
          <w:rPr>
            <w:rFonts w:cs="Arial"/>
            <w:color w:val="0563C1"/>
            <w:u w:val="single"/>
          </w:rPr>
          <w:t>https://www.coface.com/news-econom</w:t>
        </w:r>
        <w:r w:rsidRPr="004A2F10">
          <w:rPr>
            <w:rFonts w:cs="Arial"/>
            <w:color w:val="0563C1"/>
            <w:u w:val="single"/>
          </w:rPr>
          <w:t>y-and-insights/country-risk</w:t>
        </w:r>
      </w:hyperlink>
      <w:r w:rsidRPr="004A2F10">
        <w:rPr>
          <w:rFonts w:cs="Arial"/>
          <w:color w:val="000000" w:themeColor="text1"/>
        </w:rPr>
        <w:t xml:space="preserve"> [Accessed 20 July 2026].</w:t>
      </w:r>
    </w:p>
    <w:p w14:paraId="455D42F9"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Collinson, S., Narula, R. and Rugman, A.M. (2020). </w:t>
      </w:r>
      <w:r w:rsidRPr="004A2F10">
        <w:rPr>
          <w:rFonts w:cs="Arial"/>
          <w:i/>
          <w:color w:val="000000" w:themeColor="text1"/>
        </w:rPr>
        <w:t>International Business</w:t>
      </w:r>
      <w:r w:rsidRPr="004A2F10">
        <w:rPr>
          <w:rFonts w:cs="Arial"/>
          <w:color w:val="000000" w:themeColor="text1"/>
        </w:rPr>
        <w:t>. 8th ed. Harlow: Pearson Education.</w:t>
      </w:r>
    </w:p>
    <w:p w14:paraId="25DF2486"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Daniels, J.D., Radebaugh, L.H., Sullivan, D.P. and Click, R.W. (2022). </w:t>
      </w:r>
      <w:r w:rsidRPr="004A2F10">
        <w:rPr>
          <w:rFonts w:cs="Arial"/>
          <w:i/>
          <w:color w:val="000000" w:themeColor="text1"/>
        </w:rPr>
        <w:t>International Business</w:t>
      </w:r>
      <w:r w:rsidRPr="004A2F10">
        <w:rPr>
          <w:rFonts w:cs="Arial"/>
          <w:i/>
          <w:color w:val="000000" w:themeColor="text1"/>
        </w:rPr>
        <w:t>: Environments and Operations</w:t>
      </w:r>
      <w:r w:rsidRPr="004A2F10">
        <w:rPr>
          <w:rFonts w:cs="Arial"/>
          <w:color w:val="000000" w:themeColor="text1"/>
        </w:rPr>
        <w:t>. 17th ed. Harlow: Pearson Education.</w:t>
      </w:r>
    </w:p>
    <w:p w14:paraId="7C88E8E4"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Daily Sun (2025). </w:t>
      </w:r>
      <w:r w:rsidRPr="004A2F10">
        <w:rPr>
          <w:rFonts w:cs="Arial"/>
          <w:i/>
          <w:color w:val="000000" w:themeColor="text1"/>
        </w:rPr>
        <w:t>Foreign Investment Falls 18%</w:t>
      </w:r>
      <w:r w:rsidRPr="004A2F10">
        <w:rPr>
          <w:rFonts w:cs="Arial"/>
          <w:color w:val="000000" w:themeColor="text1"/>
        </w:rPr>
        <w:t xml:space="preserve">. [online] Available at: </w:t>
      </w:r>
      <w:hyperlink r:id="rId26" w:history="1">
        <w:r w:rsidRPr="004A2F10">
          <w:rPr>
            <w:rFonts w:cs="Arial"/>
            <w:color w:val="0563C1"/>
            <w:u w:val="single"/>
          </w:rPr>
          <w:t>https://www.daily-sun.com/busine</w:t>
        </w:r>
        <w:r w:rsidRPr="004A2F10">
          <w:rPr>
            <w:rFonts w:cs="Arial"/>
            <w:color w:val="0563C1"/>
            <w:u w:val="single"/>
          </w:rPr>
          <w:t>ss/869689/foreign-investment-falls-18</w:t>
        </w:r>
      </w:hyperlink>
      <w:r w:rsidRPr="004A2F10">
        <w:rPr>
          <w:rFonts w:cs="Arial"/>
          <w:color w:val="000000" w:themeColor="text1"/>
        </w:rPr>
        <w:t xml:space="preserve"> [Accessed 20 July 2026].</w:t>
      </w:r>
    </w:p>
    <w:p w14:paraId="2B5B663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Economics Online (2024). </w:t>
      </w:r>
      <w:r w:rsidRPr="004A2F10">
        <w:rPr>
          <w:rFonts w:cs="Arial"/>
          <w:i/>
          <w:color w:val="000000" w:themeColor="text1"/>
        </w:rPr>
        <w:t>Tesco and Booker Merger</w:t>
      </w:r>
      <w:r w:rsidRPr="004A2F10">
        <w:rPr>
          <w:rFonts w:cs="Arial"/>
          <w:color w:val="000000" w:themeColor="text1"/>
        </w:rPr>
        <w:t xml:space="preserve">. [online] Available at: </w:t>
      </w:r>
      <w:hyperlink r:id="rId27" w:history="1">
        <w:r w:rsidRPr="004A2F10">
          <w:rPr>
            <w:rFonts w:cs="Arial"/>
            <w:color w:val="0563C1"/>
            <w:u w:val="single"/>
          </w:rPr>
          <w:t>https://www.economicsonline.co.uk/business_economics/tesco_buys_booker.html/</w:t>
        </w:r>
      </w:hyperlink>
      <w:r w:rsidRPr="004A2F10">
        <w:rPr>
          <w:rFonts w:cs="Arial"/>
          <w:color w:val="000000" w:themeColor="text1"/>
        </w:rPr>
        <w:t xml:space="preserve"> [Accessed 20 July 2026].</w:t>
      </w:r>
    </w:p>
    <w:p w14:paraId="6C6D41B1"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Fraccastoro, S., Gabrielsson, M. and Chetty, S. (2021). Social media firm-specific advantages as enablers of network embeddedness of international entrepr</w:t>
      </w:r>
      <w:r w:rsidRPr="004A2F10">
        <w:rPr>
          <w:rFonts w:cs="Arial"/>
          <w:color w:val="000000" w:themeColor="text1"/>
        </w:rPr>
        <w:t xml:space="preserve">eneurial ventures. </w:t>
      </w:r>
      <w:r w:rsidRPr="004A2F10">
        <w:rPr>
          <w:rFonts w:cs="Arial"/>
          <w:i/>
          <w:color w:val="000000" w:themeColor="text1"/>
        </w:rPr>
        <w:t>Journal of World Business</w:t>
      </w:r>
      <w:r w:rsidRPr="004A2F10">
        <w:rPr>
          <w:rFonts w:cs="Arial"/>
          <w:color w:val="000000" w:themeColor="text1"/>
        </w:rPr>
        <w:t>, 56(3), 101164. doi:</w:t>
      </w:r>
      <w:hyperlink r:id="rId28" w:history="1">
        <w:r w:rsidRPr="004A2F10">
          <w:rPr>
            <w:rFonts w:cs="Arial"/>
            <w:color w:val="0563C1"/>
            <w:u w:val="single"/>
          </w:rPr>
          <w:t>10.1016/j.jwb.2020.101164</w:t>
        </w:r>
      </w:hyperlink>
      <w:r w:rsidRPr="004A2F10">
        <w:rPr>
          <w:rFonts w:cs="Arial"/>
          <w:color w:val="000000" w:themeColor="text1"/>
        </w:rPr>
        <w:t>.</w:t>
      </w:r>
    </w:p>
    <w:p w14:paraId="367E0ADA"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Goyal, S. and Dubey, R. (2025). Examining the role and antecedents to partner commitment in influencing jo</w:t>
      </w:r>
      <w:r w:rsidRPr="004A2F10">
        <w:rPr>
          <w:rFonts w:cs="Arial"/>
          <w:color w:val="000000" w:themeColor="text1"/>
        </w:rPr>
        <w:t xml:space="preserve">int venture success. </w:t>
      </w:r>
      <w:r w:rsidRPr="004A2F10">
        <w:rPr>
          <w:rFonts w:cs="Arial"/>
          <w:i/>
          <w:color w:val="000000" w:themeColor="text1"/>
        </w:rPr>
        <w:t>Global Business Review</w:t>
      </w:r>
      <w:r w:rsidRPr="004A2F10">
        <w:rPr>
          <w:rFonts w:cs="Arial"/>
          <w:color w:val="000000" w:themeColor="text1"/>
        </w:rPr>
        <w:t>, 26(2), pp.1-20. doi:</w:t>
      </w:r>
      <w:hyperlink r:id="rId29" w:history="1">
        <w:r w:rsidRPr="004A2F10">
          <w:rPr>
            <w:rFonts w:cs="Arial"/>
            <w:color w:val="0563C1"/>
            <w:u w:val="single"/>
          </w:rPr>
          <w:t>10.1177/09721509221092202</w:t>
        </w:r>
      </w:hyperlink>
      <w:r w:rsidRPr="004A2F10">
        <w:rPr>
          <w:rFonts w:cs="Arial"/>
          <w:color w:val="000000" w:themeColor="text1"/>
        </w:rPr>
        <w:t>.</w:t>
      </w:r>
    </w:p>
    <w:p w14:paraId="1C73283C"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GIS Reports (2026). </w:t>
      </w:r>
      <w:r w:rsidRPr="004A2F10">
        <w:rPr>
          <w:rFonts w:cs="Arial"/>
          <w:i/>
          <w:color w:val="000000" w:themeColor="text1"/>
        </w:rPr>
        <w:t>Stability Eludes Bangladesh Ahead of Elections</w:t>
      </w:r>
      <w:r w:rsidRPr="004A2F10">
        <w:rPr>
          <w:rFonts w:cs="Arial"/>
          <w:color w:val="000000" w:themeColor="text1"/>
        </w:rPr>
        <w:t xml:space="preserve">. [online] Available at: </w:t>
      </w:r>
      <w:hyperlink r:id="rId30" w:history="1">
        <w:r w:rsidRPr="004A2F10">
          <w:rPr>
            <w:rFonts w:cs="Arial"/>
            <w:color w:val="0563C1"/>
            <w:u w:val="single"/>
          </w:rPr>
          <w:t>https://www.gisreportsonline.com/r/bangladesh-preelection/</w:t>
        </w:r>
      </w:hyperlink>
      <w:r w:rsidRPr="004A2F10">
        <w:rPr>
          <w:rFonts w:cs="Arial"/>
          <w:color w:val="000000" w:themeColor="text1"/>
        </w:rPr>
        <w:t xml:space="preserve"> [Accessed 20 July 2026].</w:t>
      </w:r>
    </w:p>
    <w:p w14:paraId="08DB53E0"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Griffin, R.W. and Pustay, M.W. (2020). </w:t>
      </w:r>
      <w:r w:rsidRPr="004A2F10">
        <w:rPr>
          <w:rFonts w:cs="Arial"/>
          <w:i/>
          <w:color w:val="000000" w:themeColor="text1"/>
        </w:rPr>
        <w:t>International Business: A Managerial Perspective</w:t>
      </w:r>
      <w:r w:rsidRPr="004A2F10">
        <w:rPr>
          <w:rFonts w:cs="Arial"/>
          <w:color w:val="000000" w:themeColor="text1"/>
        </w:rPr>
        <w:t>. Global ed., 9th ed. Har</w:t>
      </w:r>
      <w:r w:rsidRPr="004A2F10">
        <w:rPr>
          <w:rFonts w:cs="Arial"/>
          <w:color w:val="000000" w:themeColor="text1"/>
        </w:rPr>
        <w:t>low: Pearson Education.</w:t>
      </w:r>
    </w:p>
    <w:p w14:paraId="612D7630"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Griffith, D.A. (2021). Connecting sustainable marketing and international marketing strategy standardization/adaptation: research opportunities. [online] Available at: </w:t>
      </w:r>
      <w:hyperlink r:id="rId31" w:history="1">
        <w:r w:rsidRPr="004A2F10">
          <w:rPr>
            <w:rFonts w:cs="Arial"/>
            <w:color w:val="0563C1"/>
            <w:u w:val="single"/>
          </w:rPr>
          <w:t>https://www.researchgate.net/publication/357138386</w:t>
        </w:r>
      </w:hyperlink>
      <w:r w:rsidRPr="004A2F10">
        <w:rPr>
          <w:rFonts w:cs="Arial"/>
          <w:color w:val="000000" w:themeColor="text1"/>
        </w:rPr>
        <w:t xml:space="preserve"> [Accessed 20 July 2026].</w:t>
      </w:r>
    </w:p>
    <w:p w14:paraId="281C0A06"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Heritage Foundation (2025). </w:t>
      </w:r>
      <w:r w:rsidRPr="004A2F10">
        <w:rPr>
          <w:rFonts w:cs="Arial"/>
          <w:i/>
          <w:color w:val="000000" w:themeColor="text1"/>
        </w:rPr>
        <w:t>Index of Economic Freedom</w:t>
      </w:r>
      <w:r w:rsidRPr="004A2F10">
        <w:rPr>
          <w:rFonts w:cs="Arial"/>
          <w:color w:val="000000" w:themeColor="text1"/>
        </w:rPr>
        <w:t xml:space="preserve">. [online] Washington, DC: The Heritage Foundation. Available </w:t>
      </w:r>
      <w:r w:rsidRPr="004A2F10">
        <w:rPr>
          <w:rFonts w:cs="Arial"/>
          <w:color w:val="000000" w:themeColor="text1"/>
        </w:rPr>
        <w:t xml:space="preserve">at: </w:t>
      </w:r>
      <w:hyperlink r:id="rId32" w:history="1">
        <w:r w:rsidRPr="004A2F10">
          <w:rPr>
            <w:rFonts w:cs="Arial"/>
            <w:color w:val="0563C1"/>
            <w:u w:val="single"/>
          </w:rPr>
          <w:t>https://www.heritage.org/index/</w:t>
        </w:r>
      </w:hyperlink>
      <w:r w:rsidRPr="004A2F10">
        <w:rPr>
          <w:rFonts w:cs="Arial"/>
          <w:color w:val="000000" w:themeColor="text1"/>
        </w:rPr>
        <w:t xml:space="preserve"> [Accessed 20 July 2026].</w:t>
      </w:r>
    </w:p>
    <w:p w14:paraId="56B941F3"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Hennart, J.F. and Slangen, A.H.L. (2022). How much is new in Brouthers et al.’s new foreign entry modes, and do they challenge the transaction cost</w:t>
      </w:r>
      <w:r w:rsidRPr="004A2F10">
        <w:rPr>
          <w:rFonts w:cs="Arial"/>
          <w:color w:val="000000" w:themeColor="text1"/>
        </w:rPr>
        <w:t xml:space="preserve"> theory of entry mode choice? </w:t>
      </w:r>
      <w:r w:rsidRPr="004A2F10">
        <w:rPr>
          <w:rFonts w:cs="Arial"/>
          <w:i/>
          <w:color w:val="000000" w:themeColor="text1"/>
        </w:rPr>
        <w:t>Journal of International Business Studies</w:t>
      </w:r>
      <w:r w:rsidRPr="004A2F10">
        <w:rPr>
          <w:rFonts w:cs="Arial"/>
          <w:color w:val="000000" w:themeColor="text1"/>
        </w:rPr>
        <w:t>, 53(9), pp.2116-2132. doi:</w:t>
      </w:r>
      <w:hyperlink r:id="rId33" w:history="1">
        <w:r w:rsidRPr="004A2F10">
          <w:rPr>
            <w:rFonts w:cs="Arial"/>
            <w:color w:val="0563C1"/>
            <w:u w:val="single"/>
          </w:rPr>
          <w:t>10.1057/s41267-022-00523-9</w:t>
        </w:r>
      </w:hyperlink>
      <w:r w:rsidRPr="004A2F10">
        <w:rPr>
          <w:rFonts w:cs="Arial"/>
          <w:color w:val="000000" w:themeColor="text1"/>
        </w:rPr>
        <w:t>.</w:t>
      </w:r>
    </w:p>
    <w:p w14:paraId="1C23E2D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Hill, C.W.L. and Hult, G.T.M. (2021). </w:t>
      </w:r>
      <w:r w:rsidRPr="004A2F10">
        <w:rPr>
          <w:rFonts w:cs="Arial"/>
          <w:i/>
          <w:color w:val="000000" w:themeColor="text1"/>
        </w:rPr>
        <w:t>International Business: Competing</w:t>
      </w:r>
      <w:r w:rsidRPr="004A2F10">
        <w:rPr>
          <w:rFonts w:cs="Arial"/>
          <w:i/>
          <w:color w:val="000000" w:themeColor="text1"/>
        </w:rPr>
        <w:t xml:space="preserve"> in the Global Marketplace</w:t>
      </w:r>
      <w:r w:rsidRPr="004A2F10">
        <w:rPr>
          <w:rFonts w:cs="Arial"/>
          <w:color w:val="000000" w:themeColor="text1"/>
        </w:rPr>
        <w:t>. 13th ed. New York: McGraw-Hill.</w:t>
      </w:r>
    </w:p>
    <w:p w14:paraId="27C22A99"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IMF (2026). </w:t>
      </w:r>
      <w:r w:rsidRPr="004A2F10">
        <w:rPr>
          <w:rFonts w:cs="Arial"/>
          <w:i/>
          <w:color w:val="000000" w:themeColor="text1"/>
        </w:rPr>
        <w:t>Press Release No. 26/029: Bangladesh-IMF Executive Board Concludes 2025 Article IV Consultation</w:t>
      </w:r>
      <w:r w:rsidRPr="004A2F10">
        <w:rPr>
          <w:rFonts w:cs="Arial"/>
          <w:color w:val="000000" w:themeColor="text1"/>
        </w:rPr>
        <w:t xml:space="preserve">. [online] Washington, DC: International Monetary Fund. Available at: </w:t>
      </w:r>
      <w:hyperlink r:id="rId34" w:history="1">
        <w:r w:rsidRPr="004A2F10">
          <w:rPr>
            <w:rFonts w:cs="Arial"/>
            <w:color w:val="0563C1"/>
            <w:u w:val="single"/>
          </w:rPr>
          <w:t>https://www.imf.org/en/news/articles/2026/01/30/pr-26029-bangladesh-imf-executive-board-concludes-2025-article-iv-consultation</w:t>
        </w:r>
      </w:hyperlink>
      <w:r w:rsidRPr="004A2F10">
        <w:rPr>
          <w:rFonts w:cs="Arial"/>
          <w:color w:val="000000" w:themeColor="text1"/>
        </w:rPr>
        <w:t xml:space="preserve"> [Acce</w:t>
      </w:r>
      <w:r w:rsidRPr="004A2F10">
        <w:rPr>
          <w:rFonts w:cs="Arial"/>
          <w:color w:val="000000" w:themeColor="text1"/>
        </w:rPr>
        <w:t>ssed 20 July 2026].</w:t>
      </w:r>
    </w:p>
    <w:p w14:paraId="5EE8F6EA"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Kamal, M.A., Hasanat Shah, S., Jing, W. and Hasnat, H. (2020). Does the quality of institutions in host countries affect the location choice of Chinese OFDI: evidence from Asia and Africa. </w:t>
      </w:r>
      <w:r w:rsidRPr="004A2F10">
        <w:rPr>
          <w:rFonts w:cs="Arial"/>
          <w:i/>
          <w:color w:val="000000" w:themeColor="text1"/>
        </w:rPr>
        <w:t>Emerging Markets Finance and Trade</w:t>
      </w:r>
      <w:r w:rsidRPr="004A2F10">
        <w:rPr>
          <w:rFonts w:cs="Arial"/>
          <w:color w:val="000000" w:themeColor="text1"/>
        </w:rPr>
        <w:t>, 56(1), pp.2</w:t>
      </w:r>
      <w:r w:rsidRPr="004A2F10">
        <w:rPr>
          <w:rFonts w:cs="Arial"/>
          <w:color w:val="000000" w:themeColor="text1"/>
        </w:rPr>
        <w:t>08-227. doi:</w:t>
      </w:r>
      <w:hyperlink r:id="rId35" w:history="1">
        <w:r w:rsidRPr="004A2F10">
          <w:rPr>
            <w:rFonts w:cs="Arial"/>
            <w:color w:val="0563C1"/>
            <w:u w:val="single"/>
          </w:rPr>
          <w:t>10.1080/13547860.2019.1660033</w:t>
        </w:r>
      </w:hyperlink>
      <w:r w:rsidRPr="004A2F10">
        <w:rPr>
          <w:rFonts w:cs="Arial"/>
          <w:color w:val="000000" w:themeColor="text1"/>
        </w:rPr>
        <w:t>.</w:t>
      </w:r>
    </w:p>
    <w:p w14:paraId="2A5545DA"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Kar, S.K., Bansal, R. and Mishra, S. (2021). Tesco: entry and expansion strategy in India. </w:t>
      </w:r>
      <w:r w:rsidRPr="004A2F10">
        <w:rPr>
          <w:rFonts w:cs="Arial"/>
          <w:i/>
          <w:color w:val="000000" w:themeColor="text1"/>
        </w:rPr>
        <w:t>South Asian Journal of Business and Management Cases</w:t>
      </w:r>
      <w:r w:rsidRPr="004A2F10">
        <w:rPr>
          <w:rFonts w:cs="Arial"/>
          <w:color w:val="000000" w:themeColor="text1"/>
        </w:rPr>
        <w:t>, 10(3),</w:t>
      </w:r>
      <w:r w:rsidRPr="004A2F10">
        <w:rPr>
          <w:rFonts w:cs="Arial"/>
          <w:color w:val="000000" w:themeColor="text1"/>
        </w:rPr>
        <w:t xml:space="preserve"> pp.257-268. doi:</w:t>
      </w:r>
      <w:hyperlink r:id="rId36" w:history="1">
        <w:r w:rsidRPr="004A2F10">
          <w:rPr>
            <w:rFonts w:cs="Arial"/>
            <w:color w:val="0563C1"/>
            <w:u w:val="single"/>
          </w:rPr>
          <w:t>10.1177/25166042211038465</w:t>
        </w:r>
      </w:hyperlink>
      <w:r w:rsidRPr="004A2F10">
        <w:rPr>
          <w:rFonts w:cs="Arial"/>
          <w:color w:val="000000" w:themeColor="text1"/>
        </w:rPr>
        <w:t>.</w:t>
      </w:r>
    </w:p>
    <w:p w14:paraId="246583AE"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Khaled, A.F.M. and Ansar, A. (2024). Bangladesh’s ready-made garments sector rebound: revisiting gendered labor precarity and dependency. </w:t>
      </w:r>
      <w:r w:rsidRPr="004A2F10">
        <w:rPr>
          <w:rFonts w:cs="Arial"/>
          <w:i/>
          <w:color w:val="000000" w:themeColor="text1"/>
        </w:rPr>
        <w:t>Journal of South</w:t>
      </w:r>
      <w:r w:rsidRPr="004A2F10">
        <w:rPr>
          <w:rFonts w:cs="Arial"/>
          <w:i/>
          <w:color w:val="000000" w:themeColor="text1"/>
        </w:rPr>
        <w:t xml:space="preserve"> Asian Development</w:t>
      </w:r>
      <w:r w:rsidRPr="004A2F10">
        <w:rPr>
          <w:rFonts w:cs="Arial"/>
          <w:color w:val="000000" w:themeColor="text1"/>
        </w:rPr>
        <w:t>, 19(1), pp.44-66. doi:</w:t>
      </w:r>
      <w:hyperlink r:id="rId37" w:history="1">
        <w:r w:rsidRPr="004A2F10">
          <w:rPr>
            <w:rFonts w:cs="Arial"/>
            <w:color w:val="0563C1"/>
            <w:u w:val="single"/>
          </w:rPr>
          <w:t>10.1177/20578911231170208</w:t>
        </w:r>
      </w:hyperlink>
      <w:r w:rsidRPr="004A2F10">
        <w:rPr>
          <w:rFonts w:cs="Arial"/>
          <w:color w:val="000000" w:themeColor="text1"/>
        </w:rPr>
        <w:t>.</w:t>
      </w:r>
    </w:p>
    <w:p w14:paraId="657968A0"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Malay Mail (2020). </w:t>
      </w:r>
      <w:r w:rsidRPr="004A2F10">
        <w:rPr>
          <w:rFonts w:cs="Arial"/>
          <w:i/>
          <w:color w:val="000000" w:themeColor="text1"/>
        </w:rPr>
        <w:t>Tesco Completes China Exit with Joint Venture Stake Sale</w:t>
      </w:r>
      <w:r w:rsidRPr="004A2F10">
        <w:rPr>
          <w:rFonts w:cs="Arial"/>
          <w:color w:val="000000" w:themeColor="text1"/>
        </w:rPr>
        <w:t xml:space="preserve">. [online] Available at: </w:t>
      </w:r>
      <w:hyperlink r:id="rId38" w:history="1">
        <w:r w:rsidRPr="004A2F10">
          <w:rPr>
            <w:rFonts w:cs="Arial"/>
            <w:color w:val="0563C1"/>
            <w:u w:val="single"/>
          </w:rPr>
          <w:t>https://www.malaymail.com/news/money/2020/02/25/tesco-completes-china-exit-with-joint-venture-stake-sale/1840777</w:t>
        </w:r>
      </w:hyperlink>
      <w:r w:rsidRPr="004A2F10">
        <w:rPr>
          <w:rFonts w:cs="Arial"/>
          <w:color w:val="000000" w:themeColor="text1"/>
        </w:rPr>
        <w:t xml:space="preserve"> [Accessed 20 July 2026].</w:t>
      </w:r>
    </w:p>
    <w:p w14:paraId="7DAFA7B9"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Nayyar, R., Mukherj</w:t>
      </w:r>
      <w:r w:rsidRPr="004A2F10">
        <w:rPr>
          <w:rFonts w:cs="Arial"/>
          <w:color w:val="000000" w:themeColor="text1"/>
        </w:rPr>
        <w:t xml:space="preserve">ee, J. and Varma, S. (2021). Institutional distance as a determinant of outward FDI from India. </w:t>
      </w:r>
      <w:r w:rsidRPr="004A2F10">
        <w:rPr>
          <w:rFonts w:cs="Arial"/>
          <w:i/>
          <w:color w:val="000000" w:themeColor="text1"/>
        </w:rPr>
        <w:t>International Journal of Emerging Markets</w:t>
      </w:r>
      <w:r w:rsidRPr="004A2F10">
        <w:rPr>
          <w:rFonts w:cs="Arial"/>
          <w:color w:val="000000" w:themeColor="text1"/>
        </w:rPr>
        <w:t>, 17(10), pp.2529-2557.</w:t>
      </w:r>
    </w:p>
    <w:p w14:paraId="56C27019"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OECD (2025). </w:t>
      </w:r>
      <w:r w:rsidRPr="004A2F10">
        <w:rPr>
          <w:rFonts w:cs="Arial"/>
          <w:i/>
          <w:color w:val="000000" w:themeColor="text1"/>
        </w:rPr>
        <w:t>FDI Regulatory Restrictiveness Index</w:t>
      </w:r>
      <w:r w:rsidRPr="004A2F10">
        <w:rPr>
          <w:rFonts w:cs="Arial"/>
          <w:color w:val="000000" w:themeColor="text1"/>
        </w:rPr>
        <w:t xml:space="preserve">. [online] Paris: Organisation for Economic Co-operation and Development. Available at: </w:t>
      </w:r>
      <w:hyperlink r:id="rId39" w:history="1">
        <w:r w:rsidRPr="004A2F10">
          <w:rPr>
            <w:rFonts w:cs="Arial"/>
            <w:color w:val="0563C1"/>
            <w:u w:val="single"/>
          </w:rPr>
          <w:t>https://www.oecd.org/investment/fdiindex.htm</w:t>
        </w:r>
      </w:hyperlink>
      <w:r w:rsidRPr="004A2F10">
        <w:rPr>
          <w:rFonts w:cs="Arial"/>
          <w:color w:val="000000" w:themeColor="text1"/>
        </w:rPr>
        <w:t xml:space="preserve"> [Accessed 20 July 2026].</w:t>
      </w:r>
    </w:p>
    <w:p w14:paraId="7C534DB7"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Retail Analysis IGD (2024). </w:t>
      </w:r>
      <w:r w:rsidRPr="004A2F10">
        <w:rPr>
          <w:rFonts w:cs="Arial"/>
          <w:i/>
          <w:color w:val="000000" w:themeColor="text1"/>
        </w:rPr>
        <w:t>Tesco Cen</w:t>
      </w:r>
      <w:r w:rsidRPr="004A2F10">
        <w:rPr>
          <w:rFonts w:cs="Arial"/>
          <w:i/>
          <w:color w:val="000000" w:themeColor="text1"/>
        </w:rPr>
        <w:t>tral Europe: Private Label, Food-to-Go, and Online</w:t>
      </w:r>
      <w:r w:rsidRPr="004A2F10">
        <w:rPr>
          <w:rFonts w:cs="Arial"/>
          <w:color w:val="000000" w:themeColor="text1"/>
        </w:rPr>
        <w:t xml:space="preserve">. [online] Available at: </w:t>
      </w:r>
      <w:hyperlink r:id="rId40" w:history="1">
        <w:r w:rsidRPr="004A2F10">
          <w:rPr>
            <w:rFonts w:cs="Arial"/>
            <w:color w:val="0563C1"/>
            <w:u w:val="single"/>
          </w:rPr>
          <w:t>https://retailanalysis.igd.com/news/news-article/</w:t>
        </w:r>
        <w:r w:rsidRPr="004A2F10">
          <w:rPr>
            <w:rFonts w:cs="Arial"/>
            <w:color w:val="0563C1"/>
            <w:u w:val="single"/>
          </w:rPr>
          <w:t>t/tesco-central-europe-private-label-food-to-go-and-online/i/19750</w:t>
        </w:r>
      </w:hyperlink>
      <w:r w:rsidRPr="004A2F10">
        <w:rPr>
          <w:rFonts w:cs="Arial"/>
          <w:color w:val="000000" w:themeColor="text1"/>
        </w:rPr>
        <w:t xml:space="preserve"> [Accessed 20 July 2026].</w:t>
      </w:r>
    </w:p>
    <w:p w14:paraId="22D94F22"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Sestu, M.C. and Majocchi, A. (2020). Family firms and the choice between wholly owned subsidiaries and joint ventures: a transaction costs perspective. </w:t>
      </w:r>
      <w:r w:rsidRPr="004A2F10">
        <w:rPr>
          <w:rFonts w:cs="Arial"/>
          <w:i/>
          <w:color w:val="000000" w:themeColor="text1"/>
        </w:rPr>
        <w:t>Entrepreneur</w:t>
      </w:r>
      <w:r w:rsidRPr="004A2F10">
        <w:rPr>
          <w:rFonts w:cs="Arial"/>
          <w:i/>
          <w:color w:val="000000" w:themeColor="text1"/>
        </w:rPr>
        <w:t>ship Theory and Practice</w:t>
      </w:r>
      <w:r w:rsidRPr="004A2F10">
        <w:rPr>
          <w:rFonts w:cs="Arial"/>
          <w:color w:val="000000" w:themeColor="text1"/>
        </w:rPr>
        <w:t>, 44(2), pp.211-232. doi:</w:t>
      </w:r>
      <w:hyperlink r:id="rId41" w:history="1">
        <w:r w:rsidRPr="004A2F10">
          <w:rPr>
            <w:rFonts w:cs="Arial"/>
            <w:color w:val="0563C1"/>
            <w:u w:val="single"/>
          </w:rPr>
          <w:t>10.1177/1042258718797925</w:t>
        </w:r>
      </w:hyperlink>
      <w:r w:rsidRPr="004A2F10">
        <w:rPr>
          <w:rFonts w:cs="Arial"/>
          <w:color w:val="000000" w:themeColor="text1"/>
        </w:rPr>
        <w:t>.</w:t>
      </w:r>
    </w:p>
    <w:p w14:paraId="05BD8354"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Statista (2026). </w:t>
      </w:r>
      <w:r w:rsidRPr="004A2F10">
        <w:rPr>
          <w:rFonts w:cs="Arial"/>
          <w:i/>
          <w:color w:val="000000" w:themeColor="text1"/>
        </w:rPr>
        <w:t>Retail Market in Bangladesh</w:t>
      </w:r>
      <w:r w:rsidRPr="004A2F10">
        <w:rPr>
          <w:rFonts w:cs="Arial"/>
          <w:color w:val="000000" w:themeColor="text1"/>
        </w:rPr>
        <w:t xml:space="preserve">. [online] Statista. Available at: </w:t>
      </w:r>
      <w:hyperlink r:id="rId42" w:history="1">
        <w:r w:rsidRPr="004A2F10">
          <w:rPr>
            <w:rFonts w:cs="Arial"/>
            <w:color w:val="0563C1"/>
            <w:u w:val="single"/>
          </w:rPr>
          <w:t>https://www.statista.com/topics/bangladesh-retail</w:t>
        </w:r>
      </w:hyperlink>
      <w:r w:rsidRPr="004A2F10">
        <w:rPr>
          <w:rFonts w:cs="Arial"/>
          <w:color w:val="000000" w:themeColor="text1"/>
        </w:rPr>
        <w:t xml:space="preserve"> [Accessed 20 July 2026].</w:t>
      </w:r>
    </w:p>
    <w:p w14:paraId="5263D4ED"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Stor, M. (2021). The configurations of HRM bundles in MNCs by their contributions to subsidiaries’ performance and cultural dimensions. </w:t>
      </w:r>
      <w:r w:rsidRPr="004A2F10">
        <w:rPr>
          <w:rFonts w:cs="Arial"/>
          <w:i/>
          <w:color w:val="000000" w:themeColor="text1"/>
        </w:rPr>
        <w:t>International Journal of</w:t>
      </w:r>
      <w:r w:rsidRPr="004A2F10">
        <w:rPr>
          <w:rFonts w:cs="Arial"/>
          <w:i/>
          <w:color w:val="000000" w:themeColor="text1"/>
        </w:rPr>
        <w:t xml:space="preserve"> Cross Cultural Management</w:t>
      </w:r>
      <w:r w:rsidRPr="004A2F10">
        <w:rPr>
          <w:rFonts w:cs="Arial"/>
          <w:color w:val="000000" w:themeColor="text1"/>
        </w:rPr>
        <w:t>, 21(3), pp.507-536. doi:</w:t>
      </w:r>
      <w:hyperlink r:id="rId43" w:history="1">
        <w:r w:rsidRPr="004A2F10">
          <w:rPr>
            <w:rFonts w:cs="Arial"/>
            <w:color w:val="0563C1"/>
            <w:u w:val="single"/>
          </w:rPr>
          <w:t>10.1177/1470595821997488</w:t>
        </w:r>
      </w:hyperlink>
      <w:r w:rsidRPr="004A2F10">
        <w:rPr>
          <w:rFonts w:cs="Arial"/>
          <w:color w:val="000000" w:themeColor="text1"/>
        </w:rPr>
        <w:t>.</w:t>
      </w:r>
    </w:p>
    <w:p w14:paraId="5AEC76C4"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lastRenderedPageBreak/>
        <w:t xml:space="preserve">Tahmidur Rahman Remura Wahid (2026). </w:t>
      </w:r>
      <w:r w:rsidRPr="004A2F10">
        <w:rPr>
          <w:rFonts w:cs="Arial"/>
          <w:i/>
          <w:color w:val="000000" w:themeColor="text1"/>
        </w:rPr>
        <w:t>Bangladesh Foreign Investment Regulations: A Comprehensive Legal Overview</w:t>
      </w:r>
      <w:r w:rsidRPr="004A2F10">
        <w:rPr>
          <w:rFonts w:cs="Arial"/>
          <w:color w:val="000000" w:themeColor="text1"/>
        </w:rPr>
        <w:t>. [online] D</w:t>
      </w:r>
      <w:r w:rsidRPr="004A2F10">
        <w:rPr>
          <w:rFonts w:cs="Arial"/>
          <w:color w:val="000000" w:themeColor="text1"/>
        </w:rPr>
        <w:t xml:space="preserve">haka: TRW Law Firm. Available at: </w:t>
      </w:r>
      <w:hyperlink r:id="rId44" w:history="1">
        <w:r w:rsidRPr="004A2F10">
          <w:rPr>
            <w:rFonts w:cs="Arial"/>
            <w:color w:val="0563C1"/>
            <w:u w:val="single"/>
          </w:rPr>
          <w:t>https://tahmidurrahman.com/bangladesh-foreign-investment-regulations-3/</w:t>
        </w:r>
      </w:hyperlink>
      <w:r w:rsidRPr="004A2F10">
        <w:rPr>
          <w:rFonts w:cs="Arial"/>
          <w:color w:val="000000" w:themeColor="text1"/>
        </w:rPr>
        <w:t xml:space="preserve"> [Accessed 20 July 2026].</w:t>
      </w:r>
    </w:p>
    <w:p w14:paraId="3C9521E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Tesco PLC (2026). </w:t>
      </w:r>
      <w:r w:rsidRPr="004A2F10">
        <w:rPr>
          <w:rFonts w:cs="Arial"/>
          <w:i/>
          <w:color w:val="000000" w:themeColor="text1"/>
        </w:rPr>
        <w:t>Value. Quality. Ser</w:t>
      </w:r>
      <w:r w:rsidRPr="004A2F10">
        <w:rPr>
          <w:rFonts w:cs="Arial"/>
          <w:i/>
          <w:color w:val="000000" w:themeColor="text1"/>
        </w:rPr>
        <w:t>vice. Tesco PLC Annual Report and Financial Statements 2026</w:t>
      </w:r>
      <w:r w:rsidRPr="004A2F10">
        <w:rPr>
          <w:rFonts w:cs="Arial"/>
          <w:color w:val="000000" w:themeColor="text1"/>
        </w:rPr>
        <w:t xml:space="preserve">. [online] Welwyn Garden City: Tesco PLC. Available at: </w:t>
      </w:r>
      <w:hyperlink r:id="rId45" w:history="1">
        <w:r w:rsidRPr="004A2F10">
          <w:rPr>
            <w:rFonts w:cs="Arial"/>
            <w:color w:val="0563C1"/>
            <w:u w:val="single"/>
          </w:rPr>
          <w:t>https://www.tescoplc.com/media/gmylxjfw/tesco_ar26_interac</w:t>
        </w:r>
        <w:r w:rsidRPr="004A2F10">
          <w:rPr>
            <w:rFonts w:cs="Arial"/>
            <w:color w:val="0563C1"/>
            <w:u w:val="single"/>
          </w:rPr>
          <w:t>tive.pdf</w:t>
        </w:r>
      </w:hyperlink>
      <w:r w:rsidRPr="004A2F10">
        <w:rPr>
          <w:rFonts w:cs="Arial"/>
          <w:color w:val="000000" w:themeColor="text1"/>
        </w:rPr>
        <w:t xml:space="preserve"> [Accessed 20 July 2026].</w:t>
      </w:r>
    </w:p>
    <w:p w14:paraId="40429FEA" w14:textId="1A9F7F64"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The Culture Factor (2026). </w:t>
      </w:r>
      <w:r w:rsidRPr="004A2F10">
        <w:rPr>
          <w:rFonts w:cs="Arial"/>
          <w:i/>
          <w:color w:val="000000" w:themeColor="text1"/>
        </w:rPr>
        <w:t>Hofstede Cultural Dimensions: United Kingdom vs Bangladesh</w:t>
      </w:r>
      <w:r w:rsidRPr="004A2F10">
        <w:rPr>
          <w:rFonts w:cs="Arial"/>
          <w:color w:val="000000" w:themeColor="text1"/>
        </w:rPr>
        <w:t xml:space="preserve">. [online] Available at: </w:t>
      </w:r>
      <w:hyperlink r:id="rId46" w:history="1">
        <w:r w:rsidRPr="004A2F10">
          <w:rPr>
            <w:rFonts w:cs="Arial"/>
            <w:color w:val="0563C1"/>
            <w:u w:val="single"/>
          </w:rPr>
          <w:t>h</w:t>
        </w:r>
        <w:r w:rsidRPr="004A2F10">
          <w:rPr>
            <w:rFonts w:cs="Arial"/>
            <w:color w:val="0563C1"/>
            <w:u w:val="single"/>
          </w:rPr>
          <w:t>ttps://www.theculturefactor.com/country-comparison-tool?countries=bangladesh%2Cunited+kingdom</w:t>
        </w:r>
      </w:hyperlink>
      <w:r w:rsidRPr="004A2F10">
        <w:rPr>
          <w:rFonts w:cs="Arial"/>
          <w:color w:val="000000" w:themeColor="text1"/>
        </w:rPr>
        <w:t xml:space="preserve"> [Accessed 20 July 2026].</w:t>
      </w:r>
    </w:p>
    <w:p w14:paraId="56FDBDA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The Daily Star (2026a). </w:t>
      </w:r>
      <w:r w:rsidRPr="004A2F10">
        <w:rPr>
          <w:rFonts w:cs="Arial"/>
          <w:i/>
          <w:color w:val="000000" w:themeColor="text1"/>
        </w:rPr>
        <w:t>Superstore Scene Heats up as Newcomers Join the Race</w:t>
      </w:r>
      <w:r w:rsidRPr="004A2F10">
        <w:rPr>
          <w:rFonts w:cs="Arial"/>
          <w:color w:val="000000" w:themeColor="text1"/>
        </w:rPr>
        <w:t xml:space="preserve">. [online] Available at: </w:t>
      </w:r>
      <w:hyperlink r:id="rId47" w:history="1">
        <w:r w:rsidRPr="004A2F10">
          <w:rPr>
            <w:rFonts w:cs="Arial"/>
            <w:color w:val="0563C1"/>
            <w:u w:val="single"/>
          </w:rPr>
          <w:t>https://www.thedailystar.net/business/news/superstore-scene-heats-newcomers-join-the-race-4175166</w:t>
        </w:r>
      </w:hyperlink>
      <w:r w:rsidRPr="004A2F10">
        <w:rPr>
          <w:rFonts w:cs="Arial"/>
          <w:color w:val="000000" w:themeColor="text1"/>
        </w:rPr>
        <w:t xml:space="preserve"> [Accessed 20 July 2026].</w:t>
      </w:r>
    </w:p>
    <w:p w14:paraId="5F61B437"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The Diplomat (2023). Bangladesh’s garment industry, a d</w:t>
      </w:r>
      <w:r w:rsidRPr="004A2F10">
        <w:rPr>
          <w:rFonts w:cs="Arial"/>
          <w:color w:val="000000" w:themeColor="text1"/>
        </w:rPr>
        <w:t xml:space="preserve">ecade after Rana Plaza collapse. </w:t>
      </w:r>
      <w:r w:rsidRPr="004A2F10">
        <w:rPr>
          <w:rFonts w:cs="Arial"/>
          <w:i/>
          <w:color w:val="000000" w:themeColor="text1"/>
        </w:rPr>
        <w:t>The Diplomat</w:t>
      </w:r>
      <w:r w:rsidRPr="004A2F10">
        <w:rPr>
          <w:rFonts w:cs="Arial"/>
          <w:color w:val="000000" w:themeColor="text1"/>
        </w:rPr>
        <w:t xml:space="preserve">. [online] Available at: </w:t>
      </w:r>
      <w:hyperlink r:id="rId48" w:history="1">
        <w:r w:rsidRPr="004A2F10">
          <w:rPr>
            <w:rFonts w:cs="Arial"/>
            <w:color w:val="0563C1"/>
            <w:u w:val="single"/>
          </w:rPr>
          <w:t>https://thediplomat.com/2023/04/bangladeshs-garment-industry-a-decade-after-rana-plaza-collapse/</w:t>
        </w:r>
      </w:hyperlink>
      <w:r w:rsidRPr="004A2F10">
        <w:rPr>
          <w:rFonts w:cs="Arial"/>
          <w:color w:val="000000" w:themeColor="text1"/>
        </w:rPr>
        <w:t xml:space="preserve"> [Accessed 20 July 2026].</w:t>
      </w:r>
    </w:p>
    <w:p w14:paraId="424B882F"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UNCTAD (2025). </w:t>
      </w:r>
      <w:r w:rsidRPr="004A2F10">
        <w:rPr>
          <w:rFonts w:cs="Arial"/>
          <w:i/>
          <w:color w:val="000000" w:themeColor="text1"/>
        </w:rPr>
        <w:t>World Investment Report 2025: International Investment in the Digital Economy</w:t>
      </w:r>
      <w:r w:rsidRPr="004A2F10">
        <w:rPr>
          <w:rFonts w:cs="Arial"/>
          <w:color w:val="000000" w:themeColor="text1"/>
        </w:rPr>
        <w:t>. [online] Geneva: United Nations Conferen</w:t>
      </w:r>
      <w:r w:rsidRPr="004A2F10">
        <w:rPr>
          <w:rFonts w:cs="Arial"/>
          <w:color w:val="000000" w:themeColor="text1"/>
        </w:rPr>
        <w:t xml:space="preserve">ce on Trade and Development. Available at: </w:t>
      </w:r>
      <w:hyperlink r:id="rId49" w:history="1">
        <w:r w:rsidRPr="004A2F10">
          <w:rPr>
            <w:rFonts w:cs="Arial"/>
            <w:color w:val="0563C1"/>
            <w:u w:val="single"/>
          </w:rPr>
          <w:t>https://unctad.org/publication/world-investment-report-2025</w:t>
        </w:r>
      </w:hyperlink>
      <w:r w:rsidRPr="004A2F10">
        <w:rPr>
          <w:rFonts w:cs="Arial"/>
          <w:color w:val="000000" w:themeColor="text1"/>
        </w:rPr>
        <w:t xml:space="preserve"> [Accessed 20 July 2026].</w:t>
      </w:r>
    </w:p>
    <w:p w14:paraId="66B4439F"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U.S. Department of State (2025b). </w:t>
      </w:r>
      <w:r w:rsidRPr="004A2F10">
        <w:rPr>
          <w:rFonts w:cs="Arial"/>
          <w:i/>
          <w:color w:val="000000" w:themeColor="text1"/>
        </w:rPr>
        <w:t>2025 Investment Cl</w:t>
      </w:r>
      <w:r w:rsidRPr="004A2F10">
        <w:rPr>
          <w:rFonts w:cs="Arial"/>
          <w:i/>
          <w:color w:val="000000" w:themeColor="text1"/>
        </w:rPr>
        <w:t>imate Statements: Bangladesh</w:t>
      </w:r>
      <w:r w:rsidRPr="004A2F10">
        <w:rPr>
          <w:rFonts w:cs="Arial"/>
          <w:color w:val="000000" w:themeColor="text1"/>
        </w:rPr>
        <w:t xml:space="preserve">. [online] Washington, DC: Bureau of Economic and Business Affairs. Available at: </w:t>
      </w:r>
      <w:hyperlink r:id="rId50" w:history="1">
        <w:r w:rsidRPr="004A2F10">
          <w:rPr>
            <w:rFonts w:cs="Arial"/>
            <w:color w:val="0563C1"/>
            <w:u w:val="single"/>
          </w:rPr>
          <w:t>https://www.state.gov/reports/2025-investment-climate-</w:t>
        </w:r>
        <w:r w:rsidRPr="004A2F10">
          <w:rPr>
            <w:rFonts w:cs="Arial"/>
            <w:color w:val="0563C1"/>
            <w:u w:val="single"/>
          </w:rPr>
          <w:t>statements/bangladesh</w:t>
        </w:r>
      </w:hyperlink>
      <w:r w:rsidRPr="004A2F10">
        <w:rPr>
          <w:rFonts w:cs="Arial"/>
          <w:color w:val="000000" w:themeColor="text1"/>
        </w:rPr>
        <w:t xml:space="preserve"> [Accessed 20 July 2026].</w:t>
      </w:r>
    </w:p>
    <w:p w14:paraId="2C930EB8"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Verma, P. and Misra, S. (2021). Shopping mall, consumption culture and different age group: review of literature in a sociological comparative framework. </w:t>
      </w:r>
      <w:r w:rsidRPr="004A2F10">
        <w:rPr>
          <w:rFonts w:cs="Arial"/>
          <w:i/>
          <w:color w:val="000000" w:themeColor="text1"/>
        </w:rPr>
        <w:t>South Asian Journal of Social Sciences and Humanities</w:t>
      </w:r>
      <w:r w:rsidRPr="004A2F10">
        <w:rPr>
          <w:rFonts w:cs="Arial"/>
          <w:color w:val="000000" w:themeColor="text1"/>
        </w:rPr>
        <w:t xml:space="preserve">, </w:t>
      </w:r>
      <w:r w:rsidRPr="004A2F10">
        <w:rPr>
          <w:rFonts w:cs="Arial"/>
          <w:color w:val="000000" w:themeColor="text1"/>
        </w:rPr>
        <w:t>2(1), pp.1-15. doi:</w:t>
      </w:r>
      <w:hyperlink r:id="rId51" w:history="1">
        <w:r w:rsidRPr="004A2F10">
          <w:rPr>
            <w:rFonts w:cs="Arial"/>
            <w:color w:val="0563C1"/>
            <w:u w:val="single"/>
          </w:rPr>
          <w:t>10.48165/sajssh.2021.2101</w:t>
        </w:r>
      </w:hyperlink>
      <w:r w:rsidRPr="004A2F10">
        <w:rPr>
          <w:rFonts w:cs="Arial"/>
          <w:color w:val="000000" w:themeColor="text1"/>
        </w:rPr>
        <w:t>.</w:t>
      </w:r>
    </w:p>
    <w:p w14:paraId="20A86829"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World Bank (2026). </w:t>
      </w:r>
      <w:r w:rsidRPr="004A2F10">
        <w:rPr>
          <w:rFonts w:cs="Arial"/>
          <w:i/>
          <w:color w:val="000000" w:themeColor="text1"/>
        </w:rPr>
        <w:t>Bangladesh Macro Poverty Outlook</w:t>
      </w:r>
      <w:r w:rsidRPr="004A2F10">
        <w:rPr>
          <w:rFonts w:cs="Arial"/>
          <w:color w:val="000000" w:themeColor="text1"/>
        </w:rPr>
        <w:t xml:space="preserve">. [online] Washington, DC: The World Bank. Available at: </w:t>
      </w:r>
      <w:hyperlink r:id="rId52" w:history="1">
        <w:r w:rsidRPr="004A2F10">
          <w:rPr>
            <w:rFonts w:cs="Arial"/>
            <w:color w:val="0563C1"/>
            <w:u w:val="single"/>
          </w:rPr>
          <w:t>https://thedocs.worldbank.org/en/doc/5d1783db09a0e09d15bbcea8ef0cec0b-0500052021/related/mpo-bgd.pdf</w:t>
        </w:r>
      </w:hyperlink>
      <w:r w:rsidRPr="004A2F10">
        <w:rPr>
          <w:rFonts w:cs="Arial"/>
          <w:color w:val="000000" w:themeColor="text1"/>
        </w:rPr>
        <w:t xml:space="preserve"> [Accessed 20 July 2026].</w:t>
      </w:r>
    </w:p>
    <w:p w14:paraId="77B0B306"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World Economic </w:t>
      </w:r>
      <w:r w:rsidRPr="004A2F10">
        <w:rPr>
          <w:rFonts w:cs="Arial"/>
          <w:color w:val="000000" w:themeColor="text1"/>
        </w:rPr>
        <w:t xml:space="preserve">Forum (2024). </w:t>
      </w:r>
      <w:r w:rsidRPr="004A2F10">
        <w:rPr>
          <w:rFonts w:cs="Arial"/>
          <w:i/>
          <w:color w:val="000000" w:themeColor="text1"/>
        </w:rPr>
        <w:t>Global Risks Report 2024</w:t>
      </w:r>
      <w:r w:rsidRPr="004A2F10">
        <w:rPr>
          <w:rFonts w:cs="Arial"/>
          <w:color w:val="000000" w:themeColor="text1"/>
        </w:rPr>
        <w:t xml:space="preserve">. [online] Geneva: World Economic Forum. Available at: </w:t>
      </w:r>
      <w:hyperlink r:id="rId53" w:history="1">
        <w:r w:rsidRPr="004A2F10">
          <w:rPr>
            <w:rFonts w:cs="Arial"/>
            <w:color w:val="0563C1"/>
            <w:u w:val="single"/>
          </w:rPr>
          <w:t>https://www.weforum.org/reports/global-risks-report-2024</w:t>
        </w:r>
      </w:hyperlink>
      <w:r w:rsidRPr="004A2F10">
        <w:rPr>
          <w:rFonts w:cs="Arial"/>
          <w:color w:val="000000" w:themeColor="text1"/>
        </w:rPr>
        <w:t xml:space="preserve"> [Accessed 20 July 2026].</w:t>
      </w:r>
    </w:p>
    <w:p w14:paraId="50D0EDFB"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WTO (202</w:t>
      </w:r>
      <w:r w:rsidRPr="004A2F10">
        <w:rPr>
          <w:rFonts w:cs="Arial"/>
          <w:color w:val="000000" w:themeColor="text1"/>
        </w:rPr>
        <w:t xml:space="preserve">4). </w:t>
      </w:r>
      <w:r w:rsidRPr="004A2F10">
        <w:rPr>
          <w:rFonts w:cs="Arial"/>
          <w:i/>
          <w:color w:val="000000" w:themeColor="text1"/>
        </w:rPr>
        <w:t>World Trade Report 2024: Trade and Inclusiveness, How to Make Trade Work for All</w:t>
      </w:r>
      <w:r w:rsidRPr="004A2F10">
        <w:rPr>
          <w:rFonts w:cs="Arial"/>
          <w:color w:val="000000" w:themeColor="text1"/>
        </w:rPr>
        <w:t xml:space="preserve">. [online] Geneva: World Trade Organization. Available at: </w:t>
      </w:r>
      <w:hyperlink r:id="rId54" w:history="1">
        <w:r w:rsidRPr="004A2F10">
          <w:rPr>
            <w:rFonts w:cs="Arial"/>
            <w:color w:val="0563C1"/>
            <w:u w:val="single"/>
          </w:rPr>
          <w:t>https://www.wto.org/english/res_e/pu</w:t>
        </w:r>
        <w:r w:rsidRPr="004A2F10">
          <w:rPr>
            <w:rFonts w:cs="Arial"/>
            <w:color w:val="0563C1"/>
            <w:u w:val="single"/>
          </w:rPr>
          <w:t>blications_e/wtr24_e.htm</w:t>
        </w:r>
      </w:hyperlink>
      <w:r w:rsidRPr="004A2F10">
        <w:rPr>
          <w:rFonts w:cs="Arial"/>
          <w:color w:val="000000" w:themeColor="text1"/>
        </w:rPr>
        <w:t xml:space="preserve"> [Accessed 20 July 2026].</w:t>
      </w:r>
    </w:p>
    <w:p w14:paraId="7A46994F"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World Governments Summit (2025). </w:t>
      </w:r>
      <w:r w:rsidRPr="004A2F10">
        <w:rPr>
          <w:rFonts w:cs="Arial"/>
          <w:i/>
          <w:color w:val="000000" w:themeColor="text1"/>
        </w:rPr>
        <w:t>WGS 2025: Bangladesh’s Interim Leader Shares Vision of Rebuilding Society, Restoring Public Trust</w:t>
      </w:r>
      <w:r w:rsidRPr="004A2F10">
        <w:rPr>
          <w:rFonts w:cs="Arial"/>
          <w:color w:val="000000" w:themeColor="text1"/>
        </w:rPr>
        <w:t xml:space="preserve">. [online] Dubai: World Governments Summit. Available at: </w:t>
      </w:r>
      <w:hyperlink r:id="rId55" w:history="1">
        <w:r w:rsidRPr="004A2F10">
          <w:rPr>
            <w:rFonts w:cs="Arial"/>
            <w:color w:val="0563C1"/>
            <w:u w:val="single"/>
          </w:rPr>
          <w:t>https://www.worldgovernmentssummit.org/media-hub/news/detail/wgs-2025-bangladesh-s-interim-leader-sha</w:t>
        </w:r>
        <w:r w:rsidRPr="004A2F10">
          <w:rPr>
            <w:rFonts w:cs="Arial"/>
            <w:color w:val="0563C1"/>
            <w:u w:val="single"/>
          </w:rPr>
          <w:t>res-vision-of-rebuilding-society-restoring-public-trust</w:t>
        </w:r>
      </w:hyperlink>
      <w:r w:rsidRPr="004A2F10">
        <w:rPr>
          <w:rFonts w:cs="Arial"/>
          <w:color w:val="000000" w:themeColor="text1"/>
        </w:rPr>
        <w:t xml:space="preserve"> [Accessed 20 July 2026].</w:t>
      </w:r>
    </w:p>
    <w:p w14:paraId="017477D2"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Worldometer (2026). </w:t>
      </w:r>
      <w:r w:rsidRPr="004A2F10">
        <w:rPr>
          <w:rFonts w:cs="Arial"/>
          <w:i/>
          <w:color w:val="000000" w:themeColor="text1"/>
        </w:rPr>
        <w:t>Bangladesh GDP</w:t>
      </w:r>
      <w:r w:rsidRPr="004A2F10">
        <w:rPr>
          <w:rFonts w:cs="Arial"/>
          <w:color w:val="000000" w:themeColor="text1"/>
        </w:rPr>
        <w:t xml:space="preserve">. [online] Available at: </w:t>
      </w:r>
      <w:hyperlink r:id="rId56" w:history="1">
        <w:r w:rsidRPr="004A2F10">
          <w:rPr>
            <w:rFonts w:cs="Arial"/>
            <w:color w:val="0563C1"/>
            <w:u w:val="single"/>
          </w:rPr>
          <w:t>https://www.worldometers.info/gdp/bangladesh-gdp/</w:t>
        </w:r>
      </w:hyperlink>
      <w:r w:rsidRPr="004A2F10">
        <w:rPr>
          <w:rFonts w:cs="Arial"/>
          <w:color w:val="000000" w:themeColor="text1"/>
        </w:rPr>
        <w:t xml:space="preserve"> </w:t>
      </w:r>
      <w:r w:rsidRPr="004A2F10">
        <w:rPr>
          <w:rFonts w:cs="Arial"/>
          <w:color w:val="000000" w:themeColor="text1"/>
        </w:rPr>
        <w:t>[Accessed 20 July 2026].</w:t>
      </w:r>
    </w:p>
    <w:p w14:paraId="6C255A2D"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 xml:space="preserve">Yahoo Finance (2026). </w:t>
      </w:r>
      <w:r w:rsidRPr="004A2F10">
        <w:rPr>
          <w:rFonts w:cs="Arial"/>
          <w:i/>
          <w:color w:val="000000" w:themeColor="text1"/>
        </w:rPr>
        <w:t>Tesco May Finally Leave the Continent Behind</w:t>
      </w:r>
      <w:r w:rsidRPr="004A2F10">
        <w:rPr>
          <w:rFonts w:cs="Arial"/>
          <w:color w:val="000000" w:themeColor="text1"/>
        </w:rPr>
        <w:t xml:space="preserve">. [online] Available at: </w:t>
      </w:r>
      <w:hyperlink r:id="rId57" w:history="1">
        <w:r w:rsidRPr="004A2F10">
          <w:rPr>
            <w:rFonts w:cs="Arial"/>
            <w:color w:val="0563C1"/>
            <w:u w:val="single"/>
          </w:rPr>
          <w:t>https://finance.yahoo.com/markets/stocks/articles/tesco-may-finally-leave-continent-161942547.html</w:t>
        </w:r>
      </w:hyperlink>
      <w:r w:rsidRPr="004A2F10">
        <w:rPr>
          <w:rFonts w:cs="Arial"/>
          <w:color w:val="000000" w:themeColor="text1"/>
        </w:rPr>
        <w:t xml:space="preserve"> [Accessed 20 July 2026].</w:t>
      </w:r>
    </w:p>
    <w:p w14:paraId="7E177EAB"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James, E.E., Inyang, I.B. and Eze, F.J. (2024). Standardization versus adaptation of marketing mix in international markets: a syste</w:t>
      </w:r>
      <w:r w:rsidRPr="004A2F10">
        <w:rPr>
          <w:rFonts w:cs="Arial"/>
          <w:color w:val="000000" w:themeColor="text1"/>
        </w:rPr>
        <w:t xml:space="preserve">matic literature review. </w:t>
      </w:r>
      <w:r w:rsidRPr="004A2F10">
        <w:rPr>
          <w:rFonts w:cs="Arial"/>
          <w:i/>
          <w:color w:val="000000" w:themeColor="text1"/>
        </w:rPr>
        <w:t>World Journal of Advanced Research and Reviews</w:t>
      </w:r>
      <w:r w:rsidRPr="004A2F10">
        <w:rPr>
          <w:rFonts w:cs="Arial"/>
          <w:color w:val="000000" w:themeColor="text1"/>
        </w:rPr>
        <w:t>, 22(2), pp.1191-1211. doi:</w:t>
      </w:r>
      <w:hyperlink r:id="rId58" w:history="1">
        <w:r w:rsidRPr="004A2F10">
          <w:rPr>
            <w:rFonts w:cs="Arial"/>
            <w:color w:val="0563C1"/>
            <w:u w:val="single"/>
          </w:rPr>
          <w:t>10.30574/wjarr.2024.22.2.1470</w:t>
        </w:r>
      </w:hyperlink>
      <w:r w:rsidRPr="004A2F10">
        <w:rPr>
          <w:rFonts w:cs="Arial"/>
          <w:color w:val="000000" w:themeColor="text1"/>
        </w:rPr>
        <w:t>.</w:t>
      </w:r>
    </w:p>
    <w:p w14:paraId="66636785" w14:textId="77777777" w:rsidR="000D72DF" w:rsidRPr="004A2F10" w:rsidRDefault="00E218FF" w:rsidP="00E7579D">
      <w:pPr>
        <w:pStyle w:val="BodyText"/>
        <w:spacing w:before="0" w:after="0"/>
        <w:contextualSpacing/>
        <w:jc w:val="both"/>
        <w:rPr>
          <w:rFonts w:cs="Arial"/>
          <w:color w:val="000000" w:themeColor="text1"/>
        </w:rPr>
      </w:pPr>
      <w:r w:rsidRPr="004A2F10">
        <w:rPr>
          <w:rFonts w:cs="Arial"/>
          <w:color w:val="000000" w:themeColor="text1"/>
        </w:rPr>
        <w:t>Poulis, K. (2024). Standardization and adaptation as a coconstitu</w:t>
      </w:r>
      <w:r w:rsidRPr="004A2F10">
        <w:rPr>
          <w:rFonts w:cs="Arial"/>
          <w:color w:val="000000" w:themeColor="text1"/>
        </w:rPr>
        <w:t xml:space="preserve">ted process: the pursuit of relational fit in international markets. </w:t>
      </w:r>
      <w:r w:rsidRPr="004A2F10">
        <w:rPr>
          <w:rFonts w:cs="Arial"/>
          <w:i/>
          <w:color w:val="000000" w:themeColor="text1"/>
        </w:rPr>
        <w:t>Management International Review</w:t>
      </w:r>
      <w:r w:rsidRPr="004A2F10">
        <w:rPr>
          <w:rFonts w:cs="Arial"/>
          <w:color w:val="000000" w:themeColor="text1"/>
        </w:rPr>
        <w:t>. doi:</w:t>
      </w:r>
      <w:hyperlink r:id="rId59" w:history="1">
        <w:r w:rsidRPr="004A2F10">
          <w:rPr>
            <w:rFonts w:cs="Arial"/>
            <w:color w:val="0563C1"/>
            <w:u w:val="single"/>
          </w:rPr>
          <w:t>10.1177/1069031X231212414</w:t>
        </w:r>
      </w:hyperlink>
      <w:r w:rsidRPr="004A2F10">
        <w:rPr>
          <w:rFonts w:cs="Arial"/>
          <w:color w:val="000000" w:themeColor="text1"/>
        </w:rPr>
        <w:t>.</w:t>
      </w:r>
    </w:p>
    <w:p w14:paraId="0E874DD5" w14:textId="77777777" w:rsidR="000D72DF" w:rsidRPr="0017529D" w:rsidRDefault="00E218FF" w:rsidP="00E7579D">
      <w:pPr>
        <w:pStyle w:val="BodyText"/>
        <w:spacing w:before="0" w:after="0"/>
        <w:contextualSpacing/>
        <w:jc w:val="both"/>
        <w:rPr>
          <w:rFonts w:cs="Arial"/>
          <w:color w:val="000000" w:themeColor="text1"/>
        </w:rPr>
      </w:pPr>
      <w:r w:rsidRPr="004A2F10">
        <w:rPr>
          <w:rFonts w:cs="Arial"/>
          <w:color w:val="000000" w:themeColor="text1"/>
        </w:rPr>
        <w:t>Zhang, X. (2021). Entry mode choices and overseas business perfor</w:t>
      </w:r>
      <w:r w:rsidRPr="004A2F10">
        <w:rPr>
          <w:rFonts w:cs="Arial"/>
          <w:color w:val="000000" w:themeColor="text1"/>
        </w:rPr>
        <w:t xml:space="preserve">mance: evidence from the Chinese multinational enterprises. </w:t>
      </w:r>
      <w:r w:rsidRPr="004A2F10">
        <w:rPr>
          <w:rFonts w:cs="Arial"/>
          <w:i/>
          <w:color w:val="000000" w:themeColor="text1"/>
        </w:rPr>
        <w:t>Strategic Change</w:t>
      </w:r>
      <w:r w:rsidRPr="004A2F10">
        <w:rPr>
          <w:rFonts w:cs="Arial"/>
          <w:color w:val="000000" w:themeColor="text1"/>
        </w:rPr>
        <w:t>, 30(6), pp.541-556. doi:</w:t>
      </w:r>
      <w:hyperlink r:id="rId60" w:history="1">
        <w:r w:rsidRPr="004A2F10">
          <w:rPr>
            <w:rFonts w:cs="Arial"/>
            <w:color w:val="0563C1"/>
            <w:u w:val="single"/>
          </w:rPr>
          <w:t>10.1002/jsc.2473</w:t>
        </w:r>
      </w:hyperlink>
      <w:r w:rsidRPr="004A2F10">
        <w:rPr>
          <w:rFonts w:cs="Arial"/>
          <w:color w:val="000000" w:themeColor="text1"/>
        </w:rPr>
        <w:t>.</w:t>
      </w:r>
    </w:p>
    <w:sectPr w:rsidR="000D72DF" w:rsidRPr="0017529D">
      <w:footerReference w:type="default" r:id="rId61"/>
      <w:pgSz w:w="12240" w:h="15840"/>
      <w:pgMar w:top="1417" w:right="1417" w:bottom="1417" w:left="1417"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ACD13F" w14:textId="77777777" w:rsidR="00E218FF" w:rsidRDefault="00E218FF">
      <w:pPr>
        <w:spacing w:after="0" w:line="240" w:lineRule="auto"/>
      </w:pPr>
      <w:r>
        <w:separator/>
      </w:r>
    </w:p>
  </w:endnote>
  <w:endnote w:type="continuationSeparator" w:id="0">
    <w:p w14:paraId="56871841" w14:textId="77777777" w:rsidR="00E218FF" w:rsidRDefault="00E21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7FB1BF" w14:textId="77777777" w:rsidR="000D72DF" w:rsidRDefault="00E218FF">
    <w:pPr>
      <w:jc w:val="center"/>
    </w:pPr>
    <w:r>
      <w:fldChar w:fldCharType="begin"/>
    </w:r>
    <w:r>
      <w:instrText>PAGE</w:instrText>
    </w:r>
    <w:r>
      <w:fldChar w:fldCharType="separate"/>
    </w:r>
    <w:r w:rsidR="00D362E5">
      <w:rPr>
        <w:noProof/>
      </w:rPr>
      <w:t>22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0A31B6" w14:textId="77777777" w:rsidR="00E218FF" w:rsidRDefault="00E218FF">
      <w:r>
        <w:separator/>
      </w:r>
    </w:p>
  </w:footnote>
  <w:footnote w:type="continuationSeparator" w:id="0">
    <w:p w14:paraId="4BF1B9B3" w14:textId="77777777" w:rsidR="00E218FF" w:rsidRDefault="00E218F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13390C"/>
    <w:multiLevelType w:val="hybridMultilevel"/>
    <w:tmpl w:val="91667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EC2AA7"/>
    <w:multiLevelType w:val="hybridMultilevel"/>
    <w:tmpl w:val="F56CC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C1AE401"/>
    <w:multiLevelType w:val="multilevel"/>
    <w:tmpl w:val="1242D1F6"/>
    <w:lvl w:ilvl="0">
      <w:numFmt w:val="bullet"/>
      <w:lvlText w:val=" "/>
      <w:lvlJc w:val="left"/>
      <w:pPr>
        <w:tabs>
          <w:tab w:val="num" w:pos="0"/>
        </w:tabs>
        <w:ind w:left="480" w:hanging="480"/>
      </w:pPr>
    </w:lvl>
    <w:lvl w:ilvl="1">
      <w:numFmt w:val="bullet"/>
      <w:lvlText w:val=" "/>
      <w:lvlJc w:val="left"/>
      <w:pPr>
        <w:tabs>
          <w:tab w:val="num" w:pos="720"/>
        </w:tabs>
        <w:ind w:left="1200" w:hanging="480"/>
      </w:pPr>
    </w:lvl>
    <w:lvl w:ilvl="2">
      <w:numFmt w:val="bullet"/>
      <w:lvlText w:val=" "/>
      <w:lvlJc w:val="left"/>
      <w:pPr>
        <w:tabs>
          <w:tab w:val="num" w:pos="1440"/>
        </w:tabs>
        <w:ind w:left="1920" w:hanging="480"/>
      </w:pPr>
    </w:lvl>
    <w:lvl w:ilvl="3">
      <w:numFmt w:val="bullet"/>
      <w:lvlText w:val=" "/>
      <w:lvlJc w:val="left"/>
      <w:pPr>
        <w:tabs>
          <w:tab w:val="num" w:pos="2160"/>
        </w:tabs>
        <w:ind w:left="2640" w:hanging="480"/>
      </w:pPr>
    </w:lvl>
    <w:lvl w:ilvl="4">
      <w:numFmt w:val="bullet"/>
      <w:lvlText w:val=" "/>
      <w:lvlJc w:val="left"/>
      <w:pPr>
        <w:tabs>
          <w:tab w:val="num" w:pos="2880"/>
        </w:tabs>
        <w:ind w:left="3360" w:hanging="480"/>
      </w:pPr>
    </w:lvl>
    <w:lvl w:ilvl="5">
      <w:numFmt w:val="bullet"/>
      <w:lvlText w:val=" "/>
      <w:lvlJc w:val="left"/>
      <w:pPr>
        <w:tabs>
          <w:tab w:val="num" w:pos="3600"/>
        </w:tabs>
        <w:ind w:left="4080" w:hanging="480"/>
      </w:pPr>
    </w:lvl>
    <w:lvl w:ilvl="6">
      <w:numFmt w:val="bullet"/>
      <w:lvlText w:val=" "/>
      <w:lvlJc w:val="left"/>
      <w:pPr>
        <w:tabs>
          <w:tab w:val="num" w:pos="4320"/>
        </w:tabs>
        <w:ind w:left="4800" w:hanging="480"/>
      </w:pPr>
    </w:lvl>
    <w:lvl w:ilvl="7">
      <w:numFmt w:val="bullet"/>
      <w:lvlText w:val=" "/>
      <w:lvlJc w:val="left"/>
      <w:pPr>
        <w:tabs>
          <w:tab w:val="num" w:pos="5040"/>
        </w:tabs>
        <w:ind w:left="5520" w:hanging="480"/>
      </w:pPr>
    </w:lvl>
    <w:lvl w:ilvl="8">
      <w:numFmt w:val="bullet"/>
      <w:lvlText w:val=" "/>
      <w:lvlJc w:val="left"/>
      <w:pPr>
        <w:tabs>
          <w:tab w:val="num" w:pos="5760"/>
        </w:tabs>
        <w:ind w:left="6240" w:hanging="480"/>
      </w:pPr>
    </w:lvl>
  </w:abstractNum>
  <w:abstractNum w:abstractNumId="3">
    <w:nsid w:val="5A570F03"/>
    <w:multiLevelType w:val="hybridMultilevel"/>
    <w:tmpl w:val="331059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5251A90"/>
    <w:multiLevelType w:val="hybridMultilevel"/>
    <w:tmpl w:val="9D262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0D07"/>
    <w:rsid w:val="00011C8B"/>
    <w:rsid w:val="00012223"/>
    <w:rsid w:val="00014660"/>
    <w:rsid w:val="000237E3"/>
    <w:rsid w:val="000269CE"/>
    <w:rsid w:val="000D72DF"/>
    <w:rsid w:val="000E2BB0"/>
    <w:rsid w:val="00106573"/>
    <w:rsid w:val="00116476"/>
    <w:rsid w:val="00116947"/>
    <w:rsid w:val="00155BE5"/>
    <w:rsid w:val="00170257"/>
    <w:rsid w:val="0017529D"/>
    <w:rsid w:val="0018705B"/>
    <w:rsid w:val="001A3B68"/>
    <w:rsid w:val="001C1A52"/>
    <w:rsid w:val="002167EB"/>
    <w:rsid w:val="00216F92"/>
    <w:rsid w:val="00237ED0"/>
    <w:rsid w:val="00250B68"/>
    <w:rsid w:val="00283B8C"/>
    <w:rsid w:val="002D04C8"/>
    <w:rsid w:val="00304F8A"/>
    <w:rsid w:val="00305B5E"/>
    <w:rsid w:val="00313630"/>
    <w:rsid w:val="00334762"/>
    <w:rsid w:val="00367994"/>
    <w:rsid w:val="00382F63"/>
    <w:rsid w:val="003B1E03"/>
    <w:rsid w:val="0045638F"/>
    <w:rsid w:val="00480503"/>
    <w:rsid w:val="0049671C"/>
    <w:rsid w:val="004A2F10"/>
    <w:rsid w:val="004C7F1E"/>
    <w:rsid w:val="004E29B3"/>
    <w:rsid w:val="005061CE"/>
    <w:rsid w:val="0053199B"/>
    <w:rsid w:val="00534BD5"/>
    <w:rsid w:val="00576E75"/>
    <w:rsid w:val="00577B53"/>
    <w:rsid w:val="00590D07"/>
    <w:rsid w:val="005C5711"/>
    <w:rsid w:val="005E0D7C"/>
    <w:rsid w:val="005E277A"/>
    <w:rsid w:val="00635F0F"/>
    <w:rsid w:val="00652C6B"/>
    <w:rsid w:val="006B5492"/>
    <w:rsid w:val="006C45E8"/>
    <w:rsid w:val="006C4611"/>
    <w:rsid w:val="00722277"/>
    <w:rsid w:val="007402F8"/>
    <w:rsid w:val="00745E33"/>
    <w:rsid w:val="00783959"/>
    <w:rsid w:val="00784D58"/>
    <w:rsid w:val="00786324"/>
    <w:rsid w:val="007A1C45"/>
    <w:rsid w:val="007B29B9"/>
    <w:rsid w:val="007D2506"/>
    <w:rsid w:val="007D60A3"/>
    <w:rsid w:val="00853BE9"/>
    <w:rsid w:val="00867E6D"/>
    <w:rsid w:val="008D19BD"/>
    <w:rsid w:val="008D5D6B"/>
    <w:rsid w:val="008D6863"/>
    <w:rsid w:val="00936D93"/>
    <w:rsid w:val="0096384E"/>
    <w:rsid w:val="0096540E"/>
    <w:rsid w:val="009729C2"/>
    <w:rsid w:val="009842EA"/>
    <w:rsid w:val="00991453"/>
    <w:rsid w:val="009B73DE"/>
    <w:rsid w:val="009D74A3"/>
    <w:rsid w:val="00A324FB"/>
    <w:rsid w:val="00A34E83"/>
    <w:rsid w:val="00AB6164"/>
    <w:rsid w:val="00AC03D8"/>
    <w:rsid w:val="00AE303E"/>
    <w:rsid w:val="00B1004E"/>
    <w:rsid w:val="00B20C2F"/>
    <w:rsid w:val="00B475F8"/>
    <w:rsid w:val="00B632C1"/>
    <w:rsid w:val="00B73A43"/>
    <w:rsid w:val="00B86B75"/>
    <w:rsid w:val="00BC48D5"/>
    <w:rsid w:val="00C17312"/>
    <w:rsid w:val="00C17C44"/>
    <w:rsid w:val="00C300C7"/>
    <w:rsid w:val="00C36279"/>
    <w:rsid w:val="00C559F8"/>
    <w:rsid w:val="00C806A8"/>
    <w:rsid w:val="00C81FAA"/>
    <w:rsid w:val="00C8523D"/>
    <w:rsid w:val="00C872F5"/>
    <w:rsid w:val="00CE27B3"/>
    <w:rsid w:val="00CF5F54"/>
    <w:rsid w:val="00D0707B"/>
    <w:rsid w:val="00D125EA"/>
    <w:rsid w:val="00D362E5"/>
    <w:rsid w:val="00D53AF0"/>
    <w:rsid w:val="00D90EBF"/>
    <w:rsid w:val="00DA3408"/>
    <w:rsid w:val="00E057EC"/>
    <w:rsid w:val="00E218FF"/>
    <w:rsid w:val="00E2321E"/>
    <w:rsid w:val="00E25D96"/>
    <w:rsid w:val="00E315A3"/>
    <w:rsid w:val="00E518CB"/>
    <w:rsid w:val="00E63187"/>
    <w:rsid w:val="00E7579D"/>
    <w:rsid w:val="00E95988"/>
    <w:rsid w:val="00F008EB"/>
    <w:rsid w:val="00F21CF9"/>
    <w:rsid w:val="00F505A3"/>
    <w:rsid w:val="00F67313"/>
    <w:rsid w:val="00F77A15"/>
    <w:rsid w:val="00F8199F"/>
    <w:rsid w:val="00F929E1"/>
    <w:rsid w:val="00FC28EE"/>
    <w:rsid w:val="00FE191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EE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toc 4" w:uiPriority="3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st Paragraph" w:uiPriority="34" w:qFormat="1"/>
  </w:latentStyles>
  <w:style w:type="paragraph" w:default="1" w:styleId="Normal">
    <w:name w:val="Normal"/>
    <w:qFormat/>
    <w:pPr>
      <w:spacing w:line="360" w:lineRule="auto"/>
    </w:pPr>
    <w:rPr>
      <w:rFonts w:ascii="Arial" w:eastAsia="Arial" w:hAnsi="Arial"/>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160"/>
      <w:jc w:val="center"/>
    </w:pPr>
    <w:rPr>
      <w:rFonts w:asciiTheme="majorHAnsi" w:eastAsiaTheme="majorEastAsia" w:hAnsiTheme="majorHAnsi" w:cstheme="majorBidi"/>
      <w:b/>
      <w:bCs/>
      <w:color w:val="345A8A" w:themeColor="accent1" w:themeShade="B5"/>
      <w:sz w:val="44"/>
      <w:szCs w:val="36"/>
    </w:rPr>
  </w:style>
  <w:style w:type="paragraph" w:styleId="Subtitle">
    <w:name w:val="Subtitle"/>
    <w:basedOn w:val="Title"/>
    <w:next w:val="BodyText"/>
    <w:qFormat/>
    <w:pPr>
      <w:spacing w:before="240" w:after="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b/>
      <w:i/>
      <w:sz w:val="22"/>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CF5F54"/>
    <w:pPr>
      <w:spacing w:after="100"/>
    </w:pPr>
  </w:style>
  <w:style w:type="paragraph" w:styleId="TOC2">
    <w:name w:val="toc 2"/>
    <w:basedOn w:val="Normal"/>
    <w:next w:val="Normal"/>
    <w:autoRedefine/>
    <w:uiPriority w:val="39"/>
    <w:rsid w:val="00CF5F54"/>
    <w:pPr>
      <w:spacing w:after="100"/>
      <w:ind w:left="240"/>
    </w:pPr>
  </w:style>
  <w:style w:type="paragraph" w:styleId="TOC3">
    <w:name w:val="toc 3"/>
    <w:basedOn w:val="Normal"/>
    <w:next w:val="Normal"/>
    <w:autoRedefine/>
    <w:uiPriority w:val="39"/>
    <w:rsid w:val="00CF5F54"/>
    <w:pPr>
      <w:spacing w:after="100"/>
      <w:ind w:left="480"/>
    </w:pPr>
  </w:style>
  <w:style w:type="paragraph" w:styleId="TOC4">
    <w:name w:val="toc 4"/>
    <w:basedOn w:val="Normal"/>
    <w:next w:val="Normal"/>
    <w:autoRedefine/>
    <w:uiPriority w:val="39"/>
    <w:rsid w:val="00CF5F54"/>
    <w:pPr>
      <w:spacing w:after="100"/>
      <w:ind w:left="720"/>
    </w:pPr>
  </w:style>
  <w:style w:type="table" w:customStyle="1" w:styleId="PlainTable1">
    <w:name w:val="Plain Table 1"/>
    <w:basedOn w:val="TableNormal"/>
    <w:rsid w:val="00B632C1"/>
    <w:pPr>
      <w:spacing w:after="0"/>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
    <w:name w:val="Unresolved Mention"/>
    <w:basedOn w:val="DefaultParagraphFont"/>
    <w:uiPriority w:val="99"/>
    <w:semiHidden/>
    <w:unhideWhenUsed/>
    <w:rsid w:val="00116476"/>
    <w:rPr>
      <w:color w:val="605E5C"/>
      <w:shd w:val="clear" w:color="auto" w:fill="E1DFDD"/>
    </w:rPr>
  </w:style>
  <w:style w:type="paragraph" w:styleId="ListParagraph">
    <w:name w:val="List Paragraph"/>
    <w:basedOn w:val="Normal"/>
    <w:uiPriority w:val="34"/>
    <w:qFormat/>
    <w:rsid w:val="005E0D7C"/>
    <w:pPr>
      <w:spacing w:after="160" w:line="259" w:lineRule="auto"/>
      <w:ind w:left="720"/>
      <w:contextualSpacing/>
    </w:pPr>
    <w:rPr>
      <w:rFonts w:asciiTheme="minorHAnsi" w:eastAsiaTheme="minorHAnsi" w:hAnsiTheme="minorHAnsi"/>
      <w:kern w:val="2"/>
      <w:sz w:val="22"/>
      <w:szCs w:val="22"/>
      <w14:ligatures w14:val="standardContextual"/>
    </w:rPr>
  </w:style>
  <w:style w:type="paragraph" w:styleId="BalloonText">
    <w:name w:val="Balloon Text"/>
    <w:basedOn w:val="Normal"/>
    <w:link w:val="BalloonTextChar"/>
    <w:rsid w:val="00CE2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CE27B3"/>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toc 4" w:uiPriority="3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st Paragraph" w:uiPriority="34" w:qFormat="1"/>
  </w:latentStyles>
  <w:style w:type="paragraph" w:default="1" w:styleId="Normal">
    <w:name w:val="Normal"/>
    <w:qFormat/>
    <w:pPr>
      <w:spacing w:line="360" w:lineRule="auto"/>
    </w:pPr>
    <w:rPr>
      <w:rFonts w:ascii="Arial" w:eastAsia="Arial" w:hAnsi="Arial"/>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160"/>
      <w:jc w:val="center"/>
    </w:pPr>
    <w:rPr>
      <w:rFonts w:asciiTheme="majorHAnsi" w:eastAsiaTheme="majorEastAsia" w:hAnsiTheme="majorHAnsi" w:cstheme="majorBidi"/>
      <w:b/>
      <w:bCs/>
      <w:color w:val="345A8A" w:themeColor="accent1" w:themeShade="B5"/>
      <w:sz w:val="44"/>
      <w:szCs w:val="36"/>
    </w:rPr>
  </w:style>
  <w:style w:type="paragraph" w:styleId="Subtitle">
    <w:name w:val="Subtitle"/>
    <w:basedOn w:val="Title"/>
    <w:next w:val="BodyText"/>
    <w:qFormat/>
    <w:pPr>
      <w:spacing w:before="240" w:after="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b/>
      <w:i/>
      <w:sz w:val="22"/>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CF5F54"/>
    <w:pPr>
      <w:spacing w:after="100"/>
    </w:pPr>
  </w:style>
  <w:style w:type="paragraph" w:styleId="TOC2">
    <w:name w:val="toc 2"/>
    <w:basedOn w:val="Normal"/>
    <w:next w:val="Normal"/>
    <w:autoRedefine/>
    <w:uiPriority w:val="39"/>
    <w:rsid w:val="00CF5F54"/>
    <w:pPr>
      <w:spacing w:after="100"/>
      <w:ind w:left="240"/>
    </w:pPr>
  </w:style>
  <w:style w:type="paragraph" w:styleId="TOC3">
    <w:name w:val="toc 3"/>
    <w:basedOn w:val="Normal"/>
    <w:next w:val="Normal"/>
    <w:autoRedefine/>
    <w:uiPriority w:val="39"/>
    <w:rsid w:val="00CF5F54"/>
    <w:pPr>
      <w:spacing w:after="100"/>
      <w:ind w:left="480"/>
    </w:pPr>
  </w:style>
  <w:style w:type="paragraph" w:styleId="TOC4">
    <w:name w:val="toc 4"/>
    <w:basedOn w:val="Normal"/>
    <w:next w:val="Normal"/>
    <w:autoRedefine/>
    <w:uiPriority w:val="39"/>
    <w:rsid w:val="00CF5F54"/>
    <w:pPr>
      <w:spacing w:after="100"/>
      <w:ind w:left="720"/>
    </w:pPr>
  </w:style>
  <w:style w:type="table" w:customStyle="1" w:styleId="PlainTable1">
    <w:name w:val="Plain Table 1"/>
    <w:basedOn w:val="TableNormal"/>
    <w:rsid w:val="00B632C1"/>
    <w:pPr>
      <w:spacing w:after="0"/>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
    <w:name w:val="Unresolved Mention"/>
    <w:basedOn w:val="DefaultParagraphFont"/>
    <w:uiPriority w:val="99"/>
    <w:semiHidden/>
    <w:unhideWhenUsed/>
    <w:rsid w:val="00116476"/>
    <w:rPr>
      <w:color w:val="605E5C"/>
      <w:shd w:val="clear" w:color="auto" w:fill="E1DFDD"/>
    </w:rPr>
  </w:style>
  <w:style w:type="paragraph" w:styleId="ListParagraph">
    <w:name w:val="List Paragraph"/>
    <w:basedOn w:val="Normal"/>
    <w:uiPriority w:val="34"/>
    <w:qFormat/>
    <w:rsid w:val="005E0D7C"/>
    <w:pPr>
      <w:spacing w:after="160" w:line="259" w:lineRule="auto"/>
      <w:ind w:left="720"/>
      <w:contextualSpacing/>
    </w:pPr>
    <w:rPr>
      <w:rFonts w:asciiTheme="minorHAnsi" w:eastAsiaTheme="minorHAnsi" w:hAnsiTheme="minorHAnsi"/>
      <w:kern w:val="2"/>
      <w:sz w:val="22"/>
      <w:szCs w:val="22"/>
      <w14:ligatures w14:val="standardContextual"/>
    </w:rPr>
  </w:style>
  <w:style w:type="paragraph" w:styleId="BalloonText">
    <w:name w:val="Balloon Text"/>
    <w:basedOn w:val="Normal"/>
    <w:link w:val="BalloonTextChar"/>
    <w:rsid w:val="00CE2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CE27B3"/>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93255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atlanticcouncil.org/blogs/new-atlanticist/what-bangladesh-has-achieved-in-the-year-since-its-revolution/" TargetMode="External"/><Relationship Id="rId26" Type="http://schemas.openxmlformats.org/officeDocument/2006/relationships/hyperlink" Target="https://www.daily-sun.com/business/869689/foreign-investment-falls-18" TargetMode="External"/><Relationship Id="rId39" Type="http://schemas.openxmlformats.org/officeDocument/2006/relationships/hyperlink" Target="https://www.oecd.org/investment/fdiindex.htm" TargetMode="External"/><Relationship Id="rId21" Type="http://schemas.openxmlformats.org/officeDocument/2006/relationships/hyperlink" Target="https://doi.org/10.1177/23477970251357705" TargetMode="External"/><Relationship Id="rId34" Type="http://schemas.openxmlformats.org/officeDocument/2006/relationships/hyperlink" Target="https://www.imf.org/en/news/articles/2026/01/30/pr-26029-bangladesh-imf-executive-board-concludes-2025-article-iv-consultation" TargetMode="External"/><Relationship Id="rId42" Type="http://schemas.openxmlformats.org/officeDocument/2006/relationships/hyperlink" Target="https://www.statista.com/topics/bangladesh-retail" TargetMode="External"/><Relationship Id="rId47" Type="http://schemas.openxmlformats.org/officeDocument/2006/relationships/hyperlink" Target="https://www.thedailystar.net/business/news/superstore-scene-heats-newcomers-join-the-race-4175166" TargetMode="External"/><Relationship Id="rId50" Type="http://schemas.openxmlformats.org/officeDocument/2006/relationships/hyperlink" Target="https://www.state.gov/reports/2025-investment-climate-statements/bangladesh" TargetMode="External"/><Relationship Id="rId55" Type="http://schemas.openxmlformats.org/officeDocument/2006/relationships/hyperlink" Target="https://www.worldgovernmentssummit.org/media-hub/news/detail/wgs-2025-bangladesh-s-interim-leader-shares-vision-of-rebuilding-society-restoring-public-trust"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i.org/10.1177/14705958251325689" TargetMode="External"/><Relationship Id="rId29" Type="http://schemas.openxmlformats.org/officeDocument/2006/relationships/hyperlink" Target="https://doi.org/10.1177/09721509221092202" TargetMode="External"/><Relationship Id="rId41" Type="http://schemas.openxmlformats.org/officeDocument/2006/relationships/hyperlink" Target="https://doi.org/10.1177/1042258718797925" TargetMode="External"/><Relationship Id="rId54" Type="http://schemas.openxmlformats.org/officeDocument/2006/relationships/hyperlink" Target="https://www.wto.org/english/res_e/publications_e/wtr24_e.ht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hatgpt.com/" TargetMode="External"/><Relationship Id="rId24" Type="http://schemas.openxmlformats.org/officeDocument/2006/relationships/hyperlink" Target="https://doi.org/10.11648/j.ebm.20220805.11" TargetMode="External"/><Relationship Id="rId32" Type="http://schemas.openxmlformats.org/officeDocument/2006/relationships/hyperlink" Target="https://www.heritage.org/index/" TargetMode="External"/><Relationship Id="rId37" Type="http://schemas.openxmlformats.org/officeDocument/2006/relationships/hyperlink" Target="https://doi.org/10.1177/20578911231170208" TargetMode="External"/><Relationship Id="rId40" Type="http://schemas.openxmlformats.org/officeDocument/2006/relationships/hyperlink" Target="https://retailanalysis.igd.com/news/news-article/t/tesco-central-europe-private-label-food-to-go-and-online/i/19750" TargetMode="External"/><Relationship Id="rId45" Type="http://schemas.openxmlformats.org/officeDocument/2006/relationships/hyperlink" Target="https://www.tescoplc.com/media/gmylxjfw/tesco_ar26_interactive.pdf" TargetMode="External"/><Relationship Id="rId53" Type="http://schemas.openxmlformats.org/officeDocument/2006/relationships/hyperlink" Target="https://www.weforum.org/reports/global-risks-report-2024" TargetMode="External"/><Relationship Id="rId58" Type="http://schemas.openxmlformats.org/officeDocument/2006/relationships/hyperlink" Target="https://doi.org/10.30574/wjarr.2024.22.2.1470"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businessinspection.com.bd/top-supershop-chains-in-bd/" TargetMode="External"/><Relationship Id="rId28" Type="http://schemas.openxmlformats.org/officeDocument/2006/relationships/hyperlink" Target="https://doi.org/10.1016/j.jwb.2020.101164" TargetMode="External"/><Relationship Id="rId36" Type="http://schemas.openxmlformats.org/officeDocument/2006/relationships/hyperlink" Target="https://doi.org/10.1177/25166042211038465" TargetMode="External"/><Relationship Id="rId49" Type="http://schemas.openxmlformats.org/officeDocument/2006/relationships/hyperlink" Target="https://unctad.org/publication/world-investment-report-2025" TargetMode="External"/><Relationship Id="rId57" Type="http://schemas.openxmlformats.org/officeDocument/2006/relationships/hyperlink" Target="https://finance.yahoo.com/markets/stocks/articles/tesco-may-finally-leave-continent-161942547.html" TargetMode="External"/><Relationship Id="rId61"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en.bd-pratidin.com/special/2025/10/24/49354" TargetMode="External"/><Relationship Id="rId31" Type="http://schemas.openxmlformats.org/officeDocument/2006/relationships/hyperlink" Target="https://www.researchgate.net/publication/357138386" TargetMode="External"/><Relationship Id="rId44" Type="http://schemas.openxmlformats.org/officeDocument/2006/relationships/hyperlink" Target="https://tahmidurrahman.com/bangladesh-foreign-investment-regulations-3/" TargetMode="External"/><Relationship Id="rId52" Type="http://schemas.openxmlformats.org/officeDocument/2006/relationships/hyperlink" Target="https://thedocs.worldbank.org/en/doc/5d1783db09a0e09d15bbcea8ef0cec0b-0500052021/related/mpo-bgd.pdf" TargetMode="External"/><Relationship Id="rId60" Type="http://schemas.openxmlformats.org/officeDocument/2006/relationships/hyperlink" Target="https://doi.org/10.1002/jsc.2473"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doi.org/10.1057/s41267-022-00521-x" TargetMode="External"/><Relationship Id="rId27" Type="http://schemas.openxmlformats.org/officeDocument/2006/relationships/hyperlink" Target="https://www.economicsonline.co.uk/business_economics/tesco_buys_booker.html/" TargetMode="External"/><Relationship Id="rId30" Type="http://schemas.openxmlformats.org/officeDocument/2006/relationships/hyperlink" Target="https://www.gisreportsonline.com/r/bangladesh-preelection/" TargetMode="External"/><Relationship Id="rId35" Type="http://schemas.openxmlformats.org/officeDocument/2006/relationships/hyperlink" Target="https://doi.org/10.1080/13547860.2019.1660033" TargetMode="External"/><Relationship Id="rId43" Type="http://schemas.openxmlformats.org/officeDocument/2006/relationships/hyperlink" Target="https://doi.org/10.1177/1470595821997488" TargetMode="External"/><Relationship Id="rId48" Type="http://schemas.openxmlformats.org/officeDocument/2006/relationships/hyperlink" Target="https://thediplomat.com/2023/04/bangladeshs-garment-industry-a-decade-after-rana-plaza-collapse/" TargetMode="External"/><Relationship Id="rId56" Type="http://schemas.openxmlformats.org/officeDocument/2006/relationships/hyperlink" Target="https://www.worldometers.info/gdp/bangladesh-gdp/" TargetMode="External"/><Relationship Id="rId8" Type="http://schemas.openxmlformats.org/officeDocument/2006/relationships/endnotes" Target="endnotes.xml"/><Relationship Id="rId51" Type="http://schemas.openxmlformats.org/officeDocument/2006/relationships/hyperlink" Target="https://doi.org/10.48165/sajssh.2021.2101"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aljazeera.com/features/2025/5/24/why-is-bangladeshs-interim-leader-muhammad-yunus-considering-resigning" TargetMode="External"/><Relationship Id="rId25" Type="http://schemas.openxmlformats.org/officeDocument/2006/relationships/hyperlink" Target="https://www.coface.com/news-economy-and-insights/country-risk" TargetMode="External"/><Relationship Id="rId33" Type="http://schemas.openxmlformats.org/officeDocument/2006/relationships/hyperlink" Target="https://doi.org/10.1057/s41267-022-00523-9" TargetMode="External"/><Relationship Id="rId38" Type="http://schemas.openxmlformats.org/officeDocument/2006/relationships/hyperlink" Target="https://www.malaymail.com/news/money/2020/02/25/tesco-completes-china-exit-with-joint-venture-stake-sale/1840777" TargetMode="External"/><Relationship Id="rId46" Type="http://schemas.openxmlformats.org/officeDocument/2006/relationships/hyperlink" Target="https://www.theculturefactor.com/country-comparison-tool?countries=bangladesh%2Cunited+kingdom" TargetMode="External"/><Relationship Id="rId59" Type="http://schemas.openxmlformats.org/officeDocument/2006/relationships/hyperlink" Target="https://doi.org/10.1177/1069031X231212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77D8F-20AA-42A2-AD37-F926F67E2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7853</Words>
  <Characters>44766</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Admin</cp:lastModifiedBy>
  <cp:revision>2</cp:revision>
  <dcterms:created xsi:type="dcterms:W3CDTF">2026-08-14T08:14:00Z</dcterms:created>
  <dcterms:modified xsi:type="dcterms:W3CDTF">2026-08-14T08:14:00Z</dcterms:modified>
</cp:coreProperties>
</file>