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06BE4" w:rsidRDefault="00B06BE4">
      <w:pPr>
        <w:jc w:val="center"/>
        <w:rPr>
          <w:rFonts w:ascii="Times New Roman" w:eastAsia="Times New Roman" w:hAnsi="Times New Roman" w:cs="Times New Roman"/>
          <w:b/>
          <w:sz w:val="32"/>
          <w:szCs w:val="32"/>
        </w:rPr>
      </w:pPr>
    </w:p>
    <w:p w14:paraId="00000002" w14:textId="77777777" w:rsidR="00B06BE4" w:rsidRDefault="00B06BE4">
      <w:pPr>
        <w:jc w:val="center"/>
        <w:rPr>
          <w:rFonts w:ascii="Times New Roman" w:eastAsia="Times New Roman" w:hAnsi="Times New Roman" w:cs="Times New Roman"/>
          <w:b/>
          <w:sz w:val="32"/>
          <w:szCs w:val="32"/>
        </w:rPr>
      </w:pPr>
    </w:p>
    <w:p w14:paraId="00000003" w14:textId="77777777" w:rsidR="00B06BE4" w:rsidRDefault="00B06BE4">
      <w:pPr>
        <w:jc w:val="center"/>
        <w:rPr>
          <w:rFonts w:ascii="Times New Roman" w:eastAsia="Times New Roman" w:hAnsi="Times New Roman" w:cs="Times New Roman"/>
          <w:b/>
          <w:sz w:val="32"/>
          <w:szCs w:val="32"/>
        </w:rPr>
      </w:pPr>
    </w:p>
    <w:p w14:paraId="00000004" w14:textId="77777777" w:rsidR="00B06BE4" w:rsidRDefault="00B06BE4">
      <w:pPr>
        <w:jc w:val="center"/>
        <w:rPr>
          <w:rFonts w:ascii="Times New Roman" w:eastAsia="Times New Roman" w:hAnsi="Times New Roman" w:cs="Times New Roman"/>
          <w:b/>
          <w:sz w:val="32"/>
          <w:szCs w:val="32"/>
        </w:rPr>
      </w:pPr>
    </w:p>
    <w:p w14:paraId="00000005" w14:textId="77777777" w:rsidR="00B06BE4" w:rsidRDefault="00B06BE4">
      <w:pPr>
        <w:jc w:val="center"/>
        <w:rPr>
          <w:rFonts w:ascii="Times New Roman" w:eastAsia="Times New Roman" w:hAnsi="Times New Roman" w:cs="Times New Roman"/>
          <w:b/>
          <w:sz w:val="32"/>
          <w:szCs w:val="32"/>
        </w:rPr>
      </w:pPr>
    </w:p>
    <w:p w14:paraId="00000006" w14:textId="77777777" w:rsidR="00B06BE4" w:rsidRDefault="00B06BE4">
      <w:pPr>
        <w:jc w:val="center"/>
        <w:rPr>
          <w:rFonts w:ascii="Times New Roman" w:eastAsia="Times New Roman" w:hAnsi="Times New Roman" w:cs="Times New Roman"/>
          <w:b/>
          <w:sz w:val="32"/>
          <w:szCs w:val="32"/>
        </w:rPr>
      </w:pPr>
    </w:p>
    <w:p w14:paraId="00000007" w14:textId="77777777" w:rsidR="00B06BE4" w:rsidRDefault="00B06BE4">
      <w:pPr>
        <w:jc w:val="center"/>
        <w:rPr>
          <w:rFonts w:ascii="Times New Roman" w:eastAsia="Times New Roman" w:hAnsi="Times New Roman" w:cs="Times New Roman"/>
          <w:b/>
          <w:sz w:val="32"/>
          <w:szCs w:val="32"/>
        </w:rPr>
      </w:pPr>
    </w:p>
    <w:p w14:paraId="00000008" w14:textId="77777777" w:rsidR="00B06BE4" w:rsidRDefault="00B06BE4">
      <w:pPr>
        <w:jc w:val="center"/>
        <w:rPr>
          <w:rFonts w:ascii="Times New Roman" w:eastAsia="Times New Roman" w:hAnsi="Times New Roman" w:cs="Times New Roman"/>
          <w:b/>
          <w:sz w:val="32"/>
          <w:szCs w:val="32"/>
        </w:rPr>
      </w:pPr>
    </w:p>
    <w:p w14:paraId="00000009" w14:textId="77777777" w:rsidR="00B06BE4" w:rsidRDefault="00B06BE4">
      <w:pPr>
        <w:jc w:val="center"/>
        <w:rPr>
          <w:rFonts w:ascii="Times New Roman" w:eastAsia="Times New Roman" w:hAnsi="Times New Roman" w:cs="Times New Roman"/>
          <w:b/>
          <w:sz w:val="32"/>
          <w:szCs w:val="32"/>
        </w:rPr>
      </w:pPr>
    </w:p>
    <w:p w14:paraId="0000000A" w14:textId="2D3527EA" w:rsidR="00B06BE4" w:rsidRDefault="00DC0E28">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Legal Process</w:t>
      </w:r>
    </w:p>
    <w:p w14:paraId="6B4908F5" w14:textId="681D618F" w:rsidR="00DC0E28" w:rsidRDefault="00DC0E28">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Assignment 1</w:t>
      </w:r>
    </w:p>
    <w:p w14:paraId="1E31092A" w14:textId="77777777" w:rsidR="00C0186E" w:rsidRDefault="00C0186E" w:rsidP="00C0186E">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Kaiyum Ahmed Khan</w:t>
      </w:r>
    </w:p>
    <w:p w14:paraId="0000000B" w14:textId="5A394202" w:rsidR="00B06BE4" w:rsidRDefault="00C0186E" w:rsidP="00C0186E">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2028296</w:t>
      </w:r>
    </w:p>
    <w:p w14:paraId="0000000C" w14:textId="77777777" w:rsidR="00B06BE4" w:rsidRDefault="00B06BE4">
      <w:pPr>
        <w:jc w:val="center"/>
        <w:rPr>
          <w:rFonts w:ascii="Times New Roman" w:eastAsia="Times New Roman" w:hAnsi="Times New Roman" w:cs="Times New Roman"/>
          <w:b/>
          <w:sz w:val="32"/>
          <w:szCs w:val="32"/>
        </w:rPr>
      </w:pPr>
    </w:p>
    <w:p w14:paraId="0000000D" w14:textId="77777777" w:rsidR="00B06BE4" w:rsidRDefault="00B06BE4">
      <w:pPr>
        <w:jc w:val="center"/>
        <w:rPr>
          <w:rFonts w:ascii="Times New Roman" w:eastAsia="Times New Roman" w:hAnsi="Times New Roman" w:cs="Times New Roman"/>
          <w:b/>
          <w:sz w:val="32"/>
          <w:szCs w:val="32"/>
        </w:rPr>
      </w:pPr>
    </w:p>
    <w:p w14:paraId="0000000E" w14:textId="77777777" w:rsidR="00B06BE4" w:rsidRDefault="00B06BE4">
      <w:pPr>
        <w:jc w:val="center"/>
        <w:rPr>
          <w:rFonts w:ascii="Times New Roman" w:eastAsia="Times New Roman" w:hAnsi="Times New Roman" w:cs="Times New Roman"/>
          <w:b/>
          <w:sz w:val="32"/>
          <w:szCs w:val="32"/>
        </w:rPr>
      </w:pPr>
    </w:p>
    <w:p w14:paraId="0000000F" w14:textId="77777777" w:rsidR="00B06BE4" w:rsidRDefault="00B06BE4">
      <w:pPr>
        <w:jc w:val="center"/>
        <w:rPr>
          <w:rFonts w:ascii="Times New Roman" w:eastAsia="Times New Roman" w:hAnsi="Times New Roman" w:cs="Times New Roman"/>
          <w:b/>
          <w:sz w:val="32"/>
          <w:szCs w:val="32"/>
        </w:rPr>
      </w:pPr>
    </w:p>
    <w:p w14:paraId="00000010" w14:textId="77777777" w:rsidR="00B06BE4" w:rsidRDefault="00882F60">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ESSAY: HOW LAY PEOPLE UPHOLD JUDICIAL FAIRNESS</w:t>
      </w:r>
      <w:r>
        <w:br w:type="page"/>
      </w:r>
    </w:p>
    <w:p w14:paraId="10251853" w14:textId="77777777" w:rsidR="002C126B" w:rsidRDefault="00882F60">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sdt>
      <w:sdtPr>
        <w:rPr>
          <w:rFonts w:ascii="Arial" w:eastAsia="Arial" w:hAnsi="Arial" w:cs="Arial"/>
          <w:color w:val="auto"/>
          <w:sz w:val="22"/>
          <w:szCs w:val="22"/>
          <w:lang w:val="en-IN" w:eastAsia="en-IN"/>
        </w:rPr>
        <w:id w:val="1109848545"/>
        <w:docPartObj>
          <w:docPartGallery w:val="Table of Contents"/>
          <w:docPartUnique/>
        </w:docPartObj>
      </w:sdtPr>
      <w:sdtEndPr>
        <w:rPr>
          <w:b/>
          <w:bCs/>
          <w:noProof/>
        </w:rPr>
      </w:sdtEndPr>
      <w:sdtContent>
        <w:p w14:paraId="3CA9AD50" w14:textId="5A9820BE" w:rsidR="002C126B" w:rsidRDefault="002C126B">
          <w:pPr>
            <w:pStyle w:val="TOCHeading"/>
          </w:pPr>
        </w:p>
        <w:p w14:paraId="7E59B599" w14:textId="77777777" w:rsidR="002C126B" w:rsidRPr="002C126B" w:rsidRDefault="002C126B" w:rsidP="002C126B">
          <w:pPr>
            <w:pStyle w:val="TOC1"/>
            <w:tabs>
              <w:tab w:val="right" w:leader="dot" w:pos="9019"/>
            </w:tabs>
            <w:spacing w:line="360" w:lineRule="auto"/>
            <w:jc w:val="both"/>
            <w:rPr>
              <w:rFonts w:ascii="Times New Roman" w:hAnsi="Times New Roman" w:cs="Times New Roman"/>
              <w:noProof/>
              <w:sz w:val="24"/>
            </w:rPr>
          </w:pPr>
          <w:r>
            <w:rPr>
              <w:b/>
              <w:bCs/>
              <w:noProof/>
            </w:rPr>
            <w:fldChar w:fldCharType="begin"/>
          </w:r>
          <w:r>
            <w:rPr>
              <w:b/>
              <w:bCs/>
              <w:noProof/>
            </w:rPr>
            <w:instrText xml:space="preserve"> TOC \o "1-3" \h \z \u </w:instrText>
          </w:r>
          <w:r>
            <w:rPr>
              <w:b/>
              <w:bCs/>
              <w:noProof/>
            </w:rPr>
            <w:fldChar w:fldCharType="separate"/>
          </w:r>
          <w:hyperlink w:anchor="_Toc138958139" w:history="1">
            <w:r w:rsidRPr="002C126B">
              <w:rPr>
                <w:rStyle w:val="Hyperlink"/>
                <w:rFonts w:ascii="Times New Roman" w:hAnsi="Times New Roman" w:cs="Times New Roman"/>
                <w:noProof/>
                <w:sz w:val="24"/>
              </w:rPr>
              <w:t>Introduction</w:t>
            </w:r>
            <w:r w:rsidRPr="002C126B">
              <w:rPr>
                <w:rFonts w:ascii="Times New Roman" w:hAnsi="Times New Roman" w:cs="Times New Roman"/>
                <w:noProof/>
                <w:webHidden/>
                <w:sz w:val="24"/>
              </w:rPr>
              <w:tab/>
            </w:r>
            <w:r w:rsidRPr="002C126B">
              <w:rPr>
                <w:rFonts w:ascii="Times New Roman" w:hAnsi="Times New Roman" w:cs="Times New Roman"/>
                <w:noProof/>
                <w:webHidden/>
                <w:sz w:val="24"/>
              </w:rPr>
              <w:fldChar w:fldCharType="begin"/>
            </w:r>
            <w:r w:rsidRPr="002C126B">
              <w:rPr>
                <w:rFonts w:ascii="Times New Roman" w:hAnsi="Times New Roman" w:cs="Times New Roman"/>
                <w:noProof/>
                <w:webHidden/>
                <w:sz w:val="24"/>
              </w:rPr>
              <w:instrText xml:space="preserve"> PAGEREF _Toc138958139 \h </w:instrText>
            </w:r>
            <w:r w:rsidRPr="002C126B">
              <w:rPr>
                <w:rFonts w:ascii="Times New Roman" w:hAnsi="Times New Roman" w:cs="Times New Roman"/>
                <w:noProof/>
                <w:webHidden/>
                <w:sz w:val="24"/>
              </w:rPr>
            </w:r>
            <w:r w:rsidRPr="002C126B">
              <w:rPr>
                <w:rFonts w:ascii="Times New Roman" w:hAnsi="Times New Roman" w:cs="Times New Roman"/>
                <w:noProof/>
                <w:webHidden/>
                <w:sz w:val="24"/>
              </w:rPr>
              <w:fldChar w:fldCharType="separate"/>
            </w:r>
            <w:r w:rsidRPr="002C126B">
              <w:rPr>
                <w:rFonts w:ascii="Times New Roman" w:hAnsi="Times New Roman" w:cs="Times New Roman"/>
                <w:noProof/>
                <w:webHidden/>
                <w:sz w:val="24"/>
              </w:rPr>
              <w:t>2</w:t>
            </w:r>
            <w:r w:rsidRPr="002C126B">
              <w:rPr>
                <w:rFonts w:ascii="Times New Roman" w:hAnsi="Times New Roman" w:cs="Times New Roman"/>
                <w:noProof/>
                <w:webHidden/>
                <w:sz w:val="24"/>
              </w:rPr>
              <w:fldChar w:fldCharType="end"/>
            </w:r>
          </w:hyperlink>
        </w:p>
        <w:p w14:paraId="5298B800" w14:textId="77777777" w:rsidR="002C126B" w:rsidRPr="002C126B" w:rsidRDefault="00000000" w:rsidP="002C126B">
          <w:pPr>
            <w:pStyle w:val="TOC1"/>
            <w:tabs>
              <w:tab w:val="right" w:leader="dot" w:pos="9019"/>
            </w:tabs>
            <w:spacing w:line="360" w:lineRule="auto"/>
            <w:jc w:val="both"/>
            <w:rPr>
              <w:rFonts w:ascii="Times New Roman" w:hAnsi="Times New Roman" w:cs="Times New Roman"/>
              <w:noProof/>
              <w:sz w:val="24"/>
            </w:rPr>
          </w:pPr>
          <w:hyperlink w:anchor="_Toc138958140" w:history="1">
            <w:r w:rsidR="002C126B" w:rsidRPr="002C126B">
              <w:rPr>
                <w:rStyle w:val="Hyperlink"/>
                <w:rFonts w:ascii="Times New Roman" w:hAnsi="Times New Roman" w:cs="Times New Roman"/>
                <w:noProof/>
                <w:sz w:val="24"/>
              </w:rPr>
              <w:t>Main Body</w:t>
            </w:r>
            <w:r w:rsidR="002C126B" w:rsidRPr="002C126B">
              <w:rPr>
                <w:rFonts w:ascii="Times New Roman" w:hAnsi="Times New Roman" w:cs="Times New Roman"/>
                <w:noProof/>
                <w:webHidden/>
                <w:sz w:val="24"/>
              </w:rPr>
              <w:tab/>
            </w:r>
            <w:r w:rsidR="002C126B" w:rsidRPr="002C126B">
              <w:rPr>
                <w:rFonts w:ascii="Times New Roman" w:hAnsi="Times New Roman" w:cs="Times New Roman"/>
                <w:noProof/>
                <w:webHidden/>
                <w:sz w:val="24"/>
              </w:rPr>
              <w:fldChar w:fldCharType="begin"/>
            </w:r>
            <w:r w:rsidR="002C126B" w:rsidRPr="002C126B">
              <w:rPr>
                <w:rFonts w:ascii="Times New Roman" w:hAnsi="Times New Roman" w:cs="Times New Roman"/>
                <w:noProof/>
                <w:webHidden/>
                <w:sz w:val="24"/>
              </w:rPr>
              <w:instrText xml:space="preserve"> PAGEREF _Toc138958140 \h </w:instrText>
            </w:r>
            <w:r w:rsidR="002C126B" w:rsidRPr="002C126B">
              <w:rPr>
                <w:rFonts w:ascii="Times New Roman" w:hAnsi="Times New Roman" w:cs="Times New Roman"/>
                <w:noProof/>
                <w:webHidden/>
                <w:sz w:val="24"/>
              </w:rPr>
            </w:r>
            <w:r w:rsidR="002C126B" w:rsidRPr="002C126B">
              <w:rPr>
                <w:rFonts w:ascii="Times New Roman" w:hAnsi="Times New Roman" w:cs="Times New Roman"/>
                <w:noProof/>
                <w:webHidden/>
                <w:sz w:val="24"/>
              </w:rPr>
              <w:fldChar w:fldCharType="separate"/>
            </w:r>
            <w:r w:rsidR="002C126B" w:rsidRPr="002C126B">
              <w:rPr>
                <w:rFonts w:ascii="Times New Roman" w:hAnsi="Times New Roman" w:cs="Times New Roman"/>
                <w:noProof/>
                <w:webHidden/>
                <w:sz w:val="24"/>
              </w:rPr>
              <w:t>2</w:t>
            </w:r>
            <w:r w:rsidR="002C126B" w:rsidRPr="002C126B">
              <w:rPr>
                <w:rFonts w:ascii="Times New Roman" w:hAnsi="Times New Roman" w:cs="Times New Roman"/>
                <w:noProof/>
                <w:webHidden/>
                <w:sz w:val="24"/>
              </w:rPr>
              <w:fldChar w:fldCharType="end"/>
            </w:r>
          </w:hyperlink>
        </w:p>
        <w:p w14:paraId="47D7B6EF" w14:textId="77777777" w:rsidR="002C126B" w:rsidRPr="002C126B" w:rsidRDefault="00000000" w:rsidP="002C126B">
          <w:pPr>
            <w:pStyle w:val="TOC1"/>
            <w:tabs>
              <w:tab w:val="right" w:leader="dot" w:pos="9019"/>
            </w:tabs>
            <w:spacing w:line="360" w:lineRule="auto"/>
            <w:jc w:val="both"/>
            <w:rPr>
              <w:rFonts w:ascii="Times New Roman" w:hAnsi="Times New Roman" w:cs="Times New Roman"/>
              <w:noProof/>
              <w:sz w:val="24"/>
            </w:rPr>
          </w:pPr>
          <w:hyperlink w:anchor="_Toc138958141" w:history="1">
            <w:r w:rsidR="002C126B" w:rsidRPr="002C126B">
              <w:rPr>
                <w:rStyle w:val="Hyperlink"/>
                <w:rFonts w:ascii="Times New Roman" w:hAnsi="Times New Roman" w:cs="Times New Roman"/>
                <w:noProof/>
                <w:sz w:val="24"/>
              </w:rPr>
              <w:t>Conclusion</w:t>
            </w:r>
            <w:r w:rsidR="002C126B" w:rsidRPr="002C126B">
              <w:rPr>
                <w:rFonts w:ascii="Times New Roman" w:hAnsi="Times New Roman" w:cs="Times New Roman"/>
                <w:noProof/>
                <w:webHidden/>
                <w:sz w:val="24"/>
              </w:rPr>
              <w:tab/>
            </w:r>
            <w:r w:rsidR="002C126B" w:rsidRPr="002C126B">
              <w:rPr>
                <w:rFonts w:ascii="Times New Roman" w:hAnsi="Times New Roman" w:cs="Times New Roman"/>
                <w:noProof/>
                <w:webHidden/>
                <w:sz w:val="24"/>
              </w:rPr>
              <w:fldChar w:fldCharType="begin"/>
            </w:r>
            <w:r w:rsidR="002C126B" w:rsidRPr="002C126B">
              <w:rPr>
                <w:rFonts w:ascii="Times New Roman" w:hAnsi="Times New Roman" w:cs="Times New Roman"/>
                <w:noProof/>
                <w:webHidden/>
                <w:sz w:val="24"/>
              </w:rPr>
              <w:instrText xml:space="preserve"> PAGEREF _Toc138958141 \h </w:instrText>
            </w:r>
            <w:r w:rsidR="002C126B" w:rsidRPr="002C126B">
              <w:rPr>
                <w:rFonts w:ascii="Times New Roman" w:hAnsi="Times New Roman" w:cs="Times New Roman"/>
                <w:noProof/>
                <w:webHidden/>
                <w:sz w:val="24"/>
              </w:rPr>
            </w:r>
            <w:r w:rsidR="002C126B" w:rsidRPr="002C126B">
              <w:rPr>
                <w:rFonts w:ascii="Times New Roman" w:hAnsi="Times New Roman" w:cs="Times New Roman"/>
                <w:noProof/>
                <w:webHidden/>
                <w:sz w:val="24"/>
              </w:rPr>
              <w:fldChar w:fldCharType="separate"/>
            </w:r>
            <w:r w:rsidR="002C126B" w:rsidRPr="002C126B">
              <w:rPr>
                <w:rFonts w:ascii="Times New Roman" w:hAnsi="Times New Roman" w:cs="Times New Roman"/>
                <w:noProof/>
                <w:webHidden/>
                <w:sz w:val="24"/>
              </w:rPr>
              <w:t>5</w:t>
            </w:r>
            <w:r w:rsidR="002C126B" w:rsidRPr="002C126B">
              <w:rPr>
                <w:rFonts w:ascii="Times New Roman" w:hAnsi="Times New Roman" w:cs="Times New Roman"/>
                <w:noProof/>
                <w:webHidden/>
                <w:sz w:val="24"/>
              </w:rPr>
              <w:fldChar w:fldCharType="end"/>
            </w:r>
          </w:hyperlink>
        </w:p>
        <w:p w14:paraId="3991CDFC" w14:textId="77777777" w:rsidR="002C126B" w:rsidRDefault="00000000" w:rsidP="002C126B">
          <w:pPr>
            <w:pStyle w:val="TOC1"/>
            <w:tabs>
              <w:tab w:val="right" w:leader="dot" w:pos="9019"/>
            </w:tabs>
            <w:spacing w:line="360" w:lineRule="auto"/>
            <w:jc w:val="both"/>
            <w:rPr>
              <w:noProof/>
            </w:rPr>
          </w:pPr>
          <w:hyperlink w:anchor="_Toc138958142" w:history="1">
            <w:r w:rsidR="002C126B" w:rsidRPr="002C126B">
              <w:rPr>
                <w:rStyle w:val="Hyperlink"/>
                <w:rFonts w:ascii="Times New Roman" w:hAnsi="Times New Roman" w:cs="Times New Roman"/>
                <w:noProof/>
                <w:sz w:val="24"/>
              </w:rPr>
              <w:t>Reference List</w:t>
            </w:r>
            <w:r w:rsidR="002C126B" w:rsidRPr="002C126B">
              <w:rPr>
                <w:rFonts w:ascii="Times New Roman" w:hAnsi="Times New Roman" w:cs="Times New Roman"/>
                <w:noProof/>
                <w:webHidden/>
                <w:sz w:val="24"/>
              </w:rPr>
              <w:tab/>
            </w:r>
            <w:r w:rsidR="002C126B" w:rsidRPr="002C126B">
              <w:rPr>
                <w:rFonts w:ascii="Times New Roman" w:hAnsi="Times New Roman" w:cs="Times New Roman"/>
                <w:noProof/>
                <w:webHidden/>
                <w:sz w:val="24"/>
              </w:rPr>
              <w:fldChar w:fldCharType="begin"/>
            </w:r>
            <w:r w:rsidR="002C126B" w:rsidRPr="002C126B">
              <w:rPr>
                <w:rFonts w:ascii="Times New Roman" w:hAnsi="Times New Roman" w:cs="Times New Roman"/>
                <w:noProof/>
                <w:webHidden/>
                <w:sz w:val="24"/>
              </w:rPr>
              <w:instrText xml:space="preserve"> PAGEREF _Toc138958142 \h </w:instrText>
            </w:r>
            <w:r w:rsidR="002C126B" w:rsidRPr="002C126B">
              <w:rPr>
                <w:rFonts w:ascii="Times New Roman" w:hAnsi="Times New Roman" w:cs="Times New Roman"/>
                <w:noProof/>
                <w:webHidden/>
                <w:sz w:val="24"/>
              </w:rPr>
            </w:r>
            <w:r w:rsidR="002C126B" w:rsidRPr="002C126B">
              <w:rPr>
                <w:rFonts w:ascii="Times New Roman" w:hAnsi="Times New Roman" w:cs="Times New Roman"/>
                <w:noProof/>
                <w:webHidden/>
                <w:sz w:val="24"/>
              </w:rPr>
              <w:fldChar w:fldCharType="separate"/>
            </w:r>
            <w:r w:rsidR="002C126B" w:rsidRPr="002C126B">
              <w:rPr>
                <w:rFonts w:ascii="Times New Roman" w:hAnsi="Times New Roman" w:cs="Times New Roman"/>
                <w:noProof/>
                <w:webHidden/>
                <w:sz w:val="24"/>
              </w:rPr>
              <w:t>6</w:t>
            </w:r>
            <w:r w:rsidR="002C126B" w:rsidRPr="002C126B">
              <w:rPr>
                <w:rFonts w:ascii="Times New Roman" w:hAnsi="Times New Roman" w:cs="Times New Roman"/>
                <w:noProof/>
                <w:webHidden/>
                <w:sz w:val="24"/>
              </w:rPr>
              <w:fldChar w:fldCharType="end"/>
            </w:r>
          </w:hyperlink>
        </w:p>
        <w:p w14:paraId="546A9933" w14:textId="29980A40" w:rsidR="002C126B" w:rsidRDefault="002C126B">
          <w:r>
            <w:rPr>
              <w:b/>
              <w:bCs/>
              <w:noProof/>
            </w:rPr>
            <w:fldChar w:fldCharType="end"/>
          </w:r>
        </w:p>
      </w:sdtContent>
    </w:sdt>
    <w:p w14:paraId="00000011" w14:textId="7A22DDCC" w:rsidR="00B06BE4" w:rsidRDefault="00882F60" w:rsidP="002C126B">
      <w:pPr>
        <w:rPr>
          <w:rFonts w:ascii="Times New Roman" w:eastAsia="Times New Roman" w:hAnsi="Times New Roman" w:cs="Times New Roman"/>
          <w:b/>
          <w:sz w:val="28"/>
          <w:szCs w:val="28"/>
        </w:rPr>
      </w:pPr>
      <w:r>
        <w:br w:type="page"/>
      </w:r>
    </w:p>
    <w:p w14:paraId="00000012" w14:textId="2555B6F8" w:rsidR="00B06BE4" w:rsidRDefault="00882F60" w:rsidP="002C126B">
      <w:pPr>
        <w:pStyle w:val="Heading1"/>
      </w:pPr>
      <w:bookmarkStart w:id="0" w:name="_Toc138958139"/>
      <w:r>
        <w:lastRenderedPageBreak/>
        <w:t>Introduction</w:t>
      </w:r>
      <w:bookmarkEnd w:id="0"/>
    </w:p>
    <w:p w14:paraId="00000013" w14:textId="77777777" w:rsidR="00B06BE4" w:rsidRDefault="00882F6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essay consists of an upholding of judicial fairness, which is generally upheld by lay people. Efficient information is collected for the recruitment of magistrates, and the demographics of their composition are identified. The characteristic features of the people part of the judiciary system are determined, and accordingly decisions are made based on the qualification for Jury services. The issues which are determined in the justice system are addressed, and gradually solutions are determined. Moreover, the restrictions are determined, where the jury undertakes decisions, based on the justice being done. A fair trial is pursued after the selection of jury members efficiently. </w:t>
      </w:r>
    </w:p>
    <w:p w14:paraId="00000014" w14:textId="64590529" w:rsidR="00B06BE4" w:rsidRDefault="00882F60" w:rsidP="002C126B">
      <w:pPr>
        <w:pStyle w:val="Heading1"/>
      </w:pPr>
      <w:bookmarkStart w:id="1" w:name="_Toc138958140"/>
      <w:r>
        <w:t>Main Body</w:t>
      </w:r>
      <w:bookmarkEnd w:id="1"/>
    </w:p>
    <w:p w14:paraId="00000017" w14:textId="77777777" w:rsidR="00B06BE4" w:rsidRDefault="00882F6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Magistrates are a very important part of the justice system in the UK. They are individuals from every aspect of life who give their time voluntarily in making a positive difference in their local communities (</w:t>
      </w:r>
      <w:r>
        <w:rPr>
          <w:rFonts w:ascii="Times New Roman" w:eastAsia="Times New Roman" w:hAnsi="Times New Roman" w:cs="Times New Roman"/>
          <w:color w:val="222222"/>
          <w:sz w:val="24"/>
          <w:szCs w:val="24"/>
          <w:highlight w:val="white"/>
        </w:rPr>
        <w:t>Johannesson 2022)</w:t>
      </w:r>
      <w:r>
        <w:rPr>
          <w:rFonts w:ascii="Times New Roman" w:eastAsia="Times New Roman" w:hAnsi="Times New Roman" w:cs="Times New Roman"/>
          <w:sz w:val="24"/>
          <w:szCs w:val="24"/>
        </w:rPr>
        <w:t xml:space="preserve">. The recruitment process of magistrates depends on an understanding and communication of the regulations carried out, along with social awareness. The individuals should have a commitment to undertaking the right decisions, and they are engaged in providing the right judgement. The candidates should consider every aspect, and if they can commit enough time and can be highly flexible to undertake efficient decisions in the future. They should have sufficient information about the changes occurring in the legislation processes.    </w:t>
      </w:r>
    </w:p>
    <w:p w14:paraId="00000019" w14:textId="77777777" w:rsidR="00B06BE4" w:rsidRDefault="00882F6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legislation demonstrated in the Federal Act 1979 defines the recruitment and selection processes of magistrates. It states that the candidates should have sufficient knowledge about the most efficient decisions to be carried out in the initial judgement process. Moreover, it demonstrates that the candidate cannot challenge the selection process after taking part in the interview process (</w:t>
      </w:r>
      <w:proofErr w:type="spellStart"/>
      <w:r>
        <w:rPr>
          <w:rFonts w:ascii="Times New Roman" w:eastAsia="Times New Roman" w:hAnsi="Times New Roman" w:cs="Times New Roman"/>
          <w:color w:val="222222"/>
          <w:sz w:val="24"/>
          <w:szCs w:val="24"/>
          <w:highlight w:val="white"/>
        </w:rPr>
        <w:t>Huchhanavar</w:t>
      </w:r>
      <w:proofErr w:type="spellEnd"/>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The first round of the selection process should be carried out by the advisory committee, where they take decisions to recruit the most suited candidates through an application interview, and background check, along with speculative applications are received accordingly. The appointment of people other than district judges is carried out according to the speculative applications received, as stated by the legislation.</w:t>
      </w:r>
    </w:p>
    <w:p w14:paraId="0000001B" w14:textId="77777777" w:rsidR="00B06BE4" w:rsidRDefault="00882F6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Across all non-legal exercises in the 2020/21 era, nearly 70% of the recommendations have been women and 27% have been from Black, Asian, and minority ethnic backgrounds (</w:t>
      </w:r>
      <w:r>
        <w:rPr>
          <w:rFonts w:ascii="Times New Roman" w:eastAsia="Times New Roman" w:hAnsi="Times New Roman" w:cs="Times New Roman"/>
          <w:color w:val="222222"/>
          <w:sz w:val="24"/>
          <w:szCs w:val="24"/>
          <w:highlight w:val="white"/>
        </w:rPr>
        <w:t>Stirk 2022)</w:t>
      </w:r>
      <w:r>
        <w:rPr>
          <w:rFonts w:ascii="Times New Roman" w:eastAsia="Times New Roman" w:hAnsi="Times New Roman" w:cs="Times New Roman"/>
          <w:sz w:val="24"/>
          <w:szCs w:val="24"/>
        </w:rPr>
        <w:t xml:space="preserve">. Moreover, almost 56% of sitting magistrates have been women, and 13% were black, Asian, and minority ethnic backgrounds. Nearly 82% of the people are aged 50 and above, </w:t>
      </w:r>
      <w:r>
        <w:rPr>
          <w:rFonts w:ascii="Times New Roman" w:eastAsia="Times New Roman" w:hAnsi="Times New Roman" w:cs="Times New Roman"/>
          <w:sz w:val="24"/>
          <w:szCs w:val="24"/>
        </w:rPr>
        <w:lastRenderedPageBreak/>
        <w:t xml:space="preserve">formed by the legal system of magistrates. Classifications are conducted based on the judicial magistrates of first class, along with metropolitan areas. Also, there are judicial magistrates of the second class and executives. The High Court is composed of a Chief Justice and a number of other judges, where the number varies state-wise.    </w:t>
      </w:r>
    </w:p>
    <w:p w14:paraId="0000001D" w14:textId="77777777" w:rsidR="00B06BE4" w:rsidRDefault="00882F6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candidate should hold the post of a Judge, or Advocate of a High Court in succession for at least 5 years. The individual should be a distinguished jurist in the opinion of the President (</w:t>
      </w:r>
      <w:r>
        <w:rPr>
          <w:rFonts w:ascii="Times New Roman" w:eastAsia="Times New Roman" w:hAnsi="Times New Roman" w:cs="Times New Roman"/>
          <w:color w:val="222222"/>
          <w:sz w:val="24"/>
          <w:szCs w:val="24"/>
          <w:highlight w:val="white"/>
        </w:rPr>
        <w:t>Khoury and Whyte, 2022)</w:t>
      </w:r>
      <w:r>
        <w:rPr>
          <w:rFonts w:ascii="Times New Roman" w:eastAsia="Times New Roman" w:hAnsi="Times New Roman" w:cs="Times New Roman"/>
          <w:sz w:val="24"/>
          <w:szCs w:val="24"/>
        </w:rPr>
        <w:t xml:space="preserve">. They should have a bachelor’s degree in law, almost seven years of legal practice, and pass the state judiciary exams. They should practice as an Advocate, Attorney, or Pleader in the High Court or as Courts Subordinates. They should possess a quality character and have enough experience in this aspect. Mandatory training of nearly four days is needed for the candidate so that they can take part in the judicial process in the future. </w:t>
      </w:r>
    </w:p>
    <w:p w14:paraId="0000001E" w14:textId="77777777" w:rsidR="00B06BE4" w:rsidRDefault="00882F6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Is the accusation that they are too male, too white, too middle class and too old still stand?</w:t>
      </w:r>
    </w:p>
    <w:p w14:paraId="0000001F" w14:textId="77777777" w:rsidR="00B06BE4" w:rsidRDefault="00882F6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Women selected are often too old and worn out to be selected as magistrates. Apart from the political cases, there are many instances where they fail to deliver a significant judgement which carries inefficient consequences. In most cases, people have insufficient experiences which imposes problems on their career as magistrates (</w:t>
      </w:r>
      <w:proofErr w:type="spellStart"/>
      <w:r>
        <w:rPr>
          <w:rFonts w:ascii="Times New Roman" w:eastAsia="Times New Roman" w:hAnsi="Times New Roman" w:cs="Times New Roman"/>
          <w:color w:val="222222"/>
          <w:sz w:val="24"/>
          <w:szCs w:val="24"/>
          <w:highlight w:val="white"/>
        </w:rPr>
        <w:t>Bárd</w:t>
      </w:r>
      <w:proofErr w:type="spellEnd"/>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When there is a male judge, there are no such judgements usually. It is believed that they take the right judgement and decisions about any issue and provide significant information about the requirements in the future. Thus, women face lots of problems while applying for the post of magistrate, and in many instances, they fail to hold the post. </w:t>
      </w:r>
    </w:p>
    <w:p w14:paraId="00000021" w14:textId="77777777" w:rsidR="00B06BE4" w:rsidRDefault="00882F6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Not much has been done to address the problem, where discrimination is done based on qualifications. A man, aged 50 and above, having standard qualifications, can become a judge. Any woman has to go through several stages before making it to the top, and several restrictions are detected (</w:t>
      </w:r>
      <w:proofErr w:type="spellStart"/>
      <w:r>
        <w:rPr>
          <w:rFonts w:ascii="Times New Roman" w:eastAsia="Times New Roman" w:hAnsi="Times New Roman" w:cs="Times New Roman"/>
          <w:color w:val="222222"/>
          <w:sz w:val="24"/>
          <w:szCs w:val="24"/>
          <w:highlight w:val="white"/>
        </w:rPr>
        <w:t>Kuchinski</w:t>
      </w:r>
      <w:proofErr w:type="spellEnd"/>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Thus, a man can provide significant judgement laws based on any situation, while it is imposing issues for a woman. Racism plays an important role in this aspect also, where the selection is made based on class, background, and other features. Thus, the selection process is a major problem for some people.</w:t>
      </w:r>
    </w:p>
    <w:p w14:paraId="00000024" w14:textId="008FCE84" w:rsidR="00B06BE4" w:rsidRDefault="00882F60" w:rsidP="002C12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Jury lists are compiled from voter registrations and licenses or renewals. From those lists, the candidates are selected. A panel of jurors are assigned to a courtroom, and they are randomly selected to sit in the jury box. At this stage, they are questioned in court by the judge and attorneys in the UK. Depending on the judgement, they can have chances for raising arguments or a number of judgemental challenges (</w:t>
      </w:r>
      <w:proofErr w:type="spellStart"/>
      <w:r>
        <w:rPr>
          <w:rFonts w:ascii="Times New Roman" w:eastAsia="Times New Roman" w:hAnsi="Times New Roman" w:cs="Times New Roman"/>
          <w:color w:val="222222"/>
          <w:sz w:val="24"/>
          <w:szCs w:val="24"/>
          <w:highlight w:val="white"/>
        </w:rPr>
        <w:t>Shope</w:t>
      </w:r>
      <w:proofErr w:type="spellEnd"/>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Capital punishments are detected in a few aspects, where the jury can be highly qualified to remove them qualifying for the death </w:t>
      </w:r>
      <w:r>
        <w:rPr>
          <w:rFonts w:ascii="Times New Roman" w:eastAsia="Times New Roman" w:hAnsi="Times New Roman" w:cs="Times New Roman"/>
          <w:sz w:val="24"/>
          <w:szCs w:val="24"/>
        </w:rPr>
        <w:lastRenderedPageBreak/>
        <w:t xml:space="preserve">penalty. The selection processes are conducted efficiently, for teaching the law students for using expert assistance. </w:t>
      </w:r>
    </w:p>
    <w:p w14:paraId="00000026" w14:textId="27F24F68" w:rsidR="00B06BE4" w:rsidRDefault="00882F60" w:rsidP="002C12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right to trial by jury can be limited by the law itself, along with prosecutorial discretion. Various mechanisms are adopted for restricting the number of jury trials, which are generally regarded as legitimate (</w:t>
      </w:r>
      <w:r>
        <w:rPr>
          <w:rFonts w:ascii="Times New Roman" w:eastAsia="Times New Roman" w:hAnsi="Times New Roman" w:cs="Times New Roman"/>
          <w:color w:val="222222"/>
          <w:sz w:val="24"/>
          <w:szCs w:val="24"/>
          <w:highlight w:val="white"/>
        </w:rPr>
        <w:t>Kirby 2020)</w:t>
      </w:r>
      <w:r>
        <w:rPr>
          <w:rFonts w:ascii="Times New Roman" w:eastAsia="Times New Roman" w:hAnsi="Times New Roman" w:cs="Times New Roman"/>
          <w:sz w:val="24"/>
          <w:szCs w:val="24"/>
        </w:rPr>
        <w:t xml:space="preserve">. It can be used in the context of mechanisms which are challenged, and a proposal is further drafted for addressing the number of jury trials. On short notice, it is hardly possible to </w:t>
      </w:r>
      <w:proofErr w:type="spellStart"/>
      <w:r>
        <w:rPr>
          <w:rFonts w:ascii="Times New Roman" w:eastAsia="Times New Roman" w:hAnsi="Times New Roman" w:cs="Times New Roman"/>
          <w:sz w:val="24"/>
          <w:szCs w:val="24"/>
        </w:rPr>
        <w:t>identifythe</w:t>
      </w:r>
      <w:proofErr w:type="spellEnd"/>
      <w:r>
        <w:rPr>
          <w:rFonts w:ascii="Times New Roman" w:eastAsia="Times New Roman" w:hAnsi="Times New Roman" w:cs="Times New Roman"/>
          <w:sz w:val="24"/>
          <w:szCs w:val="24"/>
        </w:rPr>
        <w:t xml:space="preserve"> mechanisms which are challenged. These aspects generally address the issues which maintain the legitimacy of the drawbacks to addressing the people accused of a crime. The right to trial by the jury can be limited by the law itself and the defence wavier.   </w:t>
      </w:r>
    </w:p>
    <w:p w14:paraId="00000028" w14:textId="77777777" w:rsidR="00B06BE4" w:rsidRDefault="00882F6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Every district court randomly selects the names of people from the list of registered voters and individuals having licenses residing in the district. The selected candidates complete a survey form to help determine if they are qualified to serve on a jury. The people qualified are randomly selected to proceed to jury duty (</w:t>
      </w:r>
      <w:r>
        <w:rPr>
          <w:rFonts w:ascii="Times New Roman" w:eastAsia="Times New Roman" w:hAnsi="Times New Roman" w:cs="Times New Roman"/>
          <w:color w:val="222222"/>
          <w:sz w:val="24"/>
          <w:szCs w:val="24"/>
          <w:highlight w:val="white"/>
        </w:rPr>
        <w:t>Daly 2020)</w:t>
      </w:r>
      <w:r>
        <w:rPr>
          <w:rFonts w:ascii="Times New Roman" w:eastAsia="Times New Roman" w:hAnsi="Times New Roman" w:cs="Times New Roman"/>
          <w:sz w:val="24"/>
          <w:szCs w:val="24"/>
        </w:rPr>
        <w:t>. This selection process helps to ensure that jurors represent a cross-section of the community, without considering the demographic factors to ensure that a person is serving on a jury box. When a jury is needed for a trial, a group of qualified people is taken to the courtroom, and they are asked questions to determine their level of knowledge, and their suitability to serve on the jury.</w:t>
      </w:r>
    </w:p>
    <w:p w14:paraId="0000002A" w14:textId="77777777" w:rsidR="00B06BE4" w:rsidRDefault="00882F6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Medical reasons, undue hardship, dependent care, and military conflict represent a few reasons for being disqualified for Jury services (</w:t>
      </w:r>
      <w:proofErr w:type="spellStart"/>
      <w:r>
        <w:rPr>
          <w:rFonts w:ascii="Times New Roman" w:eastAsia="Times New Roman" w:hAnsi="Times New Roman" w:cs="Times New Roman"/>
          <w:color w:val="222222"/>
          <w:sz w:val="24"/>
          <w:szCs w:val="24"/>
          <w:highlight w:val="white"/>
        </w:rPr>
        <w:t>Shope</w:t>
      </w:r>
      <w:proofErr w:type="spellEnd"/>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The applicant should submit a letter from the employer which states that they cannot be released from their duties, which should be signed by the person and the manager. For excuses, a student should submit the present school schedule or admission paperwork with their name printed on it in the workplace. Jury duty within the past year should need an attendance sheet for verifying jury service, and a letter from a senior person is needed. For all excuses, every complaint should be emailed to the jury administration to ensure efficient services are provided.  </w:t>
      </w:r>
    </w:p>
    <w:p w14:paraId="0000002C" w14:textId="77777777" w:rsidR="00B06BE4" w:rsidRDefault="00882F6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jurors are charged with the responsibility of deciding if a person is found guilty of the offence for which they are charged based on the core facts. The jury should present the verdict by considering only the evidence introduced in the court, and according to the directions of the judge. However, a jury may not be needed in every legal case, and their presence can be determined in assaults and defamation cases (</w:t>
      </w:r>
      <w:proofErr w:type="spellStart"/>
      <w:r>
        <w:rPr>
          <w:rFonts w:ascii="Times New Roman" w:eastAsia="Times New Roman" w:hAnsi="Times New Roman" w:cs="Times New Roman"/>
          <w:color w:val="222222"/>
          <w:sz w:val="24"/>
          <w:szCs w:val="24"/>
          <w:highlight w:val="white"/>
        </w:rPr>
        <w:t>Shope</w:t>
      </w:r>
      <w:proofErr w:type="spellEnd"/>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The jury consists of almost 12 members who provide legal judgement on the cases presented, and ensure that they undertake efficient decisions. They try hard to provide fair judgement on the cases which are provided, and they can last for a longer period. </w:t>
      </w:r>
    </w:p>
    <w:p w14:paraId="0000002E" w14:textId="77777777" w:rsidR="00B06BE4" w:rsidRDefault="00882F6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 fair trial means a judgement prior to an impartial judge, a fair prosecutor, and an atmosphere judicial claim. It determines the bias or prejudice against the accused, and the cause in the course of the trial follows a fair procedure of summoning can be got away with. A judge is accountable to conduct a fair trial and should act impersonal towards cases presented at the court. They should follow an efficient process of summoning any witness to ensure that the report development is carried out efficiently under the protection of the judge.</w:t>
      </w:r>
    </w:p>
    <w:p w14:paraId="0000002F" w14:textId="15DD1E21" w:rsidR="00B06BE4" w:rsidRDefault="00882F60" w:rsidP="002C126B">
      <w:pPr>
        <w:pStyle w:val="Heading1"/>
      </w:pPr>
      <w:bookmarkStart w:id="2" w:name="_Toc138958141"/>
      <w:r>
        <w:t>Conclusion</w:t>
      </w:r>
      <w:bookmarkEnd w:id="2"/>
    </w:p>
    <w:p w14:paraId="00000030" w14:textId="77777777" w:rsidR="00B06BE4" w:rsidRDefault="00882F6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The essay has provided information about the significance of judicial fairness, and by which specific processes are carried out to present the cases in the courtroom. The selection of juries and magistrates is done according to the qualifications of the individuals, and significant methods are chosen by the selection panel efficiently. The trial and judgement processes are carried forward by the people according to the fair judgement carried out, and they can last for a longer period. The judicial claim follows a fair trial and the judgement process can be significant for the people to ensure a fair procedure of judgement is carried out in the future.   </w:t>
      </w:r>
      <w:r>
        <w:br w:type="page"/>
      </w:r>
    </w:p>
    <w:p w14:paraId="00000031" w14:textId="77777777" w:rsidR="00B06BE4" w:rsidRDefault="00882F60" w:rsidP="002C126B">
      <w:pPr>
        <w:pStyle w:val="Heading1"/>
      </w:pPr>
      <w:bookmarkStart w:id="3" w:name="_Toc138958142"/>
      <w:r>
        <w:lastRenderedPageBreak/>
        <w:t>Reference List</w:t>
      </w:r>
      <w:bookmarkEnd w:id="3"/>
    </w:p>
    <w:p w14:paraId="6B25ABDE" w14:textId="77777777" w:rsidR="002C126B" w:rsidRDefault="002C126B" w:rsidP="002C126B">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Bárd</w:t>
      </w:r>
      <w:proofErr w:type="spellEnd"/>
      <w:r>
        <w:rPr>
          <w:rFonts w:ascii="Times New Roman" w:eastAsia="Times New Roman" w:hAnsi="Times New Roman" w:cs="Times New Roman"/>
          <w:color w:val="222222"/>
          <w:sz w:val="24"/>
          <w:szCs w:val="24"/>
          <w:highlight w:val="white"/>
        </w:rPr>
        <w:t xml:space="preserve">, P., 2021. In courts we trust, or should we? Judicial independence as the precondition for the effectiveness of EU law. </w:t>
      </w:r>
      <w:r>
        <w:rPr>
          <w:rFonts w:ascii="Times New Roman" w:eastAsia="Times New Roman" w:hAnsi="Times New Roman" w:cs="Times New Roman"/>
          <w:i/>
          <w:color w:val="222222"/>
          <w:sz w:val="24"/>
          <w:szCs w:val="24"/>
          <w:highlight w:val="white"/>
        </w:rPr>
        <w:t>European Law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(1-3), pp.185-210.</w:t>
      </w:r>
    </w:p>
    <w:p w14:paraId="1F3F5F5C" w14:textId="77777777" w:rsidR="002C126B" w:rsidRDefault="002C126B" w:rsidP="002C126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Daly, P., 2020. Judicial Independence and Accountability in the British Constitution. </w:t>
      </w:r>
      <w:r>
        <w:rPr>
          <w:rFonts w:ascii="Times New Roman" w:eastAsia="Times New Roman" w:hAnsi="Times New Roman" w:cs="Times New Roman"/>
          <w:i/>
          <w:color w:val="222222"/>
          <w:sz w:val="24"/>
          <w:szCs w:val="24"/>
          <w:highlight w:val="white"/>
        </w:rPr>
        <w:t>European Yearbook of Constitutional Law 2019: Judicial Power: Safeguards and Limits in a Democratic Society</w:t>
      </w:r>
      <w:r>
        <w:rPr>
          <w:rFonts w:ascii="Times New Roman" w:eastAsia="Times New Roman" w:hAnsi="Times New Roman" w:cs="Times New Roman"/>
          <w:color w:val="222222"/>
          <w:sz w:val="24"/>
          <w:szCs w:val="24"/>
          <w:highlight w:val="white"/>
        </w:rPr>
        <w:t>, pp.143-170.</w:t>
      </w:r>
    </w:p>
    <w:p w14:paraId="5D3A073D" w14:textId="77777777" w:rsidR="002C126B" w:rsidRDefault="002C126B" w:rsidP="002C126B">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Huchhanavar</w:t>
      </w:r>
      <w:proofErr w:type="spellEnd"/>
      <w:r>
        <w:rPr>
          <w:rFonts w:ascii="Times New Roman" w:eastAsia="Times New Roman" w:hAnsi="Times New Roman" w:cs="Times New Roman"/>
          <w:color w:val="222222"/>
          <w:sz w:val="24"/>
          <w:szCs w:val="24"/>
          <w:highlight w:val="white"/>
        </w:rPr>
        <w:t xml:space="preserve">, S., 2022. Judicial conduct regulation: do in-house mechanisms in India uphold judicial Independence and effectively enforce judicial accountability?. </w:t>
      </w:r>
      <w:r>
        <w:rPr>
          <w:rFonts w:ascii="Times New Roman" w:eastAsia="Times New Roman" w:hAnsi="Times New Roman" w:cs="Times New Roman"/>
          <w:i/>
          <w:color w:val="222222"/>
          <w:sz w:val="24"/>
          <w:szCs w:val="24"/>
          <w:highlight w:val="white"/>
        </w:rPr>
        <w:t>Indian Law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(3), pp.352-386.</w:t>
      </w:r>
    </w:p>
    <w:p w14:paraId="16349F8E" w14:textId="77777777" w:rsidR="002C126B" w:rsidRDefault="002C126B" w:rsidP="002C126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Johannesson, L., 2022. The Symbolic Life of Courts: How Judicial Language, Actions, and Objects Legitimize Credibility Assessments of Asylum Appeals. </w:t>
      </w:r>
      <w:r>
        <w:rPr>
          <w:rFonts w:ascii="Times New Roman" w:eastAsia="Times New Roman" w:hAnsi="Times New Roman" w:cs="Times New Roman"/>
          <w:i/>
          <w:color w:val="222222"/>
          <w:sz w:val="24"/>
          <w:szCs w:val="24"/>
          <w:highlight w:val="white"/>
        </w:rPr>
        <w:t>Journal of International Migration and Integration</w:t>
      </w:r>
      <w:r>
        <w:rPr>
          <w:rFonts w:ascii="Times New Roman" w:eastAsia="Times New Roman" w:hAnsi="Times New Roman" w:cs="Times New Roman"/>
          <w:color w:val="222222"/>
          <w:sz w:val="24"/>
          <w:szCs w:val="24"/>
          <w:highlight w:val="white"/>
        </w:rPr>
        <w:t>, pp.1-19.</w:t>
      </w:r>
    </w:p>
    <w:p w14:paraId="7BD9CFBE" w14:textId="77777777" w:rsidR="002C126B" w:rsidRDefault="002C126B" w:rsidP="002C126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Khoury, S. and Whyte, D., 2022. Human rights for profit: The system-preserving tendencies of the regional human rights courts. </w:t>
      </w:r>
      <w:r>
        <w:rPr>
          <w:rFonts w:ascii="Times New Roman" w:eastAsia="Times New Roman" w:hAnsi="Times New Roman" w:cs="Times New Roman"/>
          <w:i/>
          <w:color w:val="222222"/>
          <w:sz w:val="24"/>
          <w:szCs w:val="24"/>
          <w:highlight w:val="white"/>
        </w:rPr>
        <w:t>Capital &amp; Class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46</w:t>
      </w:r>
      <w:r>
        <w:rPr>
          <w:rFonts w:ascii="Times New Roman" w:eastAsia="Times New Roman" w:hAnsi="Times New Roman" w:cs="Times New Roman"/>
          <w:color w:val="222222"/>
          <w:sz w:val="24"/>
          <w:szCs w:val="24"/>
          <w:highlight w:val="white"/>
        </w:rPr>
        <w:t>(2), pp.189-209.</w:t>
      </w:r>
    </w:p>
    <w:p w14:paraId="6E039EF6" w14:textId="77777777" w:rsidR="002C126B" w:rsidRDefault="002C126B" w:rsidP="002C126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Kirby, A., 2020. </w:t>
      </w:r>
      <w:r>
        <w:rPr>
          <w:rFonts w:ascii="Times New Roman" w:eastAsia="Times New Roman" w:hAnsi="Times New Roman" w:cs="Times New Roman"/>
          <w:i/>
          <w:color w:val="222222"/>
          <w:sz w:val="24"/>
          <w:szCs w:val="24"/>
          <w:highlight w:val="white"/>
        </w:rPr>
        <w:t>Engaging with legitimacy: An examination of lay participation in the criminal courts</w:t>
      </w:r>
      <w:r>
        <w:rPr>
          <w:rFonts w:ascii="Times New Roman" w:eastAsia="Times New Roman" w:hAnsi="Times New Roman" w:cs="Times New Roman"/>
          <w:color w:val="222222"/>
          <w:sz w:val="24"/>
          <w:szCs w:val="24"/>
          <w:highlight w:val="white"/>
        </w:rPr>
        <w:t xml:space="preserve"> (Doctoral dissertation, University of Surrey).</w:t>
      </w:r>
    </w:p>
    <w:p w14:paraId="1BF635C9" w14:textId="77777777" w:rsidR="002C126B" w:rsidRDefault="002C126B" w:rsidP="002C126B">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Kuchinski</w:t>
      </w:r>
      <w:proofErr w:type="spellEnd"/>
      <w:r>
        <w:rPr>
          <w:rFonts w:ascii="Times New Roman" w:eastAsia="Times New Roman" w:hAnsi="Times New Roman" w:cs="Times New Roman"/>
          <w:color w:val="222222"/>
          <w:sz w:val="24"/>
          <w:szCs w:val="24"/>
          <w:highlight w:val="white"/>
        </w:rPr>
        <w:t xml:space="preserve">, R., 2020. Retaining Judicial Independence: Solutions to Increasing Threats to Alaska's Judicial Merit System. </w:t>
      </w:r>
      <w:r>
        <w:rPr>
          <w:rFonts w:ascii="Times New Roman" w:eastAsia="Times New Roman" w:hAnsi="Times New Roman" w:cs="Times New Roman"/>
          <w:i/>
          <w:color w:val="222222"/>
          <w:sz w:val="24"/>
          <w:szCs w:val="24"/>
          <w:highlight w:val="white"/>
        </w:rPr>
        <w:t>Alaska L. Rev.</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37</w:t>
      </w:r>
      <w:r>
        <w:rPr>
          <w:rFonts w:ascii="Times New Roman" w:eastAsia="Times New Roman" w:hAnsi="Times New Roman" w:cs="Times New Roman"/>
          <w:color w:val="222222"/>
          <w:sz w:val="24"/>
          <w:szCs w:val="24"/>
          <w:highlight w:val="white"/>
        </w:rPr>
        <w:t>, p.235.</w:t>
      </w:r>
    </w:p>
    <w:p w14:paraId="4F7A2195" w14:textId="77777777" w:rsidR="002C126B" w:rsidRDefault="002C126B" w:rsidP="002C126B">
      <w:pPr>
        <w:spacing w:line="360" w:lineRule="auto"/>
        <w:jc w:val="both"/>
        <w:rPr>
          <w:rFonts w:ascii="Times New Roman" w:eastAsia="Times New Roman" w:hAnsi="Times New Roman" w:cs="Times New Roman"/>
          <w:color w:val="222222"/>
          <w:sz w:val="28"/>
          <w:szCs w:val="28"/>
          <w:highlight w:val="white"/>
        </w:rPr>
      </w:pPr>
      <w:proofErr w:type="spellStart"/>
      <w:r>
        <w:rPr>
          <w:rFonts w:ascii="Times New Roman" w:eastAsia="Times New Roman" w:hAnsi="Times New Roman" w:cs="Times New Roman"/>
          <w:color w:val="222222"/>
          <w:sz w:val="24"/>
          <w:szCs w:val="24"/>
          <w:highlight w:val="white"/>
        </w:rPr>
        <w:t>Shope</w:t>
      </w:r>
      <w:proofErr w:type="spellEnd"/>
      <w:r>
        <w:rPr>
          <w:rFonts w:ascii="Times New Roman" w:eastAsia="Times New Roman" w:hAnsi="Times New Roman" w:cs="Times New Roman"/>
          <w:color w:val="222222"/>
          <w:sz w:val="24"/>
          <w:szCs w:val="24"/>
          <w:highlight w:val="white"/>
        </w:rPr>
        <w:t xml:space="preserve">, M.L., 2021. Lawyer and judicial competency in the era of artificial intelligence: ethical requirements for documenting datasets and machine learning models. </w:t>
      </w:r>
      <w:r>
        <w:rPr>
          <w:rFonts w:ascii="Times New Roman" w:eastAsia="Times New Roman" w:hAnsi="Times New Roman" w:cs="Times New Roman"/>
          <w:i/>
          <w:color w:val="222222"/>
          <w:sz w:val="24"/>
          <w:szCs w:val="24"/>
          <w:highlight w:val="white"/>
        </w:rPr>
        <w:t>Geo. J. Legal Ethics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 p.191.</w:t>
      </w:r>
    </w:p>
    <w:p w14:paraId="1B67287F" w14:textId="77777777" w:rsidR="002C126B" w:rsidRDefault="002C126B" w:rsidP="002C126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Stirk, S., 2022. </w:t>
      </w:r>
      <w:r>
        <w:rPr>
          <w:rFonts w:ascii="Times New Roman" w:eastAsia="Times New Roman" w:hAnsi="Times New Roman" w:cs="Times New Roman"/>
          <w:i/>
          <w:color w:val="222222"/>
          <w:sz w:val="24"/>
          <w:szCs w:val="24"/>
          <w:highlight w:val="white"/>
        </w:rPr>
        <w:t>The Future of Lay Participation in the Criminal Justice System in England and Wales: A Critical Assessment</w:t>
      </w:r>
      <w:r>
        <w:rPr>
          <w:rFonts w:ascii="Times New Roman" w:eastAsia="Times New Roman" w:hAnsi="Times New Roman" w:cs="Times New Roman"/>
          <w:color w:val="222222"/>
          <w:sz w:val="24"/>
          <w:szCs w:val="24"/>
          <w:highlight w:val="white"/>
        </w:rPr>
        <w:t xml:space="preserve"> (Doctoral dissertation, LJMU).</w:t>
      </w:r>
    </w:p>
    <w:p w14:paraId="0000003B" w14:textId="77777777" w:rsidR="00B06BE4" w:rsidRDefault="00B06BE4"/>
    <w:sectPr w:rsidR="00B06BE4" w:rsidSect="002C126B">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43FA0" w14:textId="77777777" w:rsidR="003D1CBA" w:rsidRDefault="003D1CBA" w:rsidP="002C126B">
      <w:pPr>
        <w:spacing w:line="240" w:lineRule="auto"/>
      </w:pPr>
      <w:r>
        <w:separator/>
      </w:r>
    </w:p>
  </w:endnote>
  <w:endnote w:type="continuationSeparator" w:id="0">
    <w:p w14:paraId="1489E806" w14:textId="77777777" w:rsidR="003D1CBA" w:rsidRDefault="003D1CBA" w:rsidP="002C12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8212708"/>
      <w:docPartObj>
        <w:docPartGallery w:val="Page Numbers (Bottom of Page)"/>
        <w:docPartUnique/>
      </w:docPartObj>
    </w:sdtPr>
    <w:sdtContent>
      <w:sdt>
        <w:sdtPr>
          <w:id w:val="-1769616900"/>
          <w:docPartObj>
            <w:docPartGallery w:val="Page Numbers (Top of Page)"/>
            <w:docPartUnique/>
          </w:docPartObj>
        </w:sdtPr>
        <w:sdtContent>
          <w:p w14:paraId="4092F527" w14:textId="36D46AE3" w:rsidR="002C126B" w:rsidRDefault="002C126B">
            <w:pPr>
              <w:pStyle w:val="Footer"/>
              <w:jc w:val="right"/>
            </w:pPr>
            <w:r w:rsidRPr="002C126B">
              <w:rPr>
                <w:rFonts w:ascii="Times New Roman" w:hAnsi="Times New Roman" w:cs="Times New Roman"/>
              </w:rPr>
              <w:t xml:space="preserve">Page </w:t>
            </w:r>
            <w:r w:rsidRPr="002C126B">
              <w:rPr>
                <w:rFonts w:ascii="Times New Roman" w:hAnsi="Times New Roman" w:cs="Times New Roman"/>
                <w:bCs/>
                <w:sz w:val="24"/>
                <w:szCs w:val="24"/>
              </w:rPr>
              <w:fldChar w:fldCharType="begin"/>
            </w:r>
            <w:r w:rsidRPr="002C126B">
              <w:rPr>
                <w:rFonts w:ascii="Times New Roman" w:hAnsi="Times New Roman" w:cs="Times New Roman"/>
                <w:bCs/>
              </w:rPr>
              <w:instrText xml:space="preserve"> PAGE </w:instrText>
            </w:r>
            <w:r w:rsidRPr="002C126B">
              <w:rPr>
                <w:rFonts w:ascii="Times New Roman" w:hAnsi="Times New Roman" w:cs="Times New Roman"/>
                <w:bCs/>
                <w:sz w:val="24"/>
                <w:szCs w:val="24"/>
              </w:rPr>
              <w:fldChar w:fldCharType="separate"/>
            </w:r>
            <w:r>
              <w:rPr>
                <w:rFonts w:ascii="Times New Roman" w:hAnsi="Times New Roman" w:cs="Times New Roman"/>
                <w:bCs/>
                <w:noProof/>
              </w:rPr>
              <w:t>2</w:t>
            </w:r>
            <w:r w:rsidRPr="002C126B">
              <w:rPr>
                <w:rFonts w:ascii="Times New Roman" w:hAnsi="Times New Roman" w:cs="Times New Roman"/>
                <w:bCs/>
                <w:sz w:val="24"/>
                <w:szCs w:val="24"/>
              </w:rPr>
              <w:fldChar w:fldCharType="end"/>
            </w:r>
            <w:r w:rsidRPr="002C126B">
              <w:rPr>
                <w:rFonts w:ascii="Times New Roman" w:hAnsi="Times New Roman" w:cs="Times New Roman"/>
              </w:rPr>
              <w:t xml:space="preserve"> of </w:t>
            </w:r>
            <w:r w:rsidRPr="002C126B">
              <w:rPr>
                <w:rFonts w:ascii="Times New Roman" w:hAnsi="Times New Roman" w:cs="Times New Roman"/>
                <w:bCs/>
                <w:sz w:val="24"/>
                <w:szCs w:val="24"/>
              </w:rPr>
              <w:fldChar w:fldCharType="begin"/>
            </w:r>
            <w:r w:rsidRPr="002C126B">
              <w:rPr>
                <w:rFonts w:ascii="Times New Roman" w:hAnsi="Times New Roman" w:cs="Times New Roman"/>
                <w:bCs/>
              </w:rPr>
              <w:instrText xml:space="preserve"> NUMPAGES  </w:instrText>
            </w:r>
            <w:r w:rsidRPr="002C126B">
              <w:rPr>
                <w:rFonts w:ascii="Times New Roman" w:hAnsi="Times New Roman" w:cs="Times New Roman"/>
                <w:bCs/>
                <w:sz w:val="24"/>
                <w:szCs w:val="24"/>
              </w:rPr>
              <w:fldChar w:fldCharType="separate"/>
            </w:r>
            <w:r>
              <w:rPr>
                <w:rFonts w:ascii="Times New Roman" w:hAnsi="Times New Roman" w:cs="Times New Roman"/>
                <w:bCs/>
                <w:noProof/>
              </w:rPr>
              <w:t>7</w:t>
            </w:r>
            <w:r w:rsidRPr="002C126B">
              <w:rPr>
                <w:rFonts w:ascii="Times New Roman" w:hAnsi="Times New Roman" w:cs="Times New Roman"/>
                <w:bCs/>
                <w:sz w:val="24"/>
                <w:szCs w:val="24"/>
              </w:rPr>
              <w:fldChar w:fldCharType="end"/>
            </w:r>
          </w:p>
        </w:sdtContent>
      </w:sdt>
    </w:sdtContent>
  </w:sdt>
  <w:p w14:paraId="3D6DA119" w14:textId="77777777" w:rsidR="002C126B" w:rsidRDefault="002C12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A5D1B1" w14:textId="77777777" w:rsidR="003D1CBA" w:rsidRDefault="003D1CBA" w:rsidP="002C126B">
      <w:pPr>
        <w:spacing w:line="240" w:lineRule="auto"/>
      </w:pPr>
      <w:r>
        <w:separator/>
      </w:r>
    </w:p>
  </w:footnote>
  <w:footnote w:type="continuationSeparator" w:id="0">
    <w:p w14:paraId="5C23C3FB" w14:textId="77777777" w:rsidR="003D1CBA" w:rsidRDefault="003D1CBA" w:rsidP="002C126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5004AA"/>
    <w:multiLevelType w:val="multilevel"/>
    <w:tmpl w:val="2E967F1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217981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6BE4"/>
    <w:rsid w:val="002C126B"/>
    <w:rsid w:val="003D1CBA"/>
    <w:rsid w:val="00503FF1"/>
    <w:rsid w:val="00882F60"/>
    <w:rsid w:val="00B06BE4"/>
    <w:rsid w:val="00B25582"/>
    <w:rsid w:val="00C0186E"/>
    <w:rsid w:val="00DC0E28"/>
  </w:rsids>
  <m:mathPr>
    <m:mathFont m:val="Cambria Math"/>
    <m:brkBin m:val="before"/>
    <m:brkBinSub m:val="--"/>
    <m:smallFrac m:val="0"/>
    <m:dispDef/>
    <m:lMargin m:val="0"/>
    <m:rMargin m:val="0"/>
    <m:defJc m:val="centerGroup"/>
    <m:wrapIndent m:val="1440"/>
    <m:intLim m:val="subSup"/>
    <m:naryLim m:val="undOvr"/>
  </m:mathPr>
  <w:themeFontLang w:val="en-IN"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E32C0"/>
  <w15:docId w15:val="{FAC6755F-FD6A-41D0-A76D-DFFE90CA7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C126B"/>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2C126B"/>
    <w:pPr>
      <w:tabs>
        <w:tab w:val="center" w:pos="4513"/>
        <w:tab w:val="right" w:pos="9026"/>
      </w:tabs>
      <w:spacing w:line="240" w:lineRule="auto"/>
    </w:pPr>
  </w:style>
  <w:style w:type="character" w:customStyle="1" w:styleId="HeaderChar">
    <w:name w:val="Header Char"/>
    <w:basedOn w:val="DefaultParagraphFont"/>
    <w:link w:val="Header"/>
    <w:uiPriority w:val="99"/>
    <w:rsid w:val="002C126B"/>
  </w:style>
  <w:style w:type="paragraph" w:styleId="Footer">
    <w:name w:val="footer"/>
    <w:basedOn w:val="Normal"/>
    <w:link w:val="FooterChar"/>
    <w:uiPriority w:val="99"/>
    <w:unhideWhenUsed/>
    <w:rsid w:val="002C126B"/>
    <w:pPr>
      <w:tabs>
        <w:tab w:val="center" w:pos="4513"/>
        <w:tab w:val="right" w:pos="9026"/>
      </w:tabs>
      <w:spacing w:line="240" w:lineRule="auto"/>
    </w:pPr>
  </w:style>
  <w:style w:type="character" w:customStyle="1" w:styleId="FooterChar">
    <w:name w:val="Footer Char"/>
    <w:basedOn w:val="DefaultParagraphFont"/>
    <w:link w:val="Footer"/>
    <w:uiPriority w:val="99"/>
    <w:rsid w:val="002C126B"/>
  </w:style>
  <w:style w:type="paragraph" w:styleId="TOCHeading">
    <w:name w:val="TOC Heading"/>
    <w:basedOn w:val="Heading1"/>
    <w:next w:val="Normal"/>
    <w:uiPriority w:val="39"/>
    <w:unhideWhenUsed/>
    <w:qFormat/>
    <w:rsid w:val="002C126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C126B"/>
    <w:pPr>
      <w:spacing w:after="100"/>
    </w:pPr>
  </w:style>
  <w:style w:type="character" w:styleId="Hyperlink">
    <w:name w:val="Hyperlink"/>
    <w:basedOn w:val="DefaultParagraphFont"/>
    <w:uiPriority w:val="99"/>
    <w:unhideWhenUsed/>
    <w:rsid w:val="002C126B"/>
    <w:rPr>
      <w:color w:val="0000FF" w:themeColor="hyperlink"/>
      <w:u w:val="single"/>
    </w:rPr>
  </w:style>
  <w:style w:type="paragraph" w:customStyle="1" w:styleId="Normal1">
    <w:name w:val="Normal1"/>
    <w:rsid w:val="00C018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62619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B.XSL" StyleName="GB7714" Version="2005"/>
</file>

<file path=customXml/itemProps1.xml><?xml version="1.0" encoding="utf-8"?>
<ds:datastoreItem xmlns:ds="http://schemas.openxmlformats.org/officeDocument/2006/customXml" ds:itemID="{094C91B9-7E04-41E3-AFD2-31E7949863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1771</Words>
  <Characters>10101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11849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Khaiyum Khan (2028296)</dc:creator>
  <cp:keywords/>
  <dc:description/>
  <cp:lastModifiedBy>Khaiyum Khan (2028296)</cp:lastModifiedBy>
  <cp:revision>2</cp:revision>
  <dcterms:created xsi:type="dcterms:W3CDTF">2023-07-06T17:36:00Z</dcterms:created>
  <dcterms:modified xsi:type="dcterms:W3CDTF">2023-07-06T17:36:00Z</dcterms:modified>
  <cp:category/>
</cp:coreProperties>
</file>