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36102" w:rsidRPr="00F85B39" w:rsidRDefault="00000000" w:rsidP="00F85B39">
      <w:pPr>
        <w:spacing w:line="360" w:lineRule="auto"/>
        <w:jc w:val="center"/>
        <w:rPr>
          <w:rFonts w:ascii="Times New Roman" w:hAnsi="Times New Roman" w:cs="Times New Roman"/>
          <w:b/>
          <w:color w:val="000000" w:themeColor="text1"/>
          <w:sz w:val="56"/>
          <w:szCs w:val="56"/>
          <w:u w:val="single"/>
        </w:rPr>
      </w:pPr>
      <w:r w:rsidRPr="00F85B39">
        <w:rPr>
          <w:rFonts w:ascii="Times New Roman" w:hAnsi="Times New Roman" w:cs="Times New Roman"/>
          <w:b/>
          <w:color w:val="000000" w:themeColor="text1"/>
          <w:sz w:val="56"/>
          <w:szCs w:val="56"/>
          <w:u w:val="single"/>
        </w:rPr>
        <w:t>INTERNAL MEMORANDUM</w:t>
      </w:r>
    </w:p>
    <w:p w14:paraId="00000002" w14:textId="6A872BF7"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To</w:t>
      </w:r>
      <w:r w:rsidRPr="00F85B39">
        <w:rPr>
          <w:rFonts w:ascii="Times New Roman" w:eastAsia="Times New Roman" w:hAnsi="Times New Roman" w:cs="Times New Roman"/>
          <w:b/>
          <w:color w:val="000000" w:themeColor="text1"/>
          <w:sz w:val="24"/>
          <w:szCs w:val="24"/>
        </w:rPr>
        <w:t>: Thomas Trinity</w:t>
      </w:r>
    </w:p>
    <w:p w14:paraId="00000003" w14:textId="2A4B1B65"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F</w:t>
      </w:r>
      <w:r>
        <w:rPr>
          <w:rFonts w:ascii="Times New Roman" w:eastAsia="Times New Roman" w:hAnsi="Times New Roman" w:cs="Times New Roman"/>
          <w:b/>
          <w:color w:val="000000" w:themeColor="text1"/>
          <w:sz w:val="24"/>
          <w:szCs w:val="24"/>
        </w:rPr>
        <w:t>rom</w:t>
      </w:r>
      <w:r w:rsidRPr="00F85B39">
        <w:rPr>
          <w:rFonts w:ascii="Times New Roman" w:eastAsia="Times New Roman" w:hAnsi="Times New Roman" w:cs="Times New Roman"/>
          <w:b/>
          <w:color w:val="000000" w:themeColor="text1"/>
          <w:sz w:val="24"/>
          <w:szCs w:val="24"/>
        </w:rPr>
        <w:t xml:space="preserve">: </w:t>
      </w:r>
      <w:r w:rsidR="00505FCB">
        <w:rPr>
          <w:rFonts w:ascii="Times New Roman" w:eastAsia="Times New Roman" w:hAnsi="Times New Roman" w:cs="Times New Roman"/>
          <w:b/>
          <w:color w:val="000000" w:themeColor="text1"/>
          <w:sz w:val="24"/>
          <w:szCs w:val="24"/>
        </w:rPr>
        <w:t>Anca Leria Abraham</w:t>
      </w:r>
    </w:p>
    <w:p w14:paraId="00000004" w14:textId="2484F579"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M</w:t>
      </w:r>
      <w:r>
        <w:rPr>
          <w:rFonts w:ascii="Times New Roman" w:eastAsia="Times New Roman" w:hAnsi="Times New Roman" w:cs="Times New Roman"/>
          <w:b/>
          <w:color w:val="000000" w:themeColor="text1"/>
          <w:sz w:val="24"/>
          <w:szCs w:val="24"/>
        </w:rPr>
        <w:t>atter</w:t>
      </w:r>
      <w:r w:rsidRPr="00F85B39">
        <w:rPr>
          <w:rFonts w:ascii="Times New Roman" w:eastAsia="Times New Roman" w:hAnsi="Times New Roman" w:cs="Times New Roman"/>
          <w:b/>
          <w:color w:val="000000" w:themeColor="text1"/>
          <w:sz w:val="24"/>
          <w:szCs w:val="24"/>
        </w:rPr>
        <w:t>: The case of SARAH JONES</w:t>
      </w:r>
    </w:p>
    <w:p w14:paraId="00000005" w14:textId="62334011"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D</w:t>
      </w:r>
      <w:r>
        <w:rPr>
          <w:rFonts w:ascii="Times New Roman" w:eastAsia="Times New Roman" w:hAnsi="Times New Roman" w:cs="Times New Roman"/>
          <w:b/>
          <w:color w:val="000000" w:themeColor="text1"/>
          <w:sz w:val="24"/>
          <w:szCs w:val="24"/>
        </w:rPr>
        <w:t>ate</w:t>
      </w:r>
      <w:r w:rsidRPr="00F85B39">
        <w:rPr>
          <w:rFonts w:ascii="Times New Roman" w:eastAsia="Times New Roman" w:hAnsi="Times New Roman" w:cs="Times New Roman"/>
          <w:b/>
          <w:color w:val="000000" w:themeColor="text1"/>
          <w:sz w:val="24"/>
          <w:szCs w:val="24"/>
        </w:rPr>
        <w:t>:</w:t>
      </w:r>
      <w:r w:rsidR="00505FCB">
        <w:rPr>
          <w:rFonts w:ascii="Times New Roman" w:eastAsia="Times New Roman" w:hAnsi="Times New Roman" w:cs="Times New Roman"/>
          <w:b/>
          <w:color w:val="000000" w:themeColor="text1"/>
          <w:sz w:val="24"/>
          <w:szCs w:val="24"/>
        </w:rPr>
        <w:t xml:space="preserve"> 09/11/2022</w:t>
      </w:r>
    </w:p>
    <w:p w14:paraId="00000006" w14:textId="77777777"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This is the case of Miss Sarah Jones.</w:t>
      </w:r>
    </w:p>
    <w:p w14:paraId="00000007" w14:textId="77777777"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I will set out below the following.</w:t>
      </w:r>
    </w:p>
    <w:p w14:paraId="00000008" w14:textId="1DE67B6B"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Review and outline the relevant laws, as well as be able to articulate</w:t>
      </w:r>
      <w:r>
        <w:rPr>
          <w:rFonts w:ascii="Times New Roman" w:eastAsia="Times New Roman" w:hAnsi="Times New Roman" w:cs="Times New Roman"/>
          <w:b/>
          <w:color w:val="000000" w:themeColor="text1"/>
          <w:sz w:val="24"/>
          <w:szCs w:val="24"/>
        </w:rPr>
        <w:t xml:space="preserve"> the men's rea and actus reus. </w:t>
      </w:r>
      <w:r w:rsidRPr="00F85B39">
        <w:rPr>
          <w:rFonts w:ascii="Times New Roman" w:eastAsia="Times New Roman" w:hAnsi="Times New Roman" w:cs="Times New Roman"/>
          <w:b/>
          <w:color w:val="000000" w:themeColor="text1"/>
          <w:sz w:val="24"/>
          <w:szCs w:val="24"/>
        </w:rPr>
        <w:t xml:space="preserve"> </w:t>
      </w:r>
    </w:p>
    <w:p w14:paraId="00000009"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After overviewing the current scenario, two offences under scrutiny have been charged against Sarah Jones. The first offence is regarding the suspicion of Sarah getting alleged theft of the Gucci handbag and the second one is correspondence to the assault of Nira Davies. Some of the relevant legislation that can be easily applied to the following case is as follows:</w:t>
      </w:r>
    </w:p>
    <w:p w14:paraId="0000000A" w14:textId="77777777" w:rsidR="00236102" w:rsidRPr="00F85B39" w:rsidRDefault="00000000" w:rsidP="00F85B39">
      <w:pPr>
        <w:numPr>
          <w:ilvl w:val="0"/>
          <w:numId w:val="1"/>
        </w:numPr>
        <w:spacing w:before="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"Offences against the Person Act of 1861"</w:t>
      </w:r>
    </w:p>
    <w:p w14:paraId="0000000B" w14:textId="77777777" w:rsidR="00236102" w:rsidRPr="00F85B39" w:rsidRDefault="00000000" w:rsidP="00F85B39">
      <w:pPr>
        <w:numPr>
          <w:ilvl w:val="0"/>
          <w:numId w:val="1"/>
        </w:num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"Criminal Justice Act of 1988"</w:t>
      </w:r>
    </w:p>
    <w:p w14:paraId="0000000C" w14:textId="77777777" w:rsidR="00236102" w:rsidRPr="00F85B39" w:rsidRDefault="00000000" w:rsidP="00F85B39">
      <w:pPr>
        <w:numPr>
          <w:ilvl w:val="0"/>
          <w:numId w:val="1"/>
        </w:numPr>
        <w:spacing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"Crime and Disorder Act of 1998" </w:t>
      </w:r>
    </w:p>
    <w:p w14:paraId="0000000D" w14:textId="679FF6B1"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Besides the mentioned set of acts and legislations, another applicable one is the "Theft Act of 1968", which can be easily applied in the case regarding the theft that has been possible of a "Gucci bag" worth "£50,000". The theft was found to occur on Wind street. Miss Sarah Jones, in the past, has been accused for four long years in a "robbery case" but later, after two years, got released. She has been observed to get associated with the local church and its aligned activities. Therefore, standing on this note, the concept of "men's rea" applies to the case. The case applies to her because of the possible intent that she owns the Gucci bag, which is quite extensive for her. In addition to this, she stated th</w:t>
      </w:r>
      <w:r>
        <w:rPr>
          <w:rFonts w:ascii="Times New Roman" w:eastAsia="Times New Roman" w:hAnsi="Times New Roman" w:cs="Times New Roman"/>
          <w:color w:val="000000" w:themeColor="text1"/>
          <w:sz w:val="24"/>
          <w:szCs w:val="24"/>
        </w:rPr>
        <w:t>at her accuser, Miss Davies, can</w:t>
      </w:r>
      <w:r w:rsidRPr="00F85B39">
        <w:rPr>
          <w:rFonts w:ascii="Times New Roman" w:eastAsia="Times New Roman" w:hAnsi="Times New Roman" w:cs="Times New Roman"/>
          <w:color w:val="000000" w:themeColor="text1"/>
          <w:sz w:val="24"/>
          <w:szCs w:val="24"/>
        </w:rPr>
        <w:t xml:space="preserve">not afford the bag (Hinkle </w:t>
      </w:r>
      <w:r w:rsidRPr="00F85B39">
        <w:rPr>
          <w:rFonts w:ascii="Times New Roman" w:eastAsia="Times New Roman" w:hAnsi="Times New Roman" w:cs="Times New Roman"/>
          <w:i/>
          <w:color w:val="000000" w:themeColor="text1"/>
          <w:sz w:val="24"/>
          <w:szCs w:val="24"/>
        </w:rPr>
        <w:t xml:space="preserve">et al. </w:t>
      </w:r>
      <w:r w:rsidRPr="00F85B39">
        <w:rPr>
          <w:rFonts w:ascii="Times New Roman" w:eastAsia="Times New Roman" w:hAnsi="Times New Roman" w:cs="Times New Roman"/>
          <w:color w:val="000000" w:themeColor="text1"/>
          <w:sz w:val="24"/>
          <w:szCs w:val="24"/>
        </w:rPr>
        <w:t xml:space="preserve">2020). This statement worsened the case, and her past actions of robbery and theft got to go against her. Considering her later statements, the </w:t>
      </w:r>
      <w:r w:rsidRPr="00F85B39">
        <w:rPr>
          <w:rFonts w:ascii="Times New Roman" w:eastAsia="Times New Roman" w:hAnsi="Times New Roman" w:cs="Times New Roman"/>
          <w:color w:val="000000" w:themeColor="text1"/>
          <w:sz w:val="24"/>
          <w:szCs w:val="24"/>
        </w:rPr>
        <w:lastRenderedPageBreak/>
        <w:t>question arises on why she did not let go of the bag, which did not belong to her, proving her actions to be guilty. This worsened the situation and justified the application of the physical act, "Actus Reus".</w:t>
      </w:r>
    </w:p>
    <w:p w14:paraId="0000000E" w14:textId="6B812FDC"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 xml:space="preserve">A variety of potential sentences might be given for the suspected crimes. </w:t>
      </w:r>
    </w:p>
    <w:p w14:paraId="0000000F"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In the above statements, it has been stated that there are possibly two offences that have been alleged against Miss Jones, theft and assault. Under the working of "Section 65 of the Sentencing Act of 2020", the concerned court is needed to observe the relevant convictions during the process of sentencing the current offence (cps.gov.uk, 2022). As a result, the possible range of carrying out the sentences for the accused would last between 1 year to 16 years in custody and jail if the accused is found guilty (lawtonslaw.co.uk, 2022). Similarly, in the case of assault, the maximum sentence duration is 6 months (wheldonlaw.co.uk, 2022). Although depending on the situation and the other relevant factors, if the victim, Nora Davies, belongs to another religion or the assault is related to racialism, as based on and opposed by the counsel, the sentencing might be observed to increase to 2 years under imprisonment (legislation.gov.uk, 2021). The sentence mentioned is observed to be under cumulation following offences like theft and assault.</w:t>
      </w:r>
    </w:p>
    <w:p w14:paraId="00000010"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However, for the accused, there has been observed to be a previous round of history based on many criminal records on robbery, which made her serve two years of sentencing. There is a chance for the judge to consider the same in providing judgement if the lady is found to be guilty. Besides their record on criminal offences, her record was of good conduct coupled with her early release and her current association with the working of the church. Another example is the case of Jogee, a stealer who stole expensive bags over the past three years and was given an 18 months sentence in jail for the same accusation in 2015 (Supremecourt.uk, 2016). After considering the alleged offences of the single Gucci bag, the possible sentencing has been observed to have the potency of being at a much lower pace. </w:t>
      </w:r>
    </w:p>
    <w:p w14:paraId="00000011"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Therefore an overall summary can be easily derived in the assault case resulting in a maximum of 6 months of jail and could be easily awarded a penalty based on the range of determining the area of the second striking. </w:t>
      </w:r>
    </w:p>
    <w:p w14:paraId="00000012" w14:textId="77777777"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Evidence's strength against the client</w:t>
      </w:r>
    </w:p>
    <w:p w14:paraId="00000013"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lastRenderedPageBreak/>
        <w:t>In many legislations, this would possibly influence the strength of the evidence that has been represented against the client that has been mentioned. Some of the major legislations that can be easily applied to the case:</w:t>
      </w:r>
    </w:p>
    <w:p w14:paraId="00000014" w14:textId="77777777" w:rsidR="00236102" w:rsidRPr="00F85B39" w:rsidRDefault="00000000" w:rsidP="00F85B39">
      <w:pPr>
        <w:numPr>
          <w:ilvl w:val="0"/>
          <w:numId w:val="4"/>
        </w:numPr>
        <w:spacing w:before="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"Evidence Act of 1851".</w:t>
      </w:r>
    </w:p>
    <w:p w14:paraId="00000015" w14:textId="77777777" w:rsidR="00236102" w:rsidRPr="00F85B39" w:rsidRDefault="00000000" w:rsidP="00F85B39">
      <w:pPr>
        <w:numPr>
          <w:ilvl w:val="0"/>
          <w:numId w:val="4"/>
        </w:num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"Civil Evidence Act of 1968".</w:t>
      </w:r>
    </w:p>
    <w:p w14:paraId="00000016" w14:textId="77777777" w:rsidR="00236102" w:rsidRPr="00F85B39" w:rsidRDefault="00000000" w:rsidP="00F85B39">
      <w:pPr>
        <w:numPr>
          <w:ilvl w:val="0"/>
          <w:numId w:val="4"/>
        </w:numPr>
        <w:spacing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"Criminal Justice Act of 1988".</w:t>
      </w:r>
    </w:p>
    <w:p w14:paraId="00000017" w14:textId="3A23AE39"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Under section 30 of the "Criminal Justice Act of 1988", an expert's report has been derived that provides admissible proof under the Crown Prosecution Service (UMUKORO a</w:t>
      </w:r>
      <w:r>
        <w:rPr>
          <w:rFonts w:ascii="Times New Roman" w:eastAsia="Times New Roman" w:hAnsi="Times New Roman" w:cs="Times New Roman"/>
          <w:color w:val="000000" w:themeColor="text1"/>
          <w:sz w:val="24"/>
          <w:szCs w:val="24"/>
        </w:rPr>
        <w:t>nd OKITI, 2022). In that case, t</w:t>
      </w:r>
      <w:r w:rsidRPr="00F85B39">
        <w:rPr>
          <w:rFonts w:ascii="Times New Roman" w:eastAsia="Times New Roman" w:hAnsi="Times New Roman" w:cs="Times New Roman"/>
          <w:color w:val="000000" w:themeColor="text1"/>
          <w:sz w:val="24"/>
          <w:szCs w:val="24"/>
        </w:rPr>
        <w:t xml:space="preserve">he charges against the client's working would be considered weak. This is the case because the evidence is observed to be circumstantial and is not easily validated by the working of the PC Norman Jenkins, before the proceedings of Miss Jones, concerning the theft of Gucci's bag. </w:t>
      </w:r>
    </w:p>
    <w:p w14:paraId="00000018"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Based on this, the possible acquisition that can be easily gained are:</w:t>
      </w:r>
    </w:p>
    <w:p w14:paraId="00000019" w14:textId="77777777" w:rsidR="00236102" w:rsidRPr="00F85B39" w:rsidRDefault="00000000" w:rsidP="00F85B39">
      <w:pPr>
        <w:numPr>
          <w:ilvl w:val="0"/>
          <w:numId w:val="2"/>
        </w:numPr>
        <w:spacing w:before="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Officer judged Miss Jones based on their actions which are prior to it</w:t>
      </w:r>
    </w:p>
    <w:p w14:paraId="0000001A" w14:textId="77777777" w:rsidR="00236102" w:rsidRPr="00F85B39" w:rsidRDefault="00000000" w:rsidP="00F85B39">
      <w:pPr>
        <w:numPr>
          <w:ilvl w:val="0"/>
          <w:numId w:val="2"/>
        </w:num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An arrest warrant has been released that is based on the statements of Muss Davies, whom herself has an accused history</w:t>
      </w:r>
    </w:p>
    <w:p w14:paraId="0000001B" w14:textId="77777777" w:rsidR="00236102" w:rsidRPr="00F85B39" w:rsidRDefault="00000000" w:rsidP="00F85B39">
      <w:pPr>
        <w:numPr>
          <w:ilvl w:val="0"/>
          <w:numId w:val="2"/>
        </w:numPr>
        <w:spacing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There is no justified record of the Gucci bag being in its original authentication as the price of £50,000 is considered by the police officers.</w:t>
      </w:r>
    </w:p>
    <w:p w14:paraId="0000001C"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In that matter, the strength of the evidence is solely based on the criminal circumstances and hence focuses on the person's testimony on the issue that the court accepts. However, the testimony of Miss Davies is more apprehensively to be accepted by the working of the honourable court. This is the case as no criminal record of the victim that is alleged is found or identified regarding the ownership of the Gucci bag. </w:t>
      </w:r>
    </w:p>
    <w:p w14:paraId="0000001D" w14:textId="5615F518"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 xml:space="preserve">The value and substance of Miss Davies' arguments and how they affect Miss Jones' case </w:t>
      </w:r>
    </w:p>
    <w:p w14:paraId="0000001E" w14:textId="77777777" w:rsidR="00236102" w:rsidRPr="00F85B39" w:rsidRDefault="00000000" w:rsidP="00F85B39">
      <w:pPr>
        <w:spacing w:before="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On account of Miss Jones, Miss Davies guarantees that she possesses the Gucci sack given by her grandma as a gift. However, she lost the receipt demonstrating her responsibility for the same. Also, she guarantees that Miss Jones attacked her during their showdown about the responsibility for a premium sack.</w:t>
      </w:r>
    </w:p>
    <w:p w14:paraId="0000001F" w14:textId="77777777" w:rsidR="00236102" w:rsidRPr="00F85B39" w:rsidRDefault="00000000" w:rsidP="00F85B39">
      <w:pPr>
        <w:spacing w:before="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lastRenderedPageBreak/>
        <w:t>Thus, these double cases would affect the instance of Miss Jones from two viewpoints. The principal one relates to higher condemnation for Miss Jones whenever indicted. This is a result of her past lawbreaker record concerning burglary and time served in jail. In actuality, Miss Davies has no record in the criminal framework and is just from a terrible area combined with being jobless.</w:t>
      </w:r>
    </w:p>
    <w:p w14:paraId="00000020" w14:textId="57B865A1" w:rsidR="00236102" w:rsidRPr="00F85B39" w:rsidRDefault="00000000" w:rsidP="00F85B39">
      <w:pPr>
        <w:spacing w:before="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The subsequent effect would be the finished rebuking of the cop, as an expected level of effort has not been directed for this situation. For instance, the credibility of the Gucci pack has not been confirmed. It could be a first duplicate or a phoney Gucci p</w:t>
      </w:r>
      <w:r>
        <w:rPr>
          <w:rFonts w:ascii="Times New Roman" w:eastAsia="Times New Roman" w:hAnsi="Times New Roman" w:cs="Times New Roman"/>
          <w:color w:val="000000" w:themeColor="text1"/>
          <w:sz w:val="24"/>
          <w:szCs w:val="24"/>
        </w:rPr>
        <w:t xml:space="preserve">ack lying on the road </w:t>
      </w:r>
      <w:r w:rsidRPr="00F85B39">
        <w:rPr>
          <w:rFonts w:ascii="Times New Roman" w:eastAsia="Times New Roman" w:hAnsi="Times New Roman" w:cs="Times New Roman"/>
          <w:color w:val="000000" w:themeColor="text1"/>
          <w:sz w:val="24"/>
          <w:szCs w:val="24"/>
        </w:rPr>
        <w:t xml:space="preserve">(Napetvaridze </w:t>
      </w:r>
      <w:r w:rsidRPr="00F85B39">
        <w:rPr>
          <w:rFonts w:ascii="Times New Roman" w:eastAsia="Times New Roman" w:hAnsi="Times New Roman" w:cs="Times New Roman"/>
          <w:i/>
          <w:color w:val="000000" w:themeColor="text1"/>
          <w:sz w:val="24"/>
          <w:szCs w:val="24"/>
        </w:rPr>
        <w:t xml:space="preserve">et al. </w:t>
      </w:r>
      <w:r w:rsidRPr="00F85B39">
        <w:rPr>
          <w:rFonts w:ascii="Times New Roman" w:eastAsia="Times New Roman" w:hAnsi="Times New Roman" w:cs="Times New Roman"/>
          <w:color w:val="000000" w:themeColor="text1"/>
          <w:sz w:val="24"/>
          <w:szCs w:val="24"/>
        </w:rPr>
        <w:t>2019). Furthermore, since Miss Davies guarantees that her grandma has given the satchel to her, in light of the chronic number on the sack, the first buyer could be followed. Accordingly, it is conceivable that the first buyer was her grandma or another person who would demonstrate Miss Jones's blamelessness.</w:t>
      </w:r>
    </w:p>
    <w:p w14:paraId="00000021" w14:textId="23688265"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 xml:space="preserve">The benefits and drawbacks of advising a client to be quiet during police interrogation </w:t>
      </w:r>
    </w:p>
    <w:p w14:paraId="00000022"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One of the centre privileges given to a charge during care or police cross-examination is staying quiet. In that capacity, the centre benefit relates to the decrease of the chance of adding solidarity to the instance of the arraignment by explanations referenced during police cross-examination. This way, much of the time, this leaves the arraignment with a frail case during the preliminary in court. In the concerned instance of Miss Jones, different hazy situations go against the cases made by the informer and the moves initiated by the police during the supposed attack out and about. Aside from the reference, quiet during police cross-examination would restrict the capacity of the police to produce an admission from Miss Jones in this manner, debilitating the case (Aidonojie </w:t>
      </w:r>
      <w:r w:rsidRPr="00F85B39">
        <w:rPr>
          <w:rFonts w:ascii="Times New Roman" w:eastAsia="Times New Roman" w:hAnsi="Times New Roman" w:cs="Times New Roman"/>
          <w:i/>
          <w:color w:val="000000" w:themeColor="text1"/>
          <w:sz w:val="24"/>
          <w:szCs w:val="24"/>
        </w:rPr>
        <w:t>et al</w:t>
      </w:r>
      <w:r w:rsidRPr="00F85B39">
        <w:rPr>
          <w:rFonts w:ascii="Times New Roman" w:eastAsia="Times New Roman" w:hAnsi="Times New Roman" w:cs="Times New Roman"/>
          <w:color w:val="000000" w:themeColor="text1"/>
          <w:sz w:val="24"/>
          <w:szCs w:val="24"/>
        </w:rPr>
        <w:t>. 2021). This is because the entire case dwells on the proclamations and claims made by the informer. One more benefit would drive the police to execute a foundation confirmation about the satchel regarding the responsibility for the foundation of the purse.</w:t>
      </w:r>
    </w:p>
    <w:p w14:paraId="00000023"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Going against the norm, keeping quiet during police cross-examination might hurt the case during preliminary. This is because remaining quiet might lead the appointed authority to take a negative position or police a negative position while exploring the case. In that capacity, the emphasis would be on demonstrating Miss Jones's liability instead of having a nonpartisan perspective on the examination. Another detriment is that the court might draw an unfavourable deduction assuming a specific reality is introduced during the preliminary in </w:t>
      </w:r>
      <w:r w:rsidRPr="00F85B39">
        <w:rPr>
          <w:rFonts w:ascii="Times New Roman" w:eastAsia="Times New Roman" w:hAnsi="Times New Roman" w:cs="Times New Roman"/>
          <w:color w:val="000000" w:themeColor="text1"/>
          <w:sz w:val="24"/>
          <w:szCs w:val="24"/>
        </w:rPr>
        <w:lastRenderedPageBreak/>
        <w:t xml:space="preserve">the guard of the blame on which the course for the activity of the preliminary might change or change in the long. </w:t>
      </w:r>
    </w:p>
    <w:p w14:paraId="00000024" w14:textId="7B5F2D03" w:rsidR="00236102" w:rsidRPr="00F85B39" w:rsidRDefault="00000000" w:rsidP="00F85B39">
      <w:pPr>
        <w:spacing w:before="240" w:line="360" w:lineRule="auto"/>
        <w:jc w:val="both"/>
        <w:rPr>
          <w:rFonts w:ascii="Times New Roman" w:eastAsia="Times New Roman" w:hAnsi="Times New Roman" w:cs="Times New Roman"/>
          <w:b/>
          <w:color w:val="000000" w:themeColor="text1"/>
          <w:sz w:val="24"/>
          <w:szCs w:val="24"/>
        </w:rPr>
      </w:pPr>
      <w:r w:rsidRPr="00F85B39">
        <w:rPr>
          <w:rFonts w:ascii="Times New Roman" w:eastAsia="Times New Roman" w:hAnsi="Times New Roman" w:cs="Times New Roman"/>
          <w:b/>
          <w:color w:val="000000" w:themeColor="text1"/>
          <w:sz w:val="24"/>
          <w:szCs w:val="24"/>
        </w:rPr>
        <w:t xml:space="preserve"> Describe the criteria the court will employ to decide whether to hear Miss Jones' case </w:t>
      </w:r>
    </w:p>
    <w:p w14:paraId="00000025" w14:textId="15FFFD2C"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The distribution of cases follows Timetable 3 of the Law enfor</w:t>
      </w:r>
      <w:r>
        <w:rPr>
          <w:rFonts w:ascii="Times New Roman" w:eastAsia="Times New Roman" w:hAnsi="Times New Roman" w:cs="Times New Roman"/>
          <w:color w:val="000000" w:themeColor="text1"/>
          <w:sz w:val="24"/>
          <w:szCs w:val="24"/>
        </w:rPr>
        <w:t xml:space="preserve">cement Demonstration of 2003. </w:t>
      </w:r>
      <w:r w:rsidRPr="00F85B39">
        <w:rPr>
          <w:rFonts w:ascii="Times New Roman" w:eastAsia="Times New Roman" w:hAnsi="Times New Roman" w:cs="Times New Roman"/>
          <w:color w:val="000000" w:themeColor="text1"/>
          <w:sz w:val="24"/>
          <w:szCs w:val="24"/>
        </w:rPr>
        <w:t>Moreover, segment 19 of the Judge's Court Demonstration of 1980 frames the methodology for a Justice in choosing the idea of the preliminary. Consequently, a portion of the variables that the court will consider while designating Miss Jones' case for preliminary relates to the accompanying:</w:t>
      </w:r>
    </w:p>
    <w:p w14:paraId="00000026" w14:textId="77777777" w:rsidR="00236102"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The idea of the offence happened.</w:t>
      </w:r>
    </w:p>
    <w:p w14:paraId="00000027" w14:textId="77777777" w:rsidR="00236102" w:rsidRPr="00F85B39" w:rsidRDefault="00000000" w:rsidP="00F85B39">
      <w:pPr>
        <w:numPr>
          <w:ilvl w:val="0"/>
          <w:numId w:val="3"/>
        </w:numPr>
        <w:spacing w:before="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Level of mischief related to the occasion</w:t>
      </w:r>
    </w:p>
    <w:p w14:paraId="00000028" w14:textId="77777777" w:rsidR="00236102" w:rsidRPr="00F85B39" w:rsidRDefault="00000000" w:rsidP="00F85B39">
      <w:pPr>
        <w:numPr>
          <w:ilvl w:val="0"/>
          <w:numId w:val="3"/>
        </w:num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Realities of the ongoing case being affected by more seasoned instances of the blamed </w:t>
      </w:r>
    </w:p>
    <w:p w14:paraId="00000029" w14:textId="77777777" w:rsidR="00236102" w:rsidRPr="00F85B39" w:rsidRDefault="00000000" w:rsidP="00F85B39">
      <w:pPr>
        <w:numPr>
          <w:ilvl w:val="0"/>
          <w:numId w:val="3"/>
        </w:num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The help looked for by the informer and the appeal documented by the supposed lawbreaker</w:t>
      </w:r>
    </w:p>
    <w:p w14:paraId="0000002A" w14:textId="77777777" w:rsidR="00236102" w:rsidRPr="00F85B39" w:rsidRDefault="00000000" w:rsidP="00F85B39">
      <w:pPr>
        <w:numPr>
          <w:ilvl w:val="0"/>
          <w:numId w:val="3"/>
        </w:num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Order of the court</w:t>
      </w:r>
    </w:p>
    <w:p w14:paraId="0000002B" w14:textId="77777777" w:rsidR="00236102" w:rsidRPr="00F85B39" w:rsidRDefault="00000000" w:rsidP="00F85B39">
      <w:pPr>
        <w:numPr>
          <w:ilvl w:val="0"/>
          <w:numId w:val="3"/>
        </w:numPr>
        <w:spacing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Condemning Demonstration 2020, plan 22 and U/S 282 of the CJA 2003. </w:t>
      </w:r>
      <w:r w:rsidRPr="00F85B39">
        <w:rPr>
          <w:rFonts w:ascii="Times New Roman" w:hAnsi="Times New Roman" w:cs="Times New Roman"/>
          <w:color w:val="000000" w:themeColor="text1"/>
        </w:rPr>
        <w:br w:type="page"/>
      </w:r>
    </w:p>
    <w:p w14:paraId="0000002C" w14:textId="0D4EC182" w:rsidR="00236102" w:rsidRPr="00F85B39" w:rsidRDefault="00000000" w:rsidP="00F85B39">
      <w:pPr>
        <w:spacing w:before="240" w:after="240" w:line="360" w:lineRule="auto"/>
        <w:jc w:val="both"/>
        <w:rPr>
          <w:rFonts w:ascii="Times New Roman" w:eastAsia="Times New Roman" w:hAnsi="Times New Roman" w:cs="Times New Roman"/>
          <w:b/>
          <w:color w:val="000000" w:themeColor="text1"/>
          <w:sz w:val="28"/>
          <w:szCs w:val="28"/>
          <w:u w:val="single"/>
        </w:rPr>
      </w:pPr>
      <w:r w:rsidRPr="00F85B39">
        <w:rPr>
          <w:rFonts w:ascii="Times New Roman" w:eastAsia="Times New Roman" w:hAnsi="Times New Roman" w:cs="Times New Roman"/>
          <w:b/>
          <w:color w:val="000000" w:themeColor="text1"/>
          <w:sz w:val="28"/>
          <w:szCs w:val="28"/>
        </w:rPr>
        <w:lastRenderedPageBreak/>
        <w:t xml:space="preserve">Reference List </w:t>
      </w:r>
    </w:p>
    <w:p w14:paraId="016DEC48" w14:textId="77777777" w:rsidR="00F85B39"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highlight w:val="white"/>
        </w:rPr>
        <w:t xml:space="preserve">Aidonojie, P.A. and ANNE, O.O., (2021). Impact and relevance of modern technological legal educational facilities amidst the Covid-19 Pandemic: A case study of law students of Edo university Iyamho. </w:t>
      </w:r>
      <w:r w:rsidRPr="00F85B39">
        <w:rPr>
          <w:rFonts w:ascii="Times New Roman" w:eastAsia="Times New Roman" w:hAnsi="Times New Roman" w:cs="Times New Roman"/>
          <w:i/>
          <w:color w:val="000000" w:themeColor="text1"/>
          <w:sz w:val="24"/>
          <w:szCs w:val="24"/>
        </w:rPr>
        <w:t>KIU Journal of Humanities</w:t>
      </w:r>
      <w:r w:rsidRPr="00F85B39">
        <w:rPr>
          <w:rFonts w:ascii="Times New Roman" w:eastAsia="Times New Roman" w:hAnsi="Times New Roman" w:cs="Times New Roman"/>
          <w:color w:val="000000" w:themeColor="text1"/>
          <w:sz w:val="24"/>
          <w:szCs w:val="24"/>
        </w:rPr>
        <w:t xml:space="preserve">, </w:t>
      </w:r>
      <w:r w:rsidRPr="00F85B39">
        <w:rPr>
          <w:rFonts w:ascii="Times New Roman" w:eastAsia="Times New Roman" w:hAnsi="Times New Roman" w:cs="Times New Roman"/>
          <w:i/>
          <w:color w:val="000000" w:themeColor="text1"/>
          <w:sz w:val="24"/>
          <w:szCs w:val="24"/>
        </w:rPr>
        <w:t>5</w:t>
      </w:r>
      <w:r w:rsidRPr="00F85B39">
        <w:rPr>
          <w:rFonts w:ascii="Times New Roman" w:eastAsia="Times New Roman" w:hAnsi="Times New Roman" w:cs="Times New Roman"/>
          <w:color w:val="000000" w:themeColor="text1"/>
          <w:sz w:val="24"/>
          <w:szCs w:val="24"/>
        </w:rPr>
        <w:t>(4), pp.7-19. Available at: https://edouniversity.edu.ng/oerrepository/articles/impact_and_relevance_of_modern_technological_legal_educational_facilities_amidst_the_covid-19_pandemic_a_case_study_of_law_students_of_edo_university_iyamho.pdf</w:t>
      </w:r>
    </w:p>
    <w:p w14:paraId="710E3968" w14:textId="77777777" w:rsidR="00F85B39"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cps.gov.uk, (2022). </w:t>
      </w:r>
      <w:r w:rsidRPr="00F85B39">
        <w:rPr>
          <w:rFonts w:ascii="Times New Roman" w:eastAsia="Times New Roman" w:hAnsi="Times New Roman" w:cs="Times New Roman"/>
          <w:i/>
          <w:color w:val="000000" w:themeColor="text1"/>
          <w:sz w:val="24"/>
          <w:szCs w:val="24"/>
        </w:rPr>
        <w:t>Theft Act Offences in the UK</w:t>
      </w:r>
      <w:r w:rsidRPr="00F85B39">
        <w:rPr>
          <w:rFonts w:ascii="Times New Roman" w:eastAsia="Times New Roman" w:hAnsi="Times New Roman" w:cs="Times New Roman"/>
          <w:color w:val="000000" w:themeColor="text1"/>
          <w:sz w:val="24"/>
          <w:szCs w:val="24"/>
        </w:rPr>
        <w:t xml:space="preserve">. [Available at: https://www.cps.gov.uk/legal-guidance/theft-act-offences], [Accessed on: 15-10-2022]. </w:t>
      </w:r>
    </w:p>
    <w:p w14:paraId="49BD2DEA" w14:textId="77777777" w:rsidR="00F85B39" w:rsidRPr="00F85B39" w:rsidRDefault="00000000" w:rsidP="00F85B39">
      <w:p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Hinkle, J.C., Weisburd, D., Telep, C.W. and Petersen, K., (2020). Problem‐oriented policing for reducing crime and disorder: An updated systematic review and meta‐analysis. Campbell Systematic Reviews, 16(2), p.e1089. Available at: https://onlinelibrary.wiley.com/doi/pdf/10.1002/cl2.1089</w:t>
      </w:r>
    </w:p>
    <w:p w14:paraId="38D9871C" w14:textId="77777777" w:rsidR="00F85B39"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lawtonslaw.co.uk, (2022). </w:t>
      </w:r>
      <w:r w:rsidRPr="00F85B39">
        <w:rPr>
          <w:rFonts w:ascii="Times New Roman" w:eastAsia="Times New Roman" w:hAnsi="Times New Roman" w:cs="Times New Roman"/>
          <w:i/>
          <w:color w:val="000000" w:themeColor="text1"/>
          <w:sz w:val="24"/>
          <w:szCs w:val="24"/>
        </w:rPr>
        <w:t>Robbery under the law of the UK</w:t>
      </w:r>
      <w:r w:rsidRPr="00F85B39">
        <w:rPr>
          <w:rFonts w:ascii="Times New Roman" w:eastAsia="Times New Roman" w:hAnsi="Times New Roman" w:cs="Times New Roman"/>
          <w:color w:val="000000" w:themeColor="text1"/>
          <w:sz w:val="24"/>
          <w:szCs w:val="24"/>
        </w:rPr>
        <w:t>. [Available at: https://www.lawtonslaw.co.uk/specialist-areas/burglary-theft-and-criminal-damage/robbery-solicitors/], [Accessed on: 15-10-2022].</w:t>
      </w:r>
    </w:p>
    <w:p w14:paraId="0C2120E8" w14:textId="77777777" w:rsidR="00F85B39"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legislation.gov.uk, (2021). </w:t>
      </w:r>
      <w:r w:rsidRPr="00F85B39">
        <w:rPr>
          <w:rFonts w:ascii="Times New Roman" w:eastAsia="Times New Roman" w:hAnsi="Times New Roman" w:cs="Times New Roman"/>
          <w:i/>
          <w:color w:val="000000" w:themeColor="text1"/>
          <w:sz w:val="24"/>
          <w:szCs w:val="24"/>
        </w:rPr>
        <w:t>Changes in theft Act 1968.</w:t>
      </w:r>
      <w:r w:rsidRPr="00F85B39">
        <w:rPr>
          <w:rFonts w:ascii="Times New Roman" w:eastAsia="Times New Roman" w:hAnsi="Times New Roman" w:cs="Times New Roman"/>
          <w:color w:val="000000" w:themeColor="text1"/>
          <w:sz w:val="24"/>
          <w:szCs w:val="24"/>
        </w:rPr>
        <w:t xml:space="preserve"> [Available at: https://www.legislation.gov.uk/ukpga/1968/60], [Accessed on: 15-10-2022].</w:t>
      </w:r>
    </w:p>
    <w:p w14:paraId="6DF80EB0" w14:textId="77777777" w:rsidR="00F85B39"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highlight w:val="white"/>
        </w:rPr>
        <w:t xml:space="preserve">Napetvaridze, V. and Chochia, A., (2019). Cybersecurity in the Making–Policy and Law: a Case Study of Georgia. </w:t>
      </w:r>
      <w:r w:rsidRPr="00F85B39">
        <w:rPr>
          <w:rFonts w:ascii="Times New Roman" w:eastAsia="Times New Roman" w:hAnsi="Times New Roman" w:cs="Times New Roman"/>
          <w:i/>
          <w:color w:val="000000" w:themeColor="text1"/>
          <w:sz w:val="24"/>
          <w:szCs w:val="24"/>
        </w:rPr>
        <w:t>International &amp; Comparative Law Review/Mezinárodní a Srovnávací Právní Revue</w:t>
      </w:r>
      <w:r w:rsidRPr="00F85B39">
        <w:rPr>
          <w:rFonts w:ascii="Times New Roman" w:eastAsia="Times New Roman" w:hAnsi="Times New Roman" w:cs="Times New Roman"/>
          <w:color w:val="000000" w:themeColor="text1"/>
          <w:sz w:val="24"/>
          <w:szCs w:val="24"/>
        </w:rPr>
        <w:t xml:space="preserve">, </w:t>
      </w:r>
      <w:r w:rsidRPr="00F85B39">
        <w:rPr>
          <w:rFonts w:ascii="Times New Roman" w:eastAsia="Times New Roman" w:hAnsi="Times New Roman" w:cs="Times New Roman"/>
          <w:i/>
          <w:color w:val="000000" w:themeColor="text1"/>
          <w:sz w:val="24"/>
          <w:szCs w:val="24"/>
        </w:rPr>
        <w:t>19</w:t>
      </w:r>
      <w:r w:rsidRPr="00F85B39">
        <w:rPr>
          <w:rFonts w:ascii="Times New Roman" w:eastAsia="Times New Roman" w:hAnsi="Times New Roman" w:cs="Times New Roman"/>
          <w:color w:val="000000" w:themeColor="text1"/>
          <w:sz w:val="24"/>
          <w:szCs w:val="24"/>
        </w:rPr>
        <w:t>(2). Available at: https://www.researchgate.net/profile/Archil-Chochia/publication/338801857_Cybersecurity_in_the_Making_-_Policy_and_Law_a_Case_Study_of_Georgia/links/5e2b128292851c3aadd7ae47/Cybersecurity-in-the-Making-Policy-and-Law-a-Case-Study-of-Georgia.pdf</w:t>
      </w:r>
    </w:p>
    <w:p w14:paraId="60586ECC" w14:textId="77777777" w:rsidR="00F85B39" w:rsidRPr="00F85B39" w:rsidRDefault="00000000" w:rsidP="00F85B39">
      <w:p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Supremecourt.uk, (2016).</w:t>
      </w:r>
      <w:r w:rsidRPr="00F85B39">
        <w:rPr>
          <w:rFonts w:ascii="Times New Roman" w:eastAsia="Times New Roman" w:hAnsi="Times New Roman" w:cs="Times New Roman"/>
          <w:i/>
          <w:color w:val="000000" w:themeColor="text1"/>
          <w:sz w:val="24"/>
          <w:szCs w:val="24"/>
        </w:rPr>
        <w:t xml:space="preserve"> Judgement of R vs. Jogee.</w:t>
      </w:r>
      <w:r w:rsidRPr="00F85B39">
        <w:rPr>
          <w:rFonts w:ascii="Times New Roman" w:eastAsia="Times New Roman" w:hAnsi="Times New Roman" w:cs="Times New Roman"/>
          <w:color w:val="000000" w:themeColor="text1"/>
          <w:sz w:val="24"/>
          <w:szCs w:val="24"/>
        </w:rPr>
        <w:t xml:space="preserve"> [Available at: https://www.supremecourt.uk/cases/docs/uksc-2015-0015-judgment.pdf], [Accessed on: 15-10-2022]. </w:t>
      </w:r>
    </w:p>
    <w:p w14:paraId="3B9F6180" w14:textId="77777777" w:rsidR="00F85B39" w:rsidRPr="00F85B39" w:rsidRDefault="00000000" w:rsidP="00F85B39">
      <w:pPr>
        <w:spacing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UMUKORO, B.E. and OKITI, E.K., (2022). THE POWER OF ARREST UNDER THE ADMINISTRATION OF CRIMINAL JUSTICE ACT 2015: EMERGING ISSUES AND </w:t>
      </w:r>
      <w:r w:rsidRPr="00F85B39">
        <w:rPr>
          <w:rFonts w:ascii="Times New Roman" w:eastAsia="Times New Roman" w:hAnsi="Times New Roman" w:cs="Times New Roman"/>
          <w:color w:val="000000" w:themeColor="text1"/>
          <w:sz w:val="24"/>
          <w:szCs w:val="24"/>
        </w:rPr>
        <w:lastRenderedPageBreak/>
        <w:t>CHALLENGES. AFRICAN JOURNAL OF CRIMINAL LAW AND JURISPRUDENCE (AFJCLJ), 7. Available at: https://www.nigerianjournalsonline.com/index.php/AFJCLJ/article/viewFile/2737/2661</w:t>
      </w:r>
    </w:p>
    <w:p w14:paraId="6C6C39B9" w14:textId="77777777" w:rsidR="00F85B39" w:rsidRPr="00F85B39" w:rsidRDefault="00000000" w:rsidP="00F85B39">
      <w:pPr>
        <w:spacing w:before="240" w:after="240" w:line="360" w:lineRule="auto"/>
        <w:jc w:val="both"/>
        <w:rPr>
          <w:rFonts w:ascii="Times New Roman" w:eastAsia="Times New Roman" w:hAnsi="Times New Roman" w:cs="Times New Roman"/>
          <w:color w:val="000000" w:themeColor="text1"/>
          <w:sz w:val="24"/>
          <w:szCs w:val="24"/>
        </w:rPr>
      </w:pPr>
      <w:r w:rsidRPr="00F85B39">
        <w:rPr>
          <w:rFonts w:ascii="Times New Roman" w:eastAsia="Times New Roman" w:hAnsi="Times New Roman" w:cs="Times New Roman"/>
          <w:color w:val="000000" w:themeColor="text1"/>
          <w:sz w:val="24"/>
          <w:szCs w:val="24"/>
        </w:rPr>
        <w:t xml:space="preserve">wheldonlaw.co.uk, (2022). </w:t>
      </w:r>
      <w:r w:rsidRPr="00F85B39">
        <w:rPr>
          <w:rFonts w:ascii="Times New Roman" w:eastAsia="Times New Roman" w:hAnsi="Times New Roman" w:cs="Times New Roman"/>
          <w:i/>
          <w:color w:val="000000" w:themeColor="text1"/>
          <w:sz w:val="24"/>
          <w:szCs w:val="24"/>
        </w:rPr>
        <w:t xml:space="preserve">Theft burglary robbery specialists in hertfordshire. </w:t>
      </w:r>
      <w:r w:rsidRPr="00F85B39">
        <w:rPr>
          <w:rFonts w:ascii="Times New Roman" w:eastAsia="Times New Roman" w:hAnsi="Times New Roman" w:cs="Times New Roman"/>
          <w:color w:val="000000" w:themeColor="text1"/>
          <w:sz w:val="24"/>
          <w:szCs w:val="24"/>
        </w:rPr>
        <w:t>[Available at: https://wheldonlaw.co.uk/criminal-law-solicitors/theft-burglary-robbery-specialists-in-hertfordshire/], [Accessed on: 15-10-2022].</w:t>
      </w:r>
    </w:p>
    <w:p w14:paraId="0EEF6053" w14:textId="104F1C35" w:rsidR="00F85B39" w:rsidRPr="00F85B39" w:rsidRDefault="00F85B39" w:rsidP="00F85B39">
      <w:pPr>
        <w:spacing w:before="240" w:after="240" w:line="360" w:lineRule="auto"/>
        <w:jc w:val="both"/>
        <w:rPr>
          <w:rFonts w:ascii="Times New Roman" w:eastAsia="Times New Roman" w:hAnsi="Times New Roman" w:cs="Times New Roman"/>
          <w:b/>
          <w:color w:val="000000" w:themeColor="text1"/>
          <w:sz w:val="28"/>
          <w:szCs w:val="28"/>
        </w:rPr>
      </w:pPr>
    </w:p>
    <w:sectPr w:rsidR="00F85B39" w:rsidRPr="00F85B39">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C384A"/>
    <w:multiLevelType w:val="multilevel"/>
    <w:tmpl w:val="5106C5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52E7EB3"/>
    <w:multiLevelType w:val="multilevel"/>
    <w:tmpl w:val="D882B3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6A05536"/>
    <w:multiLevelType w:val="multilevel"/>
    <w:tmpl w:val="5BE01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B113F44"/>
    <w:multiLevelType w:val="multilevel"/>
    <w:tmpl w:val="A8E6F3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9387493">
    <w:abstractNumId w:val="3"/>
  </w:num>
  <w:num w:numId="2" w16cid:durableId="792361691">
    <w:abstractNumId w:val="0"/>
  </w:num>
  <w:num w:numId="3" w16cid:durableId="1109592158">
    <w:abstractNumId w:val="1"/>
  </w:num>
  <w:num w:numId="4" w16cid:durableId="4636994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4"/>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6102"/>
    <w:rsid w:val="00236102"/>
    <w:rsid w:val="00505FCB"/>
    <w:rsid w:val="00F85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DA075"/>
  <w15:docId w15:val="{A821F087-C793-42E3-A937-B2C98FF41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1814</Words>
  <Characters>10342</Characters>
  <Application>Microsoft Office Word</Application>
  <DocSecurity>0</DocSecurity>
  <Lines>86</Lines>
  <Paragraphs>24</Paragraphs>
  <ScaleCrop>false</ScaleCrop>
  <Company/>
  <LinksUpToDate>false</LinksUpToDate>
  <CharactersWithSpaces>12132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Leria Abraham</cp:lastModifiedBy>
  <cp:revision>3</cp:revision>
  <dcterms:created xsi:type="dcterms:W3CDTF">2022-11-04T10:21:00Z</dcterms:created>
  <dcterms:modified xsi:type="dcterms:W3CDTF">2022-11-11T20:21:00Z</dcterms:modified>
</cp:coreProperties>
</file>