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D63244" w14:textId="32B19EA3" w:rsidR="00706F43" w:rsidRDefault="00B1373E">
      <w:pPr>
        <w:rPr>
          <w:sz w:val="24"/>
          <w:szCs w:val="24"/>
          <w:u w:val="single"/>
        </w:rPr>
      </w:pPr>
      <w:r w:rsidRPr="00B1373E">
        <w:rPr>
          <w:sz w:val="24"/>
          <w:szCs w:val="24"/>
          <w:u w:val="single"/>
        </w:rPr>
        <w:t xml:space="preserve">Sparta: Take Home Exam: </w:t>
      </w:r>
    </w:p>
    <w:p w14:paraId="0B98C7E8" w14:textId="67670D55" w:rsidR="00B1373E" w:rsidRDefault="00B1373E" w:rsidP="00B1373E">
      <w:pPr>
        <w:jc w:val="center"/>
        <w:rPr>
          <w:u w:val="single"/>
        </w:rPr>
      </w:pPr>
      <w:r>
        <w:rPr>
          <w:u w:val="single"/>
        </w:rPr>
        <w:t>2. Discuss whether Sparta was a “militaristic society” by ancient Greek standards.</w:t>
      </w:r>
    </w:p>
    <w:p w14:paraId="33E2FCA7" w14:textId="4B428CA2" w:rsidR="006B0F49" w:rsidRDefault="00B1373E" w:rsidP="00B1373E">
      <w:r>
        <w:t>I</w:t>
      </w:r>
      <w:r w:rsidR="00191EEE">
        <w:t xml:space="preserve">f one were to approach the </w:t>
      </w:r>
      <w:r>
        <w:t>general public</w:t>
      </w:r>
      <w:r w:rsidR="00191EEE">
        <w:t xml:space="preserve"> and request, ‘What comes to mind when I say, Sparta?’, a number of key themes will inevitably emerge. </w:t>
      </w:r>
      <w:r w:rsidR="00350154">
        <w:t>Perhaps the most immediate and most frequent response would be Thermopylae, the valiant and admirable stand of the three hundred. A response rendered unsurprising given that modern media</w:t>
      </w:r>
      <w:r w:rsidR="00B01ACA">
        <w:t>,</w:t>
      </w:r>
      <w:r w:rsidR="00350154">
        <w:t xml:space="preserve"> for the past fifty years or so</w:t>
      </w:r>
      <w:r w:rsidR="00B01ACA">
        <w:t>,</w:t>
      </w:r>
      <w:r w:rsidR="00350154">
        <w:t xml:space="preserve"> has almost exclusively focused on this now infamous battle.</w:t>
      </w:r>
      <w:r w:rsidR="005F4535">
        <w:rPr>
          <w:rStyle w:val="FootnoteReference"/>
        </w:rPr>
        <w:footnoteReference w:id="1"/>
      </w:r>
      <w:r w:rsidR="005F4535">
        <w:t xml:space="preserve"> For those who do not study the ancient world the hyper stylised, overtly dramatic and brutally portrayed battle may be the only instance of interaction with Sparta they ever</w:t>
      </w:r>
      <w:r w:rsidR="00B01ACA">
        <w:t xml:space="preserve"> have.</w:t>
      </w:r>
      <w:r w:rsidR="00487343">
        <w:t xml:space="preserve"> Broad oversimplification and sweeping generalisations within literature are also prevalent when it comes to Sparta. Some such examples include, “for Sparta militarism was a way of life”,</w:t>
      </w:r>
      <w:r w:rsidR="006B0F49">
        <w:rPr>
          <w:rStyle w:val="FootnoteReference"/>
        </w:rPr>
        <w:footnoteReference w:id="2"/>
      </w:r>
      <w:r w:rsidR="006B0F49">
        <w:t xml:space="preserve"> and, “Sparta which revelled in the art of war”.</w:t>
      </w:r>
      <w:r w:rsidR="006B0F49">
        <w:rPr>
          <w:rStyle w:val="FootnoteReference"/>
        </w:rPr>
        <w:footnoteReference w:id="3"/>
      </w:r>
      <w:r w:rsidR="006B0F49">
        <w:t xml:space="preserve"> </w:t>
      </w:r>
      <w:r w:rsidR="00253D46">
        <w:t xml:space="preserve">From this a general consensus relegating Sparta to being militaristic in nature has emerged. When considering Spartan society, it is important to establish </w:t>
      </w:r>
      <w:r w:rsidR="00615FBF">
        <w:t>whether such a label can appropriately be applied</w:t>
      </w:r>
      <w:r w:rsidR="00253D46">
        <w:t>. In doing so one must define militarism by both modern and ancient standards, via justified criteria</w:t>
      </w:r>
      <w:r w:rsidR="00615FBF">
        <w:t>,</w:t>
      </w:r>
      <w:r w:rsidR="00253D46">
        <w:t xml:space="preserve"> and assess Spartan society in relation to said definition.</w:t>
      </w:r>
      <w:r w:rsidR="00615FBF">
        <w:t xml:space="preserve"> </w:t>
      </w:r>
    </w:p>
    <w:p w14:paraId="24039CAC" w14:textId="77777777" w:rsidR="00AE4950" w:rsidRDefault="002C16EF">
      <w:r>
        <w:t>Defining anything is difficult given that universally every individual has infinite potential for variation in their understanding of that which is being defined. The word militaristic is no exception to this.</w:t>
      </w:r>
      <w:r w:rsidR="001542D3">
        <w:t xml:space="preserve"> How best we should define and understand militarism has been considered in great detail by many scholars.</w:t>
      </w:r>
      <w:r w:rsidR="001542D3">
        <w:rPr>
          <w:rStyle w:val="FootnoteReference"/>
        </w:rPr>
        <w:footnoteReference w:id="4"/>
      </w:r>
      <w:r w:rsidR="001542D3">
        <w:t xml:space="preserve"> </w:t>
      </w:r>
      <w:r>
        <w:t xml:space="preserve">For the purpose of clarity in this discussion the understanding of the term </w:t>
      </w:r>
      <w:r w:rsidR="001542D3">
        <w:t>‘</w:t>
      </w:r>
      <w:r>
        <w:t>militaristic society</w:t>
      </w:r>
      <w:r w:rsidR="001542D3">
        <w:t>’</w:t>
      </w:r>
      <w:r>
        <w:t xml:space="preserve"> </w:t>
      </w:r>
      <w:r w:rsidR="004246E8">
        <w:t>is thus; a society that emphatically and explicitly</w:t>
      </w:r>
      <w:r w:rsidR="004246E8" w:rsidRPr="004246E8">
        <w:t xml:space="preserve"> </w:t>
      </w:r>
      <w:r w:rsidR="004246E8">
        <w:t>utilises all established institutions</w:t>
      </w:r>
      <w:r w:rsidR="004246E8" w:rsidRPr="004246E8">
        <w:t xml:space="preserve"> </w:t>
      </w:r>
      <w:r w:rsidR="004246E8">
        <w:t xml:space="preserve">to perpetually priorities military matters. Simply put, a society built around </w:t>
      </w:r>
      <w:r w:rsidR="001542D3">
        <w:t xml:space="preserve">frequently going to war. In order to assign </w:t>
      </w:r>
      <w:r w:rsidR="00AE4950">
        <w:t xml:space="preserve">this definition to a society it must be proven to openly take advantage of socio-economic factors to sustain a permanent readiness for war. The percentage of population readily mobilized at any given time, state funding, compulsory military service and maintained military training are all examples of such factors. These components will serve as a form of criteria by which to assess Spartan society. </w:t>
      </w:r>
    </w:p>
    <w:p w14:paraId="259894AF" w14:textId="25AA6BEB" w:rsidR="00FD1DE0" w:rsidRDefault="00FD1DE0">
      <w:r>
        <w:t xml:space="preserve">Sparta successfully became the geographical centre and the </w:t>
      </w:r>
      <w:r w:rsidR="00437EF2">
        <w:t>primary governing body of a much larger city-state, Lacedaemon. Lacedaemon consisted of a number of territories across the southern Peloponnese</w:t>
      </w:r>
      <w:r w:rsidR="00471BEF">
        <w:t>, the two main regions being Laconia and Messenia. A number of communities, ‘dwelt round about’,</w:t>
      </w:r>
      <w:r w:rsidR="00471BEF">
        <w:rPr>
          <w:rStyle w:val="FootnoteReference"/>
        </w:rPr>
        <w:footnoteReference w:id="5"/>
      </w:r>
      <w:r w:rsidR="00471BEF">
        <w:t xml:space="preserve"> in the remaining farmable land. Sparta being in good strategic position, between the large Taygete and </w:t>
      </w:r>
      <w:proofErr w:type="spellStart"/>
      <w:r w:rsidR="00471BEF">
        <w:t>Parnon</w:t>
      </w:r>
      <w:proofErr w:type="spellEnd"/>
      <w:r w:rsidR="00471BEF">
        <w:t xml:space="preserve"> mountain ranges, became itself a heavily defendable entry point to the rest of Lacedaemon. </w:t>
      </w:r>
      <w:r w:rsidR="00AD0DD8">
        <w:t>It is for this reason that the local people of Sparta, the Spartiate, offered the rest of Lacedaemon protection in exchange for agricultural service. Hence forth a distinction between the people of Sparta (</w:t>
      </w:r>
      <w:r w:rsidR="00AD0DD8" w:rsidRPr="00AD0DD8">
        <w:rPr>
          <w:i/>
          <w:iCs/>
        </w:rPr>
        <w:t>Spartiate</w:t>
      </w:r>
      <w:r w:rsidR="00AD0DD8">
        <w:t>), their slave force (</w:t>
      </w:r>
      <w:r w:rsidR="00AD0DD8" w:rsidRPr="00AD0DD8">
        <w:rPr>
          <w:i/>
          <w:iCs/>
        </w:rPr>
        <w:t>Helots</w:t>
      </w:r>
      <w:r w:rsidR="00AD0DD8">
        <w:t>) and the middling people that are neither citizens nor slaves (</w:t>
      </w:r>
      <w:proofErr w:type="spellStart"/>
      <w:r w:rsidR="00AD0DD8" w:rsidRPr="00AD0DD8">
        <w:rPr>
          <w:i/>
          <w:iCs/>
        </w:rPr>
        <w:t>Perioeci</w:t>
      </w:r>
      <w:proofErr w:type="spellEnd"/>
      <w:r w:rsidR="00AD0DD8">
        <w:t>) was made. Throughout ancient sources the seemingly interchangeable</w:t>
      </w:r>
      <w:r w:rsidR="008E5C57">
        <w:t xml:space="preserve"> and sometimes synonymous</w:t>
      </w:r>
      <w:r w:rsidR="00AD0DD8">
        <w:t xml:space="preserve"> nature of </w:t>
      </w:r>
      <w:r w:rsidR="008E5C57">
        <w:t xml:space="preserve">the terms </w:t>
      </w:r>
      <w:r w:rsidR="00AD0DD8">
        <w:t>Spartans and Lacedaemonians</w:t>
      </w:r>
      <w:r w:rsidR="008E5C57">
        <w:t xml:space="preserve"> has </w:t>
      </w:r>
      <w:r w:rsidR="000A776B">
        <w:t>led</w:t>
      </w:r>
      <w:r w:rsidR="008E5C57">
        <w:t xml:space="preserve"> to much confusion</w:t>
      </w:r>
      <w:r w:rsidR="000A776B">
        <w:t xml:space="preserve">. The large territory and complexity of social relationships caused by this is worth mentioning for the context of the following discussion. </w:t>
      </w:r>
    </w:p>
    <w:p w14:paraId="56B1F5F1" w14:textId="293A0855" w:rsidR="00C01EC8" w:rsidRDefault="000A776B">
      <w:r>
        <w:t xml:space="preserve">Now that we know the geographical position of Sparta, we can begin to address the aforementioned criteria. </w:t>
      </w:r>
      <w:r w:rsidR="00AD0DD8">
        <w:t xml:space="preserve">Firstly, what percentage of the Spartan population could be expected to fight? The inclusion </w:t>
      </w:r>
      <w:r w:rsidR="00AD0DD8">
        <w:lastRenderedPageBreak/>
        <w:t>of this factor stems from the assumption that countries with a higher percentage are more likely to be belligerent and therefore more militaristic. In the modern world some countries considered militaristic, such as North Korea, Israel and Russia have considerably higher total military personal than those not seen as being particularly militaristic, such as Iceland.</w:t>
      </w:r>
      <w:r w:rsidR="00AD0DD8">
        <w:rPr>
          <w:rStyle w:val="FootnoteReference"/>
        </w:rPr>
        <w:footnoteReference w:id="6"/>
      </w:r>
      <w:r w:rsidR="00AD0DD8">
        <w:t xml:space="preserve"> </w:t>
      </w:r>
      <w:r w:rsidR="004A1DA0">
        <w:t>Laconia offered the Spartans a huge chunk of the Peloponnese to work with and much of this land lent itself to agricultural development.</w:t>
      </w:r>
      <w:r w:rsidR="004A1DA0">
        <w:rPr>
          <w:rStyle w:val="FootnoteReference"/>
        </w:rPr>
        <w:footnoteReference w:id="7"/>
      </w:r>
      <w:r w:rsidR="004A1DA0">
        <w:t xml:space="preserve"> Given that food is the main proponent for population as well as basic living space it is safe to assume Sparta, indeed Lacedaemon as a whole, had a healthy if not large population. </w:t>
      </w:r>
      <w:r w:rsidR="00432358">
        <w:t>Knowing exact population of any ancient society at any specific time is difficult but there are a number of sources to assist in the estimation. Plutarch suggests that at the time of Lycurgus assigning lots of land some nine thousand, “genuine Spartans”, lived.</w:t>
      </w:r>
      <w:r w:rsidR="00432358">
        <w:rPr>
          <w:rStyle w:val="FootnoteReference"/>
        </w:rPr>
        <w:footnoteReference w:id="8"/>
      </w:r>
      <w:r w:rsidR="00432358">
        <w:t xml:space="preserve"> It is unclear however how many </w:t>
      </w:r>
      <w:proofErr w:type="spellStart"/>
      <w:r w:rsidR="00432358">
        <w:t>perioeci</w:t>
      </w:r>
      <w:proofErr w:type="spellEnd"/>
      <w:r w:rsidR="00432358">
        <w:t xml:space="preserve"> or helots there were at this time. </w:t>
      </w:r>
      <w:r w:rsidR="004A1DA0">
        <w:t>No specific number is given for those who fought alongside Agesilaus although it is said to have been, “many thousands”.</w:t>
      </w:r>
      <w:r w:rsidR="004A1DA0">
        <w:rPr>
          <w:rStyle w:val="FootnoteReference"/>
        </w:rPr>
        <w:footnoteReference w:id="9"/>
      </w:r>
      <w:r w:rsidR="004A1DA0">
        <w:t xml:space="preserve"> </w:t>
      </w:r>
      <w:proofErr w:type="spellStart"/>
      <w:r w:rsidR="006A741F">
        <w:t>Cleombrotus</w:t>
      </w:r>
      <w:proofErr w:type="spellEnd"/>
      <w:r w:rsidR="006A741F">
        <w:t xml:space="preserve"> had two thousand infantry and one thousand cavalry personnel at his disposal when fighting in Thebes.</w:t>
      </w:r>
      <w:r w:rsidR="006A741F">
        <w:rPr>
          <w:rStyle w:val="FootnoteReference"/>
        </w:rPr>
        <w:footnoteReference w:id="10"/>
      </w:r>
      <w:r w:rsidR="006A741F">
        <w:t xml:space="preserve"> </w:t>
      </w:r>
      <w:r w:rsidR="00C825D1">
        <w:t>At the battle of Plataea some ten thousand man are said to have been sent from Lacedaemon as a whole of which half were Spartan. Each Spartan is said to have seven helots with them as light infantry making a huge total of thirty-five thousand total helots.</w:t>
      </w:r>
      <w:r w:rsidR="00C825D1">
        <w:rPr>
          <w:rStyle w:val="FootnoteReference"/>
        </w:rPr>
        <w:footnoteReference w:id="11"/>
      </w:r>
      <w:r w:rsidR="00C01EC8">
        <w:t xml:space="preserve"> We can therefore assume that the majority of the Lacedaemon fighting force consisted of helots with significantly fewer </w:t>
      </w:r>
      <w:r w:rsidR="00C01EC8" w:rsidRPr="00C01EC8">
        <w:t>Spartiate</w:t>
      </w:r>
      <w:r w:rsidR="00C01EC8">
        <w:t xml:space="preserve"> that never the less made up for in training and power what they lacked in size. </w:t>
      </w:r>
      <w:r w:rsidR="00074ABB">
        <w:t xml:space="preserve">In order to be considered a citizen of Sparta you had to be male, have successfully gone through the agoge (something which will be discussed in more detail later), and be a member of a syssitia. With these parameters in mind one could argue that the entire male population of Sparta specifically was by definition a member of the military. </w:t>
      </w:r>
    </w:p>
    <w:p w14:paraId="325E69E4" w14:textId="63BF80FD" w:rsidR="00706F43" w:rsidRDefault="00706F43">
      <w:r>
        <w:t xml:space="preserve">The use of helots in order to make up military numbers was just one way that Sparta utilised their non-citizen counter parts in their well-oiled military machine. It was due to the fact that they had a permanent worker force in place that they were able to entirely focus their own efforts on warfare. It was only possible for the </w:t>
      </w:r>
      <w:r w:rsidRPr="00C01EC8">
        <w:t>Spartiate</w:t>
      </w:r>
      <w:r>
        <w:t xml:space="preserve"> to train, drill and campaign as frequently and as vigorously as they did because of the stability provided by the helots and the </w:t>
      </w:r>
      <w:proofErr w:type="spellStart"/>
      <w:r w:rsidRPr="00706F43">
        <w:t>perioeci</w:t>
      </w:r>
      <w:proofErr w:type="spellEnd"/>
      <w:r>
        <w:t xml:space="preserve">. The most important factor allowing male citizens to devote their lives to being soldiers, excellent ones at that, is the element of leisure afforded by a class of peoples doing all of the day to day work necessary to keep a society going. The outsourcing of labour in exchange for protection is fundamentally what made Sparta unique in their approach to </w:t>
      </w:r>
      <w:r w:rsidR="00B643AA">
        <w:t>military matters.</w:t>
      </w:r>
      <w:r w:rsidR="00B643AA">
        <w:rPr>
          <w:rStyle w:val="FootnoteReference"/>
        </w:rPr>
        <w:footnoteReference w:id="12"/>
      </w:r>
      <w:r w:rsidR="006F6649">
        <w:t xml:space="preserve"> </w:t>
      </w:r>
    </w:p>
    <w:p w14:paraId="74EE4CD2" w14:textId="77777777" w:rsidR="00BE72E4" w:rsidRDefault="00BB10A8">
      <w:r>
        <w:t>Next, we must assess whether a substantial amount of state funding went towards military matters</w:t>
      </w:r>
      <w:r w:rsidR="00824E91">
        <w:t xml:space="preserve"> and how this funding supported compulsory military training. In Spartan culture money was an irrelevant factor for a significant time. Overall the state functioned in such a way that monetary equality was </w:t>
      </w:r>
      <w:r w:rsidR="005719DF">
        <w:t>attempted. Culturally it was seen as virtuous to live simplistically and with modesty both in character and in belongings.</w:t>
      </w:r>
      <w:r w:rsidR="005974DF">
        <w:rPr>
          <w:rStyle w:val="FootnoteReference"/>
        </w:rPr>
        <w:footnoteReference w:id="13"/>
      </w:r>
      <w:r w:rsidR="005719DF">
        <w:t xml:space="preserve"> </w:t>
      </w:r>
      <w:r w:rsidR="005974DF">
        <w:t>Where a Spartan spent their money is for this reason very interesting as it shows what they considered valuable.</w:t>
      </w:r>
      <w:r w:rsidR="00BE6C99">
        <w:t xml:space="preserve"> The agoge was a state funded educational upbringing which was required by all Spartan males to complete in order to gain citizen status.</w:t>
      </w:r>
      <w:r w:rsidR="002211E8">
        <w:rPr>
          <w:rStyle w:val="FootnoteReference"/>
        </w:rPr>
        <w:footnoteReference w:id="14"/>
      </w:r>
      <w:r w:rsidR="00BE6C99">
        <w:t xml:space="preserve"> </w:t>
      </w:r>
      <w:r w:rsidR="002211E8">
        <w:t xml:space="preserve">The </w:t>
      </w:r>
      <w:r w:rsidR="002211E8">
        <w:lastRenderedPageBreak/>
        <w:t xml:space="preserve">funding for this education was provided by the compulsory contribution of all male citizens to enter a syssitia (communal mess). The system was therefore set up to feed back into itself. You </w:t>
      </w:r>
      <w:r w:rsidR="00432459">
        <w:t>could not</w:t>
      </w:r>
      <w:r w:rsidR="002211E8">
        <w:t xml:space="preserve"> be a citizen without a syssitia, you </w:t>
      </w:r>
      <w:r w:rsidR="00FE5B72">
        <w:t>could not</w:t>
      </w:r>
      <w:r w:rsidR="002211E8">
        <w:t xml:space="preserve"> join one without a contribution, this contribution funds the agoge, the agoge makes boys into men who then need a syssitia. The nature of the education a young man received is perhaps to our modern tastes somewhat harsh if not brutal. From both Xenophon and Plutarch, a picture of strict, strenuous and stifling training is painted of the agoge.</w:t>
      </w:r>
      <w:r w:rsidR="00B5414A">
        <w:t xml:space="preserve"> The boy’s diets were borderline starvation,</w:t>
      </w:r>
      <w:r w:rsidR="00B5414A">
        <w:rPr>
          <w:rStyle w:val="FootnoteReference"/>
        </w:rPr>
        <w:footnoteReference w:id="15"/>
      </w:r>
      <w:r w:rsidR="00B5414A">
        <w:t xml:space="preserve"> they wore no shoes on their feet,</w:t>
      </w:r>
      <w:r w:rsidR="00B5414A">
        <w:rPr>
          <w:rStyle w:val="FootnoteReference"/>
        </w:rPr>
        <w:footnoteReference w:id="16"/>
      </w:r>
      <w:r w:rsidR="00B5414A">
        <w:t xml:space="preserve"> coming of age rituals involved whippings</w:t>
      </w:r>
      <w:r w:rsidR="00235B25">
        <w:t xml:space="preserve"> and in extreme cases death</w:t>
      </w:r>
      <w:r w:rsidR="00B5414A">
        <w:t>.</w:t>
      </w:r>
      <w:r w:rsidR="00B5414A">
        <w:rPr>
          <w:rStyle w:val="FootnoteReference"/>
        </w:rPr>
        <w:footnoteReference w:id="17"/>
      </w:r>
      <w:r w:rsidR="00235B25">
        <w:t xml:space="preserve"> </w:t>
      </w:r>
      <w:r w:rsidR="007470FD">
        <w:t xml:space="preserve">Even the inclusion of dancing and music served a purpose as both led eventually to balanced and swift fighting as well as preparing them for the customary marching drum. A chain of command was established through the various appointments of leaders. Firstly, the so-called Warden who was in charge of all the boys, in his absence any passing citizen who could stand in and failing both of these a group of older boys picked for their excellency </w:t>
      </w:r>
      <w:r w:rsidR="00495751">
        <w:t xml:space="preserve">permitted to </w:t>
      </w:r>
      <w:r w:rsidR="007470FD">
        <w:t>chastise</w:t>
      </w:r>
      <w:r w:rsidR="00495751">
        <w:t xml:space="preserve"> the youngers</w:t>
      </w:r>
      <w:r w:rsidR="007470FD">
        <w:t xml:space="preserve"> as they see fit</w:t>
      </w:r>
      <w:r w:rsidR="00495751">
        <w:t>.</w:t>
      </w:r>
      <w:r w:rsidR="00495751">
        <w:rPr>
          <w:rStyle w:val="FootnoteReference"/>
        </w:rPr>
        <w:footnoteReference w:id="18"/>
      </w:r>
      <w:r w:rsidR="00495751">
        <w:t xml:space="preserve"> The effect of which was to make the transition into the army as a whole that much smoother. The typical Spartan formation consisted of gradually broken-down units, each with its own leader, something which the boys would become used to whilst in the agoge.</w:t>
      </w:r>
      <w:r w:rsidR="00495751">
        <w:rPr>
          <w:rStyle w:val="FootnoteReference"/>
        </w:rPr>
        <w:footnoteReference w:id="19"/>
      </w:r>
      <w:r w:rsidR="00CD2B88">
        <w:t xml:space="preserve"> </w:t>
      </w:r>
    </w:p>
    <w:p w14:paraId="73BF0F16" w14:textId="7F9D7424" w:rsidR="00761C31" w:rsidRDefault="00CD2B88">
      <w:r>
        <w:t>Why was this the method by which Spartan youths were educated?</w:t>
      </w:r>
      <w:r w:rsidR="007470FD">
        <w:t xml:space="preserve"> To see to it that obedience, physical prowess, competitiveness and courage was instilled in the young men of Sparta. A boy’s state funded education, although not their only form of learning, centred on making soldiers.</w:t>
      </w:r>
      <w:r w:rsidR="00BE72E4">
        <w:t xml:space="preserve"> It is this training that separates Sparta from other Greeks and allowed them to be remembered as some of the finest fighters to have emerged in the ancient world. Aristotle shows this brilliantly in saying, “The Spartans surpassed all other peoples because they trained, and their adversaries did not”.</w:t>
      </w:r>
      <w:r w:rsidR="00BE72E4">
        <w:rPr>
          <w:rStyle w:val="FootnoteReference"/>
        </w:rPr>
        <w:footnoteReference w:id="20"/>
      </w:r>
      <w:r w:rsidR="00495751">
        <w:t xml:space="preserve"> The intensity of such a program let alone the fact that it even exists is certainly an indication of Spartans militaristic society.</w:t>
      </w:r>
      <w:r w:rsidR="00AF552F">
        <w:t xml:space="preserve"> </w:t>
      </w:r>
      <w:r w:rsidR="00BE72E4">
        <w:t>The question of whether or not Sparta was a militaristic society by modern standards can therefore be considered a resounding yes. But what about in comparison to their fellow ancient Greek societies?</w:t>
      </w:r>
    </w:p>
    <w:p w14:paraId="567D8529" w14:textId="492C72D3" w:rsidR="00AF552F" w:rsidRPr="0077286E" w:rsidRDefault="007C42D4">
      <w:r>
        <w:t xml:space="preserve">Whist it may be tempting to sensationalise Sparta as something special in terms of military uniqueness, is it accurate to do so? Many Greek polis could by the fulfilment of our criteria be considered a militaristic society. </w:t>
      </w:r>
      <w:r w:rsidR="001D754F">
        <w:t xml:space="preserve">There seems to emerge a similar foundational process undergone by such societies. We know that in Corinth and Crete for example, both arguably also militaristic if their continuous fighting across boarders is any indication, had persons similar to Lycurgus who firmly set up laws or codes of conduct. At Corinth it was </w:t>
      </w:r>
      <w:proofErr w:type="spellStart"/>
      <w:r w:rsidR="001D754F">
        <w:t>Philolaos</w:t>
      </w:r>
      <w:proofErr w:type="spellEnd"/>
      <w:r w:rsidR="001D754F">
        <w:t xml:space="preserve"> and at Crete exactly how the code emerged is less certain. </w:t>
      </w:r>
      <w:r w:rsidR="00205747">
        <w:t xml:space="preserve">These societies similarly grouped together with neighbouring peoples and eventually came to also have slaves. </w:t>
      </w:r>
      <w:r>
        <w:t>For example, Thessaly had its oven version of the helot</w:t>
      </w:r>
      <w:r w:rsidR="0077286E">
        <w:t xml:space="preserve">s of Sparta known as the </w:t>
      </w:r>
      <w:proofErr w:type="spellStart"/>
      <w:r w:rsidR="0077286E">
        <w:rPr>
          <w:i/>
          <w:iCs/>
        </w:rPr>
        <w:t>penestia</w:t>
      </w:r>
      <w:proofErr w:type="spellEnd"/>
      <w:r w:rsidR="0077286E">
        <w:t>.</w:t>
      </w:r>
      <w:r w:rsidR="0077286E">
        <w:rPr>
          <w:rStyle w:val="FootnoteReference"/>
        </w:rPr>
        <w:footnoteReference w:id="21"/>
      </w:r>
      <w:r w:rsidR="001D754F">
        <w:t xml:space="preserve"> In much the same way they were utilised in the basic running of the polis so that Thessalians could focus their attentions elsewhere. </w:t>
      </w:r>
      <w:r w:rsidR="00202D4B">
        <w:t xml:space="preserve">Perhaps then the use of a servile body to take care of the basic running of a state is neither uncommon in the ancient world nor an indication of an aggressive or militant society. </w:t>
      </w:r>
      <w:r w:rsidR="00A53357">
        <w:t xml:space="preserve">The reliance on these non-citizen peoples was also shared amongst polis. </w:t>
      </w:r>
      <w:r w:rsidR="00F545A2">
        <w:t xml:space="preserve">Training </w:t>
      </w:r>
      <w:r w:rsidR="00A53357">
        <w:t xml:space="preserve">too </w:t>
      </w:r>
      <w:r w:rsidR="00F545A2">
        <w:t xml:space="preserve">was also not unusual across various polis as it was </w:t>
      </w:r>
      <w:r w:rsidR="00A53357">
        <w:t>commonplace</w:t>
      </w:r>
      <w:r w:rsidR="00F545A2">
        <w:t xml:space="preserve"> to have smaller disputes regarding boarders as well as fully fledged wars requiring a somewhat </w:t>
      </w:r>
      <w:r w:rsidR="00F545A2">
        <w:lastRenderedPageBreak/>
        <w:t>prepared army.</w:t>
      </w:r>
      <w:r w:rsidR="00A53357">
        <w:t xml:space="preserve"> These similarities have led some to argue that realistically Lacedaemon in its entirety as well as the specific military composition was not all that different.</w:t>
      </w:r>
      <w:r w:rsidR="00A53357">
        <w:rPr>
          <w:rStyle w:val="FootnoteReference"/>
        </w:rPr>
        <w:footnoteReference w:id="22"/>
      </w:r>
    </w:p>
    <w:p w14:paraId="4D83D8F1" w14:textId="1704C8A1" w:rsidR="00495751" w:rsidRDefault="00BF3ED3">
      <w:r>
        <w:t xml:space="preserve">What makes Sparta unique is the genuine care and effort they put into ensuring their military manpower was always ready for war. For them nothing was overlooked and no detail too small or insignificant when it came to the battlefield. </w:t>
      </w:r>
      <w:r w:rsidR="00166BDE">
        <w:t xml:space="preserve">The foundation of their society was built with the military in mind and was tailored towards making their men the best they could be. </w:t>
      </w:r>
      <w:bookmarkStart w:id="0" w:name="_GoBack"/>
      <w:bookmarkEnd w:id="0"/>
    </w:p>
    <w:p w14:paraId="3209CCC1" w14:textId="77777777" w:rsidR="00BF3ED3" w:rsidRDefault="00BF3ED3"/>
    <w:p w14:paraId="7B972361" w14:textId="77777777" w:rsidR="00BF3ED3" w:rsidRPr="000B187E" w:rsidRDefault="00BF3ED3" w:rsidP="00BF3ED3">
      <w:pPr>
        <w:rPr>
          <w:u w:val="single"/>
        </w:rPr>
      </w:pPr>
      <w:r w:rsidRPr="000B187E">
        <w:rPr>
          <w:u w:val="single"/>
        </w:rPr>
        <w:t xml:space="preserve">Bibliography: </w:t>
      </w:r>
    </w:p>
    <w:p w14:paraId="703537AC" w14:textId="77777777" w:rsidR="00BF3ED3" w:rsidRPr="000B187E" w:rsidRDefault="00BF3ED3" w:rsidP="00BF3ED3">
      <w:pPr>
        <w:rPr>
          <w:u w:val="single"/>
        </w:rPr>
      </w:pPr>
      <w:r w:rsidRPr="000B187E">
        <w:rPr>
          <w:u w:val="single"/>
        </w:rPr>
        <w:t>Ancient Sources:</w:t>
      </w:r>
    </w:p>
    <w:p w14:paraId="44A5B001" w14:textId="77777777" w:rsidR="00BF3ED3" w:rsidRPr="000B187E" w:rsidRDefault="00BF3ED3" w:rsidP="00BF3ED3">
      <w:pPr>
        <w:rPr>
          <w:rFonts w:ascii="zephtextregular" w:hAnsi="zephtextregular"/>
          <w:sz w:val="20"/>
          <w:szCs w:val="20"/>
          <w:shd w:val="clear" w:color="auto" w:fill="FFFFFF"/>
        </w:rPr>
      </w:pPr>
      <w:r w:rsidRPr="000B187E">
        <w:rPr>
          <w:rStyle w:val="bibliographicauthorname"/>
          <w:rFonts w:ascii="zephtextregular" w:hAnsi="zephtextregular"/>
          <w:shd w:val="clear" w:color="auto" w:fill="FFFFFF"/>
        </w:rPr>
        <w:t>Aristotle</w:t>
      </w:r>
      <w:r w:rsidRPr="000B187E">
        <w:rPr>
          <w:rFonts w:ascii="zephtextregular" w:hAnsi="zephtextregular"/>
          <w:sz w:val="20"/>
          <w:szCs w:val="20"/>
          <w:shd w:val="clear" w:color="auto" w:fill="FFFFFF"/>
        </w:rPr>
        <w:t>. </w:t>
      </w:r>
      <w:r w:rsidRPr="000B187E">
        <w:rPr>
          <w:rFonts w:ascii="zephtextregular" w:hAnsi="zephtextregular"/>
          <w:i/>
          <w:iCs/>
          <w:sz w:val="20"/>
          <w:szCs w:val="20"/>
          <w:shd w:val="clear" w:color="auto" w:fill="FFFFFF"/>
        </w:rPr>
        <w:t>Politics. </w:t>
      </w:r>
      <w:r w:rsidRPr="000B187E">
        <w:rPr>
          <w:rStyle w:val="translators"/>
          <w:rFonts w:ascii="zephtextregular" w:hAnsi="zephtextregular"/>
          <w:sz w:val="20"/>
          <w:szCs w:val="20"/>
          <w:shd w:val="clear" w:color="auto" w:fill="FFFFFF"/>
        </w:rPr>
        <w:t>Translated by </w:t>
      </w:r>
      <w:r w:rsidRPr="000B187E">
        <w:rPr>
          <w:rStyle w:val="contributorname"/>
          <w:rFonts w:ascii="zephtextregular" w:hAnsi="zephtextregular"/>
          <w:sz w:val="20"/>
          <w:szCs w:val="20"/>
          <w:shd w:val="clear" w:color="auto" w:fill="FFFFFF"/>
        </w:rPr>
        <w:t>H. Rackham</w:t>
      </w:r>
      <w:r w:rsidRPr="000B187E">
        <w:rPr>
          <w:rStyle w:val="translators"/>
          <w:rFonts w:ascii="zephtextregular" w:hAnsi="zephtextregular"/>
          <w:sz w:val="20"/>
          <w:szCs w:val="20"/>
          <w:shd w:val="clear" w:color="auto" w:fill="FFFFFF"/>
        </w:rPr>
        <w:t>. </w:t>
      </w:r>
      <w:r w:rsidRPr="000B187E">
        <w:rPr>
          <w:rFonts w:ascii="zephtextregular" w:hAnsi="zephtextregular"/>
          <w:sz w:val="20"/>
          <w:szCs w:val="20"/>
          <w:shd w:val="clear" w:color="auto" w:fill="FFFFFF"/>
        </w:rPr>
        <w:t>Loeb Classical Library 264. Cambridge, MA: Harvard University Press, 1932.</w:t>
      </w:r>
    </w:p>
    <w:p w14:paraId="235DED35" w14:textId="77777777" w:rsidR="00BF3ED3" w:rsidRPr="000B187E" w:rsidRDefault="00BF3ED3" w:rsidP="00BF3ED3">
      <w:pPr>
        <w:rPr>
          <w:rFonts w:ascii="zephtextregular" w:hAnsi="zephtextregular"/>
          <w:sz w:val="20"/>
          <w:szCs w:val="20"/>
          <w:shd w:val="clear" w:color="auto" w:fill="FFFFFF"/>
        </w:rPr>
      </w:pPr>
      <w:r w:rsidRPr="000B187E">
        <w:rPr>
          <w:rStyle w:val="bibliographicauthorname"/>
          <w:rFonts w:ascii="zephtextregular" w:hAnsi="zephtextregular"/>
          <w:shd w:val="clear" w:color="auto" w:fill="FFFFFF"/>
        </w:rPr>
        <w:t>Herodotus</w:t>
      </w:r>
      <w:r w:rsidRPr="000B187E">
        <w:rPr>
          <w:rFonts w:ascii="zephtextregular" w:hAnsi="zephtextregular"/>
          <w:sz w:val="20"/>
          <w:szCs w:val="20"/>
          <w:shd w:val="clear" w:color="auto" w:fill="FFFFFF"/>
        </w:rPr>
        <w:t>. </w:t>
      </w:r>
      <w:r w:rsidRPr="000B187E">
        <w:rPr>
          <w:rFonts w:ascii="zephtextregular" w:hAnsi="zephtextregular"/>
          <w:i/>
          <w:iCs/>
          <w:sz w:val="20"/>
          <w:szCs w:val="20"/>
          <w:shd w:val="clear" w:color="auto" w:fill="FFFFFF"/>
        </w:rPr>
        <w:t>The Persian Wars, Volume I: Books 1-2. </w:t>
      </w:r>
      <w:r w:rsidRPr="000B187E">
        <w:rPr>
          <w:rStyle w:val="translators"/>
          <w:rFonts w:ascii="zephtextregular" w:hAnsi="zephtextregular"/>
          <w:sz w:val="20"/>
          <w:szCs w:val="20"/>
          <w:shd w:val="clear" w:color="auto" w:fill="FFFFFF"/>
        </w:rPr>
        <w:t>Translated by </w:t>
      </w:r>
      <w:r w:rsidRPr="000B187E">
        <w:rPr>
          <w:rStyle w:val="contributorname"/>
          <w:rFonts w:ascii="zephtextregular" w:hAnsi="zephtextregular"/>
          <w:sz w:val="20"/>
          <w:szCs w:val="20"/>
          <w:shd w:val="clear" w:color="auto" w:fill="FFFFFF"/>
        </w:rPr>
        <w:t>A. D. Godley</w:t>
      </w:r>
      <w:r w:rsidRPr="000B187E">
        <w:rPr>
          <w:rStyle w:val="translators"/>
          <w:rFonts w:ascii="zephtextregular" w:hAnsi="zephtextregular"/>
          <w:sz w:val="20"/>
          <w:szCs w:val="20"/>
          <w:shd w:val="clear" w:color="auto" w:fill="FFFFFF"/>
        </w:rPr>
        <w:t>. </w:t>
      </w:r>
      <w:r w:rsidRPr="000B187E">
        <w:rPr>
          <w:rFonts w:ascii="zephtextregular" w:hAnsi="zephtextregular"/>
          <w:sz w:val="20"/>
          <w:szCs w:val="20"/>
          <w:shd w:val="clear" w:color="auto" w:fill="FFFFFF"/>
        </w:rPr>
        <w:t>Loeb Classical Library 117. Cambridge, MA: Harvard University Press, 1920.</w:t>
      </w:r>
    </w:p>
    <w:p w14:paraId="6561D1BC" w14:textId="77777777" w:rsidR="00BF3ED3" w:rsidRPr="000B187E" w:rsidRDefault="00BF3ED3" w:rsidP="00BF3ED3">
      <w:pPr>
        <w:rPr>
          <w:rFonts w:ascii="zephtextregular" w:hAnsi="zephtextregular"/>
          <w:sz w:val="20"/>
          <w:szCs w:val="20"/>
          <w:shd w:val="clear" w:color="auto" w:fill="FFFFFF"/>
        </w:rPr>
      </w:pPr>
      <w:r w:rsidRPr="000B187E">
        <w:rPr>
          <w:rStyle w:val="bibliographicauthorname"/>
          <w:rFonts w:ascii="zephtextregular" w:hAnsi="zephtextregular"/>
          <w:shd w:val="clear" w:color="auto" w:fill="FFFFFF"/>
        </w:rPr>
        <w:t>Plutarch</w:t>
      </w:r>
      <w:r w:rsidRPr="000B187E">
        <w:rPr>
          <w:rFonts w:ascii="zephtextregular" w:hAnsi="zephtextregular"/>
          <w:sz w:val="20"/>
          <w:szCs w:val="20"/>
          <w:shd w:val="clear" w:color="auto" w:fill="FFFFFF"/>
        </w:rPr>
        <w:t>. </w:t>
      </w:r>
      <w:r w:rsidRPr="000B187E">
        <w:rPr>
          <w:rFonts w:ascii="zephtextregular" w:hAnsi="zephtextregular"/>
          <w:i/>
          <w:iCs/>
          <w:sz w:val="20"/>
          <w:szCs w:val="20"/>
          <w:shd w:val="clear" w:color="auto" w:fill="FFFFFF"/>
        </w:rPr>
        <w:t xml:space="preserve">Lives, Volume I: Theseus and Romulus. Lycurgus and </w:t>
      </w:r>
      <w:proofErr w:type="spellStart"/>
      <w:r w:rsidRPr="000B187E">
        <w:rPr>
          <w:rFonts w:ascii="zephtextregular" w:hAnsi="zephtextregular"/>
          <w:i/>
          <w:iCs/>
          <w:sz w:val="20"/>
          <w:szCs w:val="20"/>
          <w:shd w:val="clear" w:color="auto" w:fill="FFFFFF"/>
        </w:rPr>
        <w:t>Numa</w:t>
      </w:r>
      <w:proofErr w:type="spellEnd"/>
      <w:r w:rsidRPr="000B187E">
        <w:rPr>
          <w:rFonts w:ascii="zephtextregular" w:hAnsi="zephtextregular"/>
          <w:i/>
          <w:iCs/>
          <w:sz w:val="20"/>
          <w:szCs w:val="20"/>
          <w:shd w:val="clear" w:color="auto" w:fill="FFFFFF"/>
        </w:rPr>
        <w:t xml:space="preserve">. Solon and </w:t>
      </w:r>
      <w:proofErr w:type="spellStart"/>
      <w:r w:rsidRPr="000B187E">
        <w:rPr>
          <w:rFonts w:ascii="zephtextregular" w:hAnsi="zephtextregular"/>
          <w:i/>
          <w:iCs/>
          <w:sz w:val="20"/>
          <w:szCs w:val="20"/>
          <w:shd w:val="clear" w:color="auto" w:fill="FFFFFF"/>
        </w:rPr>
        <w:t>Publicola</w:t>
      </w:r>
      <w:proofErr w:type="spellEnd"/>
      <w:r w:rsidRPr="000B187E">
        <w:rPr>
          <w:rFonts w:ascii="zephtextregular" w:hAnsi="zephtextregular"/>
          <w:i/>
          <w:iCs/>
          <w:sz w:val="20"/>
          <w:szCs w:val="20"/>
          <w:shd w:val="clear" w:color="auto" w:fill="FFFFFF"/>
        </w:rPr>
        <w:t>. </w:t>
      </w:r>
      <w:r w:rsidRPr="000B187E">
        <w:rPr>
          <w:rStyle w:val="translators"/>
          <w:rFonts w:ascii="zephtextregular" w:hAnsi="zephtextregular"/>
          <w:sz w:val="20"/>
          <w:szCs w:val="20"/>
          <w:shd w:val="clear" w:color="auto" w:fill="FFFFFF"/>
        </w:rPr>
        <w:t>Translated by </w:t>
      </w:r>
      <w:r w:rsidRPr="000B187E">
        <w:rPr>
          <w:rStyle w:val="contributorname"/>
          <w:rFonts w:ascii="zephtextregular" w:hAnsi="zephtextregular"/>
          <w:sz w:val="20"/>
          <w:szCs w:val="20"/>
          <w:shd w:val="clear" w:color="auto" w:fill="FFFFFF"/>
        </w:rPr>
        <w:t>Bernadotte Perrin</w:t>
      </w:r>
      <w:r w:rsidRPr="000B187E">
        <w:rPr>
          <w:rStyle w:val="translators"/>
          <w:rFonts w:ascii="zephtextregular" w:hAnsi="zephtextregular"/>
          <w:sz w:val="20"/>
          <w:szCs w:val="20"/>
          <w:shd w:val="clear" w:color="auto" w:fill="FFFFFF"/>
        </w:rPr>
        <w:t>. </w:t>
      </w:r>
      <w:r w:rsidRPr="000B187E">
        <w:rPr>
          <w:rFonts w:ascii="zephtextregular" w:hAnsi="zephtextregular"/>
          <w:sz w:val="20"/>
          <w:szCs w:val="20"/>
          <w:shd w:val="clear" w:color="auto" w:fill="FFFFFF"/>
        </w:rPr>
        <w:t>Loeb Classical Library 46. Cambridge, MA: Harvard University Press, 1914.</w:t>
      </w:r>
    </w:p>
    <w:p w14:paraId="74B7FE13" w14:textId="77777777" w:rsidR="00BF3ED3" w:rsidRPr="000B187E" w:rsidRDefault="00BF3ED3" w:rsidP="00BF3ED3">
      <w:r w:rsidRPr="000B187E">
        <w:rPr>
          <w:rStyle w:val="bibliographicauthorname"/>
          <w:rFonts w:ascii="zephtextregular" w:hAnsi="zephtextregular"/>
          <w:shd w:val="clear" w:color="auto" w:fill="FFFFFF"/>
        </w:rPr>
        <w:t>Plutarch</w:t>
      </w:r>
      <w:r w:rsidRPr="000B187E">
        <w:rPr>
          <w:rFonts w:ascii="zephtextregular" w:hAnsi="zephtextregular"/>
          <w:sz w:val="20"/>
          <w:szCs w:val="20"/>
          <w:shd w:val="clear" w:color="auto" w:fill="FFFFFF"/>
        </w:rPr>
        <w:t>. </w:t>
      </w:r>
      <w:r w:rsidRPr="000B187E">
        <w:rPr>
          <w:rFonts w:ascii="zephtextregular" w:hAnsi="zephtextregular"/>
          <w:i/>
          <w:iCs/>
          <w:sz w:val="20"/>
          <w:szCs w:val="20"/>
          <w:shd w:val="clear" w:color="auto" w:fill="FFFFFF"/>
        </w:rPr>
        <w:t>Lives, Volume V: Agesilaus and Pompey. Pelopidas and Marcellus. </w:t>
      </w:r>
      <w:r w:rsidRPr="000B187E">
        <w:rPr>
          <w:rStyle w:val="translators"/>
          <w:rFonts w:ascii="zephtextregular" w:hAnsi="zephtextregular"/>
          <w:sz w:val="20"/>
          <w:szCs w:val="20"/>
          <w:shd w:val="clear" w:color="auto" w:fill="FFFFFF"/>
        </w:rPr>
        <w:t>Translated by </w:t>
      </w:r>
      <w:r w:rsidRPr="000B187E">
        <w:rPr>
          <w:rStyle w:val="contributorname"/>
          <w:rFonts w:ascii="zephtextregular" w:hAnsi="zephtextregular"/>
          <w:sz w:val="20"/>
          <w:szCs w:val="20"/>
          <w:shd w:val="clear" w:color="auto" w:fill="FFFFFF"/>
        </w:rPr>
        <w:t>Bernadotte Perrin</w:t>
      </w:r>
      <w:r w:rsidRPr="000B187E">
        <w:rPr>
          <w:rStyle w:val="translators"/>
          <w:rFonts w:ascii="zephtextregular" w:hAnsi="zephtextregular"/>
          <w:sz w:val="20"/>
          <w:szCs w:val="20"/>
          <w:shd w:val="clear" w:color="auto" w:fill="FFFFFF"/>
        </w:rPr>
        <w:t>. </w:t>
      </w:r>
      <w:r w:rsidRPr="000B187E">
        <w:rPr>
          <w:rFonts w:ascii="zephtextregular" w:hAnsi="zephtextregular"/>
          <w:sz w:val="20"/>
          <w:szCs w:val="20"/>
          <w:shd w:val="clear" w:color="auto" w:fill="FFFFFF"/>
        </w:rPr>
        <w:t>Loeb Classical Library 87. Cambridge, MA: Harvard University Press, 1917.</w:t>
      </w:r>
    </w:p>
    <w:p w14:paraId="519B0481" w14:textId="77777777" w:rsidR="00BF3ED3" w:rsidRPr="000B187E" w:rsidRDefault="00BF3ED3" w:rsidP="00BF3ED3">
      <w:pPr>
        <w:rPr>
          <w:rFonts w:ascii="zephtextregular" w:hAnsi="zephtextregular"/>
          <w:sz w:val="20"/>
          <w:szCs w:val="20"/>
          <w:shd w:val="clear" w:color="auto" w:fill="FFFFFF"/>
        </w:rPr>
      </w:pPr>
      <w:r w:rsidRPr="000B187E">
        <w:rPr>
          <w:rStyle w:val="bibliographicauthorname"/>
          <w:rFonts w:ascii="zephtextregular" w:hAnsi="zephtextregular"/>
          <w:shd w:val="clear" w:color="auto" w:fill="FFFFFF"/>
        </w:rPr>
        <w:t>Thucydides</w:t>
      </w:r>
      <w:r w:rsidRPr="000B187E">
        <w:rPr>
          <w:rFonts w:ascii="zephtextregular" w:hAnsi="zephtextregular"/>
          <w:sz w:val="20"/>
          <w:szCs w:val="20"/>
          <w:shd w:val="clear" w:color="auto" w:fill="FFFFFF"/>
        </w:rPr>
        <w:t>. </w:t>
      </w:r>
      <w:r w:rsidRPr="000B187E">
        <w:rPr>
          <w:rFonts w:ascii="zephtextregular" w:hAnsi="zephtextregular"/>
          <w:i/>
          <w:iCs/>
          <w:sz w:val="20"/>
          <w:szCs w:val="20"/>
          <w:shd w:val="clear" w:color="auto" w:fill="FFFFFF"/>
        </w:rPr>
        <w:t>History of the Peloponnesian War, Volume I: Books 1-2. </w:t>
      </w:r>
      <w:r w:rsidRPr="000B187E">
        <w:rPr>
          <w:rStyle w:val="translators"/>
          <w:rFonts w:ascii="zephtextregular" w:hAnsi="zephtextregular"/>
          <w:sz w:val="20"/>
          <w:szCs w:val="20"/>
          <w:shd w:val="clear" w:color="auto" w:fill="FFFFFF"/>
        </w:rPr>
        <w:t>Translated by </w:t>
      </w:r>
      <w:r w:rsidRPr="000B187E">
        <w:rPr>
          <w:rStyle w:val="contributorname"/>
          <w:rFonts w:ascii="zephtextregular" w:hAnsi="zephtextregular"/>
          <w:sz w:val="20"/>
          <w:szCs w:val="20"/>
          <w:shd w:val="clear" w:color="auto" w:fill="FFFFFF"/>
        </w:rPr>
        <w:t>C. F. Smith</w:t>
      </w:r>
      <w:r w:rsidRPr="000B187E">
        <w:rPr>
          <w:rStyle w:val="translators"/>
          <w:rFonts w:ascii="zephtextregular" w:hAnsi="zephtextregular"/>
          <w:sz w:val="20"/>
          <w:szCs w:val="20"/>
          <w:shd w:val="clear" w:color="auto" w:fill="FFFFFF"/>
        </w:rPr>
        <w:t>. </w:t>
      </w:r>
      <w:r w:rsidRPr="000B187E">
        <w:rPr>
          <w:rFonts w:ascii="zephtextregular" w:hAnsi="zephtextregular"/>
          <w:sz w:val="20"/>
          <w:szCs w:val="20"/>
          <w:shd w:val="clear" w:color="auto" w:fill="FFFFFF"/>
        </w:rPr>
        <w:t>Loeb Classical Library 108. Cambridge, MA: Harvard University Press, 1919.</w:t>
      </w:r>
    </w:p>
    <w:p w14:paraId="4308AE64" w14:textId="77777777" w:rsidR="00BF3ED3" w:rsidRDefault="00BF3ED3" w:rsidP="00BF3ED3">
      <w:pPr>
        <w:rPr>
          <w:rFonts w:ascii="zephtextregular" w:hAnsi="zephtextregular"/>
          <w:sz w:val="20"/>
          <w:szCs w:val="20"/>
          <w:shd w:val="clear" w:color="auto" w:fill="FFFFFF"/>
        </w:rPr>
      </w:pPr>
      <w:r w:rsidRPr="000B187E">
        <w:rPr>
          <w:rStyle w:val="bibliographicauthorname"/>
          <w:rFonts w:ascii="zephtextregular" w:hAnsi="zephtextregular"/>
          <w:shd w:val="clear" w:color="auto" w:fill="FFFFFF"/>
        </w:rPr>
        <w:t>Xenophon</w:t>
      </w:r>
      <w:r w:rsidRPr="000B187E">
        <w:rPr>
          <w:rFonts w:ascii="zephtextregular" w:hAnsi="zephtextregular"/>
          <w:sz w:val="20"/>
          <w:szCs w:val="20"/>
          <w:shd w:val="clear" w:color="auto" w:fill="FFFFFF"/>
        </w:rPr>
        <w:t>. </w:t>
      </w:r>
      <w:proofErr w:type="spellStart"/>
      <w:r w:rsidRPr="000B187E">
        <w:rPr>
          <w:rFonts w:ascii="zephtextregular" w:hAnsi="zephtextregular"/>
          <w:i/>
          <w:iCs/>
          <w:sz w:val="20"/>
          <w:szCs w:val="20"/>
          <w:shd w:val="clear" w:color="auto" w:fill="FFFFFF"/>
        </w:rPr>
        <w:t>Hiero</w:t>
      </w:r>
      <w:proofErr w:type="spellEnd"/>
      <w:r w:rsidRPr="000B187E">
        <w:rPr>
          <w:rFonts w:ascii="zephtextregular" w:hAnsi="zephtextregular"/>
          <w:i/>
          <w:iCs/>
          <w:sz w:val="20"/>
          <w:szCs w:val="20"/>
          <w:shd w:val="clear" w:color="auto" w:fill="FFFFFF"/>
        </w:rPr>
        <w:t>. Agesilaus. Constitution of the Lacedaemonians. Ways and Means. Cavalry Commander. Art of Horsemanship. On Hunting. Constitution of the Athenians. </w:t>
      </w:r>
      <w:r w:rsidRPr="000B187E">
        <w:rPr>
          <w:rStyle w:val="translators"/>
          <w:rFonts w:ascii="zephtextregular" w:hAnsi="zephtextregular"/>
          <w:sz w:val="20"/>
          <w:szCs w:val="20"/>
          <w:shd w:val="clear" w:color="auto" w:fill="FFFFFF"/>
        </w:rPr>
        <w:t>Translated by </w:t>
      </w:r>
      <w:r w:rsidRPr="000B187E">
        <w:rPr>
          <w:rStyle w:val="contributorname"/>
          <w:rFonts w:ascii="zephtextregular" w:hAnsi="zephtextregular"/>
          <w:sz w:val="20"/>
          <w:szCs w:val="20"/>
          <w:shd w:val="clear" w:color="auto" w:fill="FFFFFF"/>
        </w:rPr>
        <w:t>E. C. Marchant</w:t>
      </w:r>
      <w:r w:rsidRPr="000B187E">
        <w:rPr>
          <w:rStyle w:val="translators"/>
          <w:rFonts w:ascii="zephtextregular" w:hAnsi="zephtextregular"/>
          <w:sz w:val="20"/>
          <w:szCs w:val="20"/>
          <w:shd w:val="clear" w:color="auto" w:fill="FFFFFF"/>
        </w:rPr>
        <w:t>, </w:t>
      </w:r>
      <w:r w:rsidRPr="000B187E">
        <w:rPr>
          <w:rStyle w:val="contributorname"/>
          <w:rFonts w:ascii="zephtextregular" w:hAnsi="zephtextregular"/>
          <w:sz w:val="20"/>
          <w:szCs w:val="20"/>
          <w:shd w:val="clear" w:color="auto" w:fill="FFFFFF"/>
        </w:rPr>
        <w:t xml:space="preserve">G. W. </w:t>
      </w:r>
      <w:proofErr w:type="spellStart"/>
      <w:r w:rsidRPr="000B187E">
        <w:rPr>
          <w:rStyle w:val="contributorname"/>
          <w:rFonts w:ascii="zephtextregular" w:hAnsi="zephtextregular"/>
          <w:sz w:val="20"/>
          <w:szCs w:val="20"/>
          <w:shd w:val="clear" w:color="auto" w:fill="FFFFFF"/>
        </w:rPr>
        <w:t>Bowersock</w:t>
      </w:r>
      <w:proofErr w:type="spellEnd"/>
      <w:r w:rsidRPr="000B187E">
        <w:rPr>
          <w:rStyle w:val="translators"/>
          <w:rFonts w:ascii="zephtextregular" w:hAnsi="zephtextregular"/>
          <w:sz w:val="20"/>
          <w:szCs w:val="20"/>
          <w:shd w:val="clear" w:color="auto" w:fill="FFFFFF"/>
        </w:rPr>
        <w:t>. </w:t>
      </w:r>
      <w:r w:rsidRPr="000B187E">
        <w:rPr>
          <w:rFonts w:ascii="zephtextregular" w:hAnsi="zephtextregular"/>
          <w:sz w:val="20"/>
          <w:szCs w:val="20"/>
          <w:shd w:val="clear" w:color="auto" w:fill="FFFFFF"/>
        </w:rPr>
        <w:t>Loeb Classical Library 183. Cambridge, MA: Harvard University Press, 1925.</w:t>
      </w:r>
    </w:p>
    <w:p w14:paraId="3F1710E3" w14:textId="77777777" w:rsidR="00BF3ED3" w:rsidRDefault="00BF3ED3" w:rsidP="00BF3ED3">
      <w:pPr>
        <w:rPr>
          <w:rFonts w:ascii="zephtextregular" w:hAnsi="zephtextregular"/>
          <w:sz w:val="20"/>
          <w:szCs w:val="20"/>
          <w:shd w:val="clear" w:color="auto" w:fill="FFFFFF"/>
        </w:rPr>
      </w:pPr>
    </w:p>
    <w:p w14:paraId="72EFB725" w14:textId="77777777" w:rsidR="00BF3ED3" w:rsidRPr="000B187E" w:rsidRDefault="00BF3ED3" w:rsidP="00BF3ED3">
      <w:pPr>
        <w:rPr>
          <w:rFonts w:ascii="zephtextregular" w:hAnsi="zephtextregular"/>
          <w:sz w:val="20"/>
          <w:szCs w:val="20"/>
          <w:u w:val="single"/>
          <w:shd w:val="clear" w:color="auto" w:fill="FFFFFF"/>
        </w:rPr>
      </w:pPr>
      <w:r w:rsidRPr="000B187E">
        <w:rPr>
          <w:rFonts w:ascii="zephtextregular" w:hAnsi="zephtextregular"/>
          <w:sz w:val="20"/>
          <w:szCs w:val="20"/>
          <w:u w:val="single"/>
          <w:shd w:val="clear" w:color="auto" w:fill="FFFFFF"/>
        </w:rPr>
        <w:t>Modern Scholarship:</w:t>
      </w:r>
    </w:p>
    <w:p w14:paraId="7151E8BF" w14:textId="77777777" w:rsidR="00BF3ED3" w:rsidRDefault="00BF3ED3" w:rsidP="00BF3ED3">
      <w:pPr>
        <w:rPr>
          <w:rFonts w:ascii="zephtextregular" w:hAnsi="zephtextregular"/>
          <w:sz w:val="20"/>
          <w:szCs w:val="20"/>
          <w:shd w:val="clear" w:color="auto" w:fill="FFFFFF"/>
        </w:rPr>
      </w:pPr>
      <w:r>
        <w:rPr>
          <w:rFonts w:ascii="zephtextregular" w:hAnsi="zephtextregular"/>
          <w:sz w:val="20"/>
          <w:szCs w:val="20"/>
          <w:shd w:val="clear" w:color="auto" w:fill="FFFFFF"/>
        </w:rPr>
        <w:t>Carlton, E. (1990) War and Ideology. Rowman and Littlefield.</w:t>
      </w:r>
    </w:p>
    <w:p w14:paraId="6E5ACD36" w14:textId="77777777" w:rsidR="00BF3ED3" w:rsidRDefault="00BF3ED3" w:rsidP="00BF3ED3">
      <w:pPr>
        <w:rPr>
          <w:rFonts w:ascii="zephtextregular" w:hAnsi="zephtextregular"/>
          <w:sz w:val="20"/>
          <w:szCs w:val="20"/>
          <w:shd w:val="clear" w:color="auto" w:fill="FFFFFF"/>
        </w:rPr>
      </w:pPr>
      <w:proofErr w:type="spellStart"/>
      <w:r>
        <w:rPr>
          <w:rFonts w:ascii="zephtextregular" w:hAnsi="zephtextregular"/>
          <w:sz w:val="20"/>
          <w:szCs w:val="20"/>
          <w:shd w:val="clear" w:color="auto" w:fill="FFFFFF"/>
        </w:rPr>
        <w:t>Cawkwell</w:t>
      </w:r>
      <w:proofErr w:type="spellEnd"/>
      <w:r>
        <w:rPr>
          <w:rFonts w:ascii="zephtextregular" w:hAnsi="zephtextregular"/>
          <w:sz w:val="20"/>
          <w:szCs w:val="20"/>
          <w:shd w:val="clear" w:color="auto" w:fill="FFFFFF"/>
        </w:rPr>
        <w:t xml:space="preserve">, G.L. (1983). ‘The Decline of </w:t>
      </w:r>
      <w:proofErr w:type="spellStart"/>
      <w:r>
        <w:rPr>
          <w:rFonts w:ascii="zephtextregular" w:hAnsi="zephtextregular"/>
          <w:sz w:val="20"/>
          <w:szCs w:val="20"/>
          <w:shd w:val="clear" w:color="auto" w:fill="FFFFFF"/>
        </w:rPr>
        <w:t>sparta</w:t>
      </w:r>
      <w:proofErr w:type="spellEnd"/>
      <w:r>
        <w:rPr>
          <w:rFonts w:ascii="zephtextregular" w:hAnsi="zephtextregular"/>
          <w:sz w:val="20"/>
          <w:szCs w:val="20"/>
          <w:shd w:val="clear" w:color="auto" w:fill="FFFFFF"/>
        </w:rPr>
        <w:t xml:space="preserve">’, </w:t>
      </w:r>
      <w:r>
        <w:rPr>
          <w:rFonts w:ascii="zephtextregular" w:hAnsi="zephtextregular"/>
          <w:i/>
          <w:iCs/>
          <w:sz w:val="20"/>
          <w:szCs w:val="20"/>
          <w:shd w:val="clear" w:color="auto" w:fill="FFFFFF"/>
        </w:rPr>
        <w:t xml:space="preserve">The Classical Quarterly. </w:t>
      </w:r>
      <w:r>
        <w:rPr>
          <w:rFonts w:ascii="zephtextregular" w:hAnsi="zephtextregular"/>
          <w:sz w:val="20"/>
          <w:szCs w:val="20"/>
          <w:shd w:val="clear" w:color="auto" w:fill="FFFFFF"/>
        </w:rPr>
        <w:t>33. 2.</w:t>
      </w:r>
    </w:p>
    <w:p w14:paraId="2C7F8B20" w14:textId="77777777" w:rsidR="00BF3ED3" w:rsidRPr="000B187E" w:rsidRDefault="00BF3ED3" w:rsidP="00BF3ED3">
      <w:pPr>
        <w:rPr>
          <w:rFonts w:ascii="zephtextregular" w:hAnsi="zephtextregular"/>
          <w:sz w:val="20"/>
          <w:szCs w:val="20"/>
          <w:shd w:val="clear" w:color="auto" w:fill="FFFFFF"/>
        </w:rPr>
      </w:pPr>
      <w:r>
        <w:rPr>
          <w:rFonts w:ascii="Arial" w:hAnsi="Arial" w:cs="Arial"/>
          <w:color w:val="000000"/>
          <w:sz w:val="20"/>
          <w:szCs w:val="20"/>
        </w:rPr>
        <w:t>Hodkinson, S., &amp; Spawforth, A. (2012). </w:t>
      </w:r>
      <w:proofErr w:type="spellStart"/>
      <w:r>
        <w:rPr>
          <w:rFonts w:ascii="Arial" w:hAnsi="Arial" w:cs="Arial"/>
          <w:color w:val="000000"/>
          <w:sz w:val="20"/>
          <w:szCs w:val="20"/>
        </w:rPr>
        <w:t>agōgē</w:t>
      </w:r>
      <w:proofErr w:type="spellEnd"/>
      <w:r>
        <w:rPr>
          <w:rFonts w:ascii="Arial" w:hAnsi="Arial" w:cs="Arial"/>
          <w:color w:val="000000"/>
          <w:sz w:val="20"/>
          <w:szCs w:val="20"/>
        </w:rPr>
        <w:t>. In The Oxford Classical Dictionary. : Oxford University Press.</w:t>
      </w:r>
    </w:p>
    <w:p w14:paraId="340923DE" w14:textId="77777777" w:rsidR="00BF3ED3" w:rsidRDefault="00BF3ED3" w:rsidP="00BF3ED3">
      <w:pPr>
        <w:rPr>
          <w:rFonts w:ascii="zephtextregular" w:hAnsi="zephtextregular"/>
          <w:sz w:val="20"/>
          <w:szCs w:val="20"/>
          <w:shd w:val="clear" w:color="auto" w:fill="FFFFFF"/>
        </w:rPr>
      </w:pPr>
      <w:r>
        <w:rPr>
          <w:rFonts w:ascii="zephtextregular" w:hAnsi="zephtextregular"/>
          <w:sz w:val="20"/>
          <w:szCs w:val="20"/>
          <w:shd w:val="clear" w:color="auto" w:fill="FFFFFF"/>
        </w:rPr>
        <w:t>Hodkinson, S; Morris, I. (2012). Sparta in Modern Thought: Politics, History and Culture. ISD LLC.</w:t>
      </w:r>
    </w:p>
    <w:p w14:paraId="5DB1BBEF" w14:textId="77777777" w:rsidR="00BF3ED3" w:rsidRDefault="00BF3ED3" w:rsidP="00BF3ED3">
      <w:pPr>
        <w:rPr>
          <w:rFonts w:ascii="zephtextregular" w:hAnsi="zephtextregular"/>
          <w:sz w:val="20"/>
          <w:szCs w:val="20"/>
          <w:shd w:val="clear" w:color="auto" w:fill="FFFFFF"/>
        </w:rPr>
      </w:pPr>
      <w:r>
        <w:rPr>
          <w:rFonts w:ascii="zephtextregular" w:hAnsi="zephtextregular"/>
          <w:sz w:val="20"/>
          <w:szCs w:val="20"/>
          <w:shd w:val="clear" w:color="auto" w:fill="FFFFFF"/>
        </w:rPr>
        <w:t>Lendon, J.E. (2005) Soldiers and Ghosts. Yale University Press.</w:t>
      </w:r>
    </w:p>
    <w:p w14:paraId="0683BA30" w14:textId="77777777" w:rsidR="00BF3ED3" w:rsidRDefault="00BF3ED3" w:rsidP="00BF3ED3">
      <w:pPr>
        <w:rPr>
          <w:rFonts w:ascii="zephtextregular" w:hAnsi="zephtextregular"/>
          <w:sz w:val="20"/>
          <w:szCs w:val="20"/>
          <w:shd w:val="clear" w:color="auto" w:fill="FFFFFF"/>
        </w:rPr>
      </w:pPr>
      <w:r>
        <w:rPr>
          <w:rFonts w:ascii="zephtextregular" w:hAnsi="zephtextregular"/>
          <w:sz w:val="20"/>
          <w:szCs w:val="20"/>
          <w:shd w:val="clear" w:color="auto" w:fill="FFFFFF"/>
        </w:rPr>
        <w:t>Willetts, R.F. (1977) The Civilization of Ancient Crete. University California Press.</w:t>
      </w:r>
    </w:p>
    <w:p w14:paraId="60B0D98F" w14:textId="77777777" w:rsidR="00BF3ED3" w:rsidRPr="00B1373E" w:rsidRDefault="00BF3ED3"/>
    <w:sectPr w:rsidR="00BF3ED3" w:rsidRPr="00B137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878D7" w14:textId="77777777" w:rsidR="0073540B" w:rsidRDefault="0073540B" w:rsidP="00350154">
      <w:pPr>
        <w:spacing w:after="0" w:line="240" w:lineRule="auto"/>
      </w:pPr>
      <w:r>
        <w:separator/>
      </w:r>
    </w:p>
  </w:endnote>
  <w:endnote w:type="continuationSeparator" w:id="0">
    <w:p w14:paraId="09E5E113" w14:textId="77777777" w:rsidR="0073540B" w:rsidRDefault="0073540B" w:rsidP="00350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zephtextregular">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8D2EDE" w14:textId="77777777" w:rsidR="0073540B" w:rsidRDefault="0073540B" w:rsidP="00350154">
      <w:pPr>
        <w:spacing w:after="0" w:line="240" w:lineRule="auto"/>
      </w:pPr>
      <w:r>
        <w:separator/>
      </w:r>
    </w:p>
  </w:footnote>
  <w:footnote w:type="continuationSeparator" w:id="0">
    <w:p w14:paraId="772EB99E" w14:textId="77777777" w:rsidR="0073540B" w:rsidRDefault="0073540B" w:rsidP="00350154">
      <w:pPr>
        <w:spacing w:after="0" w:line="240" w:lineRule="auto"/>
      </w:pPr>
      <w:r>
        <w:continuationSeparator/>
      </w:r>
    </w:p>
  </w:footnote>
  <w:footnote w:id="1">
    <w:p w14:paraId="0E487ADD" w14:textId="205B70BD" w:rsidR="00706F43" w:rsidRDefault="00706F43">
      <w:pPr>
        <w:pStyle w:val="FootnoteText"/>
      </w:pPr>
      <w:r>
        <w:rPr>
          <w:rStyle w:val="FootnoteReference"/>
        </w:rPr>
        <w:footnoteRef/>
      </w:r>
      <w:r>
        <w:t xml:space="preserve"> Friedberg, J.; Seltzer, A. (2008).; </w:t>
      </w:r>
      <w:proofErr w:type="spellStart"/>
      <w:r w:rsidRPr="00FC413C">
        <w:t>Mat</w:t>
      </w:r>
      <w:r w:rsidRPr="00FC413C">
        <w:rPr>
          <w:rFonts w:cstheme="minorHAnsi"/>
          <w:shd w:val="clear" w:color="auto" w:fill="F8F9FA"/>
        </w:rPr>
        <w:t>é</w:t>
      </w:r>
      <w:proofErr w:type="spellEnd"/>
      <w:r w:rsidRPr="00FC413C">
        <w:rPr>
          <w:rFonts w:cstheme="minorHAnsi"/>
          <w:shd w:val="clear" w:color="auto" w:fill="F8F9FA"/>
        </w:rPr>
        <w:t>, R. (1962).;</w:t>
      </w:r>
      <w:r>
        <w:rPr>
          <w:rFonts w:cstheme="minorHAnsi"/>
          <w:shd w:val="clear" w:color="auto" w:fill="F8F9FA"/>
        </w:rPr>
        <w:t xml:space="preserve"> </w:t>
      </w:r>
      <w:r>
        <w:t>Snyder, Z. (2007).</w:t>
      </w:r>
    </w:p>
  </w:footnote>
  <w:footnote w:id="2">
    <w:p w14:paraId="3E883402" w14:textId="4F04EA3C" w:rsidR="00706F43" w:rsidRDefault="00706F43">
      <w:pPr>
        <w:pStyle w:val="FootnoteText"/>
      </w:pPr>
      <w:r>
        <w:rPr>
          <w:rStyle w:val="FootnoteReference"/>
        </w:rPr>
        <w:footnoteRef/>
      </w:r>
      <w:r>
        <w:t xml:space="preserve"> Carlton, E. (1990). 54.</w:t>
      </w:r>
    </w:p>
  </w:footnote>
  <w:footnote w:id="3">
    <w:p w14:paraId="71D19166" w14:textId="1A2CF8FF" w:rsidR="00706F43" w:rsidRDefault="00706F43">
      <w:pPr>
        <w:pStyle w:val="FootnoteText"/>
      </w:pPr>
      <w:r>
        <w:rPr>
          <w:rStyle w:val="FootnoteReference"/>
        </w:rPr>
        <w:footnoteRef/>
      </w:r>
      <w:r>
        <w:t xml:space="preserve"> Taylor, P.M. (2003). 27.</w:t>
      </w:r>
    </w:p>
  </w:footnote>
  <w:footnote w:id="4">
    <w:p w14:paraId="37B70A9C" w14:textId="3B38967A" w:rsidR="00706F43" w:rsidRDefault="00706F43">
      <w:pPr>
        <w:pStyle w:val="FootnoteText"/>
      </w:pPr>
      <w:r>
        <w:rPr>
          <w:rStyle w:val="FootnoteReference"/>
        </w:rPr>
        <w:footnoteRef/>
      </w:r>
      <w:r>
        <w:t xml:space="preserve"> </w:t>
      </w:r>
      <w:proofErr w:type="spellStart"/>
      <w:r w:rsidRPr="001542D3">
        <w:rPr>
          <w:rFonts w:cstheme="minorHAnsi"/>
          <w:color w:val="000000"/>
        </w:rPr>
        <w:t>Berghahn</w:t>
      </w:r>
      <w:proofErr w:type="spellEnd"/>
      <w:r w:rsidRPr="001542D3">
        <w:rPr>
          <w:rFonts w:cstheme="minorHAnsi"/>
          <w:color w:val="000000"/>
        </w:rPr>
        <w:t xml:space="preserve">, V., &amp; </w:t>
      </w:r>
      <w:proofErr w:type="spellStart"/>
      <w:r w:rsidRPr="001542D3">
        <w:rPr>
          <w:rFonts w:cstheme="minorHAnsi"/>
          <w:color w:val="000000"/>
        </w:rPr>
        <w:t>Bicheno</w:t>
      </w:r>
      <w:proofErr w:type="spellEnd"/>
      <w:r w:rsidRPr="001542D3">
        <w:rPr>
          <w:rFonts w:cstheme="minorHAnsi"/>
          <w:color w:val="000000"/>
        </w:rPr>
        <w:t>, H. (2001).</w:t>
      </w:r>
      <w:r>
        <w:rPr>
          <w:rFonts w:cstheme="minorHAnsi"/>
          <w:color w:val="000000"/>
        </w:rPr>
        <w:t xml:space="preserve"> ‘militarism’. </w:t>
      </w:r>
    </w:p>
  </w:footnote>
  <w:footnote w:id="5">
    <w:p w14:paraId="3F20A9D1" w14:textId="1D53F4D5" w:rsidR="00706F43" w:rsidRDefault="00706F43">
      <w:pPr>
        <w:pStyle w:val="FootnoteText"/>
      </w:pPr>
      <w:r>
        <w:rPr>
          <w:rStyle w:val="FootnoteReference"/>
        </w:rPr>
        <w:footnoteRef/>
      </w:r>
      <w:r>
        <w:t xml:space="preserve"> </w:t>
      </w:r>
      <w:proofErr w:type="spellStart"/>
      <w:r>
        <w:t>Cartldge</w:t>
      </w:r>
      <w:proofErr w:type="spellEnd"/>
      <w:r>
        <w:t>, P. (2013). 3.</w:t>
      </w:r>
    </w:p>
  </w:footnote>
  <w:footnote w:id="6">
    <w:p w14:paraId="539083B1" w14:textId="77777777" w:rsidR="00706F43" w:rsidRDefault="00706F43" w:rsidP="00AD0DD8">
      <w:pPr>
        <w:pStyle w:val="FootnoteText"/>
      </w:pPr>
      <w:r>
        <w:rPr>
          <w:rStyle w:val="FootnoteReference"/>
        </w:rPr>
        <w:footnoteRef/>
      </w:r>
      <w:r>
        <w:t xml:space="preserve"> International Institute for Strategic Studies. (2019). ‘The Military Balance’.</w:t>
      </w:r>
    </w:p>
  </w:footnote>
  <w:footnote w:id="7">
    <w:p w14:paraId="3812735C" w14:textId="061F16DB" w:rsidR="00706F43" w:rsidRDefault="00706F43">
      <w:pPr>
        <w:pStyle w:val="FootnoteText"/>
      </w:pPr>
      <w:r>
        <w:rPr>
          <w:rStyle w:val="FootnoteReference"/>
        </w:rPr>
        <w:footnoteRef/>
      </w:r>
      <w:r>
        <w:t xml:space="preserve"> Thucydides. 1.10.2. </w:t>
      </w:r>
    </w:p>
  </w:footnote>
  <w:footnote w:id="8">
    <w:p w14:paraId="4670151A" w14:textId="5BA59FE8" w:rsidR="00706F43" w:rsidRPr="00432358" w:rsidRDefault="00706F43">
      <w:pPr>
        <w:pStyle w:val="FootnoteText"/>
      </w:pPr>
      <w:r>
        <w:rPr>
          <w:rStyle w:val="FootnoteReference"/>
        </w:rPr>
        <w:footnoteRef/>
      </w:r>
      <w:r>
        <w:t xml:space="preserve"> </w:t>
      </w:r>
      <w:proofErr w:type="spellStart"/>
      <w:r>
        <w:t>Plut</w:t>
      </w:r>
      <w:proofErr w:type="spellEnd"/>
      <w:r>
        <w:t xml:space="preserve">. </w:t>
      </w:r>
      <w:r>
        <w:rPr>
          <w:i/>
          <w:iCs/>
        </w:rPr>
        <w:t xml:space="preserve">Lycurgus. </w:t>
      </w:r>
      <w:r>
        <w:t>8.3.</w:t>
      </w:r>
    </w:p>
  </w:footnote>
  <w:footnote w:id="9">
    <w:p w14:paraId="13F3C549" w14:textId="77777777" w:rsidR="00706F43" w:rsidRPr="00C825D1" w:rsidRDefault="00706F43" w:rsidP="004A1DA0">
      <w:pPr>
        <w:pStyle w:val="FootnoteText"/>
      </w:pPr>
      <w:r>
        <w:rPr>
          <w:rStyle w:val="FootnoteReference"/>
        </w:rPr>
        <w:footnoteRef/>
      </w:r>
      <w:r>
        <w:t xml:space="preserve"> </w:t>
      </w:r>
      <w:proofErr w:type="spellStart"/>
      <w:r>
        <w:t>Plut</w:t>
      </w:r>
      <w:proofErr w:type="spellEnd"/>
      <w:r>
        <w:t xml:space="preserve">. </w:t>
      </w:r>
      <w:r>
        <w:rPr>
          <w:i/>
          <w:iCs/>
        </w:rPr>
        <w:t xml:space="preserve">Agesilaus. </w:t>
      </w:r>
      <w:r>
        <w:t>14.1.</w:t>
      </w:r>
    </w:p>
  </w:footnote>
  <w:footnote w:id="10">
    <w:p w14:paraId="0FC2E4A4" w14:textId="12559108" w:rsidR="00706F43" w:rsidRPr="006A741F" w:rsidRDefault="00706F43">
      <w:pPr>
        <w:pStyle w:val="FootnoteText"/>
      </w:pPr>
      <w:r>
        <w:rPr>
          <w:rStyle w:val="FootnoteReference"/>
        </w:rPr>
        <w:footnoteRef/>
      </w:r>
      <w:r>
        <w:t xml:space="preserve"> </w:t>
      </w:r>
      <w:proofErr w:type="spellStart"/>
      <w:r>
        <w:t>Plut</w:t>
      </w:r>
      <w:proofErr w:type="spellEnd"/>
      <w:r>
        <w:t xml:space="preserve">. </w:t>
      </w:r>
      <w:r>
        <w:rPr>
          <w:i/>
          <w:iCs/>
        </w:rPr>
        <w:t xml:space="preserve">Pelopidas. </w:t>
      </w:r>
      <w:r>
        <w:t>20.1.</w:t>
      </w:r>
    </w:p>
  </w:footnote>
  <w:footnote w:id="11">
    <w:p w14:paraId="009192D7" w14:textId="191EAE35" w:rsidR="00706F43" w:rsidRPr="00C825D1" w:rsidRDefault="00706F43">
      <w:pPr>
        <w:pStyle w:val="FootnoteText"/>
      </w:pPr>
      <w:r>
        <w:rPr>
          <w:rStyle w:val="FootnoteReference"/>
        </w:rPr>
        <w:footnoteRef/>
      </w:r>
      <w:r>
        <w:t xml:space="preserve"> Herodotus. </w:t>
      </w:r>
      <w:r>
        <w:rPr>
          <w:i/>
          <w:iCs/>
        </w:rPr>
        <w:t xml:space="preserve">Histories. </w:t>
      </w:r>
      <w:r>
        <w:t>9.28.2-3.</w:t>
      </w:r>
    </w:p>
  </w:footnote>
  <w:footnote w:id="12">
    <w:p w14:paraId="19556801" w14:textId="11B63722" w:rsidR="00B643AA" w:rsidRDefault="00B643AA">
      <w:pPr>
        <w:pStyle w:val="FootnoteText"/>
      </w:pPr>
      <w:r>
        <w:rPr>
          <w:rStyle w:val="FootnoteReference"/>
        </w:rPr>
        <w:footnoteRef/>
      </w:r>
      <w:r>
        <w:t xml:space="preserve"> </w:t>
      </w:r>
      <w:proofErr w:type="spellStart"/>
      <w:r>
        <w:t>Cakwell</w:t>
      </w:r>
      <w:proofErr w:type="spellEnd"/>
      <w:r>
        <w:t>. (1983). 397.</w:t>
      </w:r>
    </w:p>
  </w:footnote>
  <w:footnote w:id="13">
    <w:p w14:paraId="58D5C382" w14:textId="048A9D46" w:rsidR="00706F43" w:rsidRPr="005974DF" w:rsidRDefault="00706F43">
      <w:pPr>
        <w:pStyle w:val="FootnoteText"/>
      </w:pPr>
      <w:r>
        <w:rPr>
          <w:rStyle w:val="FootnoteReference"/>
        </w:rPr>
        <w:footnoteRef/>
      </w:r>
      <w:r>
        <w:t xml:space="preserve"> </w:t>
      </w:r>
      <w:proofErr w:type="spellStart"/>
      <w:r>
        <w:t>Plut</w:t>
      </w:r>
      <w:proofErr w:type="spellEnd"/>
      <w:r>
        <w:t xml:space="preserve">. </w:t>
      </w:r>
      <w:r>
        <w:rPr>
          <w:i/>
          <w:iCs/>
        </w:rPr>
        <w:t xml:space="preserve">Lycurgus. </w:t>
      </w:r>
      <w:r>
        <w:t>9.2-3.; 10.1.</w:t>
      </w:r>
    </w:p>
  </w:footnote>
  <w:footnote w:id="14">
    <w:p w14:paraId="1794D03E" w14:textId="1175B738" w:rsidR="00706F43" w:rsidRDefault="00706F43">
      <w:pPr>
        <w:pStyle w:val="FootnoteText"/>
      </w:pPr>
      <w:r>
        <w:rPr>
          <w:rStyle w:val="FootnoteReference"/>
        </w:rPr>
        <w:footnoteRef/>
      </w:r>
      <w:r>
        <w:t xml:space="preserve"> </w:t>
      </w:r>
      <w:r w:rsidRPr="002211E8">
        <w:rPr>
          <w:rFonts w:cstheme="minorHAnsi"/>
        </w:rPr>
        <w:t>Hodkinson, S.; Spawforth, A. (2012). ‘</w:t>
      </w:r>
      <w:proofErr w:type="spellStart"/>
      <w:r w:rsidRPr="002211E8">
        <w:rPr>
          <w:rFonts w:cstheme="minorHAnsi"/>
        </w:rPr>
        <w:t>Agōgē</w:t>
      </w:r>
      <w:proofErr w:type="spellEnd"/>
      <w:r w:rsidRPr="002211E8">
        <w:rPr>
          <w:rFonts w:cstheme="minorHAnsi"/>
        </w:rPr>
        <w:t>’.; Roberts, J. (2007). ‘agoge’</w:t>
      </w:r>
      <w:r>
        <w:t xml:space="preserve">. </w:t>
      </w:r>
    </w:p>
  </w:footnote>
  <w:footnote w:id="15">
    <w:p w14:paraId="42375092" w14:textId="09F472C9" w:rsidR="00706F43" w:rsidRPr="00B5414A" w:rsidRDefault="00706F43">
      <w:pPr>
        <w:pStyle w:val="FootnoteText"/>
      </w:pPr>
      <w:r>
        <w:rPr>
          <w:rStyle w:val="FootnoteReference"/>
        </w:rPr>
        <w:footnoteRef/>
      </w:r>
      <w:r>
        <w:t xml:space="preserve"> </w:t>
      </w:r>
      <w:proofErr w:type="spellStart"/>
      <w:r>
        <w:t>Plut</w:t>
      </w:r>
      <w:proofErr w:type="spellEnd"/>
      <w:r>
        <w:t xml:space="preserve">. </w:t>
      </w:r>
      <w:r>
        <w:rPr>
          <w:i/>
          <w:iCs/>
        </w:rPr>
        <w:t xml:space="preserve">Lycurgus. </w:t>
      </w:r>
      <w:r>
        <w:t xml:space="preserve">17.4.; Xenophon. </w:t>
      </w:r>
      <w:r>
        <w:rPr>
          <w:i/>
          <w:iCs/>
        </w:rPr>
        <w:t xml:space="preserve">Spartan Constitution. </w:t>
      </w:r>
      <w:r>
        <w:t>2.5.</w:t>
      </w:r>
    </w:p>
  </w:footnote>
  <w:footnote w:id="16">
    <w:p w14:paraId="52DB55CF" w14:textId="684C98F4" w:rsidR="00706F43" w:rsidRDefault="00706F43">
      <w:pPr>
        <w:pStyle w:val="FootnoteText"/>
      </w:pPr>
      <w:r>
        <w:rPr>
          <w:rStyle w:val="FootnoteReference"/>
        </w:rPr>
        <w:footnoteRef/>
      </w:r>
      <w:r>
        <w:t xml:space="preserve"> Xenophon. </w:t>
      </w:r>
      <w:r>
        <w:rPr>
          <w:i/>
          <w:iCs/>
        </w:rPr>
        <w:t xml:space="preserve">Spartan Constitution. </w:t>
      </w:r>
      <w:r>
        <w:t>2.3.</w:t>
      </w:r>
    </w:p>
  </w:footnote>
  <w:footnote w:id="17">
    <w:p w14:paraId="356F39A0" w14:textId="5054EBCF" w:rsidR="00706F43" w:rsidRPr="00B5414A" w:rsidRDefault="00706F43">
      <w:pPr>
        <w:pStyle w:val="FootnoteText"/>
      </w:pPr>
      <w:r>
        <w:rPr>
          <w:rStyle w:val="FootnoteReference"/>
        </w:rPr>
        <w:footnoteRef/>
      </w:r>
      <w:r>
        <w:t xml:space="preserve"> Paus. 3.16.10.; </w:t>
      </w:r>
      <w:proofErr w:type="spellStart"/>
      <w:r>
        <w:t>Plut</w:t>
      </w:r>
      <w:proofErr w:type="spellEnd"/>
      <w:r>
        <w:t xml:space="preserve">. </w:t>
      </w:r>
      <w:r>
        <w:rPr>
          <w:i/>
          <w:iCs/>
        </w:rPr>
        <w:t xml:space="preserve">Lycurgus. </w:t>
      </w:r>
      <w:r>
        <w:t>18.1.</w:t>
      </w:r>
    </w:p>
  </w:footnote>
  <w:footnote w:id="18">
    <w:p w14:paraId="1D62820E" w14:textId="0D5D8E51" w:rsidR="00706F43" w:rsidRDefault="00706F43">
      <w:pPr>
        <w:pStyle w:val="FootnoteText"/>
      </w:pPr>
      <w:r>
        <w:rPr>
          <w:rStyle w:val="FootnoteReference"/>
        </w:rPr>
        <w:footnoteRef/>
      </w:r>
      <w:r>
        <w:t xml:space="preserve"> Xenophon. </w:t>
      </w:r>
      <w:r>
        <w:rPr>
          <w:i/>
          <w:iCs/>
        </w:rPr>
        <w:t xml:space="preserve">Spartan Constitution. </w:t>
      </w:r>
      <w:r>
        <w:t>2.2-3.; 2.2.10.</w:t>
      </w:r>
    </w:p>
  </w:footnote>
  <w:footnote w:id="19">
    <w:p w14:paraId="5E6A355D" w14:textId="4358BEB9" w:rsidR="00706F43" w:rsidRDefault="00706F43">
      <w:pPr>
        <w:pStyle w:val="FootnoteText"/>
      </w:pPr>
      <w:r>
        <w:rPr>
          <w:rStyle w:val="FootnoteReference"/>
        </w:rPr>
        <w:footnoteRef/>
      </w:r>
      <w:r>
        <w:t xml:space="preserve"> Lendon, J.E. (2005). 74.</w:t>
      </w:r>
    </w:p>
  </w:footnote>
  <w:footnote w:id="20">
    <w:p w14:paraId="37481538" w14:textId="7805CF41" w:rsidR="00BE72E4" w:rsidRPr="00BE72E4" w:rsidRDefault="00BE72E4">
      <w:pPr>
        <w:pStyle w:val="FootnoteText"/>
      </w:pPr>
      <w:r>
        <w:rPr>
          <w:rStyle w:val="FootnoteReference"/>
        </w:rPr>
        <w:footnoteRef/>
      </w:r>
      <w:r>
        <w:t xml:space="preserve"> Aristotle, </w:t>
      </w:r>
      <w:r>
        <w:rPr>
          <w:i/>
          <w:iCs/>
        </w:rPr>
        <w:t xml:space="preserve">Politics. </w:t>
      </w:r>
      <w:r>
        <w:t xml:space="preserve">1338b 24-38. </w:t>
      </w:r>
    </w:p>
  </w:footnote>
  <w:footnote w:id="21">
    <w:p w14:paraId="6CBA580A" w14:textId="1383FA35" w:rsidR="0077286E" w:rsidRDefault="0077286E">
      <w:pPr>
        <w:pStyle w:val="FootnoteText"/>
      </w:pPr>
      <w:r>
        <w:rPr>
          <w:rStyle w:val="FootnoteReference"/>
        </w:rPr>
        <w:footnoteRef/>
      </w:r>
      <w:r>
        <w:t xml:space="preserve"> Willetts, R.F. (</w:t>
      </w:r>
      <w:r w:rsidR="001D754F">
        <w:t>1977). 182.</w:t>
      </w:r>
    </w:p>
  </w:footnote>
  <w:footnote w:id="22">
    <w:p w14:paraId="493DF29A" w14:textId="605AEB98" w:rsidR="00A53357" w:rsidRDefault="00A53357">
      <w:pPr>
        <w:pStyle w:val="FootnoteText"/>
      </w:pPr>
      <w:r>
        <w:rPr>
          <w:rStyle w:val="FootnoteReference"/>
        </w:rPr>
        <w:footnoteRef/>
      </w:r>
      <w:r>
        <w:t xml:space="preserve"> Wees, H. (2004).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73E"/>
    <w:rsid w:val="00074ABB"/>
    <w:rsid w:val="000A776B"/>
    <w:rsid w:val="001542D3"/>
    <w:rsid w:val="00166BDE"/>
    <w:rsid w:val="00191EEE"/>
    <w:rsid w:val="001C5992"/>
    <w:rsid w:val="001D754F"/>
    <w:rsid w:val="00202D4B"/>
    <w:rsid w:val="00205747"/>
    <w:rsid w:val="002211E8"/>
    <w:rsid w:val="00235B25"/>
    <w:rsid w:val="00253D46"/>
    <w:rsid w:val="00267490"/>
    <w:rsid w:val="00295F0A"/>
    <w:rsid w:val="002C16EF"/>
    <w:rsid w:val="00332201"/>
    <w:rsid w:val="00350154"/>
    <w:rsid w:val="004246E8"/>
    <w:rsid w:val="0042752E"/>
    <w:rsid w:val="00432358"/>
    <w:rsid w:val="00432459"/>
    <w:rsid w:val="00437EF2"/>
    <w:rsid w:val="00451A67"/>
    <w:rsid w:val="00463895"/>
    <w:rsid w:val="00466C7B"/>
    <w:rsid w:val="00471BEF"/>
    <w:rsid w:val="00487343"/>
    <w:rsid w:val="00495751"/>
    <w:rsid w:val="004A1DA0"/>
    <w:rsid w:val="005719DF"/>
    <w:rsid w:val="005974DF"/>
    <w:rsid w:val="005F4535"/>
    <w:rsid w:val="00615FBF"/>
    <w:rsid w:val="0064369A"/>
    <w:rsid w:val="006A741F"/>
    <w:rsid w:val="006B0F49"/>
    <w:rsid w:val="006F6649"/>
    <w:rsid w:val="00706F43"/>
    <w:rsid w:val="0073540B"/>
    <w:rsid w:val="007378D9"/>
    <w:rsid w:val="007470FD"/>
    <w:rsid w:val="00761C31"/>
    <w:rsid w:val="0077286E"/>
    <w:rsid w:val="007C42D4"/>
    <w:rsid w:val="00824E91"/>
    <w:rsid w:val="008E5C57"/>
    <w:rsid w:val="00920BCC"/>
    <w:rsid w:val="00985ABF"/>
    <w:rsid w:val="00A53357"/>
    <w:rsid w:val="00AD0DD8"/>
    <w:rsid w:val="00AE4748"/>
    <w:rsid w:val="00AE4950"/>
    <w:rsid w:val="00AF552F"/>
    <w:rsid w:val="00B01ACA"/>
    <w:rsid w:val="00B1373E"/>
    <w:rsid w:val="00B5414A"/>
    <w:rsid w:val="00B643AA"/>
    <w:rsid w:val="00BB10A8"/>
    <w:rsid w:val="00BE6C99"/>
    <w:rsid w:val="00BE72E4"/>
    <w:rsid w:val="00BF3ED3"/>
    <w:rsid w:val="00C01EC8"/>
    <w:rsid w:val="00C825D1"/>
    <w:rsid w:val="00C918E7"/>
    <w:rsid w:val="00CD2B88"/>
    <w:rsid w:val="00D76C4B"/>
    <w:rsid w:val="00E00D45"/>
    <w:rsid w:val="00F545A2"/>
    <w:rsid w:val="00FC413C"/>
    <w:rsid w:val="00FD1DE0"/>
    <w:rsid w:val="00FE5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96B04"/>
  <w15:chartTrackingRefBased/>
  <w15:docId w15:val="{24CBCD11-B761-42EC-93EF-83CF5C8F3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01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0154"/>
    <w:rPr>
      <w:sz w:val="20"/>
      <w:szCs w:val="20"/>
    </w:rPr>
  </w:style>
  <w:style w:type="character" w:styleId="FootnoteReference">
    <w:name w:val="footnote reference"/>
    <w:basedOn w:val="DefaultParagraphFont"/>
    <w:uiPriority w:val="99"/>
    <w:semiHidden/>
    <w:unhideWhenUsed/>
    <w:rsid w:val="00350154"/>
    <w:rPr>
      <w:vertAlign w:val="superscript"/>
    </w:rPr>
  </w:style>
  <w:style w:type="character" w:customStyle="1" w:styleId="bibliographicauthorname">
    <w:name w:val="bibliographicauthorname"/>
    <w:basedOn w:val="DefaultParagraphFont"/>
    <w:rsid w:val="00BF3ED3"/>
  </w:style>
  <w:style w:type="character" w:customStyle="1" w:styleId="translators">
    <w:name w:val="translators"/>
    <w:basedOn w:val="DefaultParagraphFont"/>
    <w:rsid w:val="00BF3ED3"/>
  </w:style>
  <w:style w:type="character" w:customStyle="1" w:styleId="contributorname">
    <w:name w:val="contributorname"/>
    <w:basedOn w:val="DefaultParagraphFont"/>
    <w:rsid w:val="00BF3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370</TotalTime>
  <Pages>4</Pages>
  <Words>1982</Words>
  <Characters>11302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Sheep</dc:creator>
  <cp:keywords/>
  <dc:description/>
  <cp:lastModifiedBy>Sophie Sheep</cp:lastModifiedBy>
  <cp:revision>212</cp:revision>
  <dcterms:created xsi:type="dcterms:W3CDTF">2019-12-06T10:04:00Z</dcterms:created>
  <dcterms:modified xsi:type="dcterms:W3CDTF">2019-12-06T16:28:00Z</dcterms:modified>
</cp:coreProperties>
</file>