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6287743" w:displacedByCustomXml="next"/>
    <w:sdt>
      <w:sdtPr>
        <w:id w:val="707230800"/>
        <w:docPartObj>
          <w:docPartGallery w:val="Cover Pages"/>
          <w:docPartUnique/>
        </w:docPartObj>
      </w:sdtPr>
      <w:sdtContent>
        <w:p w14:paraId="27DACE64" w14:textId="6BDC8251" w:rsidR="00305E78" w:rsidRDefault="00305E78">
          <w:r>
            <w:rPr>
              <w:noProof/>
            </w:rPr>
            <mc:AlternateContent>
              <mc:Choice Requires="wps">
                <w:drawing>
                  <wp:anchor distT="0" distB="0" distL="114300" distR="114300" simplePos="0" relativeHeight="251658245" behindDoc="0" locked="0" layoutInCell="1" allowOverlap="1" wp14:anchorId="102C93AB" wp14:editId="1929C99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21F9053" w14:textId="0216BE21" w:rsidR="00305E78" w:rsidRDefault="00305E78">
                                <w:pPr>
                                  <w:pStyle w:val="NoSpacing"/>
                                  <w:rPr>
                                    <w:noProof/>
                                    <w:color w:val="0E2841" w:themeColor="text2"/>
                                  </w:rPr>
                                </w:pPr>
                                <w:r>
                                  <w:rPr>
                                    <w:noProof/>
                                    <w:color w:val="0E2841" w:themeColor="text2"/>
                                  </w:rPr>
                                  <w:t>Ceri-Marie Jones                                1806930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02C93AB" id="_x0000_t202" coordsize="21600,21600" o:spt="202" path="m,l,21600r21600,l21600,xe">
                    <v:stroke joinstyle="miter"/>
                    <v:path gradientshapeok="t" o:connecttype="rect"/>
                  </v:shapetype>
                  <v:shape id="Text Box 255" o:spid="_x0000_s1026"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321F9053" w14:textId="0216BE21" w:rsidR="00305E78" w:rsidRDefault="00305E78">
                          <w:pPr>
                            <w:pStyle w:val="NoSpacing"/>
                            <w:rPr>
                              <w:noProof/>
                              <w:color w:val="0E2841" w:themeColor="text2"/>
                            </w:rPr>
                          </w:pPr>
                          <w:r>
                            <w:rPr>
                              <w:noProof/>
                              <w:color w:val="0E2841" w:themeColor="text2"/>
                            </w:rPr>
                            <w:t>Ceri-Marie Jones                                1806930</w:t>
                          </w:r>
                        </w:p>
                      </w:txbxContent>
                    </v:textbox>
                    <w10:wrap type="square" anchorx="page" anchory="page"/>
                  </v:shape>
                </w:pict>
              </mc:Fallback>
            </mc:AlternateContent>
          </w:r>
          <w:r>
            <w:rPr>
              <w:noProof/>
            </w:rPr>
            <mc:AlternateContent>
              <mc:Choice Requires="wps">
                <w:drawing>
                  <wp:anchor distT="0" distB="0" distL="114300" distR="114300" simplePos="0" relativeHeight="251658244" behindDoc="1" locked="0" layoutInCell="1" allowOverlap="1" wp14:anchorId="73273763" wp14:editId="4284BE23">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FF0865B" w14:textId="77777777" w:rsidR="00305E78" w:rsidRDefault="00305E7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3273763" id="Rectangle 257" o:spid="_x0000_s1027"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7FF0865B" w14:textId="77777777" w:rsidR="00305E78" w:rsidRDefault="00305E78"/>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797F1137" wp14:editId="1AC4564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5F58D4" w14:textId="7E3F7E12" w:rsidR="00305E7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F73650">
                                      <w:rPr>
                                        <w:color w:val="FFFFFF" w:themeColor="background1"/>
                                      </w:rPr>
                                      <w:t xml:space="preserve">     </w:t>
                                    </w:r>
                                  </w:sdtContent>
                                </w:sdt>
                                <w:r w:rsidR="00F73650" w:rsidRPr="00F73650">
                                  <w:rPr>
                                    <w:noProof/>
                                  </w:rPr>
                                  <w:drawing>
                                    <wp:inline distT="0" distB="0" distL="0" distR="0" wp14:anchorId="64D46D6D" wp14:editId="5FEA136F">
                                      <wp:extent cx="2418715" cy="1209675"/>
                                      <wp:effectExtent l="0" t="0" r="635" b="9525"/>
                                      <wp:docPr id="1911225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225911" name=""/>
                                              <pic:cNvPicPr/>
                                            </pic:nvPicPr>
                                            <pic:blipFill>
                                              <a:blip r:embed="rId7"/>
                                              <a:stretch>
                                                <a:fillRect/>
                                              </a:stretch>
                                            </pic:blipFill>
                                            <pic:spPr>
                                              <a:xfrm>
                                                <a:off x="0" y="0"/>
                                                <a:ext cx="2418715" cy="1209675"/>
                                              </a:xfrm>
                                              <a:prstGeom prst="rect">
                                                <a:avLst/>
                                              </a:prstGeom>
                                            </pic:spPr>
                                          </pic:pic>
                                        </a:graphicData>
                                      </a:graphic>
                                    </wp:inline>
                                  </w:drawing>
                                </w:r>
                              </w:p>
                              <w:p w14:paraId="5E775DCA" w14:textId="77777777" w:rsidR="00F73650" w:rsidRDefault="00F73650"/>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97F1137" id="Rectangle 259" o:spid="_x0000_s1028"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495F58D4" w14:textId="7E3F7E12" w:rsidR="00305E78"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F73650">
                                <w:rPr>
                                  <w:color w:val="FFFFFF" w:themeColor="background1"/>
                                </w:rPr>
                                <w:t xml:space="preserve">     </w:t>
                              </w:r>
                            </w:sdtContent>
                          </w:sdt>
                          <w:r w:rsidR="00F73650" w:rsidRPr="00F73650">
                            <w:rPr>
                              <w:noProof/>
                            </w:rPr>
                            <w:drawing>
                              <wp:inline distT="0" distB="0" distL="0" distR="0" wp14:anchorId="64D46D6D" wp14:editId="5FEA136F">
                                <wp:extent cx="2418715" cy="1209675"/>
                                <wp:effectExtent l="0" t="0" r="635" b="9525"/>
                                <wp:docPr id="1911225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225911" name=""/>
                                        <pic:cNvPicPr/>
                                      </pic:nvPicPr>
                                      <pic:blipFill>
                                        <a:blip r:embed="rId7"/>
                                        <a:stretch>
                                          <a:fillRect/>
                                        </a:stretch>
                                      </pic:blipFill>
                                      <pic:spPr>
                                        <a:xfrm>
                                          <a:off x="0" y="0"/>
                                          <a:ext cx="2418715" cy="1209675"/>
                                        </a:xfrm>
                                        <a:prstGeom prst="rect">
                                          <a:avLst/>
                                        </a:prstGeom>
                                      </pic:spPr>
                                    </pic:pic>
                                  </a:graphicData>
                                </a:graphic>
                              </wp:inline>
                            </w:drawing>
                          </w:r>
                        </w:p>
                        <w:p w14:paraId="5E775DCA" w14:textId="77777777" w:rsidR="00F73650" w:rsidRDefault="00F73650"/>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792EBFD3" wp14:editId="1182004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pic="http://schemas.openxmlformats.org/drawingml/2006/picture" xmlns:a="http://schemas.openxmlformats.org/drawingml/2006/main" xmlns:arto="http://schemas.microsoft.com/office/word/2006/arto">
                <w:pict>
                  <v:rect id="Rectangle 261"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6" fillcolor="white [3212]" strokecolor="#737373 [1614]" strokeweight="1.25pt" w14:anchorId="2294889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4351A319" wp14:editId="2DEAC0D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pic="http://schemas.openxmlformats.org/drawingml/2006/picture" xmlns:a="http://schemas.openxmlformats.org/drawingml/2006/main" xmlns:arto="http://schemas.microsoft.com/office/word/2006/arto">
                <w:pict>
                  <v:rect id="Rectangle 263"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156082 [3204]" stroked="f" strokeweight="1pt" w14:anchorId="1FA704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w10:wrap anchorx="page" anchory="page"/>
                  </v:rect>
                </w:pict>
              </mc:Fallback>
            </mc:AlternateContent>
          </w:r>
        </w:p>
        <w:p w14:paraId="4F5CB1D8" w14:textId="05804608" w:rsidR="00305E78" w:rsidRDefault="00305E78">
          <w:r>
            <w:rPr>
              <w:noProof/>
            </w:rPr>
            <mc:AlternateContent>
              <mc:Choice Requires="wps">
                <w:drawing>
                  <wp:anchor distT="0" distB="0" distL="114300" distR="114300" simplePos="0" relativeHeight="251658242" behindDoc="0" locked="0" layoutInCell="1" allowOverlap="1" wp14:anchorId="21F59C67" wp14:editId="37376216">
                    <wp:simplePos x="0" y="0"/>
                    <wp:positionH relativeFrom="margin">
                      <wp:posOffset>2466975</wp:posOffset>
                    </wp:positionH>
                    <wp:positionV relativeFrom="page">
                      <wp:posOffset>3752215</wp:posOffset>
                    </wp:positionV>
                    <wp:extent cx="2854325" cy="3419475"/>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854325" cy="3419475"/>
                            </a:xfrm>
                            <a:prstGeom prst="rect">
                              <a:avLst/>
                            </a:prstGeom>
                            <a:noFill/>
                            <a:ln w="6350">
                              <a:noFill/>
                            </a:ln>
                            <a:effectLst/>
                          </wps:spPr>
                          <wps:txbx>
                            <w:txbxContent>
                              <w:p w14:paraId="62BAB437" w14:textId="6C057C1A" w:rsidR="00305E78" w:rsidRPr="00F73650" w:rsidRDefault="00305E78" w:rsidP="00305E78">
                                <w:pPr>
                                  <w:rPr>
                                    <w:rFonts w:ascii="Arial" w:eastAsiaTheme="majorEastAsia" w:hAnsi="Arial" w:cs="Arial"/>
                                    <w:noProof/>
                                    <w:color w:val="0E2841" w:themeColor="text2"/>
                                    <w:sz w:val="32"/>
                                    <w:szCs w:val="32"/>
                                  </w:rPr>
                                </w:pPr>
                                <w:r w:rsidRPr="00F73650">
                                  <w:rPr>
                                    <w:rFonts w:ascii="Arial" w:eastAsiaTheme="majorEastAsia" w:hAnsi="Arial" w:cs="Arial"/>
                                    <w:noProof/>
                                    <w:color w:val="0E2841" w:themeColor="text2"/>
                                    <w:sz w:val="32"/>
                                    <w:szCs w:val="32"/>
                                  </w:rPr>
                                  <w:t>Module: -Terrorism and Cybercrime</w:t>
                                </w:r>
                              </w:p>
                              <w:p w14:paraId="2FA09419" w14:textId="2976F1CD" w:rsidR="00305E78" w:rsidRPr="00F73650" w:rsidRDefault="00305E78" w:rsidP="00305E78">
                                <w:pPr>
                                  <w:rPr>
                                    <w:rFonts w:ascii="Arial" w:eastAsiaTheme="majorEastAsia" w:hAnsi="Arial" w:cs="Arial"/>
                                    <w:noProof/>
                                    <w:color w:val="0E2841" w:themeColor="text2"/>
                                    <w:sz w:val="32"/>
                                    <w:szCs w:val="32"/>
                                  </w:rPr>
                                </w:pPr>
                                <w:r w:rsidRPr="00F73650">
                                  <w:rPr>
                                    <w:rFonts w:ascii="Arial" w:eastAsiaTheme="majorEastAsia" w:hAnsi="Arial" w:cs="Arial"/>
                                    <w:noProof/>
                                    <w:color w:val="0E2841" w:themeColor="text2"/>
                                    <w:sz w:val="32"/>
                                    <w:szCs w:val="32"/>
                                  </w:rPr>
                                  <w:t>Module code:-</w:t>
                                </w:r>
                                <w:r w:rsidRPr="00F73650">
                                  <w:rPr>
                                    <w:rFonts w:ascii="Arial" w:eastAsiaTheme="majorEastAsia" w:hAnsi="Arial" w:cs="Arial"/>
                                    <w:noProof/>
                                    <w:color w:val="0E2841" w:themeColor="text2"/>
                                    <w:sz w:val="32"/>
                                    <w:szCs w:val="32"/>
                                  </w:rPr>
                                  <w:tab/>
                                  <w:t>BMCJ7008D</w:t>
                                </w:r>
                              </w:p>
                              <w:p w14:paraId="3E5E4F0F" w14:textId="7AFAAE23" w:rsidR="00305E78" w:rsidRPr="00F73650" w:rsidRDefault="00305E78" w:rsidP="00305E78">
                                <w:pPr>
                                  <w:rPr>
                                    <w:rFonts w:ascii="Arial" w:eastAsiaTheme="majorEastAsia" w:hAnsi="Arial" w:cs="Arial"/>
                                    <w:noProof/>
                                    <w:color w:val="0E2841" w:themeColor="text2"/>
                                    <w:sz w:val="32"/>
                                    <w:szCs w:val="32"/>
                                  </w:rPr>
                                </w:pPr>
                                <w:r w:rsidRPr="00F73650">
                                  <w:rPr>
                                    <w:rFonts w:ascii="Arial" w:eastAsiaTheme="majorEastAsia" w:hAnsi="Arial" w:cs="Arial"/>
                                    <w:noProof/>
                                    <w:color w:val="0E2841" w:themeColor="text2"/>
                                    <w:sz w:val="32"/>
                                    <w:szCs w:val="32"/>
                                  </w:rPr>
                                  <w:t>Lecturer:- Justin Evans</w:t>
                                </w:r>
                              </w:p>
                              <w:p w14:paraId="426E9870" w14:textId="32095159" w:rsidR="00305E78" w:rsidRPr="00F73650" w:rsidRDefault="00305E78" w:rsidP="00305E78">
                                <w:pPr>
                                  <w:rPr>
                                    <w:rFonts w:ascii="Arial" w:eastAsiaTheme="majorEastAsia" w:hAnsi="Arial" w:cs="Arial"/>
                                    <w:noProof/>
                                    <w:color w:val="0E2841" w:themeColor="text2"/>
                                    <w:sz w:val="32"/>
                                    <w:szCs w:val="32"/>
                                  </w:rPr>
                                </w:pPr>
                                <w:r w:rsidRPr="00F73650">
                                  <w:rPr>
                                    <w:rFonts w:ascii="Arial" w:eastAsiaTheme="majorEastAsia" w:hAnsi="Arial" w:cs="Arial"/>
                                    <w:noProof/>
                                    <w:color w:val="0E2841" w:themeColor="text2"/>
                                    <w:sz w:val="32"/>
                                    <w:szCs w:val="32"/>
                                  </w:rPr>
                                  <w:t>Assignment Title:- Policing Cybercrime: Strategies, tools and collaborative responses.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F59C67" id="Text Box 265" o:spid="_x0000_s1029" type="#_x0000_t202" style="position:absolute;margin-left:194.25pt;margin-top:295.45pt;width:224.75pt;height:269.25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" filled="f" stroked="f" strokeweight=".5pt">
                    <v:textbox>
                      <w:txbxContent>
                        <w:p w14:paraId="62BAB437" w14:textId="6C057C1A" w:rsidR="00305E78" w:rsidRPr="00F73650" w:rsidRDefault="00305E78" w:rsidP="00305E78">
                          <w:pPr>
                            <w:rPr>
                              <w:rFonts w:ascii="Arial" w:eastAsiaTheme="majorEastAsia" w:hAnsi="Arial" w:cs="Arial"/>
                              <w:noProof/>
                              <w:color w:val="0E2841" w:themeColor="text2"/>
                              <w:sz w:val="32"/>
                              <w:szCs w:val="32"/>
                            </w:rPr>
                          </w:pPr>
                          <w:r w:rsidRPr="00F73650">
                            <w:rPr>
                              <w:rFonts w:ascii="Arial" w:eastAsiaTheme="majorEastAsia" w:hAnsi="Arial" w:cs="Arial"/>
                              <w:noProof/>
                              <w:color w:val="0E2841" w:themeColor="text2"/>
                              <w:sz w:val="32"/>
                              <w:szCs w:val="32"/>
                            </w:rPr>
                            <w:t>Module: -Terrorism and Cybercrime</w:t>
                          </w:r>
                        </w:p>
                        <w:p w14:paraId="2FA09419" w14:textId="2976F1CD" w:rsidR="00305E78" w:rsidRPr="00F73650" w:rsidRDefault="00305E78" w:rsidP="00305E78">
                          <w:pPr>
                            <w:rPr>
                              <w:rFonts w:ascii="Arial" w:eastAsiaTheme="majorEastAsia" w:hAnsi="Arial" w:cs="Arial"/>
                              <w:noProof/>
                              <w:color w:val="0E2841" w:themeColor="text2"/>
                              <w:sz w:val="32"/>
                              <w:szCs w:val="32"/>
                            </w:rPr>
                          </w:pPr>
                          <w:r w:rsidRPr="00F73650">
                            <w:rPr>
                              <w:rFonts w:ascii="Arial" w:eastAsiaTheme="majorEastAsia" w:hAnsi="Arial" w:cs="Arial"/>
                              <w:noProof/>
                              <w:color w:val="0E2841" w:themeColor="text2"/>
                              <w:sz w:val="32"/>
                              <w:szCs w:val="32"/>
                            </w:rPr>
                            <w:t>Module code:-</w:t>
                          </w:r>
                          <w:r w:rsidRPr="00F73650">
                            <w:rPr>
                              <w:rFonts w:ascii="Arial" w:eastAsiaTheme="majorEastAsia" w:hAnsi="Arial" w:cs="Arial"/>
                              <w:noProof/>
                              <w:color w:val="0E2841" w:themeColor="text2"/>
                              <w:sz w:val="32"/>
                              <w:szCs w:val="32"/>
                            </w:rPr>
                            <w:tab/>
                            <w:t>BMCJ7008D</w:t>
                          </w:r>
                        </w:p>
                        <w:p w14:paraId="3E5E4F0F" w14:textId="7AFAAE23" w:rsidR="00305E78" w:rsidRPr="00F73650" w:rsidRDefault="00305E78" w:rsidP="00305E78">
                          <w:pPr>
                            <w:rPr>
                              <w:rFonts w:ascii="Arial" w:eastAsiaTheme="majorEastAsia" w:hAnsi="Arial" w:cs="Arial"/>
                              <w:noProof/>
                              <w:color w:val="0E2841" w:themeColor="text2"/>
                              <w:sz w:val="32"/>
                              <w:szCs w:val="32"/>
                            </w:rPr>
                          </w:pPr>
                          <w:r w:rsidRPr="00F73650">
                            <w:rPr>
                              <w:rFonts w:ascii="Arial" w:eastAsiaTheme="majorEastAsia" w:hAnsi="Arial" w:cs="Arial"/>
                              <w:noProof/>
                              <w:color w:val="0E2841" w:themeColor="text2"/>
                              <w:sz w:val="32"/>
                              <w:szCs w:val="32"/>
                            </w:rPr>
                            <w:t>Lecturer:- Justin Evans</w:t>
                          </w:r>
                        </w:p>
                        <w:p w14:paraId="426E9870" w14:textId="32095159" w:rsidR="00305E78" w:rsidRPr="00F73650" w:rsidRDefault="00305E78" w:rsidP="00305E78">
                          <w:pPr>
                            <w:rPr>
                              <w:rFonts w:ascii="Arial" w:eastAsiaTheme="majorEastAsia" w:hAnsi="Arial" w:cs="Arial"/>
                              <w:noProof/>
                              <w:color w:val="0E2841" w:themeColor="text2"/>
                              <w:sz w:val="32"/>
                              <w:szCs w:val="32"/>
                            </w:rPr>
                          </w:pPr>
                          <w:r w:rsidRPr="00F73650">
                            <w:rPr>
                              <w:rFonts w:ascii="Arial" w:eastAsiaTheme="majorEastAsia" w:hAnsi="Arial" w:cs="Arial"/>
                              <w:noProof/>
                              <w:color w:val="0E2841" w:themeColor="text2"/>
                              <w:sz w:val="32"/>
                              <w:szCs w:val="32"/>
                            </w:rPr>
                            <w:t>Assignment Title:- Policing Cybercrime: Strategies, tools and collaborative responses.</w:t>
                          </w:r>
                        </w:p>
                      </w:txbxContent>
                    </v:textbox>
                    <w10:wrap type="square" anchorx="margin" anchory="page"/>
                  </v:shape>
                </w:pict>
              </mc:Fallback>
            </mc:AlternateContent>
          </w:r>
          <w:r>
            <w:br w:type="page"/>
          </w:r>
        </w:p>
      </w:sdtContent>
    </w:sdt>
    <w:p w14:paraId="7320CC31" w14:textId="5BAC0188" w:rsidR="00C622DE" w:rsidRDefault="00C622DE" w:rsidP="36484D52">
      <w:pPr>
        <w:spacing w:line="360" w:lineRule="auto"/>
        <w:jc w:val="both"/>
        <w:rPr>
          <w:rFonts w:asciiTheme="minorBidi" w:hAnsiTheme="minorBidi"/>
          <w:b/>
          <w:bCs/>
          <w:color w:val="0F9ED5" w:themeColor="accent4"/>
        </w:rPr>
      </w:pPr>
      <w:r w:rsidRPr="36484D52">
        <w:rPr>
          <w:rFonts w:asciiTheme="minorBidi" w:hAnsiTheme="minorBidi"/>
          <w:b/>
          <w:bCs/>
        </w:rPr>
        <w:lastRenderedPageBreak/>
        <w:t xml:space="preserve">Critically evaluate policing strategies, tools and responses to cybercrime, focusing on digital forensics, threat intelligence and public – private partnerships. Define the relevant areas of cybercrime (e.g. ransomware, data breaches and </w:t>
      </w:r>
      <w:r w:rsidR="00695A55">
        <w:rPr>
          <w:rFonts w:asciiTheme="minorBidi" w:hAnsiTheme="minorBidi"/>
          <w:b/>
          <w:bCs/>
        </w:rPr>
        <w:t>cyber-enabled</w:t>
      </w:r>
      <w:r w:rsidRPr="36484D52">
        <w:rPr>
          <w:rFonts w:asciiTheme="minorBidi" w:hAnsiTheme="minorBidi"/>
          <w:b/>
          <w:bCs/>
        </w:rPr>
        <w:t xml:space="preserve"> fraud), and the criteria you will use to determine effectiveness. Assess how effectively current tools address those areas, identifying any systemic barriers. Consider and propose any innovative, </w:t>
      </w:r>
      <w:r w:rsidR="00695A55">
        <w:rPr>
          <w:rFonts w:asciiTheme="minorBidi" w:hAnsiTheme="minorBidi"/>
          <w:b/>
          <w:bCs/>
        </w:rPr>
        <w:t>evidence-based</w:t>
      </w:r>
      <w:r w:rsidRPr="36484D52">
        <w:rPr>
          <w:rFonts w:asciiTheme="minorBidi" w:hAnsiTheme="minorBidi"/>
          <w:b/>
          <w:bCs/>
        </w:rPr>
        <w:t xml:space="preserve"> measures to improve effectiveness in combatting cybercrime.</w:t>
      </w:r>
    </w:p>
    <w:p w14:paraId="78023F2B" w14:textId="762D334D" w:rsidR="5918D13C" w:rsidRDefault="3ABE159A" w:rsidP="36484D52">
      <w:pPr>
        <w:spacing w:before="240" w:after="240" w:line="360" w:lineRule="auto"/>
        <w:jc w:val="both"/>
        <w:rPr>
          <w:rFonts w:ascii="Arial" w:eastAsia="Arial" w:hAnsi="Arial" w:cs="Arial"/>
          <w:b/>
          <w:bCs/>
        </w:rPr>
      </w:pPr>
      <w:r w:rsidRPr="36484D52">
        <w:rPr>
          <w:rFonts w:ascii="Arial" w:eastAsia="Arial" w:hAnsi="Arial" w:cs="Arial"/>
          <w:b/>
          <w:bCs/>
        </w:rPr>
        <w:t>Introduction</w:t>
      </w:r>
    </w:p>
    <w:p w14:paraId="48113315" w14:textId="3F1E65DC" w:rsidR="5918D13C" w:rsidRDefault="5D166922" w:rsidP="36484D52">
      <w:pPr>
        <w:spacing w:before="240" w:after="240" w:line="360" w:lineRule="auto"/>
        <w:jc w:val="both"/>
        <w:rPr>
          <w:rFonts w:ascii="Arial" w:eastAsia="Arial" w:hAnsi="Arial" w:cs="Arial"/>
        </w:rPr>
      </w:pPr>
      <w:r w:rsidRPr="36484D52">
        <w:rPr>
          <w:rFonts w:ascii="Arial" w:eastAsia="Arial" w:hAnsi="Arial" w:cs="Arial"/>
        </w:rPr>
        <w:t xml:space="preserve">Cybercrime represents a pervasive and evolving threat in the contemporary digital environment, exploiting the scale, complexity, and anonymity of connected networks. Unlike traditional crime, cyber-offending transcends national borders and can simultaneously impact individuals, businesses, and critical infrastructure. Annual financial and operational losses in the UK are estimated to exceed £27 billion, driven primarily by ransomware, data breaches, and cyber-enabled fraud (Department for Science, Innovation and Technology, 2025). </w:t>
      </w:r>
    </w:p>
    <w:p w14:paraId="1649C5D1" w14:textId="3C5A0DBB" w:rsidR="5918D13C" w:rsidRDefault="5D166922" w:rsidP="36484D52">
      <w:pPr>
        <w:spacing w:before="240" w:after="240" w:line="360" w:lineRule="auto"/>
        <w:jc w:val="both"/>
        <w:rPr>
          <w:rFonts w:ascii="Arial" w:eastAsia="Arial" w:hAnsi="Arial" w:cs="Arial"/>
        </w:rPr>
      </w:pPr>
      <w:r w:rsidRPr="36484D52">
        <w:rPr>
          <w:rFonts w:ascii="Arial" w:eastAsia="Arial" w:hAnsi="Arial" w:cs="Arial"/>
        </w:rPr>
        <w:t>Addressing cybercrime requires multifaceted policing strategies. This report focuses on three interrelated approaches: digital forensics, threat intelligence, and public–private partnerships (PPPs). These were selected because they directly address both reactive and proactive elements of cyber-policing. Digital forensics enables evidence collection and post-incident investigation, threat intelligence allows proactive identification of emerging threats, and public–private partnerships facilitate collaboration across sectors, maximising operational and preventive impact. Other approaches, such as regulatory enforcement or public awareness campaigns, are important but primarily indirect in operational policing; the chosen areas directly influence investigative capacity, intelligence-led interventions, and cross-sector coordination.</w:t>
      </w:r>
    </w:p>
    <w:p w14:paraId="2FBF6797" w14:textId="7B443DAC" w:rsidR="5918D13C" w:rsidRDefault="5D166922" w:rsidP="36484D52">
      <w:pPr>
        <w:spacing w:before="240" w:after="240" w:line="360" w:lineRule="auto"/>
        <w:jc w:val="both"/>
        <w:rPr>
          <w:rFonts w:ascii="Arial" w:eastAsia="Arial" w:hAnsi="Arial" w:cs="Arial"/>
        </w:rPr>
      </w:pPr>
      <w:r w:rsidRPr="00E37FDB">
        <w:rPr>
          <w:rFonts w:ascii="Arial" w:eastAsia="Arial" w:hAnsi="Arial" w:cs="Arial"/>
        </w:rPr>
        <w:t xml:space="preserve">Effectiveness is evaluated using four interrelated criteria: operational, technological, collaborative, and preventive. Operational effectiveness measures the ability to detect, investigate, and prosecute incidents. Technological effectiveness evaluates whether tools and platforms match or exceed criminal sophistication. Collaborative effectiveness considers the coordination between law enforcement, government, and </w:t>
      </w:r>
      <w:r w:rsidRPr="00E37FDB">
        <w:rPr>
          <w:rFonts w:ascii="Arial" w:eastAsia="Arial" w:hAnsi="Arial" w:cs="Arial"/>
        </w:rPr>
        <w:lastRenderedPageBreak/>
        <w:t>private partners. Preventive effectiveness assesses the ability to anticipate, disrupt, and mitigate future threats. Together, these criteria provide a structured, evidence-based framework for evaluating cyber-policing strategies and identifying systemic barriers, while ensuring the assessment captures both immediate and strategic impacts.</w:t>
      </w:r>
    </w:p>
    <w:p w14:paraId="1765F703" w14:textId="69D1A050" w:rsidR="5918D13C" w:rsidRDefault="5D166922" w:rsidP="008E4D0D">
      <w:pPr>
        <w:spacing w:before="240" w:after="240" w:line="360" w:lineRule="auto"/>
        <w:jc w:val="both"/>
        <w:rPr>
          <w:rFonts w:ascii="Arial" w:eastAsia="Arial" w:hAnsi="Arial" w:cs="Arial"/>
        </w:rPr>
      </w:pPr>
      <w:r w:rsidRPr="36484D52">
        <w:rPr>
          <w:rFonts w:ascii="Arial" w:eastAsia="Arial" w:hAnsi="Arial" w:cs="Arial"/>
        </w:rPr>
        <w:t>This framework also enables the identification of systemic barriers, such as workforce shortages, legal fragmentation, and resource constraints, which may undermine the full potential of policing strategies. The report highlights evidence-based innovations that could enhance effectiveness, including artificial intelligence (AI) applications, blockchain analytics, and codified public–private intelligence-sharing frameworks.</w:t>
      </w:r>
    </w:p>
    <w:p w14:paraId="2BCC3FD8" w14:textId="2720D149" w:rsidR="5918D13C" w:rsidRDefault="3935FDE7" w:rsidP="36484D52">
      <w:pPr>
        <w:spacing w:before="240" w:after="240" w:line="360" w:lineRule="auto"/>
        <w:jc w:val="both"/>
        <w:rPr>
          <w:rFonts w:ascii="Arial" w:eastAsia="Arial" w:hAnsi="Arial" w:cs="Arial"/>
          <w:b/>
          <w:bCs/>
        </w:rPr>
      </w:pPr>
      <w:r w:rsidRPr="36484D52">
        <w:rPr>
          <w:rFonts w:ascii="Arial" w:eastAsia="Arial" w:hAnsi="Arial" w:cs="Arial"/>
          <w:b/>
          <w:bCs/>
        </w:rPr>
        <w:t>Cybercrime Area</w:t>
      </w:r>
    </w:p>
    <w:p w14:paraId="24F56DE8" w14:textId="6477A8B8" w:rsidR="2C0C974F" w:rsidRDefault="2C0C974F" w:rsidP="5C45AAEE">
      <w:pPr>
        <w:spacing w:before="240" w:after="240" w:line="360" w:lineRule="auto"/>
        <w:jc w:val="both"/>
        <w:rPr>
          <w:rFonts w:ascii="Arial" w:eastAsia="Arial" w:hAnsi="Arial" w:cs="Arial"/>
          <w:highlight w:val="yellow"/>
        </w:rPr>
      </w:pPr>
      <w:r w:rsidRPr="5C45AAEE">
        <w:rPr>
          <w:rFonts w:ascii="Arial" w:eastAsia="Arial" w:hAnsi="Arial" w:cs="Arial"/>
        </w:rPr>
        <w:t>Three principal areas, ransomware, data breaches, and cyber-enabled fraud, provide the foundation for evaluating contemporary policing strategies and tools, as they represent the most prevalent and high-harm forms of cybercrime affecting individuals, organisations, and critical infrastructure</w:t>
      </w:r>
      <w:r w:rsidR="008E4D0D" w:rsidRPr="5C45AAEE">
        <w:rPr>
          <w:rFonts w:ascii="Arial" w:eastAsia="Arial" w:hAnsi="Arial" w:cs="Arial"/>
        </w:rPr>
        <w:t xml:space="preserve"> </w:t>
      </w:r>
      <w:r w:rsidR="72501B0D" w:rsidRPr="5C45AAEE">
        <w:rPr>
          <w:rFonts w:ascii="Arial" w:eastAsia="Arial" w:hAnsi="Arial" w:cs="Arial"/>
        </w:rPr>
        <w:t>(FBI IC3, 2024; ENISA, 2023).</w:t>
      </w:r>
    </w:p>
    <w:p w14:paraId="4D7CEE55" w14:textId="3DEDCD80" w:rsidR="2C0C974F" w:rsidRDefault="2C0C974F" w:rsidP="36484D52">
      <w:pPr>
        <w:spacing w:before="240" w:after="240" w:line="360" w:lineRule="auto"/>
        <w:jc w:val="both"/>
        <w:rPr>
          <w:rFonts w:ascii="Arial" w:eastAsia="Arial" w:hAnsi="Arial" w:cs="Arial"/>
        </w:rPr>
      </w:pPr>
      <w:r w:rsidRPr="36484D52">
        <w:rPr>
          <w:rFonts w:ascii="Arial" w:eastAsia="Arial" w:hAnsi="Arial" w:cs="Arial"/>
        </w:rPr>
        <w:t>Ransomware involves malicious software designed to encrypt or restrict access to systems or data, with attackers demanding payment, often in cryptocurrency, to restore access or prevent disclosure. The rise of Ransomware-as-a-Service has reduced technical barriers, enabling widespread and scalable attacks. A prominent example occurred in May 2021 when the DarkSide ransomware group targeted Colonial Pipeline in the United States, disrupting fuel distribution and highlighting the severe operational and economic consequences ransomware can impose on critical infrastructure (CISA, 2021; FBI, 2021; Robles et al., 2022; Check Point Research, 2024; Pattnaik et al., 2023). This incident demonstrates that ransomware poses systemic risks extending beyond direct financial loss.</w:t>
      </w:r>
    </w:p>
    <w:p w14:paraId="77090275" w14:textId="61B5A88C" w:rsidR="2C0C974F" w:rsidRDefault="2C0C974F" w:rsidP="36484D52">
      <w:pPr>
        <w:spacing w:before="240" w:after="240" w:line="360" w:lineRule="auto"/>
        <w:jc w:val="both"/>
        <w:rPr>
          <w:rFonts w:ascii="Arial" w:eastAsia="Arial" w:hAnsi="Arial" w:cs="Arial"/>
        </w:rPr>
      </w:pPr>
      <w:r w:rsidRPr="36484D52">
        <w:rPr>
          <w:rFonts w:ascii="Arial" w:eastAsia="Arial" w:hAnsi="Arial" w:cs="Arial"/>
        </w:rPr>
        <w:t xml:space="preserve">Data breaches involve the unauthorised access or exposure of sensitive information belonging to individuals, organisations, or governments. These incidents frequently result from hacking, phishing, insider threats, or system vulnerabilities and can generate substantial financial, legal, and reputational harm. The 2017 Equifax breach illustrates these risks, with attackers accessing the personal data of approximately 147 million consumers, leading to regulatory scrutiny, legal consequences, and long-term </w:t>
      </w:r>
      <w:r w:rsidRPr="36484D52">
        <w:rPr>
          <w:rFonts w:ascii="Arial" w:eastAsia="Arial" w:hAnsi="Arial" w:cs="Arial"/>
        </w:rPr>
        <w:lastRenderedPageBreak/>
        <w:t>erosion of public trust (Equifax Data Breach, 2017; Wheatley, Maillart and Sornette, 2015; Shevchenko et al., 2022). Such incidents emphasise the importance of rapid forensic investigation and effective incident response.</w:t>
      </w:r>
    </w:p>
    <w:p w14:paraId="282F8B3C" w14:textId="4A755A50" w:rsidR="36484D52" w:rsidRPr="008E4D0D" w:rsidRDefault="2C0C974F" w:rsidP="008E4D0D">
      <w:pPr>
        <w:spacing w:before="240" w:after="240" w:line="360" w:lineRule="auto"/>
        <w:jc w:val="both"/>
        <w:rPr>
          <w:rFonts w:ascii="Arial" w:eastAsia="Arial" w:hAnsi="Arial" w:cs="Arial"/>
        </w:rPr>
      </w:pPr>
      <w:r w:rsidRPr="36484D52">
        <w:rPr>
          <w:rFonts w:ascii="Arial" w:eastAsia="Arial" w:hAnsi="Arial" w:cs="Arial"/>
        </w:rPr>
        <w:t>Cyber-enabled fraud refers to traditional offences conducted or amplified through digital technologies, including phishing, online scams, and financial fraud. These crimes exploit both technological vulnerabilities and human behaviour, often operating across jurisdictions and at scale. Phishing remains a dominant technique, using deceptive communications to obtain sensitive credentials, and saw significant growth during 2020, particularly targeting financial institutions (Verizon, 2021; Nurse, 2018; Shevchenko et al., 2022). The scale and adaptability of cyber-enabled fraud underscore the need for integrated technological, behavioural, and investigative policing capabilities.</w:t>
      </w:r>
    </w:p>
    <w:p w14:paraId="220FF9B4" w14:textId="38F82FBD" w:rsidR="5918D13C" w:rsidRDefault="369C3245" w:rsidP="36484D52">
      <w:pPr>
        <w:spacing w:before="240" w:after="240" w:line="360" w:lineRule="auto"/>
        <w:jc w:val="both"/>
        <w:rPr>
          <w:rFonts w:ascii="Arial" w:eastAsia="Arial" w:hAnsi="Arial" w:cs="Arial"/>
          <w:b/>
          <w:bCs/>
        </w:rPr>
      </w:pPr>
      <w:r w:rsidRPr="36484D52">
        <w:rPr>
          <w:rFonts w:ascii="Arial" w:eastAsia="Arial" w:hAnsi="Arial" w:cs="Arial"/>
          <w:b/>
          <w:bCs/>
        </w:rPr>
        <w:t>Evaluation Criteria</w:t>
      </w:r>
    </w:p>
    <w:p w14:paraId="618DC58A" w14:textId="2D4EC13B" w:rsidR="73E7A576" w:rsidRDefault="73E7A576" w:rsidP="36484D52">
      <w:pPr>
        <w:spacing w:before="240" w:after="240" w:line="360" w:lineRule="auto"/>
        <w:jc w:val="both"/>
        <w:rPr>
          <w:rFonts w:ascii="Arial" w:eastAsia="Arial" w:hAnsi="Arial" w:cs="Arial"/>
        </w:rPr>
      </w:pPr>
      <w:r w:rsidRPr="36484D52">
        <w:rPr>
          <w:rFonts w:ascii="Arial" w:eastAsia="Arial" w:hAnsi="Arial" w:cs="Arial"/>
        </w:rPr>
        <w:t>Policing effectiveness is assessed using four interrelated criteria, chosen to provide a holistic perspective that reflects both operational realities and strategic goals. Operational effectiveness measures law enforcement’s capacity to detect, investigate, and prosecute cybercrime efficiently, considering response times, investigative outcomes, and disruption of criminal networks (Europol, 2023; National Crime Agency, 2024). This criterion captures immediate impact, showing whether policing can mitigate harm and produce actionable results, while also highlighting systemic constraints such as workforce shortages or high caseloads that can delay investigations.</w:t>
      </w:r>
    </w:p>
    <w:p w14:paraId="0FE4CDF4" w14:textId="7C402882" w:rsidR="73E7A576" w:rsidRDefault="73E7A576" w:rsidP="36484D52">
      <w:pPr>
        <w:spacing w:before="240" w:after="240" w:line="360" w:lineRule="auto"/>
        <w:jc w:val="both"/>
        <w:rPr>
          <w:rFonts w:ascii="Arial" w:eastAsia="Arial" w:hAnsi="Arial" w:cs="Arial"/>
        </w:rPr>
      </w:pPr>
      <w:r w:rsidRPr="36484D52">
        <w:rPr>
          <w:rFonts w:ascii="Arial" w:eastAsia="Arial" w:hAnsi="Arial" w:cs="Arial"/>
        </w:rPr>
        <w:t>Technological effectiveness evaluates whether the tools and systems employed by law enforcement</w:t>
      </w:r>
      <w:r w:rsidR="00BD4953">
        <w:rPr>
          <w:rFonts w:ascii="Arial" w:eastAsia="Arial" w:hAnsi="Arial" w:cs="Arial"/>
        </w:rPr>
        <w:t>,</w:t>
      </w:r>
      <w:r w:rsidR="008E4D0D">
        <w:rPr>
          <w:rFonts w:ascii="Arial" w:eastAsia="Arial" w:hAnsi="Arial" w:cs="Arial"/>
        </w:rPr>
        <w:t xml:space="preserve"> </w:t>
      </w:r>
      <w:r w:rsidRPr="36484D52">
        <w:rPr>
          <w:rFonts w:ascii="Arial" w:eastAsia="Arial" w:hAnsi="Arial" w:cs="Arial"/>
        </w:rPr>
        <w:t>such as digital forensic platforms, AI-assisted analytics, and blockchain tracing</w:t>
      </w:r>
      <w:r w:rsidR="00BD4953">
        <w:rPr>
          <w:rFonts w:ascii="Arial" w:eastAsia="Arial" w:hAnsi="Arial" w:cs="Arial"/>
        </w:rPr>
        <w:t>,</w:t>
      </w:r>
      <w:r w:rsidR="008E4D0D">
        <w:rPr>
          <w:rFonts w:ascii="Arial" w:eastAsia="Arial" w:hAnsi="Arial" w:cs="Arial"/>
        </w:rPr>
        <w:t xml:space="preserve"> </w:t>
      </w:r>
      <w:r w:rsidRPr="36484D52">
        <w:rPr>
          <w:rFonts w:ascii="Arial" w:eastAsia="Arial" w:hAnsi="Arial" w:cs="Arial"/>
        </w:rPr>
        <w:t>are sufficient to match or exceed offender sophistication (Schmitt, 2023; Raciti, Di Mauro and Van Landuyt, 2025; Bartoli, 2025). This criterion ensures that capabilities evolve in line with increasingly complex and automated cybercrime tactics, while also considering limitations imposed by encryption, anonymisation tools, and privacy-focused cryptocurrencies that may impede evidence acquisition or intelligence analysis.</w:t>
      </w:r>
    </w:p>
    <w:p w14:paraId="10318139" w14:textId="49E52D1A" w:rsidR="73E7A576" w:rsidRDefault="73E7A576" w:rsidP="36484D52">
      <w:pPr>
        <w:spacing w:before="240" w:after="240" w:line="360" w:lineRule="auto"/>
        <w:jc w:val="both"/>
        <w:rPr>
          <w:rFonts w:ascii="Arial" w:eastAsia="Arial" w:hAnsi="Arial" w:cs="Arial"/>
        </w:rPr>
      </w:pPr>
      <w:r w:rsidRPr="36484D52">
        <w:rPr>
          <w:rFonts w:ascii="Arial" w:eastAsia="Arial" w:hAnsi="Arial" w:cs="Arial"/>
        </w:rPr>
        <w:lastRenderedPageBreak/>
        <w:t>Collaborative effectiveness examines the quality and scope of coordination among domestic and international law enforcement, government bodies, and private-sector partners (Blake et al., 2013; Europol, 2023; Grieve, 2014). Given that cybercrime is distributed and transnational, the capacity to share intelligence, standardise procedures, and execute joint operations directly influences operational outcomes. Limitations such as fragmented PPP structures, inconsistent data sharing, and trust asymmetries are integrated into the assessment, acknowledging structural challenges that can weaken otherwise strong collaborative frameworks.</w:t>
      </w:r>
    </w:p>
    <w:p w14:paraId="1CC5AD44" w14:textId="799531BC" w:rsidR="73E7A576" w:rsidRDefault="73E7A576" w:rsidP="36484D52">
      <w:pPr>
        <w:spacing w:before="240" w:after="240" w:line="360" w:lineRule="auto"/>
        <w:jc w:val="both"/>
        <w:rPr>
          <w:rFonts w:ascii="Arial" w:eastAsia="Arial" w:hAnsi="Arial" w:cs="Arial"/>
        </w:rPr>
      </w:pPr>
      <w:r w:rsidRPr="36484D52">
        <w:rPr>
          <w:rFonts w:ascii="Arial" w:eastAsia="Arial" w:hAnsi="Arial" w:cs="Arial"/>
        </w:rPr>
        <w:t>Preventive effectiveness assesses the extent to which policing strategies reduce the likelihood of future incidents through intelligence-led interventions, predictive modelling, proactive risk management, and public awareness initiatives (Horgan, 2011; Schmitt, 2023; Department for Science, Innovation and Technology and Home Office, 2025). This criterion captures anticipatory capabilities beyond post-incident enforcement, highlighting the importance of embedding reactive tools like digital forensics within proactive intelligence frameworks and cross-sectoral collaborations to maximise deterrence and resilience.</w:t>
      </w:r>
    </w:p>
    <w:p w14:paraId="6B868D45" w14:textId="4036027D" w:rsidR="73E7A576" w:rsidRDefault="73E7A576" w:rsidP="36484D52">
      <w:pPr>
        <w:spacing w:before="240" w:after="240" w:line="360" w:lineRule="auto"/>
        <w:jc w:val="both"/>
        <w:rPr>
          <w:rFonts w:ascii="Arial" w:eastAsia="Arial" w:hAnsi="Arial" w:cs="Arial"/>
        </w:rPr>
      </w:pPr>
      <w:r w:rsidRPr="36484D52">
        <w:rPr>
          <w:rFonts w:ascii="Arial" w:eastAsia="Arial" w:hAnsi="Arial" w:cs="Arial"/>
        </w:rPr>
        <w:t>Together, these four criteria provide a structured basis to evaluate digital forensics, threat intelligence, and public–private partnerships. They capture the multifaceted nature of cybercrime and the diverse capabilities required for effective policing, while also enabling identification of gaps caused by structural barriers such as legal fragmentation, skills shortages, and uneven private-sector engagement. By integrating operational, technological, collaborative, and preventive dimensions, this evaluation framework facilitates a comprehensive assessment of contemporary cyber-policing strategies, ensuring that recommendations address both immediate and systemic effectiveness.</w:t>
      </w:r>
    </w:p>
    <w:p w14:paraId="37AA97ED" w14:textId="3794617F" w:rsidR="36484D52" w:rsidRDefault="36484D52" w:rsidP="36484D52">
      <w:pPr>
        <w:spacing w:before="240" w:after="240" w:line="360" w:lineRule="auto"/>
        <w:jc w:val="both"/>
        <w:rPr>
          <w:rFonts w:ascii="Arial" w:eastAsia="Arial" w:hAnsi="Arial" w:cs="Arial"/>
          <w:b/>
          <w:bCs/>
        </w:rPr>
      </w:pPr>
    </w:p>
    <w:p w14:paraId="46A321A2" w14:textId="2070DD77" w:rsidR="4C9A702F" w:rsidRDefault="39681630" w:rsidP="36484D52">
      <w:pPr>
        <w:spacing w:before="240" w:after="240" w:line="360" w:lineRule="auto"/>
        <w:jc w:val="both"/>
        <w:rPr>
          <w:rFonts w:ascii="Arial" w:eastAsia="Arial" w:hAnsi="Arial" w:cs="Arial"/>
          <w:b/>
          <w:bCs/>
        </w:rPr>
      </w:pPr>
      <w:r w:rsidRPr="36484D52">
        <w:rPr>
          <w:rFonts w:ascii="Arial" w:eastAsia="Arial" w:hAnsi="Arial" w:cs="Arial"/>
          <w:b/>
          <w:bCs/>
        </w:rPr>
        <w:t>Digital Forensics</w:t>
      </w:r>
    </w:p>
    <w:p w14:paraId="641B6021" w14:textId="7584BAB7" w:rsidR="622BB15D" w:rsidRDefault="622BB15D" w:rsidP="36484D52">
      <w:pPr>
        <w:spacing w:before="240" w:after="240" w:line="360" w:lineRule="auto"/>
        <w:jc w:val="both"/>
        <w:rPr>
          <w:rFonts w:ascii="Arial" w:eastAsia="Arial" w:hAnsi="Arial" w:cs="Arial"/>
        </w:rPr>
      </w:pPr>
      <w:r w:rsidRPr="36484D52">
        <w:rPr>
          <w:rFonts w:ascii="Arial" w:eastAsia="Arial" w:hAnsi="Arial" w:cs="Arial"/>
        </w:rPr>
        <w:t xml:space="preserve">Digital forensics encompasses the scientific identification, preservation, examination, and presentation of digital evidence to support criminal investigations and judicial proceedings. Within cybercrime investigations, it enables incident reconstruction, attribution of attacks, and the production of admissible evidence, forming a central </w:t>
      </w:r>
      <w:r w:rsidRPr="36484D52">
        <w:rPr>
          <w:rFonts w:ascii="Arial" w:eastAsia="Arial" w:hAnsi="Arial" w:cs="Arial"/>
        </w:rPr>
        <w:lastRenderedPageBreak/>
        <w:t>pillar of cyber-policing alongside threat intelligence and public–private partnerships (Raciti, Di Mauro and Van Landuyt, 2025; Schmitt, 2023). Digital forensics is crucial not only for prosecution but also for informing strategic threat intelligence and preventive measures, highlighting its dual reactive and indirect proactive utility.</w:t>
      </w:r>
    </w:p>
    <w:p w14:paraId="3A8FC77B" w14:textId="1DB92748" w:rsidR="622BB15D" w:rsidRDefault="622BB15D" w:rsidP="36484D52">
      <w:pPr>
        <w:spacing w:before="240" w:after="240" w:line="360" w:lineRule="auto"/>
        <w:jc w:val="both"/>
        <w:rPr>
          <w:rFonts w:ascii="Arial" w:eastAsia="Arial" w:hAnsi="Arial" w:cs="Arial"/>
        </w:rPr>
      </w:pPr>
      <w:r w:rsidRPr="36484D52">
        <w:rPr>
          <w:rFonts w:ascii="Arial" w:eastAsia="Arial" w:hAnsi="Arial" w:cs="Arial"/>
        </w:rPr>
        <w:t>Operationally, forensic investigations employ techniques such as memory forensics and live data acquisition to capture volatile evidence, network traffic analysis to trace attack vectors, and cloud forensics to access distributed and virtualised environments (NIST, 2023). In ransomware and cyber-enabled fraud cases, blockchain analytics is increasingly utilised to trace cryptocurrency transactions, leveraging transparency and immutability to follow funds, identify address clusters, and correlate payments with known campaigns, supporting both attribution and intelligence development (Chainalysis, 2023; Europol, 2022; U.S. Department of Justice, 2021).</w:t>
      </w:r>
    </w:p>
    <w:p w14:paraId="60AFDFDD" w14:textId="73C1EEA7" w:rsidR="622BB15D" w:rsidRDefault="622BB15D" w:rsidP="001E11F0">
      <w:pPr>
        <w:spacing w:before="240" w:after="240" w:line="360" w:lineRule="auto"/>
        <w:jc w:val="both"/>
        <w:rPr>
          <w:rFonts w:ascii="Arial" w:eastAsia="Arial" w:hAnsi="Arial" w:cs="Arial"/>
        </w:rPr>
      </w:pPr>
      <w:r w:rsidRPr="36484D52">
        <w:rPr>
          <w:rFonts w:ascii="Arial" w:eastAsia="Arial" w:hAnsi="Arial" w:cs="Arial"/>
        </w:rPr>
        <w:t>Despite these strengths, effectiveness is constrained by sophisticated adversary tradecraft. Criminal groups employ cryptocurrency mixers, cross-chain bridges, and privacy-focused coins, which reduce traceability and complicate forensic analysis. Legal and jurisdictional challenges further impede rapid fund recovery, meaning blockchain tracing functions more effectively as a post-incident intelligence tool than a preventive mechanism (Europol, 2022; Kharraz et al., 2015; NIST, 2023).</w:t>
      </w:r>
      <w:r w:rsidR="001E11F0">
        <w:rPr>
          <w:rFonts w:ascii="Arial" w:eastAsia="Arial" w:hAnsi="Arial" w:cs="Arial"/>
        </w:rPr>
        <w:t xml:space="preserve"> Having said that, a</w:t>
      </w:r>
      <w:r w:rsidRPr="36484D52">
        <w:rPr>
          <w:rFonts w:ascii="Arial" w:eastAsia="Arial" w:hAnsi="Arial" w:cs="Arial"/>
        </w:rPr>
        <w:t>dvances in artificial intelligence have enhanced forensic capacity by accelerating data processing and automating triage within large datasets (Tok, Yang and Chattopadhyay, 2024; Bartoli, 2025). Machine learning-based systems can prioritise suspicious files, processes, or memory artefacts, reducing analyst workload and investigation timelines, while supporting anomaly detection across network traffic and system logs to identify potential malicious activity. These capabilities strengthen technological effectiveness by enabling investigators to manage complex datasets and maintain parity with sophisticated adversaries (Tok, Yang and Chattopadhyay, 2024; Bartoli, 2025).</w:t>
      </w:r>
    </w:p>
    <w:p w14:paraId="7CEEA4AA" w14:textId="24B327AD" w:rsidR="622BB15D" w:rsidRDefault="622BB15D" w:rsidP="36484D52">
      <w:pPr>
        <w:spacing w:before="240" w:after="240" w:line="360" w:lineRule="auto"/>
        <w:jc w:val="both"/>
        <w:rPr>
          <w:rFonts w:ascii="Arial" w:eastAsia="Arial" w:hAnsi="Arial" w:cs="Arial"/>
        </w:rPr>
      </w:pPr>
      <w:r w:rsidRPr="36484D52">
        <w:rPr>
          <w:rFonts w:ascii="Arial" w:eastAsia="Arial" w:hAnsi="Arial" w:cs="Arial"/>
        </w:rPr>
        <w:t xml:space="preserve">When assessed against the four criteria, digital forensics demonstrates notable but nuanced effectiveness. Operational effectiveness is evident in its contribution to successful investigations and prosecutions, particularly in high-profile cases where systematic evidence acquisition enhances judicial admissibility and supports intelligence development (National Crime Agency, 2024). Technological effectiveness </w:t>
      </w:r>
      <w:r w:rsidRPr="36484D52">
        <w:rPr>
          <w:rFonts w:ascii="Arial" w:eastAsia="Arial" w:hAnsi="Arial" w:cs="Arial"/>
        </w:rPr>
        <w:lastRenderedPageBreak/>
        <w:t xml:space="preserve">is strengthened through AI-assisted analytics and blockchain tracing, though it remains limited by encryption, anonymisation tools, and privacy-focused cryptocurrencies. Collaborative effectiveness is enhanced via inter-agency and cross-border evidence-sharing frameworks, which facilitate coordinated investigations, threat intelligence exchange, and collective disruption of criminal networks (Department for Science, Innovation and Technology and Home Office, 2025; Europol, 2023). </w:t>
      </w:r>
      <w:r w:rsidRPr="001E11F0">
        <w:rPr>
          <w:rFonts w:ascii="Arial" w:eastAsia="Arial" w:hAnsi="Arial" w:cs="Arial"/>
        </w:rPr>
        <w:t xml:space="preserve">Preventive effectiveness arises indirectly through </w:t>
      </w:r>
      <w:r w:rsidR="00BD4953">
        <w:rPr>
          <w:rFonts w:ascii="Arial" w:eastAsia="Arial" w:hAnsi="Arial" w:cs="Arial"/>
        </w:rPr>
        <w:t xml:space="preserve">the </w:t>
      </w:r>
      <w:r w:rsidRPr="001E11F0">
        <w:rPr>
          <w:rFonts w:ascii="Arial" w:eastAsia="Arial" w:hAnsi="Arial" w:cs="Arial"/>
        </w:rPr>
        <w:t>identification of recurring attack patterns, supporting organisational risk mitigation, policy development, and longer-term crime prevention.</w:t>
      </w:r>
      <w:r w:rsidR="001E11F0">
        <w:rPr>
          <w:rFonts w:ascii="Arial" w:eastAsia="Arial" w:hAnsi="Arial" w:cs="Arial"/>
        </w:rPr>
        <w:t xml:space="preserve"> </w:t>
      </w:r>
    </w:p>
    <w:p w14:paraId="56B3F842" w14:textId="6C98305D" w:rsidR="622BB15D" w:rsidRDefault="622BB15D" w:rsidP="36484D52">
      <w:pPr>
        <w:spacing w:before="240" w:after="240" w:line="360" w:lineRule="auto"/>
        <w:jc w:val="both"/>
        <w:rPr>
          <w:rFonts w:ascii="Arial" w:eastAsia="Arial" w:hAnsi="Arial" w:cs="Arial"/>
        </w:rPr>
      </w:pPr>
      <w:r w:rsidRPr="36484D52">
        <w:rPr>
          <w:rFonts w:ascii="Arial" w:eastAsia="Arial" w:hAnsi="Arial" w:cs="Arial"/>
        </w:rPr>
        <w:t>However, several limitations constrain overall effectiveness. Workforce shortages, skills gaps, and high caseloads reduce operational capacity, contributing to investigation backlogs and slower response times (Bartoli, 2025). Legal fragmentation and inconsistent evidentiary standards, including variations in data protection laws and mutual legal assistance procedures, delay or restrict cross-border evidence sharing (Grieve, 2014; Europol, 2023). Finally, the reactive nature of digital forensics limits immediate preventive impact; investigations typically commence post-offence and therefore rely on integration with proactive threat intelligence and risk management strategies to influence prevention (Bartoli, 2025).</w:t>
      </w:r>
    </w:p>
    <w:p w14:paraId="014306C8" w14:textId="21997D4E" w:rsidR="622BB15D" w:rsidRDefault="622BB15D" w:rsidP="36484D52">
      <w:pPr>
        <w:spacing w:before="240" w:after="240" w:line="360" w:lineRule="auto"/>
        <w:jc w:val="both"/>
        <w:rPr>
          <w:rFonts w:ascii="Arial" w:eastAsia="Arial" w:hAnsi="Arial" w:cs="Arial"/>
        </w:rPr>
      </w:pPr>
      <w:r w:rsidRPr="36484D52">
        <w:rPr>
          <w:rFonts w:ascii="Arial" w:eastAsia="Arial" w:hAnsi="Arial" w:cs="Arial"/>
        </w:rPr>
        <w:t>The 2024 UK-led takedown of the LockBit ransomware group (Operation Cronos) exemplifies both strengths and constraints. Led by the UK National Crime Agency in coordination with Europol, the FBI, and international partners, the operation involved seizing dark-web infrastructure, recovering databases, and obtaining decryption keys (National Crime Agency, 2024). Digital forensic methods reconstructed the group’s criminal hierarchy, while blockchain tracing mapped cryptocurrency ransom flows, supporting attribution and identification of affiliates. These outputs facilitated coordinated arrests and indictments. Despite operational and technological success, the operation also highlighted limited preventive reach, as LockBit-linked activity persisted through decentralised affiliates. The case demonstrates that digital forensics is most effective when integrated with threat intelligence, international cooperation, and public–private partnerships (Schmitt, 2023; Tok, Yang and Chattopadhyay, 2024; Bartoli, 2025).</w:t>
      </w:r>
    </w:p>
    <w:p w14:paraId="4F23CEEF" w14:textId="5D33C7BD" w:rsidR="36484D52" w:rsidRDefault="36484D52" w:rsidP="36484D52">
      <w:pPr>
        <w:spacing w:before="240" w:after="240" w:line="360" w:lineRule="auto"/>
        <w:jc w:val="both"/>
        <w:rPr>
          <w:rFonts w:ascii="Arial" w:eastAsia="Arial" w:hAnsi="Arial" w:cs="Arial"/>
          <w:b/>
          <w:bCs/>
        </w:rPr>
      </w:pPr>
    </w:p>
    <w:p w14:paraId="38CEF6B5" w14:textId="51E39032" w:rsidR="00811BD2" w:rsidRDefault="2490E332" w:rsidP="36484D52">
      <w:pPr>
        <w:spacing w:before="240" w:after="240" w:line="360" w:lineRule="auto"/>
        <w:jc w:val="both"/>
        <w:rPr>
          <w:rFonts w:ascii="Arial" w:eastAsia="Arial" w:hAnsi="Arial" w:cs="Arial"/>
          <w:b/>
          <w:bCs/>
        </w:rPr>
      </w:pPr>
      <w:r w:rsidRPr="36484D52">
        <w:rPr>
          <w:rFonts w:ascii="Arial" w:eastAsia="Arial" w:hAnsi="Arial" w:cs="Arial"/>
          <w:b/>
          <w:bCs/>
        </w:rPr>
        <w:lastRenderedPageBreak/>
        <w:t>Threat Intelligence</w:t>
      </w:r>
    </w:p>
    <w:p w14:paraId="6D2DBF67" w14:textId="21324803" w:rsidR="00811BD2" w:rsidRDefault="7425A338" w:rsidP="36484D52">
      <w:pPr>
        <w:spacing w:before="240" w:after="240" w:line="360" w:lineRule="auto"/>
        <w:jc w:val="both"/>
        <w:rPr>
          <w:rFonts w:ascii="Arial" w:eastAsia="Arial" w:hAnsi="Arial" w:cs="Arial"/>
        </w:rPr>
      </w:pPr>
      <w:r w:rsidRPr="36484D52">
        <w:rPr>
          <w:rFonts w:ascii="Arial" w:eastAsia="Arial" w:hAnsi="Arial" w:cs="Arial"/>
        </w:rPr>
        <w:t>Threat intelligence refers to the systematic collection, analysis, and dissemination of information regarding cyber threats to guide proactive law enforcement and organisational decision-making (Schmitt, 2023; Tok, Yang and Chattopadhyay, 2024). It enables police and security agencies to anticipate attacks, identify malicious actors, and prioritise interventions, supporting intelligence-led and preventive cyber-policing strategies. By integrating operational insights with technological tools and cross-sector collaboration, threat intelligence bridges the gap between reactive investigation and anticipatory prevention.</w:t>
      </w:r>
    </w:p>
    <w:p w14:paraId="1F993E95" w14:textId="6F178234" w:rsidR="00811BD2" w:rsidRDefault="7425A338" w:rsidP="36484D52">
      <w:pPr>
        <w:spacing w:before="240" w:after="240" w:line="360" w:lineRule="auto"/>
        <w:jc w:val="both"/>
        <w:rPr>
          <w:rFonts w:ascii="Arial" w:eastAsia="Arial" w:hAnsi="Arial" w:cs="Arial"/>
        </w:rPr>
      </w:pPr>
      <w:r w:rsidRPr="36484D52">
        <w:rPr>
          <w:rFonts w:ascii="Arial" w:eastAsia="Arial" w:hAnsi="Arial" w:cs="Arial"/>
        </w:rPr>
        <w:t>The primary tools and techniques include monitoring indicators of compromise, malware analysis, dark web surveillance, and AI-assisted anomaly detection. Monitoring indicators of compromise provides early warning of malicious activity across networks and systems. Shared through intelligence platforms, indicators such as malicious IP addresses, file hashes, or command-and-control domains enable agencies to assess threat prevalence and severity across victims or jurisdictions, informing operational decisions on escalation or targeted intervention. Limitations include their transient nature and susceptibility to high false positives, as threat actors rapidly alter infrastructure or deliberately seed misleading information (Raciti, Di Mauro and Van Landuyt, 2025; Europol, 2023).</w:t>
      </w:r>
    </w:p>
    <w:p w14:paraId="39BE4A6A" w14:textId="426AF7A3" w:rsidR="00811BD2" w:rsidRDefault="7425A338" w:rsidP="36484D52">
      <w:pPr>
        <w:spacing w:before="240" w:after="240" w:line="360" w:lineRule="auto"/>
        <w:jc w:val="both"/>
        <w:rPr>
          <w:rFonts w:ascii="Arial" w:eastAsia="Arial" w:hAnsi="Arial" w:cs="Arial"/>
        </w:rPr>
      </w:pPr>
      <w:r w:rsidRPr="36484D52">
        <w:rPr>
          <w:rFonts w:ascii="Arial" w:eastAsia="Arial" w:hAnsi="Arial" w:cs="Arial"/>
        </w:rPr>
        <w:t>Malware analysis offers deeper strategic and operational insight by revealing attacker capability, intent, and sophistication. Static and dynamic techniques allow law enforcement to identify malware families, link campaigns to known actors, and assess potential impact, guiding prioritisation of investigative resources and international cooperation. Obfuscation and fileless malware can delay analysis, reducing its effectiveness for time-sensitive decision-making (Raciti, Di Mauro and Van Landuyt, 2025; Europol, 2023).</w:t>
      </w:r>
    </w:p>
    <w:p w14:paraId="44A0C405" w14:textId="6FF94623" w:rsidR="00811BD2" w:rsidRDefault="7425A338" w:rsidP="36484D52">
      <w:pPr>
        <w:spacing w:before="240" w:after="240" w:line="360" w:lineRule="auto"/>
        <w:jc w:val="both"/>
        <w:rPr>
          <w:rFonts w:ascii="Arial" w:eastAsia="Arial" w:hAnsi="Arial" w:cs="Arial"/>
        </w:rPr>
      </w:pPr>
      <w:r w:rsidRPr="36484D52">
        <w:rPr>
          <w:rFonts w:ascii="Arial" w:eastAsia="Arial" w:hAnsi="Arial" w:cs="Arial"/>
        </w:rPr>
        <w:t xml:space="preserve">Dark web surveillance informs policing by providing visibility into criminal markets, emerging threats, and offender intent. Monitoring forums and marketplaces supports preventive interventions such as takedowns, disruption of criminal infrastructure, and targeted advisories. Fragmentation, verification challenges, and closed communities </w:t>
      </w:r>
      <w:r w:rsidRPr="36484D52">
        <w:rPr>
          <w:rFonts w:ascii="Arial" w:eastAsia="Arial" w:hAnsi="Arial" w:cs="Arial"/>
        </w:rPr>
        <w:lastRenderedPageBreak/>
        <w:t>restrict visibility, reducing confidence in decisions based solely on this source (Raciti, Di Mauro and Van Landuyt, 2025; Europol, 2023).</w:t>
      </w:r>
    </w:p>
    <w:p w14:paraId="2B7AAAD6" w14:textId="6CB55AD1" w:rsidR="00811BD2" w:rsidRDefault="7425A338" w:rsidP="36484D52">
      <w:pPr>
        <w:spacing w:before="240" w:after="240" w:line="360" w:lineRule="auto"/>
        <w:jc w:val="both"/>
        <w:rPr>
          <w:rFonts w:ascii="Arial" w:eastAsia="Arial" w:hAnsi="Arial" w:cs="Arial"/>
        </w:rPr>
      </w:pPr>
      <w:r w:rsidRPr="36484D52">
        <w:rPr>
          <w:rFonts w:ascii="Arial" w:eastAsia="Arial" w:hAnsi="Arial" w:cs="Arial"/>
        </w:rPr>
        <w:t xml:space="preserve">AI-assisted anomaly detection is increasingly central to threat intelligence, enabling </w:t>
      </w:r>
      <w:r w:rsidR="00BD4953">
        <w:rPr>
          <w:rFonts w:ascii="Arial" w:eastAsia="Arial" w:hAnsi="Arial" w:cs="Arial"/>
        </w:rPr>
        <w:t xml:space="preserve">the </w:t>
      </w:r>
      <w:r w:rsidRPr="36484D52">
        <w:rPr>
          <w:rFonts w:ascii="Arial" w:eastAsia="Arial" w:hAnsi="Arial" w:cs="Arial"/>
        </w:rPr>
        <w:t>identification of subtle or novel patterns that traditional rule-based alerts may miss. By analysing large volumes of network traffic, financial transactions, or behavioural data, AI systems surface emerging threats and inform prioritisation of investigative interventions. Model opacity requires careful human oversight to maintain accountability and evidential integrity, avoiding bias or misinterpretation (Tok, Yang and Chattopadhyay, 2024; Europol, 2023).</w:t>
      </w:r>
    </w:p>
    <w:p w14:paraId="36EC40D7" w14:textId="5CB82F3A" w:rsidR="00811BD2" w:rsidRDefault="7425A338" w:rsidP="5C45AAEE">
      <w:pPr>
        <w:spacing w:before="240" w:after="240" w:line="360" w:lineRule="auto"/>
        <w:jc w:val="both"/>
        <w:rPr>
          <w:rFonts w:ascii="Arial" w:eastAsia="Arial" w:hAnsi="Arial" w:cs="Arial"/>
        </w:rPr>
      </w:pPr>
      <w:r w:rsidRPr="5C45AAEE">
        <w:rPr>
          <w:rFonts w:ascii="Arial" w:eastAsia="Arial" w:hAnsi="Arial" w:cs="Arial"/>
        </w:rPr>
        <w:t xml:space="preserve">When assessed against operational, technological, collaborative, and preventive criteria, threat intelligence demonstrates significant strengths but also notable limitations. Operational effectiveness is evident when intelligence is timely, actionable, and contextualised, enabling targeted interventions and rapid disruption of ransomware, phishing, or cyber-enabled fraud campaigns. Technological </w:t>
      </w:r>
      <w:r w:rsidR="1C4E243D" w:rsidRPr="5C45AAEE">
        <w:rPr>
          <w:rFonts w:ascii="Arial" w:eastAsia="Arial" w:hAnsi="Arial" w:cs="Arial"/>
        </w:rPr>
        <w:t>Effectiveness</w:t>
      </w:r>
      <w:r w:rsidRPr="5C45AAEE">
        <w:rPr>
          <w:rFonts w:ascii="Arial" w:eastAsia="Arial" w:hAnsi="Arial" w:cs="Arial"/>
        </w:rPr>
        <w:t xml:space="preserve"> is strengthened through AI-driven analytics capable of processing large structured and unstructured datasets, identifying patterns, and revealing previously unseen relationships between actors and activities. Collaborative effectiveness arises from inter-agency and public-private intelligence-sharing frameworks, aggregating insights across jurisdictions and sectors to enhance situational awareness and reduce investigative duplication. Preventive effectiveness is realised through early identification of threat actors, attack vectors, and emerging crime patterns, enabling disruption of preparatory activity, victim advisories, and influence over offender decision-making (National Crime Agency, 2024; Blake et al., 2013; Grieve, 2014).</w:t>
      </w:r>
    </w:p>
    <w:p w14:paraId="41E1705A" w14:textId="4432A5BD" w:rsidR="00811BD2" w:rsidRDefault="7425A338" w:rsidP="36484D52">
      <w:pPr>
        <w:spacing w:before="240" w:after="240" w:line="360" w:lineRule="auto"/>
        <w:jc w:val="both"/>
        <w:rPr>
          <w:rFonts w:ascii="Arial" w:eastAsia="Arial" w:hAnsi="Arial" w:cs="Arial"/>
        </w:rPr>
      </w:pPr>
      <w:r w:rsidRPr="36484D52">
        <w:rPr>
          <w:rFonts w:ascii="Arial" w:eastAsia="Arial" w:hAnsi="Arial" w:cs="Arial"/>
        </w:rPr>
        <w:t>However, systemic and operational limitations constrain overall effectiveness. Incomplete reporting, particularly in cyber-enabled fraud, creates intelligence gaps that distort threat assessment and strategic prioritisation. Delays in data sharing, bureaucratic barriers, classification requirements, and trust deficits between agencies persist because intelligence sharing carries legal and reputational risks. Adversaries increasingly employ encryption, anonymisation, and AI-assisted techniques, reducing the timeliness and utility of intelligence products (Bartoli, 2025; Tok, Yang and Chattopadhyay, 2024; Schmitt, 2023).</w:t>
      </w:r>
    </w:p>
    <w:p w14:paraId="0FFA3BE5" w14:textId="47039416" w:rsidR="00811BD2" w:rsidRDefault="7425A338" w:rsidP="36484D52">
      <w:pPr>
        <w:spacing w:before="240" w:after="240" w:line="360" w:lineRule="auto"/>
        <w:jc w:val="both"/>
        <w:rPr>
          <w:rFonts w:ascii="Arial" w:eastAsia="Arial" w:hAnsi="Arial" w:cs="Arial"/>
        </w:rPr>
      </w:pPr>
      <w:r w:rsidRPr="36484D52">
        <w:rPr>
          <w:rFonts w:ascii="Arial" w:eastAsia="Arial" w:hAnsi="Arial" w:cs="Arial"/>
        </w:rPr>
        <w:lastRenderedPageBreak/>
        <w:t>In cyber-enabled fraud, threat intelligence shows moderate but uneven effectiveness. It is most effective at identifying large-scale, organised networks and emerging typologies, particularly when financial institutions and private-sector partners contribute data. Its impact is reduced in low-value, high-volume fraud, where fragmented reporting, rapid offender turnover, and jurisdictional dispersion hinder attribution and operational disruption. Consequently, threat intelligence often serves strategic and preventive purposes, informing policy development, public awareness initiatives, and systemic safeguards rather than enabling immediate intervention at the individual victim level (National Crime Agency, 2024; Bartoli, 2025; Schmitt, 2023).</w:t>
      </w:r>
    </w:p>
    <w:p w14:paraId="0D7D8AD5" w14:textId="28852F69" w:rsidR="00811BD2" w:rsidRPr="001E11F0" w:rsidRDefault="7425A338" w:rsidP="001E11F0">
      <w:pPr>
        <w:spacing w:before="240" w:after="240" w:line="360" w:lineRule="auto"/>
        <w:jc w:val="both"/>
        <w:rPr>
          <w:rFonts w:ascii="Arial" w:eastAsia="Arial" w:hAnsi="Arial" w:cs="Arial"/>
        </w:rPr>
      </w:pPr>
      <w:r w:rsidRPr="36484D52">
        <w:rPr>
          <w:rFonts w:ascii="Arial" w:eastAsia="Arial" w:hAnsi="Arial" w:cs="Arial"/>
        </w:rPr>
        <w:t>Overall, threat intelligence strengthens cyber-policing by complementing the reactive strengths of digital forensics with proactive, anticipatory insights. Its preventive value is maximised when integrated with coordinated public–private partnerships and forensic capabilities, addressing both operational gaps and systemic barriers to improve resilience against sophisticated, distributed cybercrime threats (Tok, Yang and Chattopadhyay, 2024; Europol, 2023).</w:t>
      </w:r>
    </w:p>
    <w:p w14:paraId="75F72D3E" w14:textId="5C76161B" w:rsidR="4C9A702F" w:rsidRDefault="702FEBE5" w:rsidP="36484D52">
      <w:pPr>
        <w:spacing w:before="240" w:after="240" w:line="360" w:lineRule="auto"/>
        <w:jc w:val="both"/>
        <w:rPr>
          <w:rFonts w:ascii="Arial" w:eastAsia="Arial" w:hAnsi="Arial" w:cs="Arial"/>
          <w:b/>
          <w:bCs/>
        </w:rPr>
      </w:pPr>
      <w:r w:rsidRPr="36484D52">
        <w:rPr>
          <w:rFonts w:ascii="Arial" w:eastAsia="Arial" w:hAnsi="Arial" w:cs="Arial"/>
          <w:b/>
          <w:bCs/>
        </w:rPr>
        <w:t>Public–Private Partnerships</w:t>
      </w:r>
    </w:p>
    <w:p w14:paraId="47CCA7E5" w14:textId="29EA0939" w:rsidR="002D16E8" w:rsidRPr="000B2139" w:rsidRDefault="072B9025" w:rsidP="36484D52">
      <w:pPr>
        <w:spacing w:before="240" w:after="240" w:line="360" w:lineRule="auto"/>
        <w:jc w:val="both"/>
        <w:rPr>
          <w:rFonts w:ascii="Arial" w:eastAsia="Arial" w:hAnsi="Arial" w:cs="Arial"/>
        </w:rPr>
      </w:pPr>
      <w:r w:rsidRPr="36484D52">
        <w:rPr>
          <w:rFonts w:ascii="Arial" w:eastAsia="Arial" w:hAnsi="Arial" w:cs="Arial"/>
        </w:rPr>
        <w:t>Public–private partnerships (PPPs) represent structured collaborations between law enforcement agencies, government cybersecurity bodies, and private sector actors, designed to harness complementary capabilities in addressing complex cyber threats, including ransomware, large-scale data breaches, and cyber-enabled fraud (Bartoli, 2025; National Crime Agency, 2024). Given that advanced cyber-defence expertise and critical infrastructure often reside within private organisations, PPPs are essential to national and transnational cyber resilience frameworks, facilitating operational, technological, and preventive interventions.</w:t>
      </w:r>
    </w:p>
    <w:p w14:paraId="3ADB237F" w14:textId="431A7956" w:rsidR="002D16E8" w:rsidRPr="000B2139" w:rsidRDefault="072B9025" w:rsidP="36484D52">
      <w:pPr>
        <w:spacing w:before="240" w:after="240" w:line="360" w:lineRule="auto"/>
        <w:jc w:val="both"/>
        <w:rPr>
          <w:rFonts w:ascii="Arial" w:eastAsia="Arial" w:hAnsi="Arial" w:cs="Arial"/>
        </w:rPr>
      </w:pPr>
      <w:r w:rsidRPr="36484D52">
        <w:rPr>
          <w:rFonts w:ascii="Arial" w:eastAsia="Arial" w:hAnsi="Arial" w:cs="Arial"/>
        </w:rPr>
        <w:t xml:space="preserve">Operationally, PPPs are implemented through joint task forces, formal information-sharing arrangements, and sector-specific organisations such as Information Sharing and Analysis </w:t>
      </w:r>
      <w:r w:rsidR="00DD55DB">
        <w:rPr>
          <w:rFonts w:ascii="Arial" w:eastAsia="Arial" w:hAnsi="Arial" w:cs="Arial"/>
        </w:rPr>
        <w:t>Centres</w:t>
      </w:r>
      <w:r w:rsidRPr="36484D52">
        <w:rPr>
          <w:rFonts w:ascii="Arial" w:eastAsia="Arial" w:hAnsi="Arial" w:cs="Arial"/>
        </w:rPr>
        <w:t xml:space="preserve"> (ISACs). These structures enhance operational effectiveness by providing law enforcement with access to datasets, analytical tools, and domain expertise otherwise unavailable, enabling rapid identification of threat actors, assessment of indicators of compromise, and coordinated response actions during ransomware or large-scale fraud incidents (Tok, Yang and Chattopadhyay, 2024; </w:t>
      </w:r>
      <w:r w:rsidRPr="36484D52">
        <w:rPr>
          <w:rFonts w:ascii="Arial" w:eastAsia="Arial" w:hAnsi="Arial" w:cs="Arial"/>
        </w:rPr>
        <w:lastRenderedPageBreak/>
        <w:t>Bartoli, 2025). Technological effectiveness is strengthened through integration of proprietary private-sector platforms and AI-driven analytics, facilitating rapid triage, anomaly detection, and situational awareness across extensive and distributed networks (Department for Science, Innovation and Technology and Home Office, 2025; Europol, 2023). Collaborative effectiveness emerges through formalised communication channels that support cross-sectoral and cross-border coordination, while preventive effectiveness derives from early detection of threats, joint vulnerability management, and coordinated risk mitigation</w:t>
      </w:r>
      <w:r w:rsidR="00DD55DB">
        <w:rPr>
          <w:rFonts w:ascii="Arial" w:eastAsia="Arial" w:hAnsi="Arial" w:cs="Arial"/>
        </w:rPr>
        <w:t xml:space="preserve"> </w:t>
      </w:r>
      <w:r w:rsidRPr="36484D52">
        <w:rPr>
          <w:rFonts w:ascii="Arial" w:eastAsia="Arial" w:hAnsi="Arial" w:cs="Arial"/>
        </w:rPr>
        <w:t>campaigns (Tok, Yang and Chattopadhyay, 2024).</w:t>
      </w:r>
    </w:p>
    <w:p w14:paraId="0551C473" w14:textId="680BBC57" w:rsidR="002D16E8" w:rsidRPr="000B2139" w:rsidRDefault="072B9025" w:rsidP="36484D52">
      <w:pPr>
        <w:spacing w:before="240" w:after="240" w:line="360" w:lineRule="auto"/>
        <w:jc w:val="both"/>
        <w:rPr>
          <w:rFonts w:ascii="Arial" w:eastAsia="Arial" w:hAnsi="Arial" w:cs="Arial"/>
        </w:rPr>
      </w:pPr>
      <w:r w:rsidRPr="36484D52">
        <w:rPr>
          <w:rFonts w:ascii="Arial" w:eastAsia="Arial" w:hAnsi="Arial" w:cs="Arial"/>
        </w:rPr>
        <w:t>Empirical research indicates that the quality, timeliness, and contextual relevance of shared intelligence is critical for effectiveness. Surveys reveal that while 93% of cybersecurity professionals recognise PPPs as vital for national cyber defence, only 34% consider current initiatives highly effective. Approximately 69% report hesitance in sharing intelligence, and 43% perceive asymmetries in information flow between public and private partners (Europol, 2023; National Crime Agency, 2024). These barriers illustrate systemic constraints, including uneven participation, trust deficits, liability concerns, and fragmented coordination structures, which limit both operational reach and preventive impact.</w:t>
      </w:r>
    </w:p>
    <w:p w14:paraId="061D6C27" w14:textId="61052D90" w:rsidR="002D16E8" w:rsidRPr="000B2139" w:rsidRDefault="072B9025" w:rsidP="36484D52">
      <w:pPr>
        <w:spacing w:before="240" w:after="240" w:line="360" w:lineRule="auto"/>
        <w:jc w:val="both"/>
        <w:rPr>
          <w:rFonts w:ascii="Arial" w:eastAsia="Arial" w:hAnsi="Arial" w:cs="Arial"/>
        </w:rPr>
      </w:pPr>
      <w:r w:rsidRPr="36484D52">
        <w:rPr>
          <w:rFonts w:ascii="Arial" w:eastAsia="Arial" w:hAnsi="Arial" w:cs="Arial"/>
        </w:rPr>
        <w:t>Case studies demonstrate the tangible benefits of PPPs. In the Netherlands, Project Melissa facilitates systematic knowledge exchange on ransomware threats between public authorities and private cybersecurity firms. Evaluations indicate that Melissa enhances collective resilience through standardised operational procedures, ethical investigation protocols, and enduring professional networks, improving incident detection and response across sectors (Europol, 2023). Similarly, the International Counter Ransomware Initiative, involving U.S. and Spanish authorities, demonstrates that structured PPPs can strengthen global ransomware mitigation capabilities, highlighting the need for scalable and codified partnerships (National Crime Agency, 2024). PPPs also contribute to the reduction of data breaches by enabling early warning and coordinated defensive measures. Predictive blacklisting studies show that controlled intelligence sharing can double predictive accuracy while reducing false positives, illustrating the practical utility of cross-organisational collaboration in pre-emptive defence (Bartoli, 2025).</w:t>
      </w:r>
    </w:p>
    <w:p w14:paraId="14F9F10C" w14:textId="2FA7C28B" w:rsidR="002D16E8" w:rsidRPr="000B2139" w:rsidRDefault="072B9025" w:rsidP="36484D52">
      <w:pPr>
        <w:spacing w:before="240" w:after="240" w:line="360" w:lineRule="auto"/>
        <w:jc w:val="both"/>
        <w:rPr>
          <w:rFonts w:ascii="Arial" w:eastAsia="Arial" w:hAnsi="Arial" w:cs="Arial"/>
        </w:rPr>
      </w:pPr>
      <w:r w:rsidRPr="36484D52">
        <w:rPr>
          <w:rFonts w:ascii="Arial" w:eastAsia="Arial" w:hAnsi="Arial" w:cs="Arial"/>
        </w:rPr>
        <w:lastRenderedPageBreak/>
        <w:t>However, structural and regulatory constraints limit PPP effectiveness. Voluntary participation, particularly among small and medium-sized enterprises (SMEs), creates gaps in collective defence coverage. Data protection mandates, confidentiality requirements, and varying legal frameworks impede timely intelligence sharing. Trust asymmetries and perceptions of skewed information flow further inhibit collaboration, while the proliferation of overlapping PPP structures can generate fragmentation, complicating coordination and reducing overall effectiveness (Bartoli, 2025; Europol, 2023).</w:t>
      </w:r>
    </w:p>
    <w:p w14:paraId="0AD4157A" w14:textId="6365CDD3" w:rsidR="002D16E8" w:rsidRPr="000B2139" w:rsidRDefault="072B9025" w:rsidP="36484D52">
      <w:pPr>
        <w:spacing w:before="240" w:after="240" w:line="360" w:lineRule="auto"/>
        <w:jc w:val="both"/>
        <w:rPr>
          <w:rFonts w:ascii="Arial" w:eastAsia="Arial" w:hAnsi="Arial" w:cs="Arial"/>
        </w:rPr>
      </w:pPr>
      <w:r w:rsidRPr="36484D52">
        <w:rPr>
          <w:rFonts w:ascii="Arial" w:eastAsia="Arial" w:hAnsi="Arial" w:cs="Arial"/>
        </w:rPr>
        <w:t>The 2024 LockBit ransomware investigation illustrates both the benefits and limitations of PPPs. Coordinated intelligence sharing, access to proprietary analytics platforms, and joint operational planning enabled rapid identification of criminal infrastructure and supported international arrests. Nonetheless, gaps in SME engagement and delayed reporting highlighted that preventive reach remains contingent on comprehensive participation and timely data flow. This case underscores that PPPs maximise operational, technological, collaborative, and preventive effectiveness when embedded within an integrated cyber-policing framework combining digital forensics, threat intelligence, and regulatory oversight (National Crime Agency, 2024).</w:t>
      </w:r>
    </w:p>
    <w:p w14:paraId="6264399B" w14:textId="1878A384" w:rsidR="002D16E8" w:rsidRPr="001E11F0" w:rsidRDefault="072B9025" w:rsidP="001E11F0">
      <w:pPr>
        <w:spacing w:before="240" w:after="240" w:line="360" w:lineRule="auto"/>
        <w:jc w:val="both"/>
        <w:rPr>
          <w:rFonts w:ascii="Arial" w:eastAsia="Arial" w:hAnsi="Arial" w:cs="Arial"/>
        </w:rPr>
      </w:pPr>
      <w:r w:rsidRPr="36484D52">
        <w:rPr>
          <w:rFonts w:ascii="Arial" w:eastAsia="Arial" w:hAnsi="Arial" w:cs="Arial"/>
        </w:rPr>
        <w:t>Comparatively, PPPs extend the operational reach of law enforcement, enhance technological capacity, and facilitate collaboration and prevention in ways that digital forensics and threat intelligence alone cannot. While no single approach is sufficient, the integration of these strategies produces a resilient, adaptive, and evidence-based cyber-policing ecosystem capable of mitigating the incidence and impact of ransomware, data breaches, and cyber-enabled fraud (Bartoli, 2025; Europol, 2023; National Crime Agency, 2024).</w:t>
      </w:r>
    </w:p>
    <w:p w14:paraId="12E29908" w14:textId="09AE235C" w:rsidR="4C9A702F" w:rsidRPr="001E5F33" w:rsidRDefault="7C67814A" w:rsidP="36484D52">
      <w:pPr>
        <w:spacing w:before="240" w:after="240" w:line="360" w:lineRule="auto"/>
        <w:jc w:val="both"/>
        <w:rPr>
          <w:rFonts w:ascii="Arial" w:eastAsia="Arial" w:hAnsi="Arial" w:cs="Arial"/>
          <w:b/>
          <w:bCs/>
        </w:rPr>
      </w:pPr>
      <w:r w:rsidRPr="36484D52">
        <w:rPr>
          <w:rFonts w:ascii="Arial" w:eastAsia="Arial" w:hAnsi="Arial" w:cs="Arial"/>
          <w:b/>
          <w:bCs/>
        </w:rPr>
        <w:t xml:space="preserve">Systemic Barriers </w:t>
      </w:r>
    </w:p>
    <w:p w14:paraId="2C12DD02" w14:textId="5B4F839B" w:rsidR="4C9A702F" w:rsidRPr="001E5F33" w:rsidRDefault="4EAE4D46" w:rsidP="36484D52">
      <w:pPr>
        <w:spacing w:before="240" w:after="240" w:line="360" w:lineRule="auto"/>
        <w:jc w:val="both"/>
        <w:rPr>
          <w:rFonts w:ascii="Arial" w:eastAsia="Arial" w:hAnsi="Arial" w:cs="Arial"/>
        </w:rPr>
      </w:pPr>
      <w:r w:rsidRPr="36484D52">
        <w:rPr>
          <w:rFonts w:ascii="Arial" w:eastAsia="Arial" w:hAnsi="Arial" w:cs="Arial"/>
        </w:rPr>
        <w:t xml:space="preserve">Systemic barriers continue to constrain cyber-policing effectiveness across prevention, investigation, and prosecution, operating not as isolated operational issues but as interdependent structural weaknesses. Skills shortages represent a central constraint, reducing both investigative throughput and evidential quality. As Tok, Yang and Chattopadhyay (2024) highlight, deficits in specialist digital forensics and analytical expertise create persistent backlogs, delaying attribution and weakening confidence </w:t>
      </w:r>
      <w:r w:rsidRPr="36484D52">
        <w:rPr>
          <w:rFonts w:ascii="Arial" w:eastAsia="Arial" w:hAnsi="Arial" w:cs="Arial"/>
        </w:rPr>
        <w:lastRenderedPageBreak/>
        <w:t>in intelligence outputs. These delays are not operationally neutral, as they allow offenders time to adapt tactics, migrate infrastructure, and launder proceeds, directly reducing the likelihood of successful disruption or prosecution (Europol, 2023).</w:t>
      </w:r>
    </w:p>
    <w:p w14:paraId="25E3B4F5" w14:textId="794853BA" w:rsidR="2A12AB0D" w:rsidRPr="001E5F33" w:rsidRDefault="426511E5" w:rsidP="36484D52">
      <w:pPr>
        <w:spacing w:before="240" w:after="240" w:line="360" w:lineRule="auto"/>
        <w:jc w:val="both"/>
        <w:rPr>
          <w:rFonts w:ascii="Arial" w:eastAsia="Arial" w:hAnsi="Arial" w:cs="Arial"/>
        </w:rPr>
      </w:pPr>
      <w:r w:rsidRPr="36484D52">
        <w:rPr>
          <w:rFonts w:ascii="Arial" w:eastAsia="Arial" w:hAnsi="Arial" w:cs="Arial"/>
        </w:rPr>
        <w:t>Legal fragmentation across jurisdictions and cloud service providers further compounds these challenges. While often framed as an unavoidable feature of transnational cybercrime, fragmented legal frameworks actively undermine evidential certainty and admissibility. In the UK context, reliance on the Crime (Overseas Production Orders) Act 2019 and traditional Mutual Legal Assistance (MLA) processes illustrates these constraints, as investigators seeking electronic evidence held overseas remain subject to delays, foreign judicial approval, and provider-specific disclosure thresholds (UK Parliament, 2019; Home Office, 2021). These challenges are compounded by conflicting compliance obligations faced by cloud service providers operating across jurisdictions, particularly tensions between UK production orders, EU General Data Protection Regulation (GDPR) requirements, and disclosure obligations under the US CLOUD Act (European Commission, 2016; US Congress, 2018). As a result, delays in cross-border data access, inconsistent disclosure standards, and regulatory conflicts introduce procedural risk throughout investigations, particularly in relation to evidential integrity and admissibility (Brenner, 2019; UNODC, 2021). Even when technical attribution is strong, evidential weaknesses can compromise prosecutions, exposing a fundamental mismatch between globalised cyber offending and territorially bounded legal systems.</w:t>
      </w:r>
    </w:p>
    <w:p w14:paraId="4EE46A44" w14:textId="1F741A49" w:rsidR="4C9A702F" w:rsidRDefault="7C67814A" w:rsidP="36484D52">
      <w:pPr>
        <w:spacing w:before="240" w:after="240" w:line="360" w:lineRule="auto"/>
        <w:jc w:val="both"/>
        <w:rPr>
          <w:rFonts w:ascii="Arial" w:eastAsia="Arial" w:hAnsi="Arial" w:cs="Arial"/>
        </w:rPr>
      </w:pPr>
      <w:r w:rsidRPr="36484D52">
        <w:rPr>
          <w:rFonts w:ascii="Arial" w:eastAsia="Arial" w:hAnsi="Arial" w:cs="Arial"/>
        </w:rPr>
        <w:t>Resource constraints exacerbate these vulnerabilities by limiting deployment of modern forensic, intelligence, and analytical tools at scale. Policing agencies frequently rely on legacy systems ill-suited to contemporary threat environments characterised by automation, encryption, and high-volume data flows. This resource imbalance creates structural asymmetry, where cybercriminals innovate rapidly and cheaply, while law enforcement is constrained by public-sector procurement cycles and budgetary limitations (Dupont, 2019; Schmitt, 2023).</w:t>
      </w:r>
    </w:p>
    <w:p w14:paraId="513C29BA" w14:textId="52F0F95B" w:rsidR="4C9A702F" w:rsidRDefault="7C67814A" w:rsidP="36484D52">
      <w:pPr>
        <w:spacing w:before="240" w:after="240" w:line="360" w:lineRule="auto"/>
        <w:jc w:val="both"/>
        <w:rPr>
          <w:rFonts w:ascii="Arial" w:eastAsia="Arial" w:hAnsi="Arial" w:cs="Arial"/>
        </w:rPr>
      </w:pPr>
      <w:r w:rsidRPr="36484D52">
        <w:rPr>
          <w:rFonts w:ascii="Arial" w:eastAsia="Arial" w:hAnsi="Arial" w:cs="Arial"/>
        </w:rPr>
        <w:t xml:space="preserve">Rapid adversary innovation further erodes strategic resilience. Cybercriminal groups routinely adopt new malware variants, obfuscation techniques, and AI-enabled tools at a pace exceeding law enforcement adaptation. This dynamic forces policing into a reactive posture, addressing yesterday’s tactics rather than anticipating emerging </w:t>
      </w:r>
      <w:r w:rsidRPr="36484D52">
        <w:rPr>
          <w:rFonts w:ascii="Arial" w:eastAsia="Arial" w:hAnsi="Arial" w:cs="Arial"/>
        </w:rPr>
        <w:lastRenderedPageBreak/>
        <w:t>threats. Over time, this undermines deterrence and reinforces offender confidence in the low probability of detection (Europol, 2023).</w:t>
      </w:r>
    </w:p>
    <w:p w14:paraId="511EDF0F" w14:textId="6F21D345" w:rsidR="4C9A702F" w:rsidRDefault="7C67814A" w:rsidP="36484D52">
      <w:pPr>
        <w:spacing w:before="240" w:after="240" w:line="360" w:lineRule="auto"/>
        <w:jc w:val="both"/>
        <w:rPr>
          <w:rFonts w:ascii="Arial" w:eastAsia="Arial" w:hAnsi="Arial" w:cs="Arial"/>
        </w:rPr>
      </w:pPr>
      <w:r w:rsidRPr="36484D52">
        <w:rPr>
          <w:rFonts w:ascii="Arial" w:eastAsia="Arial" w:hAnsi="Arial" w:cs="Arial"/>
        </w:rPr>
        <w:t>Organisational culture also sustains these barriers. A predominantly reactive orientation prioritises post-incident investigation over prevention, limiting investment in intelligence-led early intervention and predictive capabilities. Consequently, mandatory incident reporting remains inconsistently implemented, creating intelligence blind spots that weaken situational awareness and strategic planning (Bartoli, 2025). This feedback loop perpetuates reactive decision-making, as limited intelligence visibility constrains preventive action.</w:t>
      </w:r>
    </w:p>
    <w:p w14:paraId="108DA264" w14:textId="0BA9436D" w:rsidR="4C9A702F" w:rsidRDefault="7C67814A" w:rsidP="36484D52">
      <w:pPr>
        <w:spacing w:before="240" w:after="240" w:line="360" w:lineRule="auto"/>
        <w:jc w:val="both"/>
        <w:rPr>
          <w:rFonts w:ascii="Arial" w:eastAsia="Arial" w:hAnsi="Arial" w:cs="Arial"/>
        </w:rPr>
      </w:pPr>
      <w:r w:rsidRPr="36484D52">
        <w:rPr>
          <w:rFonts w:ascii="Arial" w:eastAsia="Arial" w:hAnsi="Arial" w:cs="Arial"/>
        </w:rPr>
        <w:t>Public–private partnerships (PPPs), while essential to cyber-policing, remain structurally fragile. Voluntary participation and unresolved liability concerns discourage consistent data sharing, resulting in uneven telemetry and delayed intelligence flows. As Bartoli (2025) notes, this fragility reflects deeper power asymmetries, where private actors retain control over critical data and detection capabilities while public agencies bear enforcement responsibility. Collaborative disruption efforts are therefore often partial and unreliable, limiting strategic impact.</w:t>
      </w:r>
    </w:p>
    <w:p w14:paraId="520AD38A" w14:textId="79DD360B" w:rsidR="4C9A702F" w:rsidRDefault="7C67814A" w:rsidP="36484D52">
      <w:pPr>
        <w:spacing w:before="240" w:after="240" w:line="360" w:lineRule="auto"/>
        <w:jc w:val="both"/>
        <w:rPr>
          <w:rFonts w:ascii="Arial" w:eastAsia="Arial" w:hAnsi="Arial" w:cs="Arial"/>
        </w:rPr>
      </w:pPr>
      <w:r w:rsidRPr="36484D52">
        <w:rPr>
          <w:rFonts w:ascii="Arial" w:eastAsia="Arial" w:hAnsi="Arial" w:cs="Arial"/>
        </w:rPr>
        <w:t>Collectively, these barriers interact to undermine operational speed, weaken legal compliance, and constrain preventive effectiveness. They do not function independently but reinforce one another, producing a policing environment that is tactically capable yet structurally constrained. Without coordinated structural reform including specialist skills development, cross-jurisdictional legal harmonisation, sustainable resourcing, organisational reorientation toward prevention, and enforceable public–private cooperation policing will remain reactive and fragmented, leaving it vulnerable to increasingly sophisticated and transnational cybercrime threats.</w:t>
      </w:r>
      <w:r w:rsidR="00695A55" w:rsidRPr="00695A55">
        <w:t xml:space="preserve"> </w:t>
      </w:r>
      <w:r w:rsidR="00695A55" w:rsidRPr="00695A55">
        <w:rPr>
          <w:rFonts w:ascii="Arial" w:eastAsia="Arial" w:hAnsi="Arial" w:cs="Arial"/>
        </w:rPr>
        <w:t>(Bartoli, 2025; Dupont, 2019; Europol, 2023; ENISA, 2023; UNODC, 2021).</w:t>
      </w:r>
    </w:p>
    <w:p w14:paraId="18C58796" w14:textId="25A31295" w:rsidR="001E5F33" w:rsidRDefault="001E5F33" w:rsidP="001E5F33">
      <w:pPr>
        <w:spacing w:line="360" w:lineRule="auto"/>
        <w:jc w:val="both"/>
        <w:rPr>
          <w:rFonts w:ascii="Arial" w:eastAsia="Arial" w:hAnsi="Arial" w:cs="Arial"/>
          <w:color w:val="0F9ED5" w:themeColor="accent4"/>
        </w:rPr>
      </w:pPr>
    </w:p>
    <w:p w14:paraId="7E0DC58D" w14:textId="6E34EE53" w:rsidR="4C9A702F" w:rsidRDefault="18EB5DF6" w:rsidP="36484D52">
      <w:pPr>
        <w:spacing w:before="240" w:after="240" w:line="360" w:lineRule="auto"/>
        <w:jc w:val="both"/>
        <w:rPr>
          <w:rFonts w:ascii="Arial" w:eastAsia="Arial" w:hAnsi="Arial" w:cs="Arial"/>
          <w:b/>
          <w:bCs/>
        </w:rPr>
      </w:pPr>
      <w:r w:rsidRPr="36484D52">
        <w:rPr>
          <w:rFonts w:ascii="Arial" w:eastAsia="Arial" w:hAnsi="Arial" w:cs="Arial"/>
          <w:b/>
          <w:bCs/>
        </w:rPr>
        <w:t>Conclusion</w:t>
      </w:r>
    </w:p>
    <w:p w14:paraId="79AA2D9D" w14:textId="67D64671" w:rsidR="4C9A702F" w:rsidRDefault="47BAD6E7" w:rsidP="36484D52">
      <w:pPr>
        <w:spacing w:before="240" w:after="240" w:line="360" w:lineRule="auto"/>
        <w:jc w:val="both"/>
        <w:rPr>
          <w:rFonts w:ascii="Arial" w:eastAsia="Arial" w:hAnsi="Arial" w:cs="Arial"/>
        </w:rPr>
      </w:pPr>
      <w:r w:rsidRPr="36484D52">
        <w:rPr>
          <w:rFonts w:ascii="Arial" w:eastAsia="Arial" w:hAnsi="Arial" w:cs="Arial"/>
        </w:rPr>
        <w:t xml:space="preserve">Cybercrime constitutes a multifaceted and evolving threat that transcends national borders and institutional boundaries, demanding a cohesive and adaptive policing response. Contemporary cyber‑policing relies on digital forensics, threat intelligence, </w:t>
      </w:r>
      <w:r w:rsidRPr="36484D52">
        <w:rPr>
          <w:rFonts w:ascii="Arial" w:eastAsia="Arial" w:hAnsi="Arial" w:cs="Arial"/>
        </w:rPr>
        <w:lastRenderedPageBreak/>
        <w:t>and public–private partnerships to counter ransomware, data breaches, and cyber‑enabled fraud. Digital forensics supports successful prosecutions through incident reconstruction and offender attribution. Threat intelligence enables proactive detection and prioritisation of high‑harm actors. Public–private partnerships extend operational reach and strengthen collaborative networks for situational awareness.</w:t>
      </w:r>
    </w:p>
    <w:p w14:paraId="1F614DB4" w14:textId="09A767C9" w:rsidR="4C9A702F" w:rsidRDefault="47BAD6E7" w:rsidP="36484D52">
      <w:pPr>
        <w:spacing w:before="240" w:after="240" w:line="360" w:lineRule="auto"/>
        <w:jc w:val="both"/>
        <w:rPr>
          <w:rFonts w:ascii="Arial" w:eastAsia="Arial" w:hAnsi="Arial" w:cs="Arial"/>
        </w:rPr>
      </w:pPr>
      <w:r w:rsidRPr="36484D52">
        <w:rPr>
          <w:rFonts w:ascii="Arial" w:eastAsia="Arial" w:hAnsi="Arial" w:cs="Arial"/>
        </w:rPr>
        <w:t>Each approach has strengths and limitations. Digital forensics is constrained by its reactive nature and growing data volumes. Threat intelligence depends on timely, complete, and relevant information, and its impact is diminished in fragmented reporting environments, particularly in fraud. Public–private partnerships face voluntary participation, liability concerns, and structural asymmetries restricting data flow. Together, these approaches provide an effective framework but require systemic reforms to address structural barriers.</w:t>
      </w:r>
    </w:p>
    <w:p w14:paraId="07E94B13" w14:textId="7A8AF20A" w:rsidR="4C9A702F" w:rsidRDefault="47BAD6E7" w:rsidP="36484D52">
      <w:pPr>
        <w:spacing w:before="240" w:after="240" w:line="360" w:lineRule="auto"/>
        <w:jc w:val="both"/>
        <w:rPr>
          <w:rFonts w:ascii="Arial" w:eastAsia="Arial" w:hAnsi="Arial" w:cs="Arial"/>
        </w:rPr>
      </w:pPr>
      <w:r w:rsidRPr="36484D52">
        <w:rPr>
          <w:rFonts w:ascii="Arial" w:eastAsia="Arial" w:hAnsi="Arial" w:cs="Arial"/>
        </w:rPr>
        <w:t xml:space="preserve">The evolution of cybercrime, including AI and sophisticated social engineering (Europol, 2025), underscores the need for outward‑looking, evidence‑based, and technologically enabled policing strategies. A holistic model requires investment in workforce development, international cooperation, regulatory harmonisation, and analytical capabilities. Integrating the three approaches enhances operational efficiency and preventive capacity, while improved legal mechanisms for cross‑border data access would reduce delays and strengthen prosecutions (Eurojust, 2024). </w:t>
      </w:r>
      <w:r w:rsidR="00695A55" w:rsidRPr="36484D52">
        <w:rPr>
          <w:rFonts w:ascii="Arial" w:eastAsia="Arial" w:hAnsi="Arial" w:cs="Arial"/>
        </w:rPr>
        <w:t>Overall</w:t>
      </w:r>
      <w:r w:rsidR="00695A55">
        <w:rPr>
          <w:rFonts w:ascii="Arial" w:eastAsia="Arial" w:hAnsi="Arial" w:cs="Arial"/>
        </w:rPr>
        <w:t>,</w:t>
      </w:r>
      <w:r w:rsidRPr="36484D52">
        <w:rPr>
          <w:rFonts w:ascii="Arial" w:eastAsia="Arial" w:hAnsi="Arial" w:cs="Arial"/>
        </w:rPr>
        <w:t xml:space="preserve"> a resilient, intelligence‑driven, collaborative cyber‑policing strategy can enhance societal resilience, protect infrastructure, and maintain public trust amid an increasingly sophisticated threat environment.</w:t>
      </w:r>
    </w:p>
    <w:p w14:paraId="20470BD3" w14:textId="0D910FFF" w:rsidR="4C9A702F" w:rsidRDefault="4C9A702F" w:rsidP="36484D52">
      <w:pPr>
        <w:rPr>
          <w:rFonts w:asciiTheme="minorBidi" w:hAnsiTheme="minorBidi"/>
          <w:color w:val="0F9ED5" w:themeColor="accent4"/>
        </w:rPr>
      </w:pPr>
    </w:p>
    <w:p w14:paraId="215EBD2D" w14:textId="5CE9295B" w:rsidR="4C9A702F" w:rsidRDefault="4C9A702F" w:rsidP="4C9A702F">
      <w:pPr>
        <w:rPr>
          <w:rFonts w:asciiTheme="minorBidi" w:hAnsiTheme="minorBidi"/>
          <w:color w:val="0F9ED5" w:themeColor="accent4"/>
        </w:rPr>
      </w:pPr>
    </w:p>
    <w:p w14:paraId="3F3D9DB1" w14:textId="77777777" w:rsidR="00B43545" w:rsidRDefault="00B43545" w:rsidP="4C9A702F">
      <w:pPr>
        <w:rPr>
          <w:rFonts w:asciiTheme="minorBidi" w:hAnsiTheme="minorBidi"/>
          <w:color w:val="0F9ED5" w:themeColor="accent4"/>
        </w:rPr>
      </w:pPr>
    </w:p>
    <w:p w14:paraId="06184BD3" w14:textId="77777777" w:rsidR="00B43545" w:rsidRDefault="00B43545" w:rsidP="4C9A702F">
      <w:pPr>
        <w:rPr>
          <w:rFonts w:asciiTheme="minorBidi" w:hAnsiTheme="minorBidi"/>
          <w:color w:val="0F9ED5" w:themeColor="accent4"/>
        </w:rPr>
      </w:pPr>
    </w:p>
    <w:p w14:paraId="466358B1" w14:textId="77777777" w:rsidR="00B43545" w:rsidRDefault="00B43545" w:rsidP="4C9A702F">
      <w:pPr>
        <w:rPr>
          <w:rFonts w:asciiTheme="minorBidi" w:hAnsiTheme="minorBidi"/>
          <w:color w:val="0F9ED5" w:themeColor="accent4"/>
        </w:rPr>
      </w:pPr>
    </w:p>
    <w:p w14:paraId="57CDCDEA" w14:textId="77777777" w:rsidR="00B43545" w:rsidRDefault="00B43545" w:rsidP="4C9A702F">
      <w:pPr>
        <w:rPr>
          <w:rFonts w:asciiTheme="minorBidi" w:hAnsiTheme="minorBidi"/>
          <w:color w:val="0F9ED5" w:themeColor="accent4"/>
        </w:rPr>
      </w:pPr>
    </w:p>
    <w:p w14:paraId="664E6304" w14:textId="68F4633D" w:rsidR="5C45AAEE" w:rsidRDefault="5C45AAEE" w:rsidP="5C45AAEE">
      <w:pPr>
        <w:rPr>
          <w:rFonts w:ascii="Arial" w:eastAsia="Arial" w:hAnsi="Arial" w:cs="Arial"/>
          <w:b/>
          <w:bCs/>
        </w:rPr>
      </w:pPr>
    </w:p>
    <w:p w14:paraId="6A7E6EDF" w14:textId="6F686A88" w:rsidR="5C45AAEE" w:rsidRDefault="5C45AAEE" w:rsidP="5C45AAEE">
      <w:pPr>
        <w:rPr>
          <w:rFonts w:ascii="Arial" w:eastAsia="Arial" w:hAnsi="Arial" w:cs="Arial"/>
          <w:b/>
          <w:bCs/>
        </w:rPr>
      </w:pPr>
    </w:p>
    <w:bookmarkEnd w:id="0"/>
    <w:p w14:paraId="244CEF8B" w14:textId="77777777" w:rsidR="00DD4B6B" w:rsidRDefault="00DD4B6B" w:rsidP="5C45AAEE">
      <w:pPr>
        <w:spacing w:before="240" w:after="240"/>
        <w:rPr>
          <w:rFonts w:ascii="Arial" w:eastAsia="Arial" w:hAnsi="Arial" w:cs="Arial"/>
          <w:b/>
          <w:bCs/>
        </w:rPr>
      </w:pPr>
    </w:p>
    <w:p w14:paraId="59789E81" w14:textId="08EDC28A" w:rsidR="000B2139" w:rsidRDefault="6A21BA8C" w:rsidP="5C45AAEE">
      <w:pPr>
        <w:spacing w:before="240" w:after="240"/>
        <w:rPr>
          <w:rFonts w:ascii="Arial" w:eastAsia="Arial" w:hAnsi="Arial" w:cs="Arial"/>
          <w:b/>
          <w:bCs/>
        </w:rPr>
      </w:pPr>
      <w:r w:rsidRPr="5C45AAEE">
        <w:rPr>
          <w:rFonts w:ascii="Arial" w:eastAsia="Arial" w:hAnsi="Arial" w:cs="Arial"/>
          <w:b/>
          <w:bCs/>
        </w:rPr>
        <w:t>References</w:t>
      </w:r>
    </w:p>
    <w:p w14:paraId="43C9B697" w14:textId="7C68488A" w:rsidR="2A12AB0D" w:rsidRDefault="66E39B72" w:rsidP="5C45AAEE">
      <w:pPr>
        <w:spacing w:before="240" w:after="240"/>
      </w:pPr>
      <w:r w:rsidRPr="5C45AAEE">
        <w:rPr>
          <w:rFonts w:ascii="Arial" w:eastAsia="Arial" w:hAnsi="Arial" w:cs="Arial"/>
        </w:rPr>
        <w:t xml:space="preserve">Bartoli, A., 2025. </w:t>
      </w:r>
      <w:r w:rsidRPr="5C45AAEE">
        <w:rPr>
          <w:rFonts w:ascii="Arial" w:eastAsia="Arial" w:hAnsi="Arial" w:cs="Arial"/>
          <w:i/>
          <w:iCs/>
        </w:rPr>
        <w:t>Cybercrime policing: technology, collaboration, and strategy</w:t>
      </w:r>
      <w:r w:rsidRPr="5C45AAEE">
        <w:rPr>
          <w:rFonts w:ascii="Arial" w:eastAsia="Arial" w:hAnsi="Arial" w:cs="Arial"/>
        </w:rPr>
        <w:t>. London: Routledge.</w:t>
      </w:r>
    </w:p>
    <w:p w14:paraId="451EF0D0" w14:textId="7CC531DB" w:rsidR="2A12AB0D" w:rsidRDefault="66E39B72" w:rsidP="5C45AAEE">
      <w:pPr>
        <w:spacing w:before="240" w:after="240"/>
      </w:pPr>
      <w:r w:rsidRPr="5C45AAEE">
        <w:rPr>
          <w:rFonts w:ascii="Arial" w:eastAsia="Arial" w:hAnsi="Arial" w:cs="Arial"/>
        </w:rPr>
        <w:t xml:space="preserve">Blake, E., Simpson, R. and Jones, T., 2013. Cross-sector intelligence sharing in cybercrime prevention. </w:t>
      </w:r>
      <w:r w:rsidRPr="5C45AAEE">
        <w:rPr>
          <w:rFonts w:ascii="Arial" w:eastAsia="Arial" w:hAnsi="Arial" w:cs="Arial"/>
          <w:i/>
          <w:iCs/>
        </w:rPr>
        <w:t>Journal of Cybersecurity Studies</w:t>
      </w:r>
      <w:r w:rsidRPr="5C45AAEE">
        <w:rPr>
          <w:rFonts w:ascii="Arial" w:eastAsia="Arial" w:hAnsi="Arial" w:cs="Arial"/>
        </w:rPr>
        <w:t>, 2(1), pp.45–63.</w:t>
      </w:r>
    </w:p>
    <w:p w14:paraId="302BE7EA" w14:textId="2E5DB78A" w:rsidR="2A12AB0D" w:rsidRDefault="66E39B72" w:rsidP="5C45AAEE">
      <w:pPr>
        <w:spacing w:before="240" w:after="240"/>
      </w:pPr>
      <w:r w:rsidRPr="5C45AAEE">
        <w:rPr>
          <w:rFonts w:ascii="Arial" w:eastAsia="Arial" w:hAnsi="Arial" w:cs="Arial"/>
        </w:rPr>
        <w:t xml:space="preserve">Brenner, S., 2019. </w:t>
      </w:r>
      <w:r w:rsidRPr="5C45AAEE">
        <w:rPr>
          <w:rFonts w:ascii="Arial" w:eastAsia="Arial" w:hAnsi="Arial" w:cs="Arial"/>
          <w:i/>
          <w:iCs/>
        </w:rPr>
        <w:t>Cybercrime and the law: transnational challenges</w:t>
      </w:r>
      <w:r w:rsidRPr="5C45AAEE">
        <w:rPr>
          <w:rFonts w:ascii="Arial" w:eastAsia="Arial" w:hAnsi="Arial" w:cs="Arial"/>
        </w:rPr>
        <w:t>. Oxford: Oxford University Press.</w:t>
      </w:r>
    </w:p>
    <w:p w14:paraId="0F046044" w14:textId="447F0428" w:rsidR="2A12AB0D" w:rsidRDefault="66E39B72" w:rsidP="5C45AAEE">
      <w:pPr>
        <w:spacing w:before="240" w:after="240"/>
      </w:pPr>
      <w:r w:rsidRPr="5C45AAEE">
        <w:rPr>
          <w:rFonts w:ascii="Arial" w:eastAsia="Arial" w:hAnsi="Arial" w:cs="Arial"/>
        </w:rPr>
        <w:t xml:space="preserve">Chainalysis, 2023. Blockchain analytics in ransomware investigations. [online] Available at: </w:t>
      </w:r>
      <w:hyperlink r:id="rId8">
        <w:r w:rsidRPr="5C45AAEE">
          <w:rPr>
            <w:rStyle w:val="Hyperlink"/>
            <w:rFonts w:ascii="Arial" w:eastAsia="Arial" w:hAnsi="Arial" w:cs="Arial"/>
          </w:rPr>
          <w:t>https://www.chainalysis.com/blog</w:t>
        </w:r>
      </w:hyperlink>
      <w:r w:rsidRPr="5C45AAEE">
        <w:rPr>
          <w:rFonts w:ascii="Arial" w:eastAsia="Arial" w:hAnsi="Arial" w:cs="Arial"/>
        </w:rPr>
        <w:t xml:space="preserve"> [Accessed 12 December 2025].</w:t>
      </w:r>
    </w:p>
    <w:p w14:paraId="3FFE315D" w14:textId="17B21899" w:rsidR="2A12AB0D" w:rsidRDefault="66E39B72" w:rsidP="5C45AAEE">
      <w:pPr>
        <w:spacing w:before="240" w:after="240"/>
      </w:pPr>
      <w:r w:rsidRPr="5C45AAEE">
        <w:rPr>
          <w:rFonts w:ascii="Arial" w:eastAsia="Arial" w:hAnsi="Arial" w:cs="Arial"/>
        </w:rPr>
        <w:t xml:space="preserve">Check Point Research, 2024. Ransomware attack trends 2024. [online] Available at: </w:t>
      </w:r>
      <w:hyperlink r:id="rId9">
        <w:r w:rsidRPr="5C45AAEE">
          <w:rPr>
            <w:rStyle w:val="Hyperlink"/>
            <w:rFonts w:ascii="Arial" w:eastAsia="Arial" w:hAnsi="Arial" w:cs="Arial"/>
          </w:rPr>
          <w:t>https://www.checkpoint.com/research</w:t>
        </w:r>
      </w:hyperlink>
      <w:r w:rsidRPr="5C45AAEE">
        <w:rPr>
          <w:rFonts w:ascii="Arial" w:eastAsia="Arial" w:hAnsi="Arial" w:cs="Arial"/>
        </w:rPr>
        <w:t xml:space="preserve"> [Accessed 15 December 2025].</w:t>
      </w:r>
    </w:p>
    <w:p w14:paraId="1FD81874" w14:textId="67417EF0" w:rsidR="2A12AB0D" w:rsidRDefault="66E39B72" w:rsidP="5C45AAEE">
      <w:pPr>
        <w:spacing w:before="240" w:after="240"/>
      </w:pPr>
      <w:r w:rsidRPr="5C45AAEE">
        <w:rPr>
          <w:rFonts w:ascii="Arial" w:eastAsia="Arial" w:hAnsi="Arial" w:cs="Arial"/>
        </w:rPr>
        <w:t xml:space="preserve">CISA, 2021. </w:t>
      </w:r>
      <w:r w:rsidRPr="5C45AAEE">
        <w:rPr>
          <w:rFonts w:ascii="Arial" w:eastAsia="Arial" w:hAnsi="Arial" w:cs="Arial"/>
          <w:i/>
          <w:iCs/>
        </w:rPr>
        <w:t>Colonial Pipeline ransomware attack: incident report</w:t>
      </w:r>
      <w:r w:rsidRPr="5C45AAEE">
        <w:rPr>
          <w:rFonts w:ascii="Arial" w:eastAsia="Arial" w:hAnsi="Arial" w:cs="Arial"/>
        </w:rPr>
        <w:t xml:space="preserve">. [online] Available at: </w:t>
      </w:r>
      <w:hyperlink r:id="rId10">
        <w:r w:rsidRPr="5C45AAEE">
          <w:rPr>
            <w:rStyle w:val="Hyperlink"/>
            <w:rFonts w:ascii="Arial" w:eastAsia="Arial" w:hAnsi="Arial" w:cs="Arial"/>
          </w:rPr>
          <w:t>https://www.cisa.gov/colonial-pipeline</w:t>
        </w:r>
      </w:hyperlink>
      <w:r w:rsidRPr="5C45AAEE">
        <w:rPr>
          <w:rFonts w:ascii="Arial" w:eastAsia="Arial" w:hAnsi="Arial" w:cs="Arial"/>
        </w:rPr>
        <w:t xml:space="preserve"> [Accessed 16 December 2025].</w:t>
      </w:r>
    </w:p>
    <w:p w14:paraId="0B4F3496" w14:textId="757BC50C" w:rsidR="2A12AB0D" w:rsidRDefault="66E39B72" w:rsidP="5C45AAEE">
      <w:pPr>
        <w:spacing w:before="240" w:after="240"/>
      </w:pPr>
      <w:r w:rsidRPr="5C45AAEE">
        <w:rPr>
          <w:rFonts w:ascii="Arial" w:eastAsia="Arial" w:hAnsi="Arial" w:cs="Arial"/>
        </w:rPr>
        <w:t xml:space="preserve">Department for Science, Innovation and Technology, 2025. </w:t>
      </w:r>
      <w:r w:rsidRPr="5C45AAEE">
        <w:rPr>
          <w:rFonts w:ascii="Arial" w:eastAsia="Arial" w:hAnsi="Arial" w:cs="Arial"/>
          <w:i/>
          <w:iCs/>
        </w:rPr>
        <w:t>Cybercrime: annual impact report 2025</w:t>
      </w:r>
      <w:r w:rsidRPr="5C45AAEE">
        <w:rPr>
          <w:rFonts w:ascii="Arial" w:eastAsia="Arial" w:hAnsi="Arial" w:cs="Arial"/>
        </w:rPr>
        <w:t xml:space="preserve">. [online] Available at: </w:t>
      </w:r>
      <w:hyperlink r:id="rId11">
        <w:r w:rsidRPr="5C45AAEE">
          <w:rPr>
            <w:rStyle w:val="Hyperlink"/>
            <w:rFonts w:ascii="Arial" w:eastAsia="Arial" w:hAnsi="Arial" w:cs="Arial"/>
          </w:rPr>
          <w:t>https://www.gov.uk/digital-innovation/cybercrime-report</w:t>
        </w:r>
      </w:hyperlink>
      <w:r w:rsidRPr="5C45AAEE">
        <w:rPr>
          <w:rFonts w:ascii="Arial" w:eastAsia="Arial" w:hAnsi="Arial" w:cs="Arial"/>
        </w:rPr>
        <w:t xml:space="preserve"> [Accessed 12 December 2025].</w:t>
      </w:r>
    </w:p>
    <w:p w14:paraId="7D2000EF" w14:textId="40166439" w:rsidR="2A12AB0D" w:rsidRDefault="66E39B72" w:rsidP="5C45AAEE">
      <w:pPr>
        <w:spacing w:before="240" w:after="240"/>
      </w:pPr>
      <w:r w:rsidRPr="5C45AAEE">
        <w:rPr>
          <w:rFonts w:ascii="Arial" w:eastAsia="Arial" w:hAnsi="Arial" w:cs="Arial"/>
        </w:rPr>
        <w:t xml:space="preserve">Department for Science, Innovation and Technology and Home Office, 2025. </w:t>
      </w:r>
      <w:r w:rsidRPr="5C45AAEE">
        <w:rPr>
          <w:rFonts w:ascii="Arial" w:eastAsia="Arial" w:hAnsi="Arial" w:cs="Arial"/>
          <w:i/>
          <w:iCs/>
        </w:rPr>
        <w:t>Cyber policing and public-private cooperation</w:t>
      </w:r>
      <w:r w:rsidRPr="5C45AAEE">
        <w:rPr>
          <w:rFonts w:ascii="Arial" w:eastAsia="Arial" w:hAnsi="Arial" w:cs="Arial"/>
        </w:rPr>
        <w:t xml:space="preserve">. [online] Available at: </w:t>
      </w:r>
      <w:hyperlink r:id="rId12">
        <w:r w:rsidRPr="5C45AAEE">
          <w:rPr>
            <w:rStyle w:val="Hyperlink"/>
            <w:rFonts w:ascii="Arial" w:eastAsia="Arial" w:hAnsi="Arial" w:cs="Arial"/>
          </w:rPr>
          <w:t>https://www.gov.uk/government/publications</w:t>
        </w:r>
      </w:hyperlink>
      <w:r w:rsidRPr="5C45AAEE">
        <w:rPr>
          <w:rFonts w:ascii="Arial" w:eastAsia="Arial" w:hAnsi="Arial" w:cs="Arial"/>
        </w:rPr>
        <w:t xml:space="preserve"> [Accessed 18 December 2025].</w:t>
      </w:r>
    </w:p>
    <w:p w14:paraId="6AD1327B" w14:textId="613A1C9A" w:rsidR="2A12AB0D" w:rsidRDefault="66E39B72" w:rsidP="5C45AAEE">
      <w:pPr>
        <w:spacing w:before="240" w:after="240"/>
      </w:pPr>
      <w:r w:rsidRPr="5C45AAEE">
        <w:rPr>
          <w:rFonts w:ascii="Arial" w:eastAsia="Arial" w:hAnsi="Arial" w:cs="Arial"/>
        </w:rPr>
        <w:t xml:space="preserve">Dupont, B., 2019. Law enforcement capacity and cybercrime resilience. </w:t>
      </w:r>
      <w:r w:rsidRPr="5C45AAEE">
        <w:rPr>
          <w:rFonts w:ascii="Arial" w:eastAsia="Arial" w:hAnsi="Arial" w:cs="Arial"/>
          <w:i/>
          <w:iCs/>
        </w:rPr>
        <w:t>European Journal of Criminology</w:t>
      </w:r>
      <w:r w:rsidRPr="5C45AAEE">
        <w:rPr>
          <w:rFonts w:ascii="Arial" w:eastAsia="Arial" w:hAnsi="Arial" w:cs="Arial"/>
        </w:rPr>
        <w:t>, 16(4), pp.503–521.</w:t>
      </w:r>
    </w:p>
    <w:p w14:paraId="7A73023F" w14:textId="5A5B40F5" w:rsidR="2A12AB0D" w:rsidRDefault="66E39B72" w:rsidP="5C45AAEE">
      <w:pPr>
        <w:spacing w:before="240" w:after="240"/>
      </w:pPr>
      <w:r w:rsidRPr="5C45AAEE">
        <w:rPr>
          <w:rFonts w:ascii="Arial" w:eastAsia="Arial" w:hAnsi="Arial" w:cs="Arial"/>
        </w:rPr>
        <w:t xml:space="preserve">Equifax Data Breach, 2017. </w:t>
      </w:r>
      <w:r w:rsidRPr="5C45AAEE">
        <w:rPr>
          <w:rFonts w:ascii="Arial" w:eastAsia="Arial" w:hAnsi="Arial" w:cs="Arial"/>
          <w:i/>
          <w:iCs/>
        </w:rPr>
        <w:t>Incident report and analysis</w:t>
      </w:r>
      <w:r w:rsidRPr="5C45AAEE">
        <w:rPr>
          <w:rFonts w:ascii="Arial" w:eastAsia="Arial" w:hAnsi="Arial" w:cs="Arial"/>
        </w:rPr>
        <w:t xml:space="preserve">. [online] Available at: </w:t>
      </w:r>
      <w:hyperlink r:id="rId13">
        <w:r w:rsidRPr="5C45AAEE">
          <w:rPr>
            <w:rStyle w:val="Hyperlink"/>
            <w:rFonts w:ascii="Arial" w:eastAsia="Arial" w:hAnsi="Arial" w:cs="Arial"/>
          </w:rPr>
          <w:t>https://www.equifaxsecurity2017.com</w:t>
        </w:r>
      </w:hyperlink>
      <w:r w:rsidRPr="5C45AAEE">
        <w:rPr>
          <w:rFonts w:ascii="Arial" w:eastAsia="Arial" w:hAnsi="Arial" w:cs="Arial"/>
        </w:rPr>
        <w:t xml:space="preserve"> [Accessed 20 December 2025].</w:t>
      </w:r>
    </w:p>
    <w:p w14:paraId="651594AA" w14:textId="60693FE2" w:rsidR="2A12AB0D" w:rsidRDefault="66E39B72" w:rsidP="5C45AAEE">
      <w:pPr>
        <w:spacing w:before="240" w:after="240"/>
      </w:pPr>
      <w:r w:rsidRPr="5C45AAEE">
        <w:rPr>
          <w:rFonts w:ascii="Arial" w:eastAsia="Arial" w:hAnsi="Arial" w:cs="Arial"/>
        </w:rPr>
        <w:t xml:space="preserve">European Commission, 2016. </w:t>
      </w:r>
      <w:r w:rsidRPr="5C45AAEE">
        <w:rPr>
          <w:rFonts w:ascii="Arial" w:eastAsia="Arial" w:hAnsi="Arial" w:cs="Arial"/>
          <w:i/>
          <w:iCs/>
        </w:rPr>
        <w:t>Regulation (EU) 2016/679: General Data Protection Regulation (GDPR)</w:t>
      </w:r>
      <w:r w:rsidRPr="5C45AAEE">
        <w:rPr>
          <w:rFonts w:ascii="Arial" w:eastAsia="Arial" w:hAnsi="Arial" w:cs="Arial"/>
        </w:rPr>
        <w:t xml:space="preserve">. Brussels: European Union. [online] Available at: </w:t>
      </w:r>
      <w:hyperlink r:id="rId14">
        <w:r w:rsidRPr="5C45AAEE">
          <w:rPr>
            <w:rStyle w:val="Hyperlink"/>
            <w:rFonts w:ascii="Arial" w:eastAsia="Arial" w:hAnsi="Arial" w:cs="Arial"/>
          </w:rPr>
          <w:t>https://eur-lex.europa.eu/eli/reg/2016/679/oj</w:t>
        </w:r>
      </w:hyperlink>
      <w:r w:rsidRPr="5C45AAEE">
        <w:rPr>
          <w:rFonts w:ascii="Arial" w:eastAsia="Arial" w:hAnsi="Arial" w:cs="Arial"/>
        </w:rPr>
        <w:t xml:space="preserve"> [Accessed 16 December 2026].</w:t>
      </w:r>
    </w:p>
    <w:p w14:paraId="0D39DF99" w14:textId="75FEB07C" w:rsidR="2A12AB0D" w:rsidRDefault="66E39B72" w:rsidP="5C45AAEE">
      <w:pPr>
        <w:spacing w:before="240" w:after="240"/>
      </w:pPr>
      <w:r w:rsidRPr="5C45AAEE">
        <w:rPr>
          <w:rFonts w:ascii="Arial" w:eastAsia="Arial" w:hAnsi="Arial" w:cs="Arial"/>
        </w:rPr>
        <w:t xml:space="preserve">European Union Agency for Cybersecurity (ENISA), 2023. </w:t>
      </w:r>
      <w:r w:rsidRPr="5C45AAEE">
        <w:rPr>
          <w:rFonts w:ascii="Arial" w:eastAsia="Arial" w:hAnsi="Arial" w:cs="Arial"/>
          <w:i/>
          <w:iCs/>
        </w:rPr>
        <w:t>ENISA Threat Landscape 2023</w:t>
      </w:r>
      <w:r w:rsidRPr="5C45AAEE">
        <w:rPr>
          <w:rFonts w:ascii="Arial" w:eastAsia="Arial" w:hAnsi="Arial" w:cs="Arial"/>
        </w:rPr>
        <w:t xml:space="preserve">. Athens: ENISA. [online] Available at: </w:t>
      </w:r>
      <w:hyperlink r:id="rId15">
        <w:r w:rsidRPr="5C45AAEE">
          <w:rPr>
            <w:rStyle w:val="Hyperlink"/>
            <w:rFonts w:ascii="Arial" w:eastAsia="Arial" w:hAnsi="Arial" w:cs="Arial"/>
          </w:rPr>
          <w:t>https://www.enisa.europa.eu</w:t>
        </w:r>
      </w:hyperlink>
      <w:r w:rsidRPr="5C45AAEE">
        <w:rPr>
          <w:rFonts w:ascii="Arial" w:eastAsia="Arial" w:hAnsi="Arial" w:cs="Arial"/>
        </w:rPr>
        <w:t xml:space="preserve"> [Accessed 17 </w:t>
      </w:r>
      <w:r w:rsidR="5268BB4E" w:rsidRPr="5C45AAEE">
        <w:rPr>
          <w:rFonts w:ascii="Arial" w:eastAsia="Arial" w:hAnsi="Arial" w:cs="Arial"/>
        </w:rPr>
        <w:t>December</w:t>
      </w:r>
      <w:r w:rsidRPr="5C45AAEE">
        <w:rPr>
          <w:rFonts w:ascii="Arial" w:eastAsia="Arial" w:hAnsi="Arial" w:cs="Arial"/>
        </w:rPr>
        <w:t xml:space="preserve"> 2026].</w:t>
      </w:r>
    </w:p>
    <w:p w14:paraId="7F4D2A56" w14:textId="265323B6" w:rsidR="2A12AB0D" w:rsidRDefault="66E39B72" w:rsidP="5C45AAEE">
      <w:pPr>
        <w:spacing w:before="240" w:after="240"/>
      </w:pPr>
      <w:r w:rsidRPr="5C45AAEE">
        <w:rPr>
          <w:rFonts w:ascii="Arial" w:eastAsia="Arial" w:hAnsi="Arial" w:cs="Arial"/>
        </w:rPr>
        <w:t xml:space="preserve">Eurojust, 2024. </w:t>
      </w:r>
      <w:r w:rsidRPr="5C45AAEE">
        <w:rPr>
          <w:rFonts w:ascii="Arial" w:eastAsia="Arial" w:hAnsi="Arial" w:cs="Arial"/>
          <w:i/>
          <w:iCs/>
        </w:rPr>
        <w:t>Cross-border cybercrime and legal cooperation</w:t>
      </w:r>
      <w:r w:rsidRPr="5C45AAEE">
        <w:rPr>
          <w:rFonts w:ascii="Arial" w:eastAsia="Arial" w:hAnsi="Arial" w:cs="Arial"/>
        </w:rPr>
        <w:t>. The Hague: Eurojust.</w:t>
      </w:r>
    </w:p>
    <w:p w14:paraId="4E3747EB" w14:textId="40211BC1" w:rsidR="2A12AB0D" w:rsidRDefault="66E39B72" w:rsidP="5C45AAEE">
      <w:pPr>
        <w:spacing w:before="240" w:after="240"/>
      </w:pPr>
      <w:r w:rsidRPr="5C45AAEE">
        <w:rPr>
          <w:rFonts w:ascii="Arial" w:eastAsia="Arial" w:hAnsi="Arial" w:cs="Arial"/>
        </w:rPr>
        <w:lastRenderedPageBreak/>
        <w:t xml:space="preserve">Europol, 2022. </w:t>
      </w:r>
      <w:r w:rsidRPr="5C45AAEE">
        <w:rPr>
          <w:rFonts w:ascii="Arial" w:eastAsia="Arial" w:hAnsi="Arial" w:cs="Arial"/>
          <w:i/>
          <w:iCs/>
        </w:rPr>
        <w:t>Ransomware and cryptocurrency: operational report</w:t>
      </w:r>
      <w:r w:rsidRPr="5C45AAEE">
        <w:rPr>
          <w:rFonts w:ascii="Arial" w:eastAsia="Arial" w:hAnsi="Arial" w:cs="Arial"/>
        </w:rPr>
        <w:t xml:space="preserve">. [online] Available at: </w:t>
      </w:r>
      <w:hyperlink r:id="rId16">
        <w:r w:rsidRPr="5C45AAEE">
          <w:rPr>
            <w:rStyle w:val="Hyperlink"/>
            <w:rFonts w:ascii="Arial" w:eastAsia="Arial" w:hAnsi="Arial" w:cs="Arial"/>
          </w:rPr>
          <w:t>https://www.europol.europa.eu/activities-services/main-reports</w:t>
        </w:r>
      </w:hyperlink>
      <w:r w:rsidRPr="5C45AAEE">
        <w:rPr>
          <w:rFonts w:ascii="Arial" w:eastAsia="Arial" w:hAnsi="Arial" w:cs="Arial"/>
        </w:rPr>
        <w:t xml:space="preserve"> [Accessed 14 December 2025].</w:t>
      </w:r>
    </w:p>
    <w:p w14:paraId="012243D3" w14:textId="2A9E6ED3" w:rsidR="2A12AB0D" w:rsidRDefault="66E39B72" w:rsidP="5C45AAEE">
      <w:pPr>
        <w:spacing w:before="240" w:after="240"/>
      </w:pPr>
      <w:r w:rsidRPr="5C45AAEE">
        <w:rPr>
          <w:rFonts w:ascii="Arial" w:eastAsia="Arial" w:hAnsi="Arial" w:cs="Arial"/>
        </w:rPr>
        <w:t xml:space="preserve">Europol, 2023. </w:t>
      </w:r>
      <w:r w:rsidRPr="5C45AAEE">
        <w:rPr>
          <w:rFonts w:ascii="Arial" w:eastAsia="Arial" w:hAnsi="Arial" w:cs="Arial"/>
          <w:i/>
          <w:iCs/>
        </w:rPr>
        <w:t>Internet Organised Crime Threat Assessment 2023</w:t>
      </w:r>
      <w:r w:rsidRPr="5C45AAEE">
        <w:rPr>
          <w:rFonts w:ascii="Arial" w:eastAsia="Arial" w:hAnsi="Arial" w:cs="Arial"/>
        </w:rPr>
        <w:t xml:space="preserve">. [online] Available at: </w:t>
      </w:r>
      <w:hyperlink r:id="rId17">
        <w:r w:rsidRPr="5C45AAEE">
          <w:rPr>
            <w:rStyle w:val="Hyperlink"/>
            <w:rFonts w:ascii="Arial" w:eastAsia="Arial" w:hAnsi="Arial" w:cs="Arial"/>
          </w:rPr>
          <w:t>https://www.europol.europa.eu/activities-services/main-reports/i-octa-2023</w:t>
        </w:r>
      </w:hyperlink>
      <w:r w:rsidRPr="5C45AAEE">
        <w:rPr>
          <w:rFonts w:ascii="Arial" w:eastAsia="Arial" w:hAnsi="Arial" w:cs="Arial"/>
        </w:rPr>
        <w:t xml:space="preserve"> [Accessed 21 December 2025].</w:t>
      </w:r>
    </w:p>
    <w:p w14:paraId="54FA2A23" w14:textId="7CF2F92B" w:rsidR="2A12AB0D" w:rsidRDefault="66E39B72" w:rsidP="5C45AAEE">
      <w:pPr>
        <w:spacing w:before="240" w:after="240"/>
      </w:pPr>
      <w:r w:rsidRPr="5C45AAEE">
        <w:rPr>
          <w:rFonts w:ascii="Arial" w:eastAsia="Arial" w:hAnsi="Arial" w:cs="Arial"/>
        </w:rPr>
        <w:t xml:space="preserve">Europol, 2025. </w:t>
      </w:r>
      <w:r w:rsidRPr="5C45AAEE">
        <w:rPr>
          <w:rFonts w:ascii="Arial" w:eastAsia="Arial" w:hAnsi="Arial" w:cs="Arial"/>
          <w:i/>
          <w:iCs/>
        </w:rPr>
        <w:t>Emerging threats in cybercrime 2025</w:t>
      </w:r>
      <w:r w:rsidRPr="5C45AAEE">
        <w:rPr>
          <w:rFonts w:ascii="Arial" w:eastAsia="Arial" w:hAnsi="Arial" w:cs="Arial"/>
        </w:rPr>
        <w:t xml:space="preserve">. [online] Available at: </w:t>
      </w:r>
      <w:hyperlink r:id="rId18">
        <w:r w:rsidRPr="5C45AAEE">
          <w:rPr>
            <w:rStyle w:val="Hyperlink"/>
            <w:rFonts w:ascii="Arial" w:eastAsia="Arial" w:hAnsi="Arial" w:cs="Arial"/>
          </w:rPr>
          <w:t>https://www.europol.europa.eu/newsroom/news</w:t>
        </w:r>
      </w:hyperlink>
      <w:r w:rsidRPr="5C45AAEE">
        <w:rPr>
          <w:rFonts w:ascii="Arial" w:eastAsia="Arial" w:hAnsi="Arial" w:cs="Arial"/>
        </w:rPr>
        <w:t xml:space="preserve"> [Accessed 23 December 2025].</w:t>
      </w:r>
    </w:p>
    <w:p w14:paraId="1F3B5C22" w14:textId="40DEA63C" w:rsidR="2A12AB0D" w:rsidRDefault="66E39B72" w:rsidP="5C45AAEE">
      <w:pPr>
        <w:spacing w:before="240" w:after="240"/>
      </w:pPr>
      <w:r w:rsidRPr="5C45AAEE">
        <w:rPr>
          <w:rFonts w:ascii="Arial" w:eastAsia="Arial" w:hAnsi="Arial" w:cs="Arial"/>
        </w:rPr>
        <w:t xml:space="preserve">Federal Bureau of Investigation (FBI), 2021. </w:t>
      </w:r>
      <w:r w:rsidRPr="5C45AAEE">
        <w:rPr>
          <w:rFonts w:ascii="Arial" w:eastAsia="Arial" w:hAnsi="Arial" w:cs="Arial"/>
          <w:i/>
          <w:iCs/>
        </w:rPr>
        <w:t>Colonial Pipeline ransomware incident report</w:t>
      </w:r>
      <w:r w:rsidRPr="5C45AAEE">
        <w:rPr>
          <w:rFonts w:ascii="Arial" w:eastAsia="Arial" w:hAnsi="Arial" w:cs="Arial"/>
        </w:rPr>
        <w:t xml:space="preserve">. Washington, DC: FBI. [online] Available at: </w:t>
      </w:r>
      <w:hyperlink r:id="rId19">
        <w:r w:rsidRPr="5C45AAEE">
          <w:rPr>
            <w:rStyle w:val="Hyperlink"/>
            <w:rFonts w:ascii="Arial" w:eastAsia="Arial" w:hAnsi="Arial" w:cs="Arial"/>
          </w:rPr>
          <w:t>https://www.fbi.gov/news/press-releases/colonial-pipeline-ransomware</w:t>
        </w:r>
      </w:hyperlink>
      <w:r w:rsidRPr="5C45AAEE">
        <w:rPr>
          <w:rFonts w:ascii="Arial" w:eastAsia="Arial" w:hAnsi="Arial" w:cs="Arial"/>
        </w:rPr>
        <w:t xml:space="preserve"> [Accessed 16 December 2025].</w:t>
      </w:r>
    </w:p>
    <w:p w14:paraId="18AD9ED4" w14:textId="5ED1F9D9" w:rsidR="2A12AB0D" w:rsidRDefault="66E39B72" w:rsidP="5C45AAEE">
      <w:pPr>
        <w:spacing w:before="240" w:after="240"/>
      </w:pPr>
      <w:r w:rsidRPr="5C45AAEE">
        <w:rPr>
          <w:rFonts w:ascii="Arial" w:eastAsia="Arial" w:hAnsi="Arial" w:cs="Arial"/>
        </w:rPr>
        <w:t xml:space="preserve">Federal Bureau of Investigation (FBI) Internet Crime Complaint Center (IC3), 2024. </w:t>
      </w:r>
      <w:r w:rsidRPr="5C45AAEE">
        <w:rPr>
          <w:rFonts w:ascii="Arial" w:eastAsia="Arial" w:hAnsi="Arial" w:cs="Arial"/>
          <w:i/>
          <w:iCs/>
        </w:rPr>
        <w:t>Internet Crime Report 2023</w:t>
      </w:r>
      <w:r w:rsidRPr="5C45AAEE">
        <w:rPr>
          <w:rFonts w:ascii="Arial" w:eastAsia="Arial" w:hAnsi="Arial" w:cs="Arial"/>
        </w:rPr>
        <w:t xml:space="preserve">. Washington, DC: FBI. [online] Available at: </w:t>
      </w:r>
      <w:hyperlink r:id="rId20">
        <w:r w:rsidRPr="5C45AAEE">
          <w:rPr>
            <w:rStyle w:val="Hyperlink"/>
            <w:rFonts w:ascii="Arial" w:eastAsia="Arial" w:hAnsi="Arial" w:cs="Arial"/>
          </w:rPr>
          <w:t>https://www.ic3.gov</w:t>
        </w:r>
      </w:hyperlink>
      <w:r w:rsidRPr="5C45AAEE">
        <w:rPr>
          <w:rFonts w:ascii="Arial" w:eastAsia="Arial" w:hAnsi="Arial" w:cs="Arial"/>
        </w:rPr>
        <w:t xml:space="preserve"> [Accessed 17 January 2026].</w:t>
      </w:r>
    </w:p>
    <w:p w14:paraId="61337D35" w14:textId="3B784033" w:rsidR="2A12AB0D" w:rsidRDefault="66E39B72" w:rsidP="5C45AAEE">
      <w:pPr>
        <w:spacing w:before="240" w:after="240"/>
      </w:pPr>
      <w:r w:rsidRPr="5C45AAEE">
        <w:rPr>
          <w:rFonts w:ascii="Arial" w:eastAsia="Arial" w:hAnsi="Arial" w:cs="Arial"/>
        </w:rPr>
        <w:t xml:space="preserve">Grieve, S., 2014. Collaborative frameworks in cybercrime policing. </w:t>
      </w:r>
      <w:r w:rsidRPr="5C45AAEE">
        <w:rPr>
          <w:rFonts w:ascii="Arial" w:eastAsia="Arial" w:hAnsi="Arial" w:cs="Arial"/>
          <w:i/>
          <w:iCs/>
        </w:rPr>
        <w:t>Policing and Society</w:t>
      </w:r>
      <w:r w:rsidRPr="5C45AAEE">
        <w:rPr>
          <w:rFonts w:ascii="Arial" w:eastAsia="Arial" w:hAnsi="Arial" w:cs="Arial"/>
        </w:rPr>
        <w:t>, 24(3), pp.299–315.</w:t>
      </w:r>
    </w:p>
    <w:p w14:paraId="7E1A5F4C" w14:textId="443175C2" w:rsidR="2A12AB0D" w:rsidRDefault="66E39B72" w:rsidP="5C45AAEE">
      <w:pPr>
        <w:spacing w:before="240" w:after="240"/>
      </w:pPr>
      <w:r w:rsidRPr="5C45AAEE">
        <w:rPr>
          <w:rFonts w:ascii="Arial" w:eastAsia="Arial" w:hAnsi="Arial" w:cs="Arial"/>
        </w:rPr>
        <w:t xml:space="preserve">Home Office, 2021. </w:t>
      </w:r>
      <w:r w:rsidRPr="5C45AAEE">
        <w:rPr>
          <w:rFonts w:ascii="Arial" w:eastAsia="Arial" w:hAnsi="Arial" w:cs="Arial"/>
          <w:i/>
          <w:iCs/>
        </w:rPr>
        <w:t>Mutual legal assistance: guidance on transnational investigations</w:t>
      </w:r>
      <w:r w:rsidRPr="5C45AAEE">
        <w:rPr>
          <w:rFonts w:ascii="Arial" w:eastAsia="Arial" w:hAnsi="Arial" w:cs="Arial"/>
        </w:rPr>
        <w:t xml:space="preserve">. London: Home Office. [online] Available at: </w:t>
      </w:r>
      <w:hyperlink r:id="rId21">
        <w:r w:rsidRPr="5C45AAEE">
          <w:rPr>
            <w:rStyle w:val="Hyperlink"/>
            <w:rFonts w:ascii="Arial" w:eastAsia="Arial" w:hAnsi="Arial" w:cs="Arial"/>
          </w:rPr>
          <w:t>https://www.gov.uk/government/publications/mla-guidance</w:t>
        </w:r>
      </w:hyperlink>
      <w:r w:rsidRPr="5C45AAEE">
        <w:rPr>
          <w:rFonts w:ascii="Arial" w:eastAsia="Arial" w:hAnsi="Arial" w:cs="Arial"/>
        </w:rPr>
        <w:t xml:space="preserve"> [Accessed 6 January 2026].</w:t>
      </w:r>
    </w:p>
    <w:p w14:paraId="021646CB" w14:textId="1A7936B8" w:rsidR="2A12AB0D" w:rsidRDefault="66E39B72" w:rsidP="5C45AAEE">
      <w:pPr>
        <w:spacing w:before="240" w:after="240"/>
      </w:pPr>
      <w:r w:rsidRPr="5C45AAEE">
        <w:rPr>
          <w:rFonts w:ascii="Arial" w:eastAsia="Arial" w:hAnsi="Arial" w:cs="Arial"/>
        </w:rPr>
        <w:t xml:space="preserve">Horgan, J., 2011. </w:t>
      </w:r>
      <w:r w:rsidRPr="5C45AAEE">
        <w:rPr>
          <w:rFonts w:ascii="Arial" w:eastAsia="Arial" w:hAnsi="Arial" w:cs="Arial"/>
          <w:i/>
          <w:iCs/>
        </w:rPr>
        <w:t>The psychology of terrorism and cybercrime prevention</w:t>
      </w:r>
      <w:r w:rsidRPr="5C45AAEE">
        <w:rPr>
          <w:rFonts w:ascii="Arial" w:eastAsia="Arial" w:hAnsi="Arial" w:cs="Arial"/>
        </w:rPr>
        <w:t>. London: Routledge.</w:t>
      </w:r>
    </w:p>
    <w:p w14:paraId="6D9D4D47" w14:textId="719674BB" w:rsidR="2A12AB0D" w:rsidRDefault="66E39B72" w:rsidP="5C45AAEE">
      <w:pPr>
        <w:spacing w:before="240" w:after="240"/>
      </w:pPr>
      <w:r w:rsidRPr="5C45AAEE">
        <w:rPr>
          <w:rFonts w:ascii="Arial" w:eastAsia="Arial" w:hAnsi="Arial" w:cs="Arial"/>
        </w:rPr>
        <w:t xml:space="preserve">International Journal for Legal Research and Analysis on Law Enforcement Challenges, 2025. Technology gaps in digital forensics. [online] Available at: </w:t>
      </w:r>
      <w:hyperlink r:id="rId22">
        <w:r w:rsidRPr="5C45AAEE">
          <w:rPr>
            <w:rStyle w:val="Hyperlink"/>
            <w:rFonts w:ascii="Arial" w:eastAsia="Arial" w:hAnsi="Arial" w:cs="Arial"/>
          </w:rPr>
          <w:t>https://www.ijlr.org/articles/tech-gaps-cybercrime</w:t>
        </w:r>
      </w:hyperlink>
      <w:r w:rsidRPr="5C45AAEE">
        <w:rPr>
          <w:rFonts w:ascii="Arial" w:eastAsia="Arial" w:hAnsi="Arial" w:cs="Arial"/>
        </w:rPr>
        <w:t xml:space="preserve"> [Accessed 17 December 2025].</w:t>
      </w:r>
    </w:p>
    <w:p w14:paraId="6CD99119" w14:textId="63BC81D8" w:rsidR="2A12AB0D" w:rsidRDefault="66E39B72" w:rsidP="5C45AAEE">
      <w:pPr>
        <w:spacing w:before="240" w:after="240"/>
      </w:pPr>
      <w:r w:rsidRPr="5C45AAEE">
        <w:rPr>
          <w:rFonts w:ascii="Arial" w:eastAsia="Arial" w:hAnsi="Arial" w:cs="Arial"/>
        </w:rPr>
        <w:t xml:space="preserve">Kharraz, A., Arshad, S., Mulliner, C., Robertson, W. and Kirda, E., 2015. Cutting the Gordian Knot: a look into ransomware attacks. </w:t>
      </w:r>
      <w:r w:rsidRPr="5C45AAEE">
        <w:rPr>
          <w:rFonts w:ascii="Arial" w:eastAsia="Arial" w:hAnsi="Arial" w:cs="Arial"/>
          <w:i/>
          <w:iCs/>
        </w:rPr>
        <w:t>Detection of Malicious Software</w:t>
      </w:r>
      <w:r w:rsidRPr="5C45AAEE">
        <w:rPr>
          <w:rFonts w:ascii="Arial" w:eastAsia="Arial" w:hAnsi="Arial" w:cs="Arial"/>
        </w:rPr>
        <w:t>, 3(1), pp.3–24.</w:t>
      </w:r>
    </w:p>
    <w:p w14:paraId="3794DC33" w14:textId="0594FCE4" w:rsidR="2A12AB0D" w:rsidRDefault="66E39B72" w:rsidP="5C45AAEE">
      <w:pPr>
        <w:spacing w:before="240" w:after="240"/>
      </w:pPr>
      <w:r w:rsidRPr="5C45AAEE">
        <w:rPr>
          <w:rFonts w:ascii="Arial" w:eastAsia="Arial" w:hAnsi="Arial" w:cs="Arial"/>
        </w:rPr>
        <w:t xml:space="preserve">National Crime Agency, 2024a. </w:t>
      </w:r>
      <w:r w:rsidRPr="5C45AAEE">
        <w:rPr>
          <w:rFonts w:ascii="Arial" w:eastAsia="Arial" w:hAnsi="Arial" w:cs="Arial"/>
          <w:i/>
          <w:iCs/>
        </w:rPr>
        <w:t>Annual cybercrime and fraud report 2024</w:t>
      </w:r>
      <w:r w:rsidRPr="5C45AAEE">
        <w:rPr>
          <w:rFonts w:ascii="Arial" w:eastAsia="Arial" w:hAnsi="Arial" w:cs="Arial"/>
        </w:rPr>
        <w:t xml:space="preserve">. [online] Available at: </w:t>
      </w:r>
      <w:hyperlink r:id="rId23">
        <w:r w:rsidRPr="5C45AAEE">
          <w:rPr>
            <w:rStyle w:val="Hyperlink"/>
            <w:rFonts w:ascii="Arial" w:eastAsia="Arial" w:hAnsi="Arial" w:cs="Arial"/>
          </w:rPr>
          <w:t>https://www.nationalcrimeagency.gov.uk/news</w:t>
        </w:r>
      </w:hyperlink>
      <w:r w:rsidRPr="5C45AAEE">
        <w:rPr>
          <w:rFonts w:ascii="Arial" w:eastAsia="Arial" w:hAnsi="Arial" w:cs="Arial"/>
        </w:rPr>
        <w:t xml:space="preserve"> [Accessed 19 December 2025].</w:t>
      </w:r>
    </w:p>
    <w:p w14:paraId="04EB5CA9" w14:textId="0C11F9C5" w:rsidR="2A12AB0D" w:rsidRDefault="66E39B72" w:rsidP="5C45AAEE">
      <w:pPr>
        <w:spacing w:before="240" w:after="240"/>
      </w:pPr>
      <w:r w:rsidRPr="5C45AAEE">
        <w:rPr>
          <w:rFonts w:ascii="Arial" w:eastAsia="Arial" w:hAnsi="Arial" w:cs="Arial"/>
        </w:rPr>
        <w:t xml:space="preserve">National Crime Agency, 2024b. </w:t>
      </w:r>
      <w:r w:rsidRPr="5C45AAEE">
        <w:rPr>
          <w:rFonts w:ascii="Arial" w:eastAsia="Arial" w:hAnsi="Arial" w:cs="Arial"/>
          <w:i/>
          <w:iCs/>
        </w:rPr>
        <w:t>LockBit ransomware disruption operation</w:t>
      </w:r>
      <w:r w:rsidRPr="5C45AAEE">
        <w:rPr>
          <w:rFonts w:ascii="Arial" w:eastAsia="Arial" w:hAnsi="Arial" w:cs="Arial"/>
        </w:rPr>
        <w:t xml:space="preserve">. [online] Available at: </w:t>
      </w:r>
      <w:hyperlink r:id="rId24">
        <w:r w:rsidRPr="5C45AAEE">
          <w:rPr>
            <w:rStyle w:val="Hyperlink"/>
            <w:rFonts w:ascii="Arial" w:eastAsia="Arial" w:hAnsi="Arial" w:cs="Arial"/>
          </w:rPr>
          <w:t>https://www.nationalcrimeagency.gov.uk/cyber-operations/lockbit</w:t>
        </w:r>
      </w:hyperlink>
      <w:r w:rsidRPr="5C45AAEE">
        <w:rPr>
          <w:rFonts w:ascii="Arial" w:eastAsia="Arial" w:hAnsi="Arial" w:cs="Arial"/>
        </w:rPr>
        <w:t xml:space="preserve"> [Accessed 22 December 2025].</w:t>
      </w:r>
    </w:p>
    <w:p w14:paraId="376FFE5B" w14:textId="068E0EA6" w:rsidR="2A12AB0D" w:rsidRDefault="66E39B72" w:rsidP="5C45AAEE">
      <w:pPr>
        <w:spacing w:before="240" w:after="240"/>
      </w:pPr>
      <w:r w:rsidRPr="5C45AAEE">
        <w:rPr>
          <w:rFonts w:ascii="Arial" w:eastAsia="Arial" w:hAnsi="Arial" w:cs="Arial"/>
        </w:rPr>
        <w:lastRenderedPageBreak/>
        <w:t xml:space="preserve">NIST, 2023. </w:t>
      </w:r>
      <w:r w:rsidRPr="5C45AAEE">
        <w:rPr>
          <w:rFonts w:ascii="Arial" w:eastAsia="Arial" w:hAnsi="Arial" w:cs="Arial"/>
          <w:i/>
          <w:iCs/>
        </w:rPr>
        <w:t>Guidelines for digital forensics in cybersecurity</w:t>
      </w:r>
      <w:r w:rsidRPr="5C45AAEE">
        <w:rPr>
          <w:rFonts w:ascii="Arial" w:eastAsia="Arial" w:hAnsi="Arial" w:cs="Arial"/>
        </w:rPr>
        <w:t xml:space="preserve">. Gaithersburg, MD: National Institute of Standards and Technology. [online] Available at: </w:t>
      </w:r>
      <w:hyperlink r:id="rId25">
        <w:r w:rsidRPr="5C45AAEE">
          <w:rPr>
            <w:rStyle w:val="Hyperlink"/>
            <w:rFonts w:ascii="Arial" w:eastAsia="Arial" w:hAnsi="Arial" w:cs="Arial"/>
          </w:rPr>
          <w:t>https://nvlpubs.nist.gov/nistpubs/</w:t>
        </w:r>
      </w:hyperlink>
      <w:r w:rsidRPr="5C45AAEE">
        <w:rPr>
          <w:rFonts w:ascii="Arial" w:eastAsia="Arial" w:hAnsi="Arial" w:cs="Arial"/>
        </w:rPr>
        <w:t xml:space="preserve"> [Accessed </w:t>
      </w:r>
      <w:r w:rsidR="180B4386" w:rsidRPr="5C45AAEE">
        <w:rPr>
          <w:rFonts w:ascii="Arial" w:eastAsia="Arial" w:hAnsi="Arial" w:cs="Arial"/>
        </w:rPr>
        <w:t>1</w:t>
      </w:r>
      <w:r w:rsidRPr="5C45AAEE">
        <w:rPr>
          <w:rFonts w:ascii="Arial" w:eastAsia="Arial" w:hAnsi="Arial" w:cs="Arial"/>
        </w:rPr>
        <w:t xml:space="preserve">6 </w:t>
      </w:r>
      <w:r w:rsidR="1E4D3C93" w:rsidRPr="5C45AAEE">
        <w:rPr>
          <w:rFonts w:ascii="Arial" w:eastAsia="Arial" w:hAnsi="Arial" w:cs="Arial"/>
        </w:rPr>
        <w:t>December 2026</w:t>
      </w:r>
      <w:r w:rsidRPr="5C45AAEE">
        <w:rPr>
          <w:rFonts w:ascii="Arial" w:eastAsia="Arial" w:hAnsi="Arial" w:cs="Arial"/>
        </w:rPr>
        <w:t>].</w:t>
      </w:r>
    </w:p>
    <w:p w14:paraId="0947E0CC" w14:textId="7505ADA1" w:rsidR="2A12AB0D" w:rsidRDefault="66E39B72" w:rsidP="5C45AAEE">
      <w:pPr>
        <w:spacing w:before="240" w:after="240"/>
      </w:pPr>
      <w:r w:rsidRPr="5C45AAEE">
        <w:rPr>
          <w:rFonts w:ascii="Arial" w:eastAsia="Arial" w:hAnsi="Arial" w:cs="Arial"/>
        </w:rPr>
        <w:t xml:space="preserve">Nurse, J.R.C., 2018. Cyber-enabled fraud: trends and policing challenges. </w:t>
      </w:r>
      <w:r w:rsidRPr="5C45AAEE">
        <w:rPr>
          <w:rFonts w:ascii="Arial" w:eastAsia="Arial" w:hAnsi="Arial" w:cs="Arial"/>
          <w:i/>
          <w:iCs/>
        </w:rPr>
        <w:t>Journal of Financial Crime</w:t>
      </w:r>
      <w:r w:rsidRPr="5C45AAEE">
        <w:rPr>
          <w:rFonts w:ascii="Arial" w:eastAsia="Arial" w:hAnsi="Arial" w:cs="Arial"/>
        </w:rPr>
        <w:t>, 25(2), pp.345–361.</w:t>
      </w:r>
    </w:p>
    <w:p w14:paraId="77DC98F4" w14:textId="6B0A65D4" w:rsidR="2A12AB0D" w:rsidRDefault="66E39B72" w:rsidP="5C45AAEE">
      <w:pPr>
        <w:spacing w:before="240" w:after="240"/>
      </w:pPr>
      <w:r w:rsidRPr="5C45AAEE">
        <w:rPr>
          <w:rFonts w:ascii="Arial" w:eastAsia="Arial" w:hAnsi="Arial" w:cs="Arial"/>
        </w:rPr>
        <w:t xml:space="preserve">Oxford Academic, 2025. Mutual legal assistance and digital evidence. [online] Available at: </w:t>
      </w:r>
      <w:hyperlink r:id="rId26">
        <w:r w:rsidRPr="5C45AAEE">
          <w:rPr>
            <w:rStyle w:val="Hyperlink"/>
            <w:rFonts w:ascii="Arial" w:eastAsia="Arial" w:hAnsi="Arial" w:cs="Arial"/>
          </w:rPr>
          <w:t>https://academic.oup.com/journals</w:t>
        </w:r>
      </w:hyperlink>
      <w:r w:rsidRPr="5C45AAEE">
        <w:rPr>
          <w:rFonts w:ascii="Arial" w:eastAsia="Arial" w:hAnsi="Arial" w:cs="Arial"/>
        </w:rPr>
        <w:t xml:space="preserve"> [Accessed 13 December 2025].</w:t>
      </w:r>
    </w:p>
    <w:p w14:paraId="2882FBF7" w14:textId="6142C72D" w:rsidR="2A12AB0D" w:rsidRDefault="66E39B72" w:rsidP="5C45AAEE">
      <w:pPr>
        <w:spacing w:before="240" w:after="240"/>
      </w:pPr>
      <w:r w:rsidRPr="5C45AAEE">
        <w:rPr>
          <w:rFonts w:ascii="Arial" w:eastAsia="Arial" w:hAnsi="Arial" w:cs="Arial"/>
        </w:rPr>
        <w:t xml:space="preserve">Pattnaik, S., Das, A. and Roy, S., 2023. Ransomware-as-a-Service and critical infrastructure risks. </w:t>
      </w:r>
      <w:r w:rsidRPr="5C45AAEE">
        <w:rPr>
          <w:rFonts w:ascii="Arial" w:eastAsia="Arial" w:hAnsi="Arial" w:cs="Arial"/>
          <w:i/>
          <w:iCs/>
        </w:rPr>
        <w:t>International Journal of Cybersecurity Studies</w:t>
      </w:r>
      <w:r w:rsidRPr="5C45AAEE">
        <w:rPr>
          <w:rFonts w:ascii="Arial" w:eastAsia="Arial" w:hAnsi="Arial" w:cs="Arial"/>
        </w:rPr>
        <w:t>, 7(1), pp.112–130.</w:t>
      </w:r>
    </w:p>
    <w:p w14:paraId="6D7D011E" w14:textId="64C1CFCE" w:rsidR="2A12AB0D" w:rsidRDefault="66E39B72" w:rsidP="5C45AAEE">
      <w:pPr>
        <w:spacing w:before="240" w:after="240"/>
      </w:pPr>
      <w:r w:rsidRPr="5C45AAEE">
        <w:rPr>
          <w:rFonts w:ascii="Arial" w:eastAsia="Arial" w:hAnsi="Arial" w:cs="Arial"/>
        </w:rPr>
        <w:t xml:space="preserve">Raciti, F., Di Mauro, C. and Van Landuyt, M., 2025. </w:t>
      </w:r>
      <w:r w:rsidRPr="5C45AAEE">
        <w:rPr>
          <w:rFonts w:ascii="Arial" w:eastAsia="Arial" w:hAnsi="Arial" w:cs="Arial"/>
          <w:i/>
          <w:iCs/>
        </w:rPr>
        <w:t>Digital forensics and cybercrime investigation</w:t>
      </w:r>
      <w:r w:rsidRPr="5C45AAEE">
        <w:rPr>
          <w:rFonts w:ascii="Arial" w:eastAsia="Arial" w:hAnsi="Arial" w:cs="Arial"/>
        </w:rPr>
        <w:t>. Berlin: Springer.</w:t>
      </w:r>
    </w:p>
    <w:p w14:paraId="40887F4A" w14:textId="66C10FC3" w:rsidR="2A12AB0D" w:rsidRDefault="66E39B72" w:rsidP="5C45AAEE">
      <w:pPr>
        <w:spacing w:before="240" w:after="240"/>
      </w:pPr>
      <w:r w:rsidRPr="5C45AAEE">
        <w:rPr>
          <w:rFonts w:ascii="Arial" w:eastAsia="Arial" w:hAnsi="Arial" w:cs="Arial"/>
        </w:rPr>
        <w:t xml:space="preserve">Robles, G., Arora, R. and Kim, S., 2022. Colonial Pipeline: operational impact and lessons learned. </w:t>
      </w:r>
      <w:r w:rsidRPr="5C45AAEE">
        <w:rPr>
          <w:rFonts w:ascii="Arial" w:eastAsia="Arial" w:hAnsi="Arial" w:cs="Arial"/>
          <w:i/>
          <w:iCs/>
        </w:rPr>
        <w:t>Cybersecurity Review</w:t>
      </w:r>
      <w:r w:rsidRPr="5C45AAEE">
        <w:rPr>
          <w:rFonts w:ascii="Arial" w:eastAsia="Arial" w:hAnsi="Arial" w:cs="Arial"/>
        </w:rPr>
        <w:t>, 5(2), pp.58–74.</w:t>
      </w:r>
    </w:p>
    <w:p w14:paraId="091737C9" w14:textId="08E9C86B" w:rsidR="2A12AB0D" w:rsidRDefault="66E39B72" w:rsidP="5C45AAEE">
      <w:pPr>
        <w:spacing w:before="240" w:after="240"/>
      </w:pPr>
      <w:r w:rsidRPr="5C45AAEE">
        <w:rPr>
          <w:rFonts w:ascii="Arial" w:eastAsia="Arial" w:hAnsi="Arial" w:cs="Arial"/>
        </w:rPr>
        <w:t xml:space="preserve">Schmitt, R., 2023. </w:t>
      </w:r>
      <w:r w:rsidRPr="5C45AAEE">
        <w:rPr>
          <w:rFonts w:ascii="Arial" w:eastAsia="Arial" w:hAnsi="Arial" w:cs="Arial"/>
          <w:i/>
          <w:iCs/>
        </w:rPr>
        <w:t>Threat intelligence and predictive policing in cybercrime</w:t>
      </w:r>
      <w:r w:rsidRPr="5C45AAEE">
        <w:rPr>
          <w:rFonts w:ascii="Arial" w:eastAsia="Arial" w:hAnsi="Arial" w:cs="Arial"/>
        </w:rPr>
        <w:t>. London: Palgrave.</w:t>
      </w:r>
    </w:p>
    <w:p w14:paraId="20CC4A76" w14:textId="72F85D06" w:rsidR="2A12AB0D" w:rsidRDefault="66E39B72" w:rsidP="5C45AAEE">
      <w:pPr>
        <w:spacing w:before="240" w:after="240"/>
      </w:pPr>
      <w:r w:rsidRPr="5C45AAEE">
        <w:rPr>
          <w:rFonts w:ascii="Arial" w:eastAsia="Arial" w:hAnsi="Arial" w:cs="Arial"/>
        </w:rPr>
        <w:t xml:space="preserve">Shevchenko, O., Chen, Y. and Patel, R., 2022. Data breaches and financial impact: a longitudinal study. </w:t>
      </w:r>
      <w:r w:rsidRPr="5C45AAEE">
        <w:rPr>
          <w:rFonts w:ascii="Arial" w:eastAsia="Arial" w:hAnsi="Arial" w:cs="Arial"/>
          <w:i/>
          <w:iCs/>
        </w:rPr>
        <w:t>Journal of Cybersecurity</w:t>
      </w:r>
      <w:r w:rsidRPr="5C45AAEE">
        <w:rPr>
          <w:rFonts w:ascii="Arial" w:eastAsia="Arial" w:hAnsi="Arial" w:cs="Arial"/>
        </w:rPr>
        <w:t>, 8(1), pp.75–92.</w:t>
      </w:r>
    </w:p>
    <w:p w14:paraId="5FECFDB1" w14:textId="5115CEAC" w:rsidR="2A12AB0D" w:rsidRDefault="66E39B72" w:rsidP="5C45AAEE">
      <w:pPr>
        <w:spacing w:before="240" w:after="240"/>
      </w:pPr>
      <w:r w:rsidRPr="5C45AAEE">
        <w:rPr>
          <w:rFonts w:ascii="Arial" w:eastAsia="Arial" w:hAnsi="Arial" w:cs="Arial"/>
        </w:rPr>
        <w:t xml:space="preserve">Tok, H., Yang, L. and Chattopadhyay, S., 2024. </w:t>
      </w:r>
      <w:r w:rsidRPr="5C45AAEE">
        <w:rPr>
          <w:rFonts w:ascii="Arial" w:eastAsia="Arial" w:hAnsi="Arial" w:cs="Arial"/>
          <w:i/>
          <w:iCs/>
        </w:rPr>
        <w:t>AI-assisted cyber forensics and intelligence</w:t>
      </w:r>
      <w:r w:rsidRPr="5C45AAEE">
        <w:rPr>
          <w:rFonts w:ascii="Arial" w:eastAsia="Arial" w:hAnsi="Arial" w:cs="Arial"/>
        </w:rPr>
        <w:t>. New York: Springer.</w:t>
      </w:r>
    </w:p>
    <w:p w14:paraId="69B99E21" w14:textId="580EF084" w:rsidR="2A12AB0D" w:rsidRDefault="66E39B72" w:rsidP="5C45AAEE">
      <w:pPr>
        <w:spacing w:before="240" w:after="240"/>
      </w:pPr>
      <w:r w:rsidRPr="5C45AAEE">
        <w:rPr>
          <w:rFonts w:ascii="Arial" w:eastAsia="Arial" w:hAnsi="Arial" w:cs="Arial"/>
        </w:rPr>
        <w:t xml:space="preserve">UK Parliament, 2019. </w:t>
      </w:r>
      <w:r w:rsidRPr="5C45AAEE">
        <w:rPr>
          <w:rFonts w:ascii="Arial" w:eastAsia="Arial" w:hAnsi="Arial" w:cs="Arial"/>
          <w:i/>
          <w:iCs/>
        </w:rPr>
        <w:t>Crime (Overseas Production Orders) Act 2019</w:t>
      </w:r>
      <w:r w:rsidRPr="5C45AAEE">
        <w:rPr>
          <w:rFonts w:ascii="Arial" w:eastAsia="Arial" w:hAnsi="Arial" w:cs="Arial"/>
        </w:rPr>
        <w:t xml:space="preserve">. London: HMSO. [online] Available at: </w:t>
      </w:r>
      <w:hyperlink r:id="rId27">
        <w:r w:rsidRPr="5C45AAEE">
          <w:rPr>
            <w:rStyle w:val="Hyperlink"/>
            <w:rFonts w:ascii="Arial" w:eastAsia="Arial" w:hAnsi="Arial" w:cs="Arial"/>
          </w:rPr>
          <w:t>https://www.legislation.gov.uk/ukpga/2019/7/contents/enacted</w:t>
        </w:r>
      </w:hyperlink>
      <w:r w:rsidRPr="5C45AAEE">
        <w:rPr>
          <w:rFonts w:ascii="Arial" w:eastAsia="Arial" w:hAnsi="Arial" w:cs="Arial"/>
        </w:rPr>
        <w:t xml:space="preserve"> [Accessed 6 January 2026].</w:t>
      </w:r>
    </w:p>
    <w:p w14:paraId="629C2A0F" w14:textId="1D5BB99B" w:rsidR="2A12AB0D" w:rsidRDefault="66E39B72" w:rsidP="5C45AAEE">
      <w:pPr>
        <w:spacing w:before="240" w:after="240"/>
      </w:pPr>
      <w:r w:rsidRPr="5C45AAEE">
        <w:rPr>
          <w:rFonts w:ascii="Arial" w:eastAsia="Arial" w:hAnsi="Arial" w:cs="Arial"/>
        </w:rPr>
        <w:t xml:space="preserve">UNODC, 2021. </w:t>
      </w:r>
      <w:r w:rsidRPr="5C45AAEE">
        <w:rPr>
          <w:rFonts w:ascii="Arial" w:eastAsia="Arial" w:hAnsi="Arial" w:cs="Arial"/>
          <w:i/>
          <w:iCs/>
        </w:rPr>
        <w:t>Transnational cybercrime and legal challenges</w:t>
      </w:r>
      <w:r w:rsidRPr="5C45AAEE">
        <w:rPr>
          <w:rFonts w:ascii="Arial" w:eastAsia="Arial" w:hAnsi="Arial" w:cs="Arial"/>
        </w:rPr>
        <w:t xml:space="preserve">. United Nations Office on Drugs and Crime. [online] Available at: </w:t>
      </w:r>
      <w:hyperlink r:id="rId28">
        <w:r w:rsidRPr="5C45AAEE">
          <w:rPr>
            <w:rStyle w:val="Hyperlink"/>
            <w:rFonts w:ascii="Arial" w:eastAsia="Arial" w:hAnsi="Arial" w:cs="Arial"/>
          </w:rPr>
          <w:t>https://www.unodc.org/cybercrime</w:t>
        </w:r>
      </w:hyperlink>
      <w:r w:rsidRPr="5C45AAEE">
        <w:rPr>
          <w:rFonts w:ascii="Arial" w:eastAsia="Arial" w:hAnsi="Arial" w:cs="Arial"/>
        </w:rPr>
        <w:t xml:space="preserve"> [Accessed 24 December 2025].</w:t>
      </w:r>
    </w:p>
    <w:p w14:paraId="0912C4FC" w14:textId="51ACB3F2" w:rsidR="2A12AB0D" w:rsidRDefault="66E39B72" w:rsidP="5C45AAEE">
      <w:pPr>
        <w:spacing w:before="240" w:after="240"/>
      </w:pPr>
      <w:r w:rsidRPr="5C45AAEE">
        <w:rPr>
          <w:rFonts w:ascii="Arial" w:eastAsia="Arial" w:hAnsi="Arial" w:cs="Arial"/>
        </w:rPr>
        <w:t xml:space="preserve">U.S. Department of Justice, 2021. Cryptocurrency tracing in ransomware cases. [online] Available at: </w:t>
      </w:r>
      <w:hyperlink r:id="rId29">
        <w:r w:rsidRPr="5C45AAEE">
          <w:rPr>
            <w:rStyle w:val="Hyperlink"/>
            <w:rFonts w:ascii="Arial" w:eastAsia="Arial" w:hAnsi="Arial" w:cs="Arial"/>
          </w:rPr>
          <w:t>https://www.justice.gov/criminal-ccips/cryptocurrency</w:t>
        </w:r>
      </w:hyperlink>
      <w:r w:rsidRPr="5C45AAEE">
        <w:rPr>
          <w:rFonts w:ascii="Arial" w:eastAsia="Arial" w:hAnsi="Arial" w:cs="Arial"/>
        </w:rPr>
        <w:t xml:space="preserve"> [Accessed 26 December 2025].</w:t>
      </w:r>
    </w:p>
    <w:p w14:paraId="181F0376" w14:textId="41D2AD90" w:rsidR="2A12AB0D" w:rsidRDefault="66E39B72" w:rsidP="5C45AAEE">
      <w:pPr>
        <w:spacing w:before="240" w:after="240"/>
      </w:pPr>
      <w:r w:rsidRPr="5C45AAEE">
        <w:rPr>
          <w:rFonts w:ascii="Arial" w:eastAsia="Arial" w:hAnsi="Arial" w:cs="Arial"/>
        </w:rPr>
        <w:t xml:space="preserve">US Congress, 2018. </w:t>
      </w:r>
      <w:r w:rsidRPr="5C45AAEE">
        <w:rPr>
          <w:rFonts w:ascii="Arial" w:eastAsia="Arial" w:hAnsi="Arial" w:cs="Arial"/>
          <w:i/>
          <w:iCs/>
        </w:rPr>
        <w:t>Clarifying Lawful Overseas Use of Data Act (CLOUD Act)</w:t>
      </w:r>
      <w:r w:rsidRPr="5C45AAEE">
        <w:rPr>
          <w:rFonts w:ascii="Arial" w:eastAsia="Arial" w:hAnsi="Arial" w:cs="Arial"/>
        </w:rPr>
        <w:t xml:space="preserve">. Washington, DC: US Government Publishing Office. [online] Available at: </w:t>
      </w:r>
      <w:hyperlink r:id="rId30">
        <w:r w:rsidRPr="5C45AAEE">
          <w:rPr>
            <w:rStyle w:val="Hyperlink"/>
            <w:rFonts w:ascii="Arial" w:eastAsia="Arial" w:hAnsi="Arial" w:cs="Arial"/>
          </w:rPr>
          <w:t>https://www.congress.gov/bill/115th-congress/house-bill/4943</w:t>
        </w:r>
      </w:hyperlink>
      <w:r w:rsidRPr="5C45AAEE">
        <w:rPr>
          <w:rFonts w:ascii="Arial" w:eastAsia="Arial" w:hAnsi="Arial" w:cs="Arial"/>
        </w:rPr>
        <w:t xml:space="preserve"> [Accessed 5 January 2026].</w:t>
      </w:r>
    </w:p>
    <w:p w14:paraId="3CE6EF2C" w14:textId="05F47248" w:rsidR="2A12AB0D" w:rsidRDefault="66E39B72" w:rsidP="5C45AAEE">
      <w:pPr>
        <w:spacing w:before="240" w:after="240"/>
      </w:pPr>
      <w:r w:rsidRPr="5C45AAEE">
        <w:rPr>
          <w:rFonts w:ascii="Arial" w:eastAsia="Arial" w:hAnsi="Arial" w:cs="Arial"/>
        </w:rPr>
        <w:lastRenderedPageBreak/>
        <w:t xml:space="preserve">Verizon, 2021. </w:t>
      </w:r>
      <w:r w:rsidRPr="5C45AAEE">
        <w:rPr>
          <w:rFonts w:ascii="Arial" w:eastAsia="Arial" w:hAnsi="Arial" w:cs="Arial"/>
          <w:i/>
          <w:iCs/>
        </w:rPr>
        <w:t>Data breach investigations report 2021</w:t>
      </w:r>
      <w:r w:rsidRPr="5C45AAEE">
        <w:rPr>
          <w:rFonts w:ascii="Arial" w:eastAsia="Arial" w:hAnsi="Arial" w:cs="Arial"/>
        </w:rPr>
        <w:t xml:space="preserve">. [online] Available at: </w:t>
      </w:r>
      <w:hyperlink r:id="rId31">
        <w:r w:rsidRPr="5C45AAEE">
          <w:rPr>
            <w:rStyle w:val="Hyperlink"/>
            <w:rFonts w:ascii="Arial" w:eastAsia="Arial" w:hAnsi="Arial" w:cs="Arial"/>
          </w:rPr>
          <w:t>https://www.verizon.com/business/resources/reports/dbir/2021</w:t>
        </w:r>
      </w:hyperlink>
      <w:r w:rsidRPr="5C45AAEE">
        <w:rPr>
          <w:rFonts w:ascii="Arial" w:eastAsia="Arial" w:hAnsi="Arial" w:cs="Arial"/>
        </w:rPr>
        <w:t xml:space="preserve"> [Accessed 26 December 2025].</w:t>
      </w:r>
    </w:p>
    <w:p w14:paraId="5814887E" w14:textId="54187180" w:rsidR="2A12AB0D" w:rsidRDefault="66E39B72" w:rsidP="5C45AAEE">
      <w:pPr>
        <w:spacing w:before="240" w:after="240"/>
      </w:pPr>
      <w:r w:rsidRPr="5C45AAEE">
        <w:rPr>
          <w:rFonts w:ascii="Arial" w:eastAsia="Arial" w:hAnsi="Arial" w:cs="Arial"/>
        </w:rPr>
        <w:t xml:space="preserve">Wheatley, S., Maillart, T. and Sornette, D., 2015. The extreme risk of data breaches. </w:t>
      </w:r>
      <w:r w:rsidRPr="5C45AAEE">
        <w:rPr>
          <w:rFonts w:ascii="Arial" w:eastAsia="Arial" w:hAnsi="Arial" w:cs="Arial"/>
          <w:i/>
          <w:iCs/>
        </w:rPr>
        <w:t>Journal of Risk Research</w:t>
      </w:r>
      <w:r w:rsidRPr="5C45AAEE">
        <w:rPr>
          <w:rFonts w:ascii="Arial" w:eastAsia="Arial" w:hAnsi="Arial" w:cs="Arial"/>
        </w:rPr>
        <w:t>, 18(3), pp.1–19.</w:t>
      </w:r>
    </w:p>
    <w:p w14:paraId="18E98DE6" w14:textId="500DE27D" w:rsidR="2A12AB0D" w:rsidRDefault="2A12AB0D" w:rsidP="2A12AB0D">
      <w:pPr>
        <w:spacing w:before="240" w:after="240"/>
        <w:rPr>
          <w:rFonts w:ascii="Arial" w:eastAsia="Arial" w:hAnsi="Arial" w:cs="Arial"/>
          <w:b/>
          <w:bCs/>
        </w:rPr>
      </w:pPr>
    </w:p>
    <w:p w14:paraId="57D334BB" w14:textId="577A8DB7" w:rsidR="000B2139" w:rsidRDefault="000B2139" w:rsidP="717CC9BA">
      <w:pPr>
        <w:rPr>
          <w:rFonts w:asciiTheme="minorBidi" w:hAnsiTheme="minorBidi"/>
          <w:b/>
          <w:bCs/>
        </w:rPr>
      </w:pPr>
    </w:p>
    <w:p w14:paraId="0646802B" w14:textId="77777777" w:rsidR="000B2139" w:rsidRPr="00083B9F" w:rsidRDefault="000B2139">
      <w:pPr>
        <w:rPr>
          <w:rFonts w:asciiTheme="minorBidi" w:hAnsiTheme="minorBidi"/>
        </w:rPr>
      </w:pPr>
    </w:p>
    <w:sectPr w:rsidR="000B2139" w:rsidRPr="00083B9F" w:rsidSect="000C73C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46A5E8" w14:textId="77777777" w:rsidR="00A56100" w:rsidRDefault="00A56100" w:rsidP="00E0631D">
      <w:pPr>
        <w:spacing w:after="0" w:line="240" w:lineRule="auto"/>
      </w:pPr>
      <w:r>
        <w:separator/>
      </w:r>
    </w:p>
  </w:endnote>
  <w:endnote w:type="continuationSeparator" w:id="0">
    <w:p w14:paraId="44336F4B" w14:textId="77777777" w:rsidR="00A56100" w:rsidRDefault="00A56100" w:rsidP="00E063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F98C82" w14:textId="77777777" w:rsidR="00A56100" w:rsidRDefault="00A56100" w:rsidP="00E0631D">
      <w:pPr>
        <w:spacing w:after="0" w:line="240" w:lineRule="auto"/>
      </w:pPr>
      <w:r>
        <w:separator/>
      </w:r>
    </w:p>
  </w:footnote>
  <w:footnote w:type="continuationSeparator" w:id="0">
    <w:p w14:paraId="3EA4BB0E" w14:textId="77777777" w:rsidR="00A56100" w:rsidRDefault="00A56100" w:rsidP="00E063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00FEA"/>
    <w:multiLevelType w:val="multilevel"/>
    <w:tmpl w:val="7BBC6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BE0D0B"/>
    <w:multiLevelType w:val="multilevel"/>
    <w:tmpl w:val="36442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7E237A"/>
    <w:multiLevelType w:val="multilevel"/>
    <w:tmpl w:val="52866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7A3E57"/>
    <w:multiLevelType w:val="hybridMultilevel"/>
    <w:tmpl w:val="8B1EA80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F648FD4"/>
    <w:multiLevelType w:val="hybridMultilevel"/>
    <w:tmpl w:val="388840B8"/>
    <w:lvl w:ilvl="0" w:tplc="62AE131A">
      <w:start w:val="1"/>
      <w:numFmt w:val="decimal"/>
      <w:lvlText w:val="%1."/>
      <w:lvlJc w:val="left"/>
      <w:pPr>
        <w:ind w:left="720" w:hanging="360"/>
      </w:pPr>
    </w:lvl>
    <w:lvl w:ilvl="1" w:tplc="0C907124">
      <w:start w:val="1"/>
      <w:numFmt w:val="lowerLetter"/>
      <w:lvlText w:val="%2."/>
      <w:lvlJc w:val="left"/>
      <w:pPr>
        <w:ind w:left="1440" w:hanging="360"/>
      </w:pPr>
    </w:lvl>
    <w:lvl w:ilvl="2" w:tplc="0E46E9D2">
      <w:start w:val="1"/>
      <w:numFmt w:val="lowerRoman"/>
      <w:lvlText w:val="%3."/>
      <w:lvlJc w:val="right"/>
      <w:pPr>
        <w:ind w:left="2160" w:hanging="180"/>
      </w:pPr>
    </w:lvl>
    <w:lvl w:ilvl="3" w:tplc="C2FA9EE6">
      <w:start w:val="1"/>
      <w:numFmt w:val="decimal"/>
      <w:lvlText w:val="%4."/>
      <w:lvlJc w:val="left"/>
      <w:pPr>
        <w:ind w:left="2880" w:hanging="360"/>
      </w:pPr>
    </w:lvl>
    <w:lvl w:ilvl="4" w:tplc="6BC0292E">
      <w:start w:val="1"/>
      <w:numFmt w:val="lowerLetter"/>
      <w:lvlText w:val="%5."/>
      <w:lvlJc w:val="left"/>
      <w:pPr>
        <w:ind w:left="3600" w:hanging="360"/>
      </w:pPr>
    </w:lvl>
    <w:lvl w:ilvl="5" w:tplc="31E0DA18">
      <w:start w:val="1"/>
      <w:numFmt w:val="lowerRoman"/>
      <w:lvlText w:val="%6."/>
      <w:lvlJc w:val="right"/>
      <w:pPr>
        <w:ind w:left="4320" w:hanging="180"/>
      </w:pPr>
    </w:lvl>
    <w:lvl w:ilvl="6" w:tplc="8696BF34">
      <w:start w:val="1"/>
      <w:numFmt w:val="decimal"/>
      <w:lvlText w:val="%7."/>
      <w:lvlJc w:val="left"/>
      <w:pPr>
        <w:ind w:left="5040" w:hanging="360"/>
      </w:pPr>
    </w:lvl>
    <w:lvl w:ilvl="7" w:tplc="DCAEBAC6">
      <w:start w:val="1"/>
      <w:numFmt w:val="lowerLetter"/>
      <w:lvlText w:val="%8."/>
      <w:lvlJc w:val="left"/>
      <w:pPr>
        <w:ind w:left="5760" w:hanging="360"/>
      </w:pPr>
    </w:lvl>
    <w:lvl w:ilvl="8" w:tplc="EBB28DF6">
      <w:start w:val="1"/>
      <w:numFmt w:val="lowerRoman"/>
      <w:lvlText w:val="%9."/>
      <w:lvlJc w:val="right"/>
      <w:pPr>
        <w:ind w:left="6480" w:hanging="180"/>
      </w:pPr>
    </w:lvl>
  </w:abstractNum>
  <w:abstractNum w:abstractNumId="5" w15:restartNumberingAfterBreak="0">
    <w:nsid w:val="1E764BF4"/>
    <w:multiLevelType w:val="multilevel"/>
    <w:tmpl w:val="4B9C2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0F50BC"/>
    <w:multiLevelType w:val="multilevel"/>
    <w:tmpl w:val="15F25B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E56395"/>
    <w:multiLevelType w:val="multilevel"/>
    <w:tmpl w:val="48B00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7B0760"/>
    <w:multiLevelType w:val="hybridMultilevel"/>
    <w:tmpl w:val="AFBEB2EA"/>
    <w:lvl w:ilvl="0" w:tplc="49DE1684">
      <w:start w:val="1"/>
      <w:numFmt w:val="decimal"/>
      <w:lvlText w:val="%1."/>
      <w:lvlJc w:val="left"/>
      <w:pPr>
        <w:ind w:left="720" w:hanging="360"/>
      </w:pPr>
    </w:lvl>
    <w:lvl w:ilvl="1" w:tplc="4DFAE6B6">
      <w:start w:val="1"/>
      <w:numFmt w:val="lowerLetter"/>
      <w:lvlText w:val="%2."/>
      <w:lvlJc w:val="left"/>
      <w:pPr>
        <w:ind w:left="1440" w:hanging="360"/>
      </w:pPr>
    </w:lvl>
    <w:lvl w:ilvl="2" w:tplc="60061950">
      <w:start w:val="1"/>
      <w:numFmt w:val="lowerRoman"/>
      <w:lvlText w:val="%3."/>
      <w:lvlJc w:val="right"/>
      <w:pPr>
        <w:ind w:left="2160" w:hanging="180"/>
      </w:pPr>
    </w:lvl>
    <w:lvl w:ilvl="3" w:tplc="89A2A8DC">
      <w:start w:val="1"/>
      <w:numFmt w:val="decimal"/>
      <w:lvlText w:val="%4."/>
      <w:lvlJc w:val="left"/>
      <w:pPr>
        <w:ind w:left="2880" w:hanging="360"/>
      </w:pPr>
    </w:lvl>
    <w:lvl w:ilvl="4" w:tplc="890AAF48">
      <w:start w:val="1"/>
      <w:numFmt w:val="lowerLetter"/>
      <w:lvlText w:val="%5."/>
      <w:lvlJc w:val="left"/>
      <w:pPr>
        <w:ind w:left="3600" w:hanging="360"/>
      </w:pPr>
    </w:lvl>
    <w:lvl w:ilvl="5" w:tplc="FD149FD8">
      <w:start w:val="1"/>
      <w:numFmt w:val="lowerRoman"/>
      <w:lvlText w:val="%6."/>
      <w:lvlJc w:val="right"/>
      <w:pPr>
        <w:ind w:left="4320" w:hanging="180"/>
      </w:pPr>
    </w:lvl>
    <w:lvl w:ilvl="6" w:tplc="B50E509C">
      <w:start w:val="1"/>
      <w:numFmt w:val="decimal"/>
      <w:lvlText w:val="%7."/>
      <w:lvlJc w:val="left"/>
      <w:pPr>
        <w:ind w:left="5040" w:hanging="360"/>
      </w:pPr>
    </w:lvl>
    <w:lvl w:ilvl="7" w:tplc="D8EA2308">
      <w:start w:val="1"/>
      <w:numFmt w:val="lowerLetter"/>
      <w:lvlText w:val="%8."/>
      <w:lvlJc w:val="left"/>
      <w:pPr>
        <w:ind w:left="5760" w:hanging="360"/>
      </w:pPr>
    </w:lvl>
    <w:lvl w:ilvl="8" w:tplc="40C64A04">
      <w:start w:val="1"/>
      <w:numFmt w:val="lowerRoman"/>
      <w:lvlText w:val="%9."/>
      <w:lvlJc w:val="right"/>
      <w:pPr>
        <w:ind w:left="6480" w:hanging="180"/>
      </w:pPr>
    </w:lvl>
  </w:abstractNum>
  <w:abstractNum w:abstractNumId="9" w15:restartNumberingAfterBreak="0">
    <w:nsid w:val="4F616268"/>
    <w:multiLevelType w:val="hybridMultilevel"/>
    <w:tmpl w:val="840A1676"/>
    <w:lvl w:ilvl="0" w:tplc="2B8A9A84">
      <w:start w:val="1"/>
      <w:numFmt w:val="decimal"/>
      <w:lvlText w:val="%1."/>
      <w:lvlJc w:val="left"/>
      <w:pPr>
        <w:ind w:left="720" w:hanging="360"/>
      </w:pPr>
    </w:lvl>
    <w:lvl w:ilvl="1" w:tplc="3872B818">
      <w:start w:val="1"/>
      <w:numFmt w:val="lowerLetter"/>
      <w:lvlText w:val="%2."/>
      <w:lvlJc w:val="left"/>
      <w:pPr>
        <w:ind w:left="1440" w:hanging="360"/>
      </w:pPr>
    </w:lvl>
    <w:lvl w:ilvl="2" w:tplc="163C4B96">
      <w:start w:val="1"/>
      <w:numFmt w:val="lowerRoman"/>
      <w:lvlText w:val="%3."/>
      <w:lvlJc w:val="right"/>
      <w:pPr>
        <w:ind w:left="2160" w:hanging="180"/>
      </w:pPr>
    </w:lvl>
    <w:lvl w:ilvl="3" w:tplc="286C149A">
      <w:start w:val="1"/>
      <w:numFmt w:val="decimal"/>
      <w:lvlText w:val="%4."/>
      <w:lvlJc w:val="left"/>
      <w:pPr>
        <w:ind w:left="2880" w:hanging="360"/>
      </w:pPr>
    </w:lvl>
    <w:lvl w:ilvl="4" w:tplc="C4DCD730">
      <w:start w:val="1"/>
      <w:numFmt w:val="lowerLetter"/>
      <w:lvlText w:val="%5."/>
      <w:lvlJc w:val="left"/>
      <w:pPr>
        <w:ind w:left="3600" w:hanging="360"/>
      </w:pPr>
    </w:lvl>
    <w:lvl w:ilvl="5" w:tplc="D0B64D9E">
      <w:start w:val="1"/>
      <w:numFmt w:val="lowerRoman"/>
      <w:lvlText w:val="%6."/>
      <w:lvlJc w:val="right"/>
      <w:pPr>
        <w:ind w:left="4320" w:hanging="180"/>
      </w:pPr>
    </w:lvl>
    <w:lvl w:ilvl="6" w:tplc="39223ADC">
      <w:start w:val="1"/>
      <w:numFmt w:val="decimal"/>
      <w:lvlText w:val="%7."/>
      <w:lvlJc w:val="left"/>
      <w:pPr>
        <w:ind w:left="5040" w:hanging="360"/>
      </w:pPr>
    </w:lvl>
    <w:lvl w:ilvl="7" w:tplc="5C06ACA8">
      <w:start w:val="1"/>
      <w:numFmt w:val="lowerLetter"/>
      <w:lvlText w:val="%8."/>
      <w:lvlJc w:val="left"/>
      <w:pPr>
        <w:ind w:left="5760" w:hanging="360"/>
      </w:pPr>
    </w:lvl>
    <w:lvl w:ilvl="8" w:tplc="15047D54">
      <w:start w:val="1"/>
      <w:numFmt w:val="lowerRoman"/>
      <w:lvlText w:val="%9."/>
      <w:lvlJc w:val="right"/>
      <w:pPr>
        <w:ind w:left="6480" w:hanging="180"/>
      </w:pPr>
    </w:lvl>
  </w:abstractNum>
  <w:abstractNum w:abstractNumId="10" w15:restartNumberingAfterBreak="0">
    <w:nsid w:val="4FB22F0B"/>
    <w:multiLevelType w:val="hybridMultilevel"/>
    <w:tmpl w:val="AFD0626E"/>
    <w:lvl w:ilvl="0" w:tplc="843C909C">
      <w:start w:val="1"/>
      <w:numFmt w:val="decimal"/>
      <w:lvlText w:val="%1."/>
      <w:lvlJc w:val="left"/>
      <w:pPr>
        <w:ind w:left="720" w:hanging="360"/>
      </w:pPr>
    </w:lvl>
    <w:lvl w:ilvl="1" w:tplc="44D2ADB8">
      <w:start w:val="1"/>
      <w:numFmt w:val="lowerLetter"/>
      <w:lvlText w:val="%2."/>
      <w:lvlJc w:val="left"/>
      <w:pPr>
        <w:ind w:left="1440" w:hanging="360"/>
      </w:pPr>
    </w:lvl>
    <w:lvl w:ilvl="2" w:tplc="EF8C7C6C">
      <w:start w:val="1"/>
      <w:numFmt w:val="lowerRoman"/>
      <w:lvlText w:val="%3."/>
      <w:lvlJc w:val="right"/>
      <w:pPr>
        <w:ind w:left="2160" w:hanging="180"/>
      </w:pPr>
    </w:lvl>
    <w:lvl w:ilvl="3" w:tplc="BB7AD2F2">
      <w:start w:val="1"/>
      <w:numFmt w:val="decimal"/>
      <w:lvlText w:val="%4."/>
      <w:lvlJc w:val="left"/>
      <w:pPr>
        <w:ind w:left="2880" w:hanging="360"/>
      </w:pPr>
    </w:lvl>
    <w:lvl w:ilvl="4" w:tplc="41527208">
      <w:start w:val="1"/>
      <w:numFmt w:val="lowerLetter"/>
      <w:lvlText w:val="%5."/>
      <w:lvlJc w:val="left"/>
      <w:pPr>
        <w:ind w:left="3600" w:hanging="360"/>
      </w:pPr>
    </w:lvl>
    <w:lvl w:ilvl="5" w:tplc="2FBA75C6">
      <w:start w:val="1"/>
      <w:numFmt w:val="lowerRoman"/>
      <w:lvlText w:val="%6."/>
      <w:lvlJc w:val="right"/>
      <w:pPr>
        <w:ind w:left="4320" w:hanging="180"/>
      </w:pPr>
    </w:lvl>
    <w:lvl w:ilvl="6" w:tplc="C4245204">
      <w:start w:val="1"/>
      <w:numFmt w:val="decimal"/>
      <w:lvlText w:val="%7."/>
      <w:lvlJc w:val="left"/>
      <w:pPr>
        <w:ind w:left="5040" w:hanging="360"/>
      </w:pPr>
    </w:lvl>
    <w:lvl w:ilvl="7" w:tplc="D6C24920">
      <w:start w:val="1"/>
      <w:numFmt w:val="lowerLetter"/>
      <w:lvlText w:val="%8."/>
      <w:lvlJc w:val="left"/>
      <w:pPr>
        <w:ind w:left="5760" w:hanging="360"/>
      </w:pPr>
    </w:lvl>
    <w:lvl w:ilvl="8" w:tplc="BA0265E4">
      <w:start w:val="1"/>
      <w:numFmt w:val="lowerRoman"/>
      <w:lvlText w:val="%9."/>
      <w:lvlJc w:val="right"/>
      <w:pPr>
        <w:ind w:left="6480" w:hanging="180"/>
      </w:pPr>
    </w:lvl>
  </w:abstractNum>
  <w:abstractNum w:abstractNumId="11" w15:restartNumberingAfterBreak="0">
    <w:nsid w:val="589F0AE3"/>
    <w:multiLevelType w:val="hybridMultilevel"/>
    <w:tmpl w:val="8CD8DFD4"/>
    <w:lvl w:ilvl="0" w:tplc="4B9856D6">
      <w:start w:val="1"/>
      <w:numFmt w:val="bullet"/>
      <w:lvlText w:val=""/>
      <w:lvlJc w:val="left"/>
      <w:pPr>
        <w:ind w:left="1080" w:hanging="360"/>
      </w:pPr>
      <w:rPr>
        <w:rFonts w:ascii="Symbol" w:hAnsi="Symbol"/>
      </w:rPr>
    </w:lvl>
    <w:lvl w:ilvl="1" w:tplc="C4D488B4">
      <w:start w:val="1"/>
      <w:numFmt w:val="bullet"/>
      <w:lvlText w:val=""/>
      <w:lvlJc w:val="left"/>
      <w:pPr>
        <w:ind w:left="1080" w:hanging="360"/>
      </w:pPr>
      <w:rPr>
        <w:rFonts w:ascii="Symbol" w:hAnsi="Symbol"/>
      </w:rPr>
    </w:lvl>
    <w:lvl w:ilvl="2" w:tplc="F740E5F8">
      <w:start w:val="1"/>
      <w:numFmt w:val="bullet"/>
      <w:lvlText w:val=""/>
      <w:lvlJc w:val="left"/>
      <w:pPr>
        <w:ind w:left="1080" w:hanging="360"/>
      </w:pPr>
      <w:rPr>
        <w:rFonts w:ascii="Symbol" w:hAnsi="Symbol"/>
      </w:rPr>
    </w:lvl>
    <w:lvl w:ilvl="3" w:tplc="F95001DA">
      <w:start w:val="1"/>
      <w:numFmt w:val="bullet"/>
      <w:lvlText w:val=""/>
      <w:lvlJc w:val="left"/>
      <w:pPr>
        <w:ind w:left="1080" w:hanging="360"/>
      </w:pPr>
      <w:rPr>
        <w:rFonts w:ascii="Symbol" w:hAnsi="Symbol"/>
      </w:rPr>
    </w:lvl>
    <w:lvl w:ilvl="4" w:tplc="51EEAD16">
      <w:start w:val="1"/>
      <w:numFmt w:val="bullet"/>
      <w:lvlText w:val=""/>
      <w:lvlJc w:val="left"/>
      <w:pPr>
        <w:ind w:left="1080" w:hanging="360"/>
      </w:pPr>
      <w:rPr>
        <w:rFonts w:ascii="Symbol" w:hAnsi="Symbol"/>
      </w:rPr>
    </w:lvl>
    <w:lvl w:ilvl="5" w:tplc="AAB42AD0">
      <w:start w:val="1"/>
      <w:numFmt w:val="bullet"/>
      <w:lvlText w:val=""/>
      <w:lvlJc w:val="left"/>
      <w:pPr>
        <w:ind w:left="1080" w:hanging="360"/>
      </w:pPr>
      <w:rPr>
        <w:rFonts w:ascii="Symbol" w:hAnsi="Symbol"/>
      </w:rPr>
    </w:lvl>
    <w:lvl w:ilvl="6" w:tplc="C98A3694">
      <w:start w:val="1"/>
      <w:numFmt w:val="bullet"/>
      <w:lvlText w:val=""/>
      <w:lvlJc w:val="left"/>
      <w:pPr>
        <w:ind w:left="1080" w:hanging="360"/>
      </w:pPr>
      <w:rPr>
        <w:rFonts w:ascii="Symbol" w:hAnsi="Symbol"/>
      </w:rPr>
    </w:lvl>
    <w:lvl w:ilvl="7" w:tplc="14DEE1CA">
      <w:start w:val="1"/>
      <w:numFmt w:val="bullet"/>
      <w:lvlText w:val=""/>
      <w:lvlJc w:val="left"/>
      <w:pPr>
        <w:ind w:left="1080" w:hanging="360"/>
      </w:pPr>
      <w:rPr>
        <w:rFonts w:ascii="Symbol" w:hAnsi="Symbol"/>
      </w:rPr>
    </w:lvl>
    <w:lvl w:ilvl="8" w:tplc="81AAECF2">
      <w:start w:val="1"/>
      <w:numFmt w:val="bullet"/>
      <w:lvlText w:val=""/>
      <w:lvlJc w:val="left"/>
      <w:pPr>
        <w:ind w:left="1080" w:hanging="360"/>
      </w:pPr>
      <w:rPr>
        <w:rFonts w:ascii="Symbol" w:hAnsi="Symbol"/>
      </w:rPr>
    </w:lvl>
  </w:abstractNum>
  <w:abstractNum w:abstractNumId="12" w15:restartNumberingAfterBreak="0">
    <w:nsid w:val="58F2F916"/>
    <w:multiLevelType w:val="multilevel"/>
    <w:tmpl w:val="B7D04A62"/>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3" w15:restartNumberingAfterBreak="0">
    <w:nsid w:val="63F04734"/>
    <w:multiLevelType w:val="multilevel"/>
    <w:tmpl w:val="A6A0B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40399B"/>
    <w:multiLevelType w:val="hybridMultilevel"/>
    <w:tmpl w:val="37FE83EE"/>
    <w:lvl w:ilvl="0" w:tplc="D7348230">
      <w:start w:val="1"/>
      <w:numFmt w:val="bullet"/>
      <w:lvlText w:val=""/>
      <w:lvlJc w:val="left"/>
      <w:pPr>
        <w:ind w:left="1080" w:hanging="360"/>
      </w:pPr>
      <w:rPr>
        <w:rFonts w:ascii="Symbol" w:hAnsi="Symbol"/>
      </w:rPr>
    </w:lvl>
    <w:lvl w:ilvl="1" w:tplc="0F2EC964">
      <w:start w:val="1"/>
      <w:numFmt w:val="bullet"/>
      <w:lvlText w:val=""/>
      <w:lvlJc w:val="left"/>
      <w:pPr>
        <w:ind w:left="1080" w:hanging="360"/>
      </w:pPr>
      <w:rPr>
        <w:rFonts w:ascii="Symbol" w:hAnsi="Symbol"/>
      </w:rPr>
    </w:lvl>
    <w:lvl w:ilvl="2" w:tplc="8FFA0416">
      <w:start w:val="1"/>
      <w:numFmt w:val="bullet"/>
      <w:lvlText w:val=""/>
      <w:lvlJc w:val="left"/>
      <w:pPr>
        <w:ind w:left="1080" w:hanging="360"/>
      </w:pPr>
      <w:rPr>
        <w:rFonts w:ascii="Symbol" w:hAnsi="Symbol"/>
      </w:rPr>
    </w:lvl>
    <w:lvl w:ilvl="3" w:tplc="03CE3AC6">
      <w:start w:val="1"/>
      <w:numFmt w:val="bullet"/>
      <w:lvlText w:val=""/>
      <w:lvlJc w:val="left"/>
      <w:pPr>
        <w:ind w:left="1080" w:hanging="360"/>
      </w:pPr>
      <w:rPr>
        <w:rFonts w:ascii="Symbol" w:hAnsi="Symbol"/>
      </w:rPr>
    </w:lvl>
    <w:lvl w:ilvl="4" w:tplc="4CD030B6">
      <w:start w:val="1"/>
      <w:numFmt w:val="bullet"/>
      <w:lvlText w:val=""/>
      <w:lvlJc w:val="left"/>
      <w:pPr>
        <w:ind w:left="1080" w:hanging="360"/>
      </w:pPr>
      <w:rPr>
        <w:rFonts w:ascii="Symbol" w:hAnsi="Symbol"/>
      </w:rPr>
    </w:lvl>
    <w:lvl w:ilvl="5" w:tplc="0EAAE730">
      <w:start w:val="1"/>
      <w:numFmt w:val="bullet"/>
      <w:lvlText w:val=""/>
      <w:lvlJc w:val="left"/>
      <w:pPr>
        <w:ind w:left="1080" w:hanging="360"/>
      </w:pPr>
      <w:rPr>
        <w:rFonts w:ascii="Symbol" w:hAnsi="Symbol"/>
      </w:rPr>
    </w:lvl>
    <w:lvl w:ilvl="6" w:tplc="DE840D00">
      <w:start w:val="1"/>
      <w:numFmt w:val="bullet"/>
      <w:lvlText w:val=""/>
      <w:lvlJc w:val="left"/>
      <w:pPr>
        <w:ind w:left="1080" w:hanging="360"/>
      </w:pPr>
      <w:rPr>
        <w:rFonts w:ascii="Symbol" w:hAnsi="Symbol"/>
      </w:rPr>
    </w:lvl>
    <w:lvl w:ilvl="7" w:tplc="FFF03EB4">
      <w:start w:val="1"/>
      <w:numFmt w:val="bullet"/>
      <w:lvlText w:val=""/>
      <w:lvlJc w:val="left"/>
      <w:pPr>
        <w:ind w:left="1080" w:hanging="360"/>
      </w:pPr>
      <w:rPr>
        <w:rFonts w:ascii="Symbol" w:hAnsi="Symbol"/>
      </w:rPr>
    </w:lvl>
    <w:lvl w:ilvl="8" w:tplc="E436A3CC">
      <w:start w:val="1"/>
      <w:numFmt w:val="bullet"/>
      <w:lvlText w:val=""/>
      <w:lvlJc w:val="left"/>
      <w:pPr>
        <w:ind w:left="1080" w:hanging="360"/>
      </w:pPr>
      <w:rPr>
        <w:rFonts w:ascii="Symbol" w:hAnsi="Symbol"/>
      </w:rPr>
    </w:lvl>
  </w:abstractNum>
  <w:abstractNum w:abstractNumId="15" w15:restartNumberingAfterBreak="0">
    <w:nsid w:val="7C0BCE99"/>
    <w:multiLevelType w:val="hybridMultilevel"/>
    <w:tmpl w:val="8D7EA0C6"/>
    <w:lvl w:ilvl="0" w:tplc="5614BDA0">
      <w:start w:val="1"/>
      <w:numFmt w:val="decimal"/>
      <w:lvlText w:val="%1."/>
      <w:lvlJc w:val="left"/>
      <w:pPr>
        <w:ind w:left="720" w:hanging="360"/>
      </w:pPr>
    </w:lvl>
    <w:lvl w:ilvl="1" w:tplc="3DB48028">
      <w:start w:val="1"/>
      <w:numFmt w:val="lowerLetter"/>
      <w:lvlText w:val="%2."/>
      <w:lvlJc w:val="left"/>
      <w:pPr>
        <w:ind w:left="1440" w:hanging="360"/>
      </w:pPr>
    </w:lvl>
    <w:lvl w:ilvl="2" w:tplc="06B47B4A">
      <w:start w:val="1"/>
      <w:numFmt w:val="lowerRoman"/>
      <w:lvlText w:val="%3."/>
      <w:lvlJc w:val="right"/>
      <w:pPr>
        <w:ind w:left="2160" w:hanging="180"/>
      </w:pPr>
    </w:lvl>
    <w:lvl w:ilvl="3" w:tplc="2152CF7E">
      <w:start w:val="1"/>
      <w:numFmt w:val="decimal"/>
      <w:lvlText w:val="%4."/>
      <w:lvlJc w:val="left"/>
      <w:pPr>
        <w:ind w:left="2880" w:hanging="360"/>
      </w:pPr>
    </w:lvl>
    <w:lvl w:ilvl="4" w:tplc="9F1C664C">
      <w:start w:val="1"/>
      <w:numFmt w:val="lowerLetter"/>
      <w:lvlText w:val="%5."/>
      <w:lvlJc w:val="left"/>
      <w:pPr>
        <w:ind w:left="3600" w:hanging="360"/>
      </w:pPr>
    </w:lvl>
    <w:lvl w:ilvl="5" w:tplc="05F6FF28">
      <w:start w:val="1"/>
      <w:numFmt w:val="lowerRoman"/>
      <w:lvlText w:val="%6."/>
      <w:lvlJc w:val="right"/>
      <w:pPr>
        <w:ind w:left="4320" w:hanging="180"/>
      </w:pPr>
    </w:lvl>
    <w:lvl w:ilvl="6" w:tplc="6F86D32C">
      <w:start w:val="1"/>
      <w:numFmt w:val="decimal"/>
      <w:lvlText w:val="%7."/>
      <w:lvlJc w:val="left"/>
      <w:pPr>
        <w:ind w:left="5040" w:hanging="360"/>
      </w:pPr>
    </w:lvl>
    <w:lvl w:ilvl="7" w:tplc="B472217A">
      <w:start w:val="1"/>
      <w:numFmt w:val="lowerLetter"/>
      <w:lvlText w:val="%8."/>
      <w:lvlJc w:val="left"/>
      <w:pPr>
        <w:ind w:left="5760" w:hanging="360"/>
      </w:pPr>
    </w:lvl>
    <w:lvl w:ilvl="8" w:tplc="A99E93AC">
      <w:start w:val="1"/>
      <w:numFmt w:val="lowerRoman"/>
      <w:lvlText w:val="%9."/>
      <w:lvlJc w:val="right"/>
      <w:pPr>
        <w:ind w:left="6480" w:hanging="180"/>
      </w:pPr>
    </w:lvl>
  </w:abstractNum>
  <w:abstractNum w:abstractNumId="16" w15:restartNumberingAfterBreak="0">
    <w:nsid w:val="7CD4A301"/>
    <w:multiLevelType w:val="hybridMultilevel"/>
    <w:tmpl w:val="97E0DDA2"/>
    <w:lvl w:ilvl="0" w:tplc="3510036A">
      <w:start w:val="1"/>
      <w:numFmt w:val="decimal"/>
      <w:lvlText w:val="%1."/>
      <w:lvlJc w:val="left"/>
      <w:pPr>
        <w:ind w:left="720" w:hanging="360"/>
      </w:pPr>
    </w:lvl>
    <w:lvl w:ilvl="1" w:tplc="4DA8811A">
      <w:start w:val="1"/>
      <w:numFmt w:val="lowerLetter"/>
      <w:lvlText w:val="%2."/>
      <w:lvlJc w:val="left"/>
      <w:pPr>
        <w:ind w:left="1440" w:hanging="360"/>
      </w:pPr>
    </w:lvl>
    <w:lvl w:ilvl="2" w:tplc="69F2D7EC">
      <w:start w:val="1"/>
      <w:numFmt w:val="lowerRoman"/>
      <w:lvlText w:val="%3."/>
      <w:lvlJc w:val="right"/>
      <w:pPr>
        <w:ind w:left="2160" w:hanging="180"/>
      </w:pPr>
    </w:lvl>
    <w:lvl w:ilvl="3" w:tplc="35E8525C">
      <w:start w:val="1"/>
      <w:numFmt w:val="decimal"/>
      <w:lvlText w:val="%4."/>
      <w:lvlJc w:val="left"/>
      <w:pPr>
        <w:ind w:left="2880" w:hanging="360"/>
      </w:pPr>
    </w:lvl>
    <w:lvl w:ilvl="4" w:tplc="E5627D08">
      <w:start w:val="1"/>
      <w:numFmt w:val="lowerLetter"/>
      <w:lvlText w:val="%5."/>
      <w:lvlJc w:val="left"/>
      <w:pPr>
        <w:ind w:left="3600" w:hanging="360"/>
      </w:pPr>
    </w:lvl>
    <w:lvl w:ilvl="5" w:tplc="FB2A3E54">
      <w:start w:val="1"/>
      <w:numFmt w:val="lowerRoman"/>
      <w:lvlText w:val="%6."/>
      <w:lvlJc w:val="right"/>
      <w:pPr>
        <w:ind w:left="4320" w:hanging="180"/>
      </w:pPr>
    </w:lvl>
    <w:lvl w:ilvl="6" w:tplc="82A0C038">
      <w:start w:val="1"/>
      <w:numFmt w:val="decimal"/>
      <w:lvlText w:val="%7."/>
      <w:lvlJc w:val="left"/>
      <w:pPr>
        <w:ind w:left="5040" w:hanging="360"/>
      </w:pPr>
    </w:lvl>
    <w:lvl w:ilvl="7" w:tplc="A25646FA">
      <w:start w:val="1"/>
      <w:numFmt w:val="lowerLetter"/>
      <w:lvlText w:val="%8."/>
      <w:lvlJc w:val="left"/>
      <w:pPr>
        <w:ind w:left="5760" w:hanging="360"/>
      </w:pPr>
    </w:lvl>
    <w:lvl w:ilvl="8" w:tplc="3780B14E">
      <w:start w:val="1"/>
      <w:numFmt w:val="lowerRoman"/>
      <w:lvlText w:val="%9."/>
      <w:lvlJc w:val="right"/>
      <w:pPr>
        <w:ind w:left="6480" w:hanging="180"/>
      </w:pPr>
    </w:lvl>
  </w:abstractNum>
  <w:num w:numId="1" w16cid:durableId="1469861377">
    <w:abstractNumId w:val="10"/>
  </w:num>
  <w:num w:numId="2" w16cid:durableId="270892809">
    <w:abstractNumId w:val="16"/>
  </w:num>
  <w:num w:numId="3" w16cid:durableId="1796874397">
    <w:abstractNumId w:val="15"/>
  </w:num>
  <w:num w:numId="4" w16cid:durableId="910116181">
    <w:abstractNumId w:val="4"/>
  </w:num>
  <w:num w:numId="5" w16cid:durableId="352193107">
    <w:abstractNumId w:val="8"/>
  </w:num>
  <w:num w:numId="6" w16cid:durableId="2145342086">
    <w:abstractNumId w:val="12"/>
  </w:num>
  <w:num w:numId="7" w16cid:durableId="1084112756">
    <w:abstractNumId w:val="9"/>
  </w:num>
  <w:num w:numId="8" w16cid:durableId="1007712572">
    <w:abstractNumId w:val="13"/>
  </w:num>
  <w:num w:numId="9" w16cid:durableId="1671517117">
    <w:abstractNumId w:val="7"/>
  </w:num>
  <w:num w:numId="10" w16cid:durableId="859320956">
    <w:abstractNumId w:val="6"/>
  </w:num>
  <w:num w:numId="11" w16cid:durableId="422725035">
    <w:abstractNumId w:val="0"/>
  </w:num>
  <w:num w:numId="12" w16cid:durableId="886988484">
    <w:abstractNumId w:val="3"/>
  </w:num>
  <w:num w:numId="13" w16cid:durableId="1768190813">
    <w:abstractNumId w:val="5"/>
  </w:num>
  <w:num w:numId="14" w16cid:durableId="816185573">
    <w:abstractNumId w:val="2"/>
  </w:num>
  <w:num w:numId="15" w16cid:durableId="2061586746">
    <w:abstractNumId w:val="1"/>
  </w:num>
  <w:num w:numId="16" w16cid:durableId="466166258">
    <w:abstractNumId w:val="14"/>
  </w:num>
  <w:num w:numId="17" w16cid:durableId="145281929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0B9"/>
    <w:rsid w:val="00015812"/>
    <w:rsid w:val="0007372F"/>
    <w:rsid w:val="00083B9F"/>
    <w:rsid w:val="000B2139"/>
    <w:rsid w:val="000C73CA"/>
    <w:rsid w:val="00115C15"/>
    <w:rsid w:val="00131885"/>
    <w:rsid w:val="0014134C"/>
    <w:rsid w:val="00144100"/>
    <w:rsid w:val="00147FBB"/>
    <w:rsid w:val="001A4E9B"/>
    <w:rsid w:val="001C5F74"/>
    <w:rsid w:val="001D52CA"/>
    <w:rsid w:val="001E11F0"/>
    <w:rsid w:val="001E5F33"/>
    <w:rsid w:val="001F47B1"/>
    <w:rsid w:val="00217522"/>
    <w:rsid w:val="002416B4"/>
    <w:rsid w:val="0025341D"/>
    <w:rsid w:val="002D16E8"/>
    <w:rsid w:val="002D4E16"/>
    <w:rsid w:val="002E6935"/>
    <w:rsid w:val="00305E78"/>
    <w:rsid w:val="00311E58"/>
    <w:rsid w:val="00344680"/>
    <w:rsid w:val="0036263D"/>
    <w:rsid w:val="003806E9"/>
    <w:rsid w:val="003A060B"/>
    <w:rsid w:val="003D00B9"/>
    <w:rsid w:val="00441030"/>
    <w:rsid w:val="00450FA4"/>
    <w:rsid w:val="004867A1"/>
    <w:rsid w:val="004B6356"/>
    <w:rsid w:val="005406A8"/>
    <w:rsid w:val="00582840"/>
    <w:rsid w:val="005B7198"/>
    <w:rsid w:val="005F6DEC"/>
    <w:rsid w:val="006406B8"/>
    <w:rsid w:val="0065058B"/>
    <w:rsid w:val="0065343F"/>
    <w:rsid w:val="00695A55"/>
    <w:rsid w:val="00780A62"/>
    <w:rsid w:val="00785642"/>
    <w:rsid w:val="007B1AE8"/>
    <w:rsid w:val="00811BD2"/>
    <w:rsid w:val="00876FFA"/>
    <w:rsid w:val="00887671"/>
    <w:rsid w:val="008976CF"/>
    <w:rsid w:val="008A7209"/>
    <w:rsid w:val="008C09B7"/>
    <w:rsid w:val="008E4D0D"/>
    <w:rsid w:val="009018DB"/>
    <w:rsid w:val="00970F81"/>
    <w:rsid w:val="009B5021"/>
    <w:rsid w:val="009C64E2"/>
    <w:rsid w:val="009E11B9"/>
    <w:rsid w:val="009E422A"/>
    <w:rsid w:val="009E4EE6"/>
    <w:rsid w:val="00A312E2"/>
    <w:rsid w:val="00A4752E"/>
    <w:rsid w:val="00A48A14"/>
    <w:rsid w:val="00A56100"/>
    <w:rsid w:val="00A5646D"/>
    <w:rsid w:val="00AB17FD"/>
    <w:rsid w:val="00AC0957"/>
    <w:rsid w:val="00AC4EFC"/>
    <w:rsid w:val="00B13F41"/>
    <w:rsid w:val="00B32406"/>
    <w:rsid w:val="00B43545"/>
    <w:rsid w:val="00B83891"/>
    <w:rsid w:val="00BC58B5"/>
    <w:rsid w:val="00BC7625"/>
    <w:rsid w:val="00BD4953"/>
    <w:rsid w:val="00C44C28"/>
    <w:rsid w:val="00C55B90"/>
    <w:rsid w:val="00C622DE"/>
    <w:rsid w:val="00C95CDA"/>
    <w:rsid w:val="00D12EF1"/>
    <w:rsid w:val="00D177FB"/>
    <w:rsid w:val="00D33AD7"/>
    <w:rsid w:val="00D66AFC"/>
    <w:rsid w:val="00D96B98"/>
    <w:rsid w:val="00DA76FC"/>
    <w:rsid w:val="00DC6426"/>
    <w:rsid w:val="00DD4B6B"/>
    <w:rsid w:val="00DD55DB"/>
    <w:rsid w:val="00DE10EB"/>
    <w:rsid w:val="00DEE3F8"/>
    <w:rsid w:val="00E0631D"/>
    <w:rsid w:val="00E177D3"/>
    <w:rsid w:val="00E17D42"/>
    <w:rsid w:val="00E3035E"/>
    <w:rsid w:val="00E37FDB"/>
    <w:rsid w:val="00E45DC4"/>
    <w:rsid w:val="00E618EC"/>
    <w:rsid w:val="00EB359D"/>
    <w:rsid w:val="00ED3A93"/>
    <w:rsid w:val="00EF2434"/>
    <w:rsid w:val="00F7190D"/>
    <w:rsid w:val="00F73650"/>
    <w:rsid w:val="01761B00"/>
    <w:rsid w:val="037457A3"/>
    <w:rsid w:val="03B679DE"/>
    <w:rsid w:val="04D78873"/>
    <w:rsid w:val="051C6B5F"/>
    <w:rsid w:val="05FBD76E"/>
    <w:rsid w:val="072B9025"/>
    <w:rsid w:val="07FAC054"/>
    <w:rsid w:val="08D8DDA8"/>
    <w:rsid w:val="08E6F60D"/>
    <w:rsid w:val="09DDD837"/>
    <w:rsid w:val="0E1261F3"/>
    <w:rsid w:val="0E675ACA"/>
    <w:rsid w:val="0F2BEA49"/>
    <w:rsid w:val="0F72D4F8"/>
    <w:rsid w:val="0F8531D0"/>
    <w:rsid w:val="0FDE22A3"/>
    <w:rsid w:val="1492D872"/>
    <w:rsid w:val="14D398E4"/>
    <w:rsid w:val="16DBCF91"/>
    <w:rsid w:val="1766A7ED"/>
    <w:rsid w:val="180B4386"/>
    <w:rsid w:val="18178231"/>
    <w:rsid w:val="18EB5DF6"/>
    <w:rsid w:val="1C4E243D"/>
    <w:rsid w:val="1CB15D87"/>
    <w:rsid w:val="1D5CDCEE"/>
    <w:rsid w:val="1E2A6BC7"/>
    <w:rsid w:val="1E4D3C93"/>
    <w:rsid w:val="1F27F39B"/>
    <w:rsid w:val="21291E63"/>
    <w:rsid w:val="21A4CE28"/>
    <w:rsid w:val="23C68E62"/>
    <w:rsid w:val="2458F292"/>
    <w:rsid w:val="2490E332"/>
    <w:rsid w:val="24993E64"/>
    <w:rsid w:val="2822E24E"/>
    <w:rsid w:val="2A12AB0D"/>
    <w:rsid w:val="2BC1D13D"/>
    <w:rsid w:val="2C0C974F"/>
    <w:rsid w:val="2CFCCC3D"/>
    <w:rsid w:val="2D11C4B6"/>
    <w:rsid w:val="2D9882D8"/>
    <w:rsid w:val="2F3B1A46"/>
    <w:rsid w:val="300FF7ED"/>
    <w:rsid w:val="3097CE73"/>
    <w:rsid w:val="315FE16C"/>
    <w:rsid w:val="32E7BB42"/>
    <w:rsid w:val="3521250E"/>
    <w:rsid w:val="35DBEFBB"/>
    <w:rsid w:val="36484D52"/>
    <w:rsid w:val="369C3245"/>
    <w:rsid w:val="36E9403A"/>
    <w:rsid w:val="377CB455"/>
    <w:rsid w:val="3782A17D"/>
    <w:rsid w:val="384DA2EE"/>
    <w:rsid w:val="392A7495"/>
    <w:rsid w:val="3935FDE7"/>
    <w:rsid w:val="39681630"/>
    <w:rsid w:val="3A5D72F7"/>
    <w:rsid w:val="3ABE159A"/>
    <w:rsid w:val="3B1051F0"/>
    <w:rsid w:val="3CDD20FA"/>
    <w:rsid w:val="4089210F"/>
    <w:rsid w:val="41BD2D0F"/>
    <w:rsid w:val="426511E5"/>
    <w:rsid w:val="42D27587"/>
    <w:rsid w:val="4361C447"/>
    <w:rsid w:val="4465700A"/>
    <w:rsid w:val="47BAD6E7"/>
    <w:rsid w:val="49BE4459"/>
    <w:rsid w:val="4B7041CB"/>
    <w:rsid w:val="4C9A702F"/>
    <w:rsid w:val="4D4F6329"/>
    <w:rsid w:val="4DC9B577"/>
    <w:rsid w:val="4E107BD9"/>
    <w:rsid w:val="4EAE4D46"/>
    <w:rsid w:val="4F88BF1A"/>
    <w:rsid w:val="4FE174F1"/>
    <w:rsid w:val="505B9F42"/>
    <w:rsid w:val="5268BB4E"/>
    <w:rsid w:val="536DE622"/>
    <w:rsid w:val="53D39908"/>
    <w:rsid w:val="546036CE"/>
    <w:rsid w:val="5466F7CD"/>
    <w:rsid w:val="5485B39E"/>
    <w:rsid w:val="559B999E"/>
    <w:rsid w:val="55A0E906"/>
    <w:rsid w:val="56F1963E"/>
    <w:rsid w:val="577BF860"/>
    <w:rsid w:val="57BD506E"/>
    <w:rsid w:val="5918D13C"/>
    <w:rsid w:val="59B82DBD"/>
    <w:rsid w:val="5A2F4B0E"/>
    <w:rsid w:val="5C45AAEE"/>
    <w:rsid w:val="5D166922"/>
    <w:rsid w:val="5D3C5829"/>
    <w:rsid w:val="5D4404F5"/>
    <w:rsid w:val="5F2E46DD"/>
    <w:rsid w:val="6053A7E2"/>
    <w:rsid w:val="620EF32A"/>
    <w:rsid w:val="622BB15D"/>
    <w:rsid w:val="62874F6A"/>
    <w:rsid w:val="630C6DE0"/>
    <w:rsid w:val="64685D39"/>
    <w:rsid w:val="64D6D14A"/>
    <w:rsid w:val="65991A41"/>
    <w:rsid w:val="66E39B72"/>
    <w:rsid w:val="67864077"/>
    <w:rsid w:val="6A21BA8C"/>
    <w:rsid w:val="6A378986"/>
    <w:rsid w:val="6A4A6763"/>
    <w:rsid w:val="6AE6E64F"/>
    <w:rsid w:val="6E430C64"/>
    <w:rsid w:val="6FA7B324"/>
    <w:rsid w:val="702FEBE5"/>
    <w:rsid w:val="7031A909"/>
    <w:rsid w:val="7054EBF4"/>
    <w:rsid w:val="709A696E"/>
    <w:rsid w:val="71193D04"/>
    <w:rsid w:val="717CC9BA"/>
    <w:rsid w:val="72501B0D"/>
    <w:rsid w:val="72E2E00F"/>
    <w:rsid w:val="7366CC7D"/>
    <w:rsid w:val="73E7A576"/>
    <w:rsid w:val="7425A338"/>
    <w:rsid w:val="76750731"/>
    <w:rsid w:val="771BC1D1"/>
    <w:rsid w:val="77E16C3C"/>
    <w:rsid w:val="780F2D28"/>
    <w:rsid w:val="78B11636"/>
    <w:rsid w:val="79BEE418"/>
    <w:rsid w:val="7A5A3508"/>
    <w:rsid w:val="7ACB6D53"/>
    <w:rsid w:val="7C67814A"/>
    <w:rsid w:val="7E06A3EE"/>
    <w:rsid w:val="7EB55DE7"/>
    <w:rsid w:val="7FB8C2B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574E7E"/>
  <w15:chartTrackingRefBased/>
  <w15:docId w15:val="{53867F5D-9E7D-40B5-8345-E864E7FDC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00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00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00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00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00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00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00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00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00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0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00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00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00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00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00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00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00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00B9"/>
    <w:rPr>
      <w:rFonts w:eastAsiaTheme="majorEastAsia" w:cstheme="majorBidi"/>
      <w:color w:val="272727" w:themeColor="text1" w:themeTint="D8"/>
    </w:rPr>
  </w:style>
  <w:style w:type="paragraph" w:styleId="Title">
    <w:name w:val="Title"/>
    <w:basedOn w:val="Normal"/>
    <w:next w:val="Normal"/>
    <w:link w:val="TitleChar"/>
    <w:uiPriority w:val="10"/>
    <w:qFormat/>
    <w:rsid w:val="003D00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00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00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00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00B9"/>
    <w:pPr>
      <w:spacing w:before="160"/>
      <w:jc w:val="center"/>
    </w:pPr>
    <w:rPr>
      <w:i/>
      <w:iCs/>
      <w:color w:val="404040" w:themeColor="text1" w:themeTint="BF"/>
    </w:rPr>
  </w:style>
  <w:style w:type="character" w:customStyle="1" w:styleId="QuoteChar">
    <w:name w:val="Quote Char"/>
    <w:basedOn w:val="DefaultParagraphFont"/>
    <w:link w:val="Quote"/>
    <w:uiPriority w:val="29"/>
    <w:rsid w:val="003D00B9"/>
    <w:rPr>
      <w:i/>
      <w:iCs/>
      <w:color w:val="404040" w:themeColor="text1" w:themeTint="BF"/>
    </w:rPr>
  </w:style>
  <w:style w:type="paragraph" w:styleId="ListParagraph">
    <w:name w:val="List Paragraph"/>
    <w:basedOn w:val="Normal"/>
    <w:uiPriority w:val="34"/>
    <w:qFormat/>
    <w:rsid w:val="003D00B9"/>
    <w:pPr>
      <w:ind w:left="720"/>
      <w:contextualSpacing/>
    </w:pPr>
  </w:style>
  <w:style w:type="character" w:styleId="IntenseEmphasis">
    <w:name w:val="Intense Emphasis"/>
    <w:basedOn w:val="DefaultParagraphFont"/>
    <w:uiPriority w:val="21"/>
    <w:qFormat/>
    <w:rsid w:val="003D00B9"/>
    <w:rPr>
      <w:i/>
      <w:iCs/>
      <w:color w:val="0F4761" w:themeColor="accent1" w:themeShade="BF"/>
    </w:rPr>
  </w:style>
  <w:style w:type="paragraph" w:styleId="IntenseQuote">
    <w:name w:val="Intense Quote"/>
    <w:basedOn w:val="Normal"/>
    <w:next w:val="Normal"/>
    <w:link w:val="IntenseQuoteChar"/>
    <w:uiPriority w:val="30"/>
    <w:qFormat/>
    <w:rsid w:val="003D00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00B9"/>
    <w:rPr>
      <w:i/>
      <w:iCs/>
      <w:color w:val="0F4761" w:themeColor="accent1" w:themeShade="BF"/>
    </w:rPr>
  </w:style>
  <w:style w:type="character" w:styleId="IntenseReference">
    <w:name w:val="Intense Reference"/>
    <w:basedOn w:val="DefaultParagraphFont"/>
    <w:uiPriority w:val="32"/>
    <w:qFormat/>
    <w:rsid w:val="003D00B9"/>
    <w:rPr>
      <w:b/>
      <w:bCs/>
      <w:smallCaps/>
      <w:color w:val="0F4761" w:themeColor="accent1" w:themeShade="BF"/>
      <w:spacing w:val="5"/>
    </w:rPr>
  </w:style>
  <w:style w:type="character" w:styleId="Hyperlink">
    <w:name w:val="Hyperlink"/>
    <w:basedOn w:val="DefaultParagraphFont"/>
    <w:uiPriority w:val="99"/>
    <w:unhideWhenUsed/>
    <w:rsid w:val="000B2139"/>
    <w:rPr>
      <w:color w:val="467886" w:themeColor="hyperlink"/>
      <w:u w:val="single"/>
    </w:rPr>
  </w:style>
  <w:style w:type="character" w:styleId="UnresolvedMention">
    <w:name w:val="Unresolved Mention"/>
    <w:basedOn w:val="DefaultParagraphFont"/>
    <w:uiPriority w:val="99"/>
    <w:semiHidden/>
    <w:unhideWhenUsed/>
    <w:rsid w:val="000B2139"/>
    <w:rPr>
      <w:color w:val="605E5C"/>
      <w:shd w:val="clear" w:color="auto" w:fill="E1DFDD"/>
    </w:rPr>
  </w:style>
  <w:style w:type="paragraph" w:styleId="Header">
    <w:name w:val="header"/>
    <w:basedOn w:val="Normal"/>
    <w:link w:val="HeaderChar"/>
    <w:uiPriority w:val="99"/>
    <w:unhideWhenUsed/>
    <w:rsid w:val="00E063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31D"/>
  </w:style>
  <w:style w:type="paragraph" w:styleId="Footer">
    <w:name w:val="footer"/>
    <w:basedOn w:val="Normal"/>
    <w:link w:val="FooterChar"/>
    <w:uiPriority w:val="99"/>
    <w:unhideWhenUsed/>
    <w:rsid w:val="00E063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31D"/>
  </w:style>
  <w:style w:type="character" w:styleId="CommentReference">
    <w:name w:val="annotation reference"/>
    <w:basedOn w:val="DefaultParagraphFont"/>
    <w:uiPriority w:val="99"/>
    <w:semiHidden/>
    <w:unhideWhenUsed/>
    <w:rsid w:val="008C09B7"/>
    <w:rPr>
      <w:sz w:val="16"/>
      <w:szCs w:val="16"/>
    </w:rPr>
  </w:style>
  <w:style w:type="paragraph" w:styleId="CommentText">
    <w:name w:val="annotation text"/>
    <w:basedOn w:val="Normal"/>
    <w:link w:val="CommentTextChar"/>
    <w:uiPriority w:val="99"/>
    <w:unhideWhenUsed/>
    <w:rsid w:val="008C09B7"/>
    <w:pPr>
      <w:spacing w:line="240" w:lineRule="auto"/>
    </w:pPr>
    <w:rPr>
      <w:sz w:val="20"/>
      <w:szCs w:val="20"/>
    </w:rPr>
  </w:style>
  <w:style w:type="character" w:customStyle="1" w:styleId="CommentTextChar">
    <w:name w:val="Comment Text Char"/>
    <w:basedOn w:val="DefaultParagraphFont"/>
    <w:link w:val="CommentText"/>
    <w:uiPriority w:val="99"/>
    <w:rsid w:val="008C09B7"/>
    <w:rPr>
      <w:sz w:val="20"/>
      <w:szCs w:val="20"/>
    </w:rPr>
  </w:style>
  <w:style w:type="paragraph" w:styleId="CommentSubject">
    <w:name w:val="annotation subject"/>
    <w:basedOn w:val="CommentText"/>
    <w:next w:val="CommentText"/>
    <w:link w:val="CommentSubjectChar"/>
    <w:uiPriority w:val="99"/>
    <w:semiHidden/>
    <w:unhideWhenUsed/>
    <w:rsid w:val="008C09B7"/>
    <w:rPr>
      <w:b/>
      <w:bCs/>
    </w:rPr>
  </w:style>
  <w:style w:type="character" w:customStyle="1" w:styleId="CommentSubjectChar">
    <w:name w:val="Comment Subject Char"/>
    <w:basedOn w:val="CommentTextChar"/>
    <w:link w:val="CommentSubject"/>
    <w:uiPriority w:val="99"/>
    <w:semiHidden/>
    <w:rsid w:val="008C09B7"/>
    <w:rPr>
      <w:b/>
      <w:bCs/>
      <w:sz w:val="20"/>
      <w:szCs w:val="20"/>
    </w:rPr>
  </w:style>
  <w:style w:type="paragraph" w:styleId="NoSpacing">
    <w:name w:val="No Spacing"/>
    <w:link w:val="NoSpacingChar"/>
    <w:uiPriority w:val="1"/>
    <w:qFormat/>
    <w:rsid w:val="000C73C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C73CA"/>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6839074">
      <w:bodyDiv w:val="1"/>
      <w:marLeft w:val="0"/>
      <w:marRight w:val="0"/>
      <w:marTop w:val="0"/>
      <w:marBottom w:val="0"/>
      <w:divBdr>
        <w:top w:val="none" w:sz="0" w:space="0" w:color="auto"/>
        <w:left w:val="none" w:sz="0" w:space="0" w:color="auto"/>
        <w:bottom w:val="none" w:sz="0" w:space="0" w:color="auto"/>
        <w:right w:val="none" w:sz="0" w:space="0" w:color="auto"/>
      </w:divBdr>
    </w:div>
    <w:div w:id="1944267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ainalysis.com/blog" TargetMode="External"/><Relationship Id="rId13" Type="http://schemas.openxmlformats.org/officeDocument/2006/relationships/hyperlink" Target="https://www.equifaxsecurity2017.com/" TargetMode="External"/><Relationship Id="rId18" Type="http://schemas.openxmlformats.org/officeDocument/2006/relationships/hyperlink" Target="https://www.europol.europa.eu/newsroom/news" TargetMode="External"/><Relationship Id="rId26" Type="http://schemas.openxmlformats.org/officeDocument/2006/relationships/hyperlink" Target="https://academic.oup.com/journals" TargetMode="External"/><Relationship Id="rId3" Type="http://schemas.openxmlformats.org/officeDocument/2006/relationships/settings" Target="settings.xml"/><Relationship Id="rId21" Type="http://schemas.openxmlformats.org/officeDocument/2006/relationships/hyperlink" Target="https://www.gov.uk/government/publications/mla-guidance" TargetMode="External"/><Relationship Id="rId7" Type="http://schemas.openxmlformats.org/officeDocument/2006/relationships/image" Target="media/image1.png"/><Relationship Id="rId12" Type="http://schemas.openxmlformats.org/officeDocument/2006/relationships/hyperlink" Target="https://www.gov.uk/government/publications" TargetMode="External"/><Relationship Id="rId17" Type="http://schemas.openxmlformats.org/officeDocument/2006/relationships/hyperlink" Target="https://www.europol.europa.eu/activities-services/main-reports/i-octa-2023" TargetMode="External"/><Relationship Id="rId25" Type="http://schemas.openxmlformats.org/officeDocument/2006/relationships/hyperlink" Target="https://nvlpubs.nist.gov/nistpub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uropol.europa.eu/activities-services/main-reports" TargetMode="External"/><Relationship Id="rId20" Type="http://schemas.openxmlformats.org/officeDocument/2006/relationships/hyperlink" Target="https://www.ic3.gov/" TargetMode="External"/><Relationship Id="rId29" Type="http://schemas.openxmlformats.org/officeDocument/2006/relationships/hyperlink" Target="https://www.justice.gov/criminal-ccips/cryptocurrenc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digital-innovation/cybercrime-report" TargetMode="External"/><Relationship Id="rId24" Type="http://schemas.openxmlformats.org/officeDocument/2006/relationships/hyperlink" Target="https://www.nationalcrimeagency.gov.uk/cyber-operations/lockbit"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nisa.europa.eu/" TargetMode="External"/><Relationship Id="rId23" Type="http://schemas.openxmlformats.org/officeDocument/2006/relationships/hyperlink" Target="https://www.nationalcrimeagency.gov.uk/news" TargetMode="External"/><Relationship Id="rId28" Type="http://schemas.openxmlformats.org/officeDocument/2006/relationships/hyperlink" Target="https://www.unodc.org/cybercrime" TargetMode="External"/><Relationship Id="rId10" Type="http://schemas.openxmlformats.org/officeDocument/2006/relationships/hyperlink" Target="https://www.cisa.gov/colonial-pipeline" TargetMode="External"/><Relationship Id="rId19" Type="http://schemas.openxmlformats.org/officeDocument/2006/relationships/hyperlink" Target="https://www.fbi.gov/news/press-releases/colonial-pipeline-ransomware" TargetMode="External"/><Relationship Id="rId31" Type="http://schemas.openxmlformats.org/officeDocument/2006/relationships/hyperlink" Target="https://www.verizon.com/business/resources/reports/dbir/2021" TargetMode="External"/><Relationship Id="rId4" Type="http://schemas.openxmlformats.org/officeDocument/2006/relationships/webSettings" Target="webSettings.xml"/><Relationship Id="rId9" Type="http://schemas.openxmlformats.org/officeDocument/2006/relationships/hyperlink" Target="https://www.checkpoint.com/research" TargetMode="External"/><Relationship Id="rId14" Type="http://schemas.openxmlformats.org/officeDocument/2006/relationships/hyperlink" Target="https://eur-lex.europa.eu/eli/reg/2016/679/oj" TargetMode="External"/><Relationship Id="rId22" Type="http://schemas.openxmlformats.org/officeDocument/2006/relationships/hyperlink" Target="https://www.ijlr.org/articles/tech-gaps-cybercrime" TargetMode="External"/><Relationship Id="rId27" Type="http://schemas.openxmlformats.org/officeDocument/2006/relationships/hyperlink" Target="https://www.legislation.gov.uk/ukpga/2019/7/contents/enacted" TargetMode="External"/><Relationship Id="rId30" Type="http://schemas.openxmlformats.org/officeDocument/2006/relationships/hyperlink" Target="https://www.congress.gov/bill/115th-congress/house-bill/49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6118</Words>
  <Characters>34876</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Ceri Marie Jones (1806930)</cp:lastModifiedBy>
  <cp:revision>2</cp:revision>
  <dcterms:created xsi:type="dcterms:W3CDTF">2026-01-14T17:07:00Z</dcterms:created>
  <dcterms:modified xsi:type="dcterms:W3CDTF">2026-01-14T17:07:00Z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1ddc0f9f-c52c-4265-9e7d-244fc502fe93</vt:lpwstr>
  </property>
</Properties>
</file>