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90C40" w14:textId="77777777" w:rsidR="00520E73" w:rsidRDefault="00000000" w:rsidP="00400561">
      <w:pPr>
        <w:spacing w:after="0" w:line="360" w:lineRule="auto"/>
        <w:ind w:left="276" w:firstLine="0"/>
        <w:jc w:val="center"/>
      </w:pPr>
      <w:r>
        <w:rPr>
          <w:sz w:val="96"/>
        </w:rPr>
        <w:t xml:space="preserve"> </w:t>
      </w:r>
    </w:p>
    <w:p w14:paraId="34A7CB24" w14:textId="77777777" w:rsidR="00520E73" w:rsidRDefault="00000000" w:rsidP="00400561">
      <w:pPr>
        <w:spacing w:after="0" w:line="360" w:lineRule="auto"/>
        <w:ind w:left="276" w:firstLine="0"/>
        <w:jc w:val="center"/>
      </w:pPr>
      <w:r>
        <w:rPr>
          <w:sz w:val="96"/>
        </w:rPr>
        <w:t xml:space="preserve"> </w:t>
      </w:r>
    </w:p>
    <w:p w14:paraId="3990EBBB" w14:textId="1196A678" w:rsidR="00520E73" w:rsidRDefault="00520E73" w:rsidP="00400561">
      <w:pPr>
        <w:spacing w:after="0" w:line="360" w:lineRule="auto"/>
      </w:pPr>
    </w:p>
    <w:p w14:paraId="07B03B7B" w14:textId="77777777" w:rsidR="00520E73" w:rsidRDefault="00000000" w:rsidP="00400561">
      <w:pPr>
        <w:spacing w:after="32" w:line="360" w:lineRule="auto"/>
        <w:ind w:left="120" w:firstLine="0"/>
        <w:jc w:val="center"/>
      </w:pPr>
      <w:r>
        <w:rPr>
          <w:sz w:val="40"/>
        </w:rPr>
        <w:t xml:space="preserve"> </w:t>
      </w:r>
    </w:p>
    <w:p w14:paraId="0EE6894C" w14:textId="65C122DA" w:rsidR="00520E73" w:rsidRDefault="00000000" w:rsidP="00400561">
      <w:pPr>
        <w:spacing w:after="32" w:line="360" w:lineRule="auto"/>
        <w:ind w:left="17" w:right="1"/>
        <w:jc w:val="center"/>
      </w:pPr>
      <w:r>
        <w:rPr>
          <w:sz w:val="40"/>
        </w:rPr>
        <w:t xml:space="preserve">Student name: </w:t>
      </w:r>
      <w:r w:rsidR="00400561">
        <w:rPr>
          <w:sz w:val="40"/>
        </w:rPr>
        <w:t xml:space="preserve">Tsion </w:t>
      </w:r>
      <w:proofErr w:type="spellStart"/>
      <w:r w:rsidR="00400561">
        <w:rPr>
          <w:sz w:val="40"/>
        </w:rPr>
        <w:t>Abiyo</w:t>
      </w:r>
      <w:proofErr w:type="spellEnd"/>
      <w:r>
        <w:rPr>
          <w:sz w:val="40"/>
        </w:rPr>
        <w:t xml:space="preserve"> </w:t>
      </w:r>
    </w:p>
    <w:p w14:paraId="3D2DD125" w14:textId="31F9AF39" w:rsidR="00520E73" w:rsidRDefault="00000000" w:rsidP="00400561">
      <w:pPr>
        <w:spacing w:after="32" w:line="360" w:lineRule="auto"/>
        <w:ind w:left="17"/>
        <w:jc w:val="center"/>
      </w:pPr>
      <w:r>
        <w:rPr>
          <w:sz w:val="40"/>
        </w:rPr>
        <w:t xml:space="preserve">Student number: </w:t>
      </w:r>
      <w:r w:rsidR="00400561">
        <w:rPr>
          <w:sz w:val="40"/>
        </w:rPr>
        <w:t>2328768</w:t>
      </w:r>
    </w:p>
    <w:p w14:paraId="21BD5C8C" w14:textId="77777777" w:rsidR="00520E73" w:rsidRDefault="00000000" w:rsidP="00400561">
      <w:pPr>
        <w:spacing w:after="0" w:line="360" w:lineRule="auto"/>
        <w:ind w:left="17" w:right="2"/>
        <w:jc w:val="center"/>
        <w:rPr>
          <w:sz w:val="40"/>
        </w:rPr>
      </w:pPr>
      <w:r>
        <w:rPr>
          <w:sz w:val="40"/>
        </w:rPr>
        <w:t xml:space="preserve">Module code: BMHP5016 PHSC C2  </w:t>
      </w:r>
    </w:p>
    <w:p w14:paraId="481CF8E4" w14:textId="5A4CF4C2" w:rsidR="00400561" w:rsidRDefault="00400561" w:rsidP="00400561">
      <w:pPr>
        <w:spacing w:after="0" w:line="360" w:lineRule="auto"/>
        <w:ind w:left="17" w:right="2"/>
        <w:jc w:val="center"/>
      </w:pPr>
      <w:r w:rsidRPr="00400561">
        <w:rPr>
          <w:b/>
        </w:rPr>
        <w:t>Component 2: Written Assignment (Report)</w:t>
      </w:r>
    </w:p>
    <w:p w14:paraId="7894341B" w14:textId="77777777" w:rsidR="00520E73" w:rsidRDefault="00000000" w:rsidP="00400561">
      <w:pPr>
        <w:spacing w:after="28" w:line="360" w:lineRule="auto"/>
        <w:ind w:left="120" w:firstLine="0"/>
        <w:jc w:val="center"/>
      </w:pPr>
      <w:r>
        <w:rPr>
          <w:sz w:val="40"/>
        </w:rPr>
        <w:t xml:space="preserve"> </w:t>
      </w:r>
    </w:p>
    <w:p w14:paraId="689FFA6C" w14:textId="78416867" w:rsidR="00520E73" w:rsidRDefault="00520E73" w:rsidP="00400561">
      <w:pPr>
        <w:spacing w:after="118" w:line="360" w:lineRule="auto"/>
        <w:ind w:right="3917"/>
        <w:rPr>
          <w:sz w:val="40"/>
        </w:rPr>
      </w:pPr>
    </w:p>
    <w:p w14:paraId="782A168C" w14:textId="77777777" w:rsidR="00400561" w:rsidRDefault="00400561" w:rsidP="00400561">
      <w:pPr>
        <w:spacing w:after="118" w:line="360" w:lineRule="auto"/>
        <w:ind w:right="3917"/>
        <w:rPr>
          <w:sz w:val="40"/>
        </w:rPr>
      </w:pPr>
    </w:p>
    <w:p w14:paraId="5341056B" w14:textId="77777777" w:rsidR="00400561" w:rsidRDefault="00400561" w:rsidP="00400561">
      <w:pPr>
        <w:spacing w:after="118" w:line="360" w:lineRule="auto"/>
        <w:ind w:right="3917"/>
        <w:rPr>
          <w:sz w:val="40"/>
        </w:rPr>
      </w:pPr>
    </w:p>
    <w:p w14:paraId="591E0836" w14:textId="77777777" w:rsidR="00400561" w:rsidRDefault="00400561" w:rsidP="00400561">
      <w:pPr>
        <w:spacing w:after="118" w:line="360" w:lineRule="auto"/>
        <w:ind w:right="3917"/>
        <w:rPr>
          <w:sz w:val="40"/>
        </w:rPr>
      </w:pPr>
    </w:p>
    <w:p w14:paraId="2CB3DB58" w14:textId="77777777" w:rsidR="00400561" w:rsidRDefault="00400561" w:rsidP="00400561">
      <w:pPr>
        <w:spacing w:after="118" w:line="360" w:lineRule="auto"/>
        <w:ind w:right="3917"/>
      </w:pPr>
    </w:p>
    <w:p w14:paraId="5C5702EF" w14:textId="77777777" w:rsidR="00520E73" w:rsidRDefault="00000000" w:rsidP="00400561">
      <w:pPr>
        <w:spacing w:after="213" w:line="360" w:lineRule="auto"/>
        <w:ind w:left="0" w:firstLine="0"/>
      </w:pPr>
      <w:r>
        <w:t xml:space="preserve"> </w:t>
      </w:r>
    </w:p>
    <w:p w14:paraId="111874C7" w14:textId="77777777" w:rsidR="00520E73" w:rsidRDefault="00000000" w:rsidP="00400561">
      <w:pPr>
        <w:spacing w:after="0" w:line="360" w:lineRule="auto"/>
        <w:ind w:left="0" w:firstLine="0"/>
      </w:pPr>
      <w:r>
        <w:t xml:space="preserve"> </w:t>
      </w:r>
      <w:r>
        <w:tab/>
        <w:t xml:space="preserve"> </w:t>
      </w:r>
    </w:p>
    <w:p w14:paraId="7244A39F" w14:textId="77777777" w:rsidR="00520E73" w:rsidRDefault="00000000" w:rsidP="00400561">
      <w:pPr>
        <w:spacing w:after="295" w:line="360" w:lineRule="auto"/>
        <w:ind w:left="0" w:firstLine="0"/>
      </w:pPr>
      <w:r>
        <w:t xml:space="preserve"> </w:t>
      </w:r>
    </w:p>
    <w:p w14:paraId="4E4606D8" w14:textId="77777777" w:rsidR="00520E73" w:rsidRDefault="00000000" w:rsidP="00400561">
      <w:pPr>
        <w:spacing w:after="295" w:line="360" w:lineRule="auto"/>
        <w:ind w:left="0" w:firstLine="0"/>
      </w:pPr>
      <w:r>
        <w:t xml:space="preserve"> </w:t>
      </w:r>
    </w:p>
    <w:p w14:paraId="6F815E83" w14:textId="77777777" w:rsidR="00520E73" w:rsidRDefault="00000000" w:rsidP="00400561">
      <w:pPr>
        <w:spacing w:after="292" w:line="360" w:lineRule="auto"/>
        <w:ind w:left="0" w:firstLine="0"/>
      </w:pPr>
      <w:r>
        <w:t xml:space="preserve"> </w:t>
      </w:r>
    </w:p>
    <w:p w14:paraId="5113C3D2" w14:textId="77777777" w:rsidR="00520E73" w:rsidRDefault="00000000" w:rsidP="00400561">
      <w:pPr>
        <w:spacing w:after="295" w:line="360" w:lineRule="auto"/>
        <w:ind w:left="0" w:firstLine="0"/>
      </w:pPr>
      <w:r>
        <w:t xml:space="preserve"> </w:t>
      </w:r>
    </w:p>
    <w:p w14:paraId="68D3E15E" w14:textId="77777777" w:rsidR="00400561" w:rsidRDefault="00400561" w:rsidP="00400561">
      <w:pPr>
        <w:spacing w:after="78" w:line="360" w:lineRule="auto"/>
        <w:ind w:left="1838" w:right="1831" w:hanging="1838"/>
      </w:pPr>
    </w:p>
    <w:p w14:paraId="7E4C2F6B" w14:textId="5B7D1678" w:rsidR="00520E73" w:rsidRDefault="00000000" w:rsidP="00400561">
      <w:pPr>
        <w:spacing w:after="78" w:line="360" w:lineRule="auto"/>
        <w:ind w:left="1838" w:right="1831" w:hanging="1838"/>
      </w:pPr>
      <w:r>
        <w:lastRenderedPageBreak/>
        <w:t xml:space="preserve"> </w:t>
      </w:r>
      <w:r>
        <w:rPr>
          <w:color w:val="806000"/>
          <w:sz w:val="72"/>
        </w:rPr>
        <w:t xml:space="preserve">Table of Contents   </w:t>
      </w:r>
    </w:p>
    <w:p w14:paraId="4BC41DCC" w14:textId="77777777" w:rsidR="00520E73" w:rsidRDefault="00000000" w:rsidP="00400561">
      <w:pPr>
        <w:spacing w:after="0" w:line="360" w:lineRule="auto"/>
        <w:ind w:left="0" w:firstLine="0"/>
      </w:pPr>
      <w:r>
        <w:rPr>
          <w:color w:val="806000"/>
          <w:sz w:val="48"/>
        </w:rPr>
        <w:t xml:space="preserve">                                                           </w:t>
      </w:r>
      <w:r>
        <w:rPr>
          <w:color w:val="806000"/>
          <w:sz w:val="28"/>
        </w:rPr>
        <w:t xml:space="preserve">     </w:t>
      </w:r>
      <w:r>
        <w:rPr>
          <w:color w:val="2E74B5"/>
          <w:sz w:val="43"/>
          <w:vertAlign w:val="subscript"/>
        </w:rPr>
        <w:t xml:space="preserve"> </w:t>
      </w:r>
    </w:p>
    <w:p w14:paraId="3DB7F3C0" w14:textId="77777777" w:rsidR="00520E73" w:rsidRDefault="00000000" w:rsidP="00400561">
      <w:pPr>
        <w:spacing w:after="248" w:line="360" w:lineRule="auto"/>
        <w:ind w:left="-5"/>
      </w:pPr>
      <w:r>
        <w:rPr>
          <w:sz w:val="28"/>
        </w:rPr>
        <w:t xml:space="preserve">1.Executive Summary .................................. </w:t>
      </w:r>
      <w:r>
        <w:rPr>
          <w:b/>
          <w:sz w:val="28"/>
        </w:rPr>
        <w:t>Error! Bookmark not defined.</w:t>
      </w:r>
      <w:r>
        <w:rPr>
          <w:sz w:val="28"/>
        </w:rPr>
        <w:t xml:space="preserve"> </w:t>
      </w:r>
    </w:p>
    <w:sdt>
      <w:sdtPr>
        <w:rPr>
          <w:sz w:val="22"/>
        </w:rPr>
        <w:id w:val="1212531528"/>
        <w:docPartObj>
          <w:docPartGallery w:val="Table of Contents"/>
        </w:docPartObj>
      </w:sdtPr>
      <w:sdtContent>
        <w:p w14:paraId="550EE204" w14:textId="4D920FF4" w:rsidR="00520E73" w:rsidRDefault="00000000" w:rsidP="00400561">
          <w:pPr>
            <w:pStyle w:val="TOC1"/>
            <w:tabs>
              <w:tab w:val="right" w:leader="dot" w:pos="9352"/>
            </w:tabs>
            <w:spacing w:line="360" w:lineRule="auto"/>
            <w:rPr>
              <w:noProof/>
            </w:rPr>
          </w:pPr>
          <w:r>
            <w:fldChar w:fldCharType="begin"/>
          </w:r>
          <w:r>
            <w:instrText xml:space="preserve"> TOC \o "1-1" \h \z \u </w:instrText>
          </w:r>
          <w:r>
            <w:fldChar w:fldCharType="separate"/>
          </w:r>
          <w:hyperlink w:anchor="_Toc9281">
            <w:r>
              <w:rPr>
                <w:noProof/>
              </w:rPr>
              <w:t>2.Introduction</w:t>
            </w:r>
            <w:r>
              <w:rPr>
                <w:noProof/>
              </w:rPr>
              <w:tab/>
            </w:r>
            <w:r>
              <w:rPr>
                <w:noProof/>
              </w:rPr>
              <w:fldChar w:fldCharType="begin"/>
            </w:r>
            <w:r>
              <w:rPr>
                <w:noProof/>
              </w:rPr>
              <w:instrText>PAGEREF _Toc9281 \h</w:instrText>
            </w:r>
            <w:r>
              <w:rPr>
                <w:noProof/>
              </w:rPr>
            </w:r>
            <w:r>
              <w:rPr>
                <w:noProof/>
              </w:rPr>
              <w:fldChar w:fldCharType="separate"/>
            </w:r>
            <w:r w:rsidR="00400561">
              <w:rPr>
                <w:noProof/>
              </w:rPr>
              <w:t>1</w:t>
            </w:r>
            <w:r>
              <w:rPr>
                <w:noProof/>
              </w:rPr>
              <w:fldChar w:fldCharType="end"/>
            </w:r>
          </w:hyperlink>
        </w:p>
        <w:p w14:paraId="3701A86B" w14:textId="3BC13B80" w:rsidR="00520E73" w:rsidRDefault="00000000" w:rsidP="00400561">
          <w:pPr>
            <w:pStyle w:val="TOC1"/>
            <w:tabs>
              <w:tab w:val="right" w:leader="dot" w:pos="9352"/>
            </w:tabs>
            <w:spacing w:line="360" w:lineRule="auto"/>
            <w:rPr>
              <w:noProof/>
            </w:rPr>
          </w:pPr>
          <w:hyperlink w:anchor="_Toc9282">
            <w:r>
              <w:rPr>
                <w:noProof/>
              </w:rPr>
              <w:t>3. Person-Centred Care</w:t>
            </w:r>
            <w:r>
              <w:rPr>
                <w:noProof/>
              </w:rPr>
              <w:tab/>
            </w:r>
            <w:r>
              <w:rPr>
                <w:noProof/>
              </w:rPr>
              <w:fldChar w:fldCharType="begin"/>
            </w:r>
            <w:r>
              <w:rPr>
                <w:noProof/>
              </w:rPr>
              <w:instrText>PAGEREF _Toc9282 \h</w:instrText>
            </w:r>
            <w:r>
              <w:rPr>
                <w:noProof/>
              </w:rPr>
            </w:r>
            <w:r>
              <w:rPr>
                <w:noProof/>
              </w:rPr>
              <w:fldChar w:fldCharType="separate"/>
            </w:r>
            <w:r w:rsidR="00400561">
              <w:rPr>
                <w:noProof/>
              </w:rPr>
              <w:t>2</w:t>
            </w:r>
            <w:r>
              <w:rPr>
                <w:noProof/>
              </w:rPr>
              <w:fldChar w:fldCharType="end"/>
            </w:r>
          </w:hyperlink>
        </w:p>
        <w:p w14:paraId="55A6D91A" w14:textId="34FF5FC9" w:rsidR="00520E73" w:rsidRDefault="00000000" w:rsidP="00400561">
          <w:pPr>
            <w:pStyle w:val="TOC1"/>
            <w:tabs>
              <w:tab w:val="right" w:leader="dot" w:pos="9352"/>
            </w:tabs>
            <w:spacing w:line="360" w:lineRule="auto"/>
            <w:rPr>
              <w:noProof/>
            </w:rPr>
          </w:pPr>
          <w:hyperlink w:anchor="_Toc9283">
            <w:r>
              <w:rPr>
                <w:noProof/>
              </w:rPr>
              <w:t>4. Theoretical Framework: Person-Centred Model</w:t>
            </w:r>
            <w:r>
              <w:rPr>
                <w:noProof/>
              </w:rPr>
              <w:tab/>
            </w:r>
            <w:r>
              <w:rPr>
                <w:noProof/>
              </w:rPr>
              <w:fldChar w:fldCharType="begin"/>
            </w:r>
            <w:r>
              <w:rPr>
                <w:noProof/>
              </w:rPr>
              <w:instrText>PAGEREF _Toc9283 \h</w:instrText>
            </w:r>
            <w:r>
              <w:rPr>
                <w:noProof/>
              </w:rPr>
            </w:r>
            <w:r>
              <w:rPr>
                <w:noProof/>
              </w:rPr>
              <w:fldChar w:fldCharType="separate"/>
            </w:r>
            <w:r w:rsidR="00400561">
              <w:rPr>
                <w:noProof/>
              </w:rPr>
              <w:t>2</w:t>
            </w:r>
            <w:r>
              <w:rPr>
                <w:noProof/>
              </w:rPr>
              <w:fldChar w:fldCharType="end"/>
            </w:r>
          </w:hyperlink>
        </w:p>
        <w:p w14:paraId="7CE3982D" w14:textId="615F71C5" w:rsidR="00520E73" w:rsidRDefault="00000000" w:rsidP="00400561">
          <w:pPr>
            <w:pStyle w:val="TOC1"/>
            <w:tabs>
              <w:tab w:val="right" w:leader="dot" w:pos="9352"/>
            </w:tabs>
            <w:spacing w:line="360" w:lineRule="auto"/>
            <w:rPr>
              <w:noProof/>
            </w:rPr>
          </w:pPr>
          <w:hyperlink w:anchor="_Toc9284">
            <w:r>
              <w:rPr>
                <w:noProof/>
              </w:rPr>
              <w:t>5.Ethical Fundamentals</w:t>
            </w:r>
            <w:r>
              <w:rPr>
                <w:noProof/>
              </w:rPr>
              <w:tab/>
            </w:r>
            <w:r>
              <w:rPr>
                <w:noProof/>
              </w:rPr>
              <w:fldChar w:fldCharType="begin"/>
            </w:r>
            <w:r>
              <w:rPr>
                <w:noProof/>
              </w:rPr>
              <w:instrText>PAGEREF _Toc9284 \h</w:instrText>
            </w:r>
            <w:r>
              <w:rPr>
                <w:noProof/>
              </w:rPr>
            </w:r>
            <w:r>
              <w:rPr>
                <w:noProof/>
              </w:rPr>
              <w:fldChar w:fldCharType="separate"/>
            </w:r>
            <w:r w:rsidR="00400561">
              <w:rPr>
                <w:noProof/>
              </w:rPr>
              <w:t>3</w:t>
            </w:r>
            <w:r>
              <w:rPr>
                <w:noProof/>
              </w:rPr>
              <w:fldChar w:fldCharType="end"/>
            </w:r>
          </w:hyperlink>
        </w:p>
        <w:p w14:paraId="4251FF77" w14:textId="02FA409B" w:rsidR="00520E73" w:rsidRDefault="00000000" w:rsidP="00400561">
          <w:pPr>
            <w:pStyle w:val="TOC1"/>
            <w:tabs>
              <w:tab w:val="right" w:leader="dot" w:pos="9352"/>
            </w:tabs>
            <w:spacing w:line="360" w:lineRule="auto"/>
            <w:rPr>
              <w:noProof/>
            </w:rPr>
          </w:pPr>
          <w:hyperlink w:anchor="_Toc9285">
            <w:r>
              <w:rPr>
                <w:noProof/>
              </w:rPr>
              <w:t>6. Partnership Working: Evaluation</w:t>
            </w:r>
            <w:r>
              <w:rPr>
                <w:noProof/>
              </w:rPr>
              <w:tab/>
            </w:r>
            <w:r>
              <w:rPr>
                <w:noProof/>
              </w:rPr>
              <w:fldChar w:fldCharType="begin"/>
            </w:r>
            <w:r>
              <w:rPr>
                <w:noProof/>
              </w:rPr>
              <w:instrText>PAGEREF _Toc9285 \h</w:instrText>
            </w:r>
            <w:r>
              <w:rPr>
                <w:noProof/>
              </w:rPr>
            </w:r>
            <w:r>
              <w:rPr>
                <w:noProof/>
              </w:rPr>
              <w:fldChar w:fldCharType="separate"/>
            </w:r>
            <w:r w:rsidR="00400561">
              <w:rPr>
                <w:noProof/>
              </w:rPr>
              <w:t>5</w:t>
            </w:r>
            <w:r>
              <w:rPr>
                <w:noProof/>
              </w:rPr>
              <w:fldChar w:fldCharType="end"/>
            </w:r>
          </w:hyperlink>
        </w:p>
        <w:p w14:paraId="5EC261A7" w14:textId="6E5AB482" w:rsidR="00520E73" w:rsidRDefault="00000000" w:rsidP="00400561">
          <w:pPr>
            <w:pStyle w:val="TOC1"/>
            <w:tabs>
              <w:tab w:val="right" w:leader="dot" w:pos="9352"/>
            </w:tabs>
            <w:spacing w:line="360" w:lineRule="auto"/>
            <w:rPr>
              <w:noProof/>
            </w:rPr>
          </w:pPr>
          <w:hyperlink w:anchor="_Toc9286">
            <w:r>
              <w:rPr>
                <w:noProof/>
              </w:rPr>
              <w:t>7. Application to the Care-Home Setting</w:t>
            </w:r>
            <w:r>
              <w:rPr>
                <w:noProof/>
              </w:rPr>
              <w:tab/>
            </w:r>
            <w:r>
              <w:rPr>
                <w:noProof/>
              </w:rPr>
              <w:fldChar w:fldCharType="begin"/>
            </w:r>
            <w:r>
              <w:rPr>
                <w:noProof/>
              </w:rPr>
              <w:instrText>PAGEREF _Toc9286 \h</w:instrText>
            </w:r>
            <w:r>
              <w:rPr>
                <w:noProof/>
              </w:rPr>
            </w:r>
            <w:r>
              <w:rPr>
                <w:noProof/>
              </w:rPr>
              <w:fldChar w:fldCharType="separate"/>
            </w:r>
            <w:r w:rsidR="00400561">
              <w:rPr>
                <w:noProof/>
              </w:rPr>
              <w:t>6</w:t>
            </w:r>
            <w:r>
              <w:rPr>
                <w:noProof/>
              </w:rPr>
              <w:fldChar w:fldCharType="end"/>
            </w:r>
          </w:hyperlink>
        </w:p>
        <w:p w14:paraId="6229334F" w14:textId="6A3417D6" w:rsidR="00520E73" w:rsidRDefault="00000000" w:rsidP="00400561">
          <w:pPr>
            <w:pStyle w:val="TOC1"/>
            <w:tabs>
              <w:tab w:val="right" w:leader="dot" w:pos="9352"/>
            </w:tabs>
            <w:spacing w:line="360" w:lineRule="auto"/>
            <w:rPr>
              <w:noProof/>
            </w:rPr>
          </w:pPr>
          <w:hyperlink w:anchor="_Toc9287">
            <w:r>
              <w:rPr>
                <w:noProof/>
              </w:rPr>
              <w:t>8. Policy and Legislation Context</w:t>
            </w:r>
            <w:r>
              <w:rPr>
                <w:noProof/>
              </w:rPr>
              <w:tab/>
            </w:r>
            <w:r>
              <w:rPr>
                <w:noProof/>
              </w:rPr>
              <w:fldChar w:fldCharType="begin"/>
            </w:r>
            <w:r>
              <w:rPr>
                <w:noProof/>
              </w:rPr>
              <w:instrText>PAGEREF _Toc9287 \h</w:instrText>
            </w:r>
            <w:r>
              <w:rPr>
                <w:noProof/>
              </w:rPr>
            </w:r>
            <w:r>
              <w:rPr>
                <w:noProof/>
              </w:rPr>
              <w:fldChar w:fldCharType="separate"/>
            </w:r>
            <w:r w:rsidR="00400561">
              <w:rPr>
                <w:noProof/>
              </w:rPr>
              <w:t>6</w:t>
            </w:r>
            <w:r>
              <w:rPr>
                <w:noProof/>
              </w:rPr>
              <w:fldChar w:fldCharType="end"/>
            </w:r>
          </w:hyperlink>
        </w:p>
        <w:p w14:paraId="61A25043" w14:textId="64F22FC1" w:rsidR="00520E73" w:rsidRDefault="00000000" w:rsidP="00400561">
          <w:pPr>
            <w:pStyle w:val="TOC1"/>
            <w:tabs>
              <w:tab w:val="right" w:leader="dot" w:pos="9352"/>
            </w:tabs>
            <w:spacing w:line="360" w:lineRule="auto"/>
            <w:rPr>
              <w:noProof/>
            </w:rPr>
          </w:pPr>
          <w:hyperlink w:anchor="_Toc9288">
            <w:r>
              <w:rPr>
                <w:noProof/>
              </w:rPr>
              <w:t>9. Recommendations</w:t>
            </w:r>
            <w:r>
              <w:rPr>
                <w:noProof/>
              </w:rPr>
              <w:tab/>
            </w:r>
            <w:r>
              <w:rPr>
                <w:noProof/>
              </w:rPr>
              <w:fldChar w:fldCharType="begin"/>
            </w:r>
            <w:r>
              <w:rPr>
                <w:noProof/>
              </w:rPr>
              <w:instrText>PAGEREF _Toc9288 \h</w:instrText>
            </w:r>
            <w:r>
              <w:rPr>
                <w:noProof/>
              </w:rPr>
            </w:r>
            <w:r>
              <w:rPr>
                <w:noProof/>
              </w:rPr>
              <w:fldChar w:fldCharType="separate"/>
            </w:r>
            <w:r w:rsidR="00400561">
              <w:rPr>
                <w:noProof/>
              </w:rPr>
              <w:t>7</w:t>
            </w:r>
            <w:r>
              <w:rPr>
                <w:noProof/>
              </w:rPr>
              <w:fldChar w:fldCharType="end"/>
            </w:r>
          </w:hyperlink>
        </w:p>
        <w:p w14:paraId="2AEE1021" w14:textId="33A76628" w:rsidR="00520E73" w:rsidRDefault="00000000" w:rsidP="00400561">
          <w:pPr>
            <w:pStyle w:val="TOC1"/>
            <w:tabs>
              <w:tab w:val="right" w:leader="dot" w:pos="9352"/>
            </w:tabs>
            <w:spacing w:line="360" w:lineRule="auto"/>
            <w:rPr>
              <w:noProof/>
            </w:rPr>
          </w:pPr>
          <w:hyperlink w:anchor="_Toc9289">
            <w:r>
              <w:rPr>
                <w:noProof/>
              </w:rPr>
              <w:t>10. Conclusion</w:t>
            </w:r>
            <w:r>
              <w:rPr>
                <w:noProof/>
              </w:rPr>
              <w:tab/>
            </w:r>
            <w:r>
              <w:rPr>
                <w:noProof/>
              </w:rPr>
              <w:fldChar w:fldCharType="begin"/>
            </w:r>
            <w:r>
              <w:rPr>
                <w:noProof/>
              </w:rPr>
              <w:instrText>PAGEREF _Toc9289 \h</w:instrText>
            </w:r>
            <w:r>
              <w:rPr>
                <w:noProof/>
              </w:rPr>
            </w:r>
            <w:r>
              <w:rPr>
                <w:noProof/>
              </w:rPr>
              <w:fldChar w:fldCharType="separate"/>
            </w:r>
            <w:r w:rsidR="00400561">
              <w:rPr>
                <w:noProof/>
              </w:rPr>
              <w:t>7</w:t>
            </w:r>
            <w:r>
              <w:rPr>
                <w:noProof/>
              </w:rPr>
              <w:fldChar w:fldCharType="end"/>
            </w:r>
          </w:hyperlink>
        </w:p>
        <w:p w14:paraId="09ED8A26" w14:textId="21953445" w:rsidR="00520E73" w:rsidRDefault="00000000" w:rsidP="00400561">
          <w:pPr>
            <w:pStyle w:val="TOC1"/>
            <w:tabs>
              <w:tab w:val="right" w:leader="dot" w:pos="9352"/>
            </w:tabs>
            <w:spacing w:line="360" w:lineRule="auto"/>
            <w:rPr>
              <w:noProof/>
            </w:rPr>
          </w:pPr>
          <w:hyperlink w:anchor="_Toc9290">
            <w:r>
              <w:rPr>
                <w:noProof/>
              </w:rPr>
              <w:t>11. References</w:t>
            </w:r>
            <w:r>
              <w:rPr>
                <w:noProof/>
              </w:rPr>
              <w:tab/>
            </w:r>
            <w:r>
              <w:rPr>
                <w:noProof/>
              </w:rPr>
              <w:fldChar w:fldCharType="begin"/>
            </w:r>
            <w:r>
              <w:rPr>
                <w:noProof/>
              </w:rPr>
              <w:instrText>PAGEREF _Toc9290 \h</w:instrText>
            </w:r>
            <w:r>
              <w:rPr>
                <w:noProof/>
              </w:rPr>
            </w:r>
            <w:r>
              <w:rPr>
                <w:noProof/>
              </w:rPr>
              <w:fldChar w:fldCharType="separate"/>
            </w:r>
            <w:r w:rsidR="00400561">
              <w:rPr>
                <w:noProof/>
              </w:rPr>
              <w:t>9</w:t>
            </w:r>
            <w:r>
              <w:rPr>
                <w:noProof/>
              </w:rPr>
              <w:fldChar w:fldCharType="end"/>
            </w:r>
          </w:hyperlink>
        </w:p>
        <w:p w14:paraId="78D98435" w14:textId="77777777" w:rsidR="00520E73" w:rsidRDefault="00000000" w:rsidP="00400561">
          <w:pPr>
            <w:spacing w:line="360" w:lineRule="auto"/>
          </w:pPr>
          <w:r>
            <w:fldChar w:fldCharType="end"/>
          </w:r>
        </w:p>
      </w:sdtContent>
    </w:sdt>
    <w:p w14:paraId="4BB1CC21" w14:textId="77777777" w:rsidR="00520E73" w:rsidRDefault="00000000" w:rsidP="00400561">
      <w:pPr>
        <w:spacing w:after="268" w:line="360" w:lineRule="auto"/>
        <w:ind w:left="0" w:firstLine="0"/>
      </w:pPr>
      <w:r>
        <w:rPr>
          <w:b/>
        </w:rPr>
        <w:t xml:space="preserve"> </w:t>
      </w:r>
    </w:p>
    <w:p w14:paraId="7EF0F6F6" w14:textId="77777777" w:rsidR="00520E73" w:rsidRDefault="00000000" w:rsidP="00400561">
      <w:pPr>
        <w:spacing w:after="0" w:line="360" w:lineRule="auto"/>
        <w:ind w:left="0" w:firstLine="0"/>
      </w:pPr>
      <w:r>
        <w:t xml:space="preserve"> </w:t>
      </w:r>
      <w:r>
        <w:tab/>
        <w:t xml:space="preserve"> </w:t>
      </w:r>
    </w:p>
    <w:p w14:paraId="7D3F278F" w14:textId="77777777" w:rsidR="00520E73" w:rsidRDefault="00520E73" w:rsidP="00400561">
      <w:pPr>
        <w:spacing w:line="360" w:lineRule="auto"/>
        <w:sectPr w:rsidR="00520E73">
          <w:footerReference w:type="even" r:id="rId7"/>
          <w:footerReference w:type="default" r:id="rId8"/>
          <w:footerReference w:type="first" r:id="rId9"/>
          <w:pgSz w:w="12240" w:h="15840"/>
          <w:pgMar w:top="1444" w:right="1447" w:bottom="1963" w:left="1440" w:header="720" w:footer="720" w:gutter="0"/>
          <w:cols w:space="720"/>
        </w:sectPr>
      </w:pPr>
    </w:p>
    <w:p w14:paraId="7ADDA43D" w14:textId="77777777" w:rsidR="00520E73" w:rsidRDefault="00000000" w:rsidP="00400561">
      <w:pPr>
        <w:spacing w:after="436" w:line="360" w:lineRule="auto"/>
        <w:ind w:left="0" w:firstLine="0"/>
      </w:pPr>
      <w:r>
        <w:rPr>
          <w:sz w:val="32"/>
        </w:rPr>
        <w:lastRenderedPageBreak/>
        <w:t xml:space="preserve"> </w:t>
      </w:r>
    </w:p>
    <w:p w14:paraId="23F2ABC7" w14:textId="77777777" w:rsidR="00520E73" w:rsidRDefault="00000000" w:rsidP="00400561">
      <w:pPr>
        <w:pStyle w:val="Heading2"/>
        <w:spacing w:line="360" w:lineRule="auto"/>
        <w:ind w:left="-5"/>
      </w:pPr>
      <w:r>
        <w:t xml:space="preserve">1. Executive Summary </w:t>
      </w:r>
    </w:p>
    <w:p w14:paraId="2FB4AF43" w14:textId="77777777" w:rsidR="00520E73" w:rsidRDefault="00000000" w:rsidP="00400561">
      <w:pPr>
        <w:spacing w:after="365" w:line="360" w:lineRule="auto"/>
        <w:ind w:left="-5"/>
      </w:pPr>
      <w:r>
        <w:t xml:space="preserve">Evaluation of the implementation and experience of partnership working (PW) and </w:t>
      </w:r>
      <w:proofErr w:type="spellStart"/>
      <w:r>
        <w:t>personcentered</w:t>
      </w:r>
      <w:proofErr w:type="spellEnd"/>
      <w:r>
        <w:t xml:space="preserve"> care (PCC) in a care-home setting is the goal of this report. Using a short literature and policy review based on UK health and social care guidance, it examines key evidence on their effectiveness. Research shows that PW initiates improved coordination and comprehensive assistance among professionals, on the other hand PCC greatly improves residents' autonomy, dignity, and satisfaction. However, these strategies are undermined by issues including poor staff training &amp; an overwhelming workload, the analysis highlights the necessity of increased interdisciplinary coordination to provide care. The study </w:t>
      </w:r>
      <w:proofErr w:type="gramStart"/>
      <w:r>
        <w:t>comes to the conclusion</w:t>
      </w:r>
      <w:proofErr w:type="gramEnd"/>
      <w:r>
        <w:t xml:space="preserve"> that strengthening professional teamwork into daily care routines is essential to achieving better results and maintaining high standards of care in the care-home setting. </w:t>
      </w:r>
    </w:p>
    <w:bookmarkStart w:id="0" w:name="_Toc9281"/>
    <w:p w14:paraId="41B45922" w14:textId="77777777" w:rsidR="00520E73" w:rsidRDefault="00000000" w:rsidP="00400561">
      <w:pPr>
        <w:pStyle w:val="Heading1"/>
        <w:spacing w:line="360" w:lineRule="auto"/>
        <w:ind w:left="-5"/>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B5793D6" wp14:editId="59CF3E59">
                <wp:simplePos x="0" y="0"/>
                <wp:positionH relativeFrom="page">
                  <wp:posOffset>896417</wp:posOffset>
                </wp:positionH>
                <wp:positionV relativeFrom="page">
                  <wp:posOffset>9064447</wp:posOffset>
                </wp:positionV>
                <wp:extent cx="5981065" cy="6096"/>
                <wp:effectExtent l="0" t="0" r="0" b="0"/>
                <wp:wrapTopAndBottom/>
                <wp:docPr id="7980" name="Group 7980"/>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9488" name="Shape 9488"/>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7980" style="width:470.95pt;height:0.47998pt;position:absolute;mso-position-horizontal-relative:page;mso-position-horizontal:absolute;margin-left:70.584pt;mso-position-vertical-relative:page;margin-top:713.736pt;" coordsize="59810,60">
                <v:shape id="Shape 9489" style="position:absolute;width:59810;height:91;left:0;top:0;" coordsize="5981065,9144" path="m0,0l5981065,0l5981065,9144l0,9144l0,0">
                  <v:stroke weight="0pt" endcap="flat" joinstyle="miter" miterlimit="10" on="false" color="#000000" opacity="0"/>
                  <v:fill on="true" color="#d9d9d9"/>
                </v:shape>
                <w10:wrap type="topAndBottom"/>
              </v:group>
            </w:pict>
          </mc:Fallback>
        </mc:AlternateContent>
      </w:r>
      <w:r>
        <w:t xml:space="preserve">2. Introduction </w:t>
      </w:r>
      <w:bookmarkEnd w:id="0"/>
    </w:p>
    <w:p w14:paraId="3ECC453E" w14:textId="77777777" w:rsidR="00520E73" w:rsidRDefault="00000000" w:rsidP="00400561">
      <w:pPr>
        <w:spacing w:line="360" w:lineRule="auto"/>
        <w:ind w:left="-5"/>
      </w:pPr>
      <w:r>
        <w:t xml:space="preserve">Person-centred care (PCC) and PW are the heart of UK health policy because they aim to deliver care that respects </w:t>
      </w:r>
      <w:proofErr w:type="gramStart"/>
      <w:r>
        <w:t>each individual’s</w:t>
      </w:r>
      <w:proofErr w:type="gramEnd"/>
      <w:r>
        <w:t xml:space="preserve"> needs </w:t>
      </w:r>
      <w:proofErr w:type="gramStart"/>
      <w:r>
        <w:t>despite the fact that</w:t>
      </w:r>
      <w:proofErr w:type="gramEnd"/>
      <w:r>
        <w:t xml:space="preserve"> they also promote cooperation among professionals (Department of Health and Social Care, 2014). “</w:t>
      </w:r>
      <w:proofErr w:type="spellStart"/>
      <w:r>
        <w:t>Personcentred</w:t>
      </w:r>
      <w:proofErr w:type="spellEnd"/>
      <w:r>
        <w:t xml:space="preserve"> care supports people to develop the knowledge and confidence they need to more effectively manage informed decisions about their own health and health care. It is coordinated and tailored to the needs of the individual. And it ensures that people are always treated with dignity, compassion and respect” (Health foundation, 2016). To get better, more coordinated results, PW, on the other hand, places a strong focus on collaboration between medical personnel, families, and other experts (NHS England, 2022). In care homes, where people frequently need ongoing, multidisciplinary help from nurses, caretakers, doctors, and social workers, this research focuses on these facilities (Care Quality Commission, 2024). The main objectives are to define PCC, explore a supporting theoretical framework, discuss key ethical principles, evaluate PW, and apply these ideas to care-home practice in relation to UK legislation. Current policy and relevant literature were reviewed through a desk-based review. After providing an outline of the theoretical foundations the paper concludes with recommendations for improving care-home operations.  </w:t>
      </w:r>
    </w:p>
    <w:p w14:paraId="3D8937D6" w14:textId="77777777" w:rsidR="00520E73" w:rsidRDefault="00000000" w:rsidP="00400561">
      <w:pPr>
        <w:pStyle w:val="Heading1"/>
        <w:spacing w:line="360" w:lineRule="auto"/>
        <w:ind w:left="-5"/>
      </w:pPr>
      <w:bookmarkStart w:id="1" w:name="_Toc9282"/>
      <w:r>
        <w:lastRenderedPageBreak/>
        <w:t xml:space="preserve">3. Person-Centred Care </w:t>
      </w:r>
      <w:bookmarkEnd w:id="1"/>
    </w:p>
    <w:p w14:paraId="542FDE30" w14:textId="77777777" w:rsidR="00520E73" w:rsidRDefault="00000000" w:rsidP="00400561">
      <w:pPr>
        <w:spacing w:after="365" w:line="360" w:lineRule="auto"/>
        <w:ind w:left="-5"/>
      </w:pPr>
      <w:r>
        <w:t>The term ‘person-centred care’ is used to refer to many different principles and activities, and there is no single agreed definition of the concept. This is partly because person-centred care is still an emerging and evolving area. It is also because, if care is to be person centred, then what it looks like will depend on the needs, circumstances and preferences of the individual receiving care "(Health foundation, 2016). A fundamental tenet of UK health is person-</w:t>
      </w:r>
      <w:proofErr w:type="spellStart"/>
      <w:r>
        <w:t>centered</w:t>
      </w:r>
      <w:proofErr w:type="spellEnd"/>
      <w:r>
        <w:t xml:space="preserve"> care (PCC), which is supported by frameworks like the Care Act 2014, the Health Foundation, and NICE Guideline NG21. It is described as a method that acknowledges each person's distinct preferences, values, and life experience while placing them at the </w:t>
      </w:r>
      <w:proofErr w:type="spellStart"/>
      <w:r>
        <w:t>center</w:t>
      </w:r>
      <w:proofErr w:type="spellEnd"/>
      <w:r>
        <w:t xml:space="preserve"> of all decisions regarding their care. Dignity, respect, autonomy, choice, and cooperation amongst residents, families, and professionals are among PCC's core values. </w:t>
      </w:r>
      <w:proofErr w:type="gramStart"/>
      <w:r>
        <w:t>In actuality, it</w:t>
      </w:r>
      <w:proofErr w:type="gramEnd"/>
      <w:r>
        <w:t xml:space="preserve"> entails treating people as unique persons with their own identities and interests rather than as a diagnosis. The advantages of PCC are widely </w:t>
      </w:r>
      <w:proofErr w:type="gramStart"/>
      <w:r>
        <w:t>known:</w:t>
      </w:r>
      <w:proofErr w:type="gramEnd"/>
      <w:r>
        <w:t xml:space="preserve"> inhabitants report feeling more in charge of their lives, happier, and more satisfied. Better health outcomes and fewer unscheduled hospital admissions are additional possible outcomes. PCC may entail modifying meal offerings to accommodate cultural requirements or individual preferences, or it may entail modifying daily routines to accommodate a resident's desired wake-up time. But PCC is not without its difficulties. Many care facilities struggle to completely execute these values because of staff shortages, Time constraints and uneven training. Organizational culture may also be a barrier; indifference results when firms use PCC terminology without truly incorporating it into their processes.  </w:t>
      </w:r>
    </w:p>
    <w:p w14:paraId="4B6BC249" w14:textId="77777777" w:rsidR="00520E73" w:rsidRDefault="00000000" w:rsidP="00400561">
      <w:pPr>
        <w:pStyle w:val="Heading1"/>
        <w:spacing w:line="360" w:lineRule="auto"/>
        <w:ind w:left="-5"/>
      </w:pPr>
      <w:bookmarkStart w:id="2" w:name="_Toc9283"/>
      <w:r>
        <w:t xml:space="preserve">4. Theoretical Framework: Person-Centred Model  </w:t>
      </w:r>
      <w:bookmarkEnd w:id="2"/>
    </w:p>
    <w:p w14:paraId="0009451D" w14:textId="77777777" w:rsidR="00520E73" w:rsidRDefault="00000000" w:rsidP="00400561">
      <w:pPr>
        <w:spacing w:after="364" w:line="360" w:lineRule="auto"/>
        <w:ind w:left="-5"/>
      </w:pPr>
      <w:r>
        <w:t xml:space="preserve">Finding a balance between resident preferences and safety requirements, like mobility limitations, is another common conflict.  </w:t>
      </w:r>
      <w:proofErr w:type="gramStart"/>
      <w:r>
        <w:t>In order to</w:t>
      </w:r>
      <w:proofErr w:type="gramEnd"/>
      <w:r>
        <w:t xml:space="preserve"> comprehend person-</w:t>
      </w:r>
      <w:proofErr w:type="spellStart"/>
      <w:r>
        <w:t>centered</w:t>
      </w:r>
      <w:proofErr w:type="spellEnd"/>
      <w:r>
        <w:t xml:space="preserve"> care, McCormack and McCance developed the Person-Centred Nursing Framework (PCNF), one of the most well-known models. It offers an organized approach to considering the ways in which processes, values, &amp; the environment interact to provide care that is genuinely focused on the individual. Requirements, the care environment, person-</w:t>
      </w:r>
      <w:proofErr w:type="spellStart"/>
      <w:r>
        <w:t>centered</w:t>
      </w:r>
      <w:proofErr w:type="spellEnd"/>
      <w:r>
        <w:t xml:space="preserve"> processes, and desired outcomes are the four basic domains around which it is constructed. Professional abilities such professional competence and dedication to patient care are the </w:t>
      </w:r>
      <w:proofErr w:type="gramStart"/>
      <w:r>
        <w:t>main focus</w:t>
      </w:r>
      <w:proofErr w:type="gramEnd"/>
      <w:r>
        <w:t xml:space="preserve"> of the prerequisites. When working in a care home, carers need to be genuinely empathetic and respectful of the </w:t>
      </w:r>
      <w:r>
        <w:rPr>
          <w:u w:val="single" w:color="D9D9D9"/>
        </w:rPr>
        <w:lastRenderedPageBreak/>
        <w:t xml:space="preserve">identities of the residents in addition to having the necessary abilities. By means of cooperation, </w:t>
      </w:r>
      <w:r>
        <w:t>shared goal-setting, and active listening, the processes domain aims to involve residents as partners in their care (McCormack and McCance, 2016). In conclusion, results pertain to residents' feelings of contentment, ease, and health—indices that person-</w:t>
      </w:r>
      <w:proofErr w:type="spellStart"/>
      <w:r>
        <w:t>centered</w:t>
      </w:r>
      <w:proofErr w:type="spellEnd"/>
      <w:r>
        <w:t xml:space="preserve"> care has been accomplished. The framework was developed through an iterative process and involved a series of systematic steps to combine two existing conceptual frameworks derived from empirical studies. The process included the mapping of original conceptual frameworks against the person-centred nursing and caring literature, critical dialogue to develop a combined framework, and focus groups with practitioners and co-researchers in a larger person-centred nursing development and research project to test its face validity. However, the model has some limitations. Its abstract concepts—like “authentic engagement” or “sympathetic presence”—can be difficult to measure or translate into day-to-day performance indicators. This can occasionally lead to inconsistent implementation, especially in environments with staffing shortages or time constraints. In contrast to </w:t>
      </w:r>
      <w:proofErr w:type="spellStart"/>
      <w:r>
        <w:t>Kitwood's</w:t>
      </w:r>
      <w:proofErr w:type="spellEnd"/>
      <w:r>
        <w:t xml:space="preserve"> dementia care model, which focuses exclusively on the emotional and relational aspects of dementia care, McCormack and McCance's approach is more comprehensive and systematic. All things considered, the PCNF directs care-home teams toward reliable, kind, and superior person-</w:t>
      </w:r>
      <w:proofErr w:type="spellStart"/>
      <w:r>
        <w:t>centered</w:t>
      </w:r>
      <w:proofErr w:type="spellEnd"/>
      <w:r>
        <w:t xml:space="preserve"> care by tying theory to practical application.  </w:t>
      </w:r>
    </w:p>
    <w:bookmarkStart w:id="3" w:name="_Toc9284"/>
    <w:p w14:paraId="7EAD0DCC" w14:textId="77777777" w:rsidR="00520E73" w:rsidRDefault="00000000" w:rsidP="00400561">
      <w:pPr>
        <w:pStyle w:val="Heading1"/>
        <w:spacing w:line="360" w:lineRule="auto"/>
        <w:ind w:left="-5"/>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E97D2B7" wp14:editId="217BB663">
                <wp:simplePos x="0" y="0"/>
                <wp:positionH relativeFrom="page">
                  <wp:posOffset>896417</wp:posOffset>
                </wp:positionH>
                <wp:positionV relativeFrom="page">
                  <wp:posOffset>9064447</wp:posOffset>
                </wp:positionV>
                <wp:extent cx="5981065" cy="6096"/>
                <wp:effectExtent l="0" t="0" r="0" b="0"/>
                <wp:wrapTopAndBottom/>
                <wp:docPr id="8312" name="Group 8312"/>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9490" name="Shape 9490"/>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8312" style="width:470.95pt;height:0.47998pt;position:absolute;mso-position-horizontal-relative:page;mso-position-horizontal:absolute;margin-left:70.584pt;mso-position-vertical-relative:page;margin-top:713.736pt;" coordsize="59810,60">
                <v:shape id="Shape 9491" style="position:absolute;width:59810;height:91;left:0;top:0;" coordsize="5981065,9144" path="m0,0l5981065,0l5981065,9144l0,9144l0,0">
                  <v:stroke weight="0pt" endcap="flat" joinstyle="miter" miterlimit="10" on="false" color="#000000" opacity="0"/>
                  <v:fill on="true" color="#d9d9d9"/>
                </v:shape>
                <w10:wrap type="topAndBottom"/>
              </v:group>
            </w:pict>
          </mc:Fallback>
        </mc:AlternateContent>
      </w:r>
      <w:r>
        <w:t xml:space="preserve">5. Ethical Fundamentals  </w:t>
      </w:r>
      <w:bookmarkEnd w:id="3"/>
    </w:p>
    <w:p w14:paraId="4FF74804" w14:textId="77777777" w:rsidR="00520E73" w:rsidRDefault="00000000" w:rsidP="00400561">
      <w:pPr>
        <w:spacing w:after="105" w:line="360" w:lineRule="auto"/>
        <w:ind w:left="-5"/>
      </w:pPr>
      <w:r>
        <w:t xml:space="preserve">The four basic principles of ethics include Beneficence, non-maleficence, autonomy and justice. </w:t>
      </w:r>
    </w:p>
    <w:p w14:paraId="5C92A123" w14:textId="77777777" w:rsidR="00520E73" w:rsidRDefault="00000000" w:rsidP="00400561">
      <w:pPr>
        <w:spacing w:line="360" w:lineRule="auto"/>
        <w:ind w:left="-5"/>
      </w:pPr>
      <w:r>
        <w:t xml:space="preserve">The first 2 can be traced back to the time of Hippocrates “to help and do no harm,” while the latter 2 evolved later. Autonomy is one of the essential </w:t>
      </w:r>
      <w:proofErr w:type="gramStart"/>
      <w:r>
        <w:t>core</w:t>
      </w:r>
      <w:proofErr w:type="gramEnd"/>
      <w:r>
        <w:t xml:space="preserve"> ethical </w:t>
      </w:r>
      <w:proofErr w:type="gramStart"/>
      <w:r>
        <w:t>principle</w:t>
      </w:r>
      <w:proofErr w:type="gramEnd"/>
      <w:r>
        <w:t xml:space="preserve"> in PCC, because it allows them to make choices about their daily routines, such as when to take their medications, what to eat, and when to engage in activities. Workers must balance residents' autonomy with their safety and well-being, which can cause conflicts between personal autonomy and caregiving responsibilities. A framework that stated by the Mental Capacity Act of 2005 is for people can't make their own decision or choice. Staff members must ensure that decisions are well-considered and documented </w:t>
      </w:r>
      <w:proofErr w:type="gramStart"/>
      <w:r>
        <w:t>in order to</w:t>
      </w:r>
      <w:proofErr w:type="gramEnd"/>
      <w:r>
        <w:t xml:space="preserve"> operate in the residents' best interests in these circumstances. The Equality Act 2010 guarantees that all inhabitants, irrespective of age, background, enjoy equal respect by reinforcing the need for broad, equitable through ethical reflection, staff members are encouraged to consider these ideals in their everyday </w:t>
      </w:r>
      <w:proofErr w:type="spellStart"/>
      <w:r>
        <w:t>decisionmaking</w:t>
      </w:r>
      <w:proofErr w:type="spellEnd"/>
      <w:r>
        <w:t xml:space="preserve"> so they can handle challenging circumstances with professionalism (Equality </w:t>
      </w:r>
      <w:r>
        <w:lastRenderedPageBreak/>
        <w:t xml:space="preserve">Act, 2010). Bringing ethical awareness into care-home operations increases staff confidence to make ethically sound decisions (Department for Constitutional Affairs, 2007).  </w:t>
      </w:r>
    </w:p>
    <w:p w14:paraId="003C93D6" w14:textId="77777777" w:rsidR="00520E73" w:rsidRDefault="00520E73" w:rsidP="00400561">
      <w:pPr>
        <w:spacing w:line="360" w:lineRule="auto"/>
        <w:sectPr w:rsidR="00520E73">
          <w:footerReference w:type="even" r:id="rId10"/>
          <w:footerReference w:type="default" r:id="rId11"/>
          <w:footerReference w:type="first" r:id="rId12"/>
          <w:pgSz w:w="12240" w:h="15840"/>
          <w:pgMar w:top="1444" w:right="1444" w:bottom="1579" w:left="1440" w:header="720" w:footer="721" w:gutter="0"/>
          <w:pgNumType w:start="1"/>
          <w:cols w:space="720"/>
        </w:sectPr>
      </w:pPr>
    </w:p>
    <w:p w14:paraId="2F001D3C" w14:textId="77777777" w:rsidR="00520E73" w:rsidRDefault="00000000" w:rsidP="00400561">
      <w:pPr>
        <w:pStyle w:val="Heading1"/>
        <w:spacing w:line="360" w:lineRule="auto"/>
        <w:ind w:left="-5"/>
      </w:pPr>
      <w:bookmarkStart w:id="4" w:name="_Toc9285"/>
      <w:r>
        <w:lastRenderedPageBreak/>
        <w:t xml:space="preserve">6. Partnership Working: Evaluation  </w:t>
      </w:r>
      <w:bookmarkEnd w:id="4"/>
    </w:p>
    <w:p w14:paraId="326E4BE2" w14:textId="77777777" w:rsidR="00520E73" w:rsidRDefault="00000000" w:rsidP="00400561">
      <w:pPr>
        <w:spacing w:after="274" w:line="360" w:lineRule="auto"/>
        <w:ind w:left="-5"/>
      </w:pPr>
      <w:r>
        <w:t xml:space="preserve">Partnership working (PW) is the term used to describe the collaboration of nurses, care staff, physicians, social workers, and family members in meeting the needs of residents. Given the varied physical, and social needs of many of the people in care facilities, efficient coordination is essential to delivering safe care. PW's advantages are widely known. When teams communicate effectively, care coordination and consistency are enhanced. For example, when the person that we were caring gets discharged from the hospital, we may work with family members to arrange medication changes for a smooth transition and continuity of care. To address the requirements of entire families in a cohesive manner, partnership working offers chances for needs to be satisfied both individually and collectively.  </w:t>
      </w:r>
    </w:p>
    <w:p w14:paraId="4C61F119" w14:textId="77777777" w:rsidR="00520E73" w:rsidRDefault="00000000" w:rsidP="00400561">
      <w:pPr>
        <w:spacing w:after="314" w:line="360" w:lineRule="auto"/>
        <w:ind w:left="-5"/>
      </w:pPr>
      <w:r>
        <w:t xml:space="preserve">The idea of partnership working is embodied in the idea that children, parents, families, and communities should have access to a variety of developmental services and support </w:t>
      </w:r>
      <w:proofErr w:type="gramStart"/>
      <w:r>
        <w:t>in order to</w:t>
      </w:r>
      <w:proofErr w:type="gramEnd"/>
      <w:r>
        <w:t xml:space="preserve">: </w:t>
      </w:r>
    </w:p>
    <w:p w14:paraId="646B174F" w14:textId="77777777" w:rsidR="00520E73" w:rsidRDefault="00000000" w:rsidP="00400561">
      <w:pPr>
        <w:numPr>
          <w:ilvl w:val="0"/>
          <w:numId w:val="1"/>
        </w:numPr>
        <w:spacing w:after="401" w:line="360" w:lineRule="auto"/>
        <w:ind w:hanging="139"/>
      </w:pPr>
      <w:r>
        <w:t xml:space="preserve">determine their needs </w:t>
      </w:r>
    </w:p>
    <w:p w14:paraId="7B6A199F" w14:textId="77777777" w:rsidR="00520E73" w:rsidRDefault="00000000" w:rsidP="00400561">
      <w:pPr>
        <w:numPr>
          <w:ilvl w:val="0"/>
          <w:numId w:val="1"/>
        </w:numPr>
        <w:spacing w:after="393" w:line="360" w:lineRule="auto"/>
        <w:ind w:hanging="139"/>
      </w:pPr>
      <w:r>
        <w:t xml:space="preserve">get the best assistance from all relevant agencies </w:t>
      </w:r>
    </w:p>
    <w:p w14:paraId="3065E67E" w14:textId="77777777" w:rsidR="00520E73" w:rsidRDefault="00000000" w:rsidP="00400561">
      <w:pPr>
        <w:numPr>
          <w:ilvl w:val="0"/>
          <w:numId w:val="1"/>
        </w:numPr>
        <w:spacing w:after="420" w:line="360" w:lineRule="auto"/>
        <w:ind w:hanging="139"/>
      </w:pPr>
      <w:r>
        <w:t xml:space="preserve">boost their self-esteem and confidence </w:t>
      </w:r>
    </w:p>
    <w:p w14:paraId="504841D2" w14:textId="77777777" w:rsidR="00520E73" w:rsidRDefault="00000000" w:rsidP="00400561">
      <w:pPr>
        <w:numPr>
          <w:ilvl w:val="0"/>
          <w:numId w:val="1"/>
        </w:numPr>
        <w:spacing w:after="407" w:line="360" w:lineRule="auto"/>
        <w:ind w:hanging="139"/>
      </w:pPr>
      <w:r>
        <w:t xml:space="preserve">expand their education and skill sets </w:t>
      </w:r>
    </w:p>
    <w:p w14:paraId="7F11EB27" w14:textId="77777777" w:rsidR="00520E73" w:rsidRDefault="00000000" w:rsidP="00400561">
      <w:pPr>
        <w:numPr>
          <w:ilvl w:val="0"/>
          <w:numId w:val="1"/>
        </w:numPr>
        <w:spacing w:after="273" w:line="360" w:lineRule="auto"/>
        <w:ind w:hanging="139"/>
      </w:pPr>
      <w:r>
        <w:t xml:space="preserve">enable them to live more fulfilled lives and make more complete contributions to society at large. (The King’s Fund, 2018) </w:t>
      </w:r>
    </w:p>
    <w:p w14:paraId="6D773D83" w14:textId="77777777" w:rsidR="00520E73" w:rsidRDefault="00000000" w:rsidP="00400561">
      <w:pPr>
        <w:spacing w:line="360" w:lineRule="auto"/>
        <w:ind w:left="-5"/>
      </w:pPr>
      <w:r>
        <w:t xml:space="preserve">Structural barriers that further complicate collaboration include heavy workloads and a lack of funding. Mutual respect is frequently necessary for success because they encourage candid communication and shared accountability among team members. Its effectiveness varies widely and heavily driven by organizational culture and leadership </w:t>
      </w:r>
      <w:proofErr w:type="gramStart"/>
      <w:r>
        <w:t>commitment,</w:t>
      </w:r>
      <w:proofErr w:type="gramEnd"/>
      <w:r>
        <w:t xml:space="preserve"> PW can </w:t>
      </w:r>
      <w:proofErr w:type="gramStart"/>
      <w:r>
        <w:t>actually significantly</w:t>
      </w:r>
      <w:proofErr w:type="gramEnd"/>
      <w:r>
        <w:t xml:space="preserve"> increase the quality of therapy. Despite these challenges, an objective assessment shows that forming strong partnerships is still a key strategy to enhance care-home outcomes. PW may be fully utilized with specialized training, unambiguous communication guidelines, and </w:t>
      </w:r>
      <w:r>
        <w:lastRenderedPageBreak/>
        <w:t>encouraging frameworks, guaranteeing that residents receive person-</w:t>
      </w:r>
      <w:proofErr w:type="spellStart"/>
      <w:r>
        <w:t>centered</w:t>
      </w:r>
      <w:proofErr w:type="spellEnd"/>
      <w:r>
        <w:t xml:space="preserve">, coordinated care.  </w:t>
      </w:r>
    </w:p>
    <w:p w14:paraId="127FBEA8" w14:textId="77777777" w:rsidR="00520E73" w:rsidRDefault="00000000" w:rsidP="00400561">
      <w:pPr>
        <w:pStyle w:val="Heading1"/>
        <w:spacing w:line="360" w:lineRule="auto"/>
        <w:ind w:left="-5"/>
      </w:pPr>
      <w:bookmarkStart w:id="5" w:name="_Toc9286"/>
      <w:r>
        <w:t xml:space="preserve">7. Application to the Care-Home Setting  </w:t>
      </w:r>
      <w:bookmarkEnd w:id="5"/>
    </w:p>
    <w:p w14:paraId="49C1F472" w14:textId="77777777" w:rsidR="00520E73" w:rsidRDefault="00000000" w:rsidP="00400561">
      <w:pPr>
        <w:spacing w:after="368" w:line="360" w:lineRule="auto"/>
        <w:ind w:left="-5"/>
      </w:pPr>
      <w:r>
        <w:t>Physiotherapists, nursing staff, care assistants, and family members are all crucial partners in the residents' care together in the chosen facility that provide long-term support for older people. Individualized care plans and adaptable daily routines catered to residents' needs are the main focuses of contemporary person-</w:t>
      </w:r>
      <w:proofErr w:type="spellStart"/>
      <w:r>
        <w:t>centered</w:t>
      </w:r>
      <w:proofErr w:type="spellEnd"/>
      <w:r>
        <w:t xml:space="preserve"> care techniques. These techniques to uphold dignity and enhance general well-being. Inconsistent communication after hospital discharge, however, has been recognized as a practical problem. This might result in misunderstandings regarding care instructions. Regular multidisciplinary team (MDT) meetings and the implementation of shared electronic records accessible to relevant specialists could improve collaboration and address this problem. This would provide clear responsibilities for residents between care settings and timely communication with all parties involved. But there are still challenges. Variations in the degree of digital literacy among care professionals and time constraints can all make consistent adoption difficult. Therefore, organizational education, and assistance are necessary to overcome these obstacles. In conclusion, integrating strong PCC practices with effective PW can significantly enhance residents’ quality of life. </w:t>
      </w:r>
      <w:proofErr w:type="gramStart"/>
      <w:r>
        <w:t>In order to</w:t>
      </w:r>
      <w:proofErr w:type="gramEnd"/>
      <w:r>
        <w:t xml:space="preserve"> address the health and personal requirements of its residents, care facilities can offer safer and more compassionate support by integrating individualized care with well-coordinated teamwork</w:t>
      </w:r>
      <w:r>
        <w:rPr>
          <w:rFonts w:ascii="Calibri" w:eastAsia="Calibri" w:hAnsi="Calibri" w:cs="Calibri"/>
        </w:rPr>
        <w:t xml:space="preserve"> </w:t>
      </w:r>
      <w:r>
        <w:t xml:space="preserve">(Care Quality Commission, 2024). </w:t>
      </w:r>
    </w:p>
    <w:p w14:paraId="30CB82D8" w14:textId="77777777" w:rsidR="00520E73" w:rsidRDefault="00000000" w:rsidP="00400561">
      <w:pPr>
        <w:pStyle w:val="Heading1"/>
        <w:spacing w:line="360" w:lineRule="auto"/>
        <w:ind w:left="-5"/>
      </w:pPr>
      <w:bookmarkStart w:id="6" w:name="_Toc9287"/>
      <w:r>
        <w:t xml:space="preserve">8. Policy and Legislation Context  </w:t>
      </w:r>
      <w:bookmarkEnd w:id="6"/>
    </w:p>
    <w:p w14:paraId="0A67729C" w14:textId="77777777" w:rsidR="00520E73" w:rsidRDefault="00000000" w:rsidP="00400561">
      <w:pPr>
        <w:spacing w:after="368" w:line="360" w:lineRule="auto"/>
        <w:ind w:left="-5"/>
      </w:pPr>
      <w:r>
        <w:t>Several key legislation and policies in the UK support person-</w:t>
      </w:r>
      <w:proofErr w:type="spellStart"/>
      <w:r>
        <w:t>centered</w:t>
      </w:r>
      <w:proofErr w:type="spellEnd"/>
      <w:r>
        <w:t xml:space="preserve"> care and partnership functioning in care facilities. </w:t>
      </w:r>
      <w:proofErr w:type="gramStart"/>
      <w:r>
        <w:t>In order to</w:t>
      </w:r>
      <w:proofErr w:type="gramEnd"/>
      <w:r>
        <w:t xml:space="preserve"> ensure that care is tailored to </w:t>
      </w:r>
      <w:proofErr w:type="gramStart"/>
      <w:r>
        <w:t>each individual's</w:t>
      </w:r>
      <w:proofErr w:type="gramEnd"/>
      <w:r>
        <w:t xml:space="preserve"> requirements, the Care Act of 2014 emphasizes personalization and the wellbeing concept. Under the Mental Capacity Act of 2005, citizens can use these guidelines to assess their decision- and determine what is best for them when their ability is poor. Residents are protected from discrimination by the Equality Act of 2010, </w:t>
      </w:r>
      <w:proofErr w:type="gramStart"/>
      <w:r>
        <w:t>In</w:t>
      </w:r>
      <w:proofErr w:type="gramEnd"/>
      <w:r>
        <w:t xml:space="preserve"> order to ensure that residents' preferences, and goals are at the forefront of care delivery, CQC Regulation 9 specifically mandates that care providers use person-</w:t>
      </w:r>
      <w:proofErr w:type="spellStart"/>
      <w:r>
        <w:t>centered</w:t>
      </w:r>
      <w:proofErr w:type="spellEnd"/>
      <w:r>
        <w:t xml:space="preserve"> planning. Furthermore, </w:t>
      </w:r>
      <w:proofErr w:type="gramStart"/>
      <w:r>
        <w:t>in order to</w:t>
      </w:r>
      <w:proofErr w:type="gramEnd"/>
      <w:r>
        <w:t xml:space="preserve"> enhance coordinated care, NHS Integrated Care System (ICS) guidelines promote cooperation between the social care and </w:t>
      </w:r>
      <w:r>
        <w:lastRenderedPageBreak/>
        <w:t xml:space="preserve">health sectors. When taken as a whole, these frameworks have an impact on care-home policies because they set professional standards for quality assessments. By making sure that </w:t>
      </w:r>
      <w:r>
        <w:rPr>
          <w:u w:val="single" w:color="D9D9D9"/>
        </w:rPr>
        <w:t xml:space="preserve">organizational practices adhere to ethical standards, they bring accountability to the provision of </w:t>
      </w:r>
      <w:r>
        <w:t>care. Adhering to these rules effectively enhances resident outcomes in addition to meeting legal requirements. By incorporating these guidelines into routine operations can establish spaces that are truly person-</w:t>
      </w:r>
      <w:proofErr w:type="spellStart"/>
      <w:r>
        <w:t>centered</w:t>
      </w:r>
      <w:proofErr w:type="spellEnd"/>
      <w:r>
        <w:t xml:space="preserve"> and compatible with the law.  </w:t>
      </w:r>
    </w:p>
    <w:p w14:paraId="3DA491DB" w14:textId="77777777" w:rsidR="00520E73" w:rsidRDefault="00000000" w:rsidP="00400561">
      <w:pPr>
        <w:pStyle w:val="Heading1"/>
        <w:spacing w:line="360" w:lineRule="auto"/>
        <w:ind w:left="-5"/>
      </w:pPr>
      <w:bookmarkStart w:id="7" w:name="_Toc9288"/>
      <w:r>
        <w:t xml:space="preserve">9. Recommendations  </w:t>
      </w:r>
      <w:bookmarkEnd w:id="7"/>
    </w:p>
    <w:p w14:paraId="6D7C4776" w14:textId="77777777" w:rsidR="00520E73" w:rsidRDefault="00000000" w:rsidP="00400561">
      <w:pPr>
        <w:spacing w:after="366" w:line="360" w:lineRule="auto"/>
        <w:ind w:left="-5"/>
      </w:pPr>
      <w:r>
        <w:t xml:space="preserve">It is advised that all care home employees complete required PCC training </w:t>
      </w:r>
      <w:proofErr w:type="gramStart"/>
      <w:r>
        <w:t>in order to</w:t>
      </w:r>
      <w:proofErr w:type="gramEnd"/>
      <w:r>
        <w:t xml:space="preserve"> increase person-</w:t>
      </w:r>
      <w:proofErr w:type="spellStart"/>
      <w:r>
        <w:t>centered</w:t>
      </w:r>
      <w:proofErr w:type="spellEnd"/>
      <w:r>
        <w:t xml:space="preserve"> care and partnership working. This will ensure that fundamental concepts are consistently understood and used. GPs, social workers, and families should hold regular interagency meetings to enhance communication and efficiently coordinate treatment. Errors can be decreased and information exchange streamlined by implementing digital care-planning tools that are available to all involved parties. Surveys of resident satisfaction should be used to create continuous feedback loops and enable staff to adjust care according to personal preferences. Additionally, by utilizing shared key performance indicators (KPIs), health care commissioners can promote responsibility across services (Health Quality Improvement Partnership, 2020). Care facilities can create a culture of constant reflection and development by incorporating these suggestions into daily operations. This will guarantee that </w:t>
      </w:r>
      <w:proofErr w:type="spellStart"/>
      <w:r>
        <w:t>personcentered</w:t>
      </w:r>
      <w:proofErr w:type="spellEnd"/>
      <w:r>
        <w:t xml:space="preserve">, coordinated care becomes a long-term norm for all residents. </w:t>
      </w:r>
    </w:p>
    <w:p w14:paraId="53CE6FF4" w14:textId="77777777" w:rsidR="00520E73" w:rsidRDefault="00000000" w:rsidP="00400561">
      <w:pPr>
        <w:pStyle w:val="Heading1"/>
        <w:spacing w:line="360" w:lineRule="auto"/>
        <w:ind w:left="-5"/>
      </w:pPr>
      <w:bookmarkStart w:id="8" w:name="_Toc9289"/>
      <w:r>
        <w:t xml:space="preserve">10. Conclusion </w:t>
      </w:r>
      <w:bookmarkEnd w:id="8"/>
    </w:p>
    <w:p w14:paraId="31A9C7AC" w14:textId="77777777" w:rsidR="00520E73" w:rsidRDefault="00000000" w:rsidP="00400561">
      <w:pPr>
        <w:spacing w:after="143" w:line="360" w:lineRule="auto"/>
        <w:ind w:left="-5"/>
      </w:pPr>
      <w:r>
        <w:t xml:space="preserve">Two complementary requirements for high-quality care in assisted living facilities are </w:t>
      </w:r>
      <w:proofErr w:type="spellStart"/>
      <w:r>
        <w:t>personcentered</w:t>
      </w:r>
      <w:proofErr w:type="spellEnd"/>
      <w:r>
        <w:t xml:space="preserve"> care and partnership working: Partnership working together the family and professional networks required to address complicated needs, while PCC maintains residents' dignity, autonomy, and well-being. If practical steps are not taken, the policy will remain aspirational. The following are essential: collaborative performance indicators, shared electronic data and regular MDT procedures. Strengthening organizational leadership and integrating ethical thinking into daily operations will turn legal demands (Care Act 2014; MCA 2005; CQC Regulation 9) into measurable benefits. Care facilities will improve results and resident </w:t>
      </w:r>
      <w:r>
        <w:lastRenderedPageBreak/>
        <w:t>happiness if they implement these measures, which will bridge the gap between lived experience and policy aim.</w:t>
      </w:r>
      <w:r>
        <w:rPr>
          <w:sz w:val="32"/>
        </w:rPr>
        <w:t xml:space="preserve"> </w:t>
      </w:r>
    </w:p>
    <w:p w14:paraId="595DD7C4" w14:textId="77777777" w:rsidR="00520E73" w:rsidRDefault="00000000" w:rsidP="00400561">
      <w:pPr>
        <w:spacing w:after="0" w:line="360" w:lineRule="auto"/>
        <w:ind w:left="0" w:firstLine="0"/>
      </w:pPr>
      <w:r>
        <w:rPr>
          <w:sz w:val="32"/>
        </w:rPr>
        <w:t xml:space="preserve"> </w:t>
      </w:r>
      <w:r>
        <w:rPr>
          <w:sz w:val="32"/>
        </w:rPr>
        <w:tab/>
        <w:t xml:space="preserve"> </w:t>
      </w:r>
    </w:p>
    <w:p w14:paraId="002B6295" w14:textId="77777777" w:rsidR="00520E73" w:rsidRDefault="00520E73" w:rsidP="00400561">
      <w:pPr>
        <w:spacing w:line="360" w:lineRule="auto"/>
        <w:sectPr w:rsidR="00520E73">
          <w:footerReference w:type="even" r:id="rId13"/>
          <w:footerReference w:type="default" r:id="rId14"/>
          <w:footerReference w:type="first" r:id="rId15"/>
          <w:pgSz w:w="12240" w:h="15840"/>
          <w:pgMar w:top="1444" w:right="1440" w:bottom="1579" w:left="1440" w:header="720" w:footer="721" w:gutter="0"/>
          <w:cols w:space="720"/>
        </w:sectPr>
      </w:pPr>
    </w:p>
    <w:p w14:paraId="1B71A295" w14:textId="77777777" w:rsidR="00520E73" w:rsidRDefault="00000000" w:rsidP="00400561">
      <w:pPr>
        <w:pStyle w:val="Heading1"/>
        <w:spacing w:after="163" w:line="360" w:lineRule="auto"/>
        <w:ind w:left="-5"/>
      </w:pPr>
      <w:bookmarkStart w:id="9" w:name="_Toc9290"/>
      <w:r>
        <w:lastRenderedPageBreak/>
        <w:t xml:space="preserve">11. References </w:t>
      </w:r>
      <w:bookmarkEnd w:id="9"/>
    </w:p>
    <w:p w14:paraId="7176E74C" w14:textId="77777777" w:rsidR="00520E73" w:rsidRDefault="00000000" w:rsidP="00400561">
      <w:pPr>
        <w:numPr>
          <w:ilvl w:val="0"/>
          <w:numId w:val="2"/>
        </w:numPr>
        <w:spacing w:after="1" w:line="360" w:lineRule="auto"/>
        <w:ind w:hanging="360"/>
      </w:pPr>
      <w:r>
        <w:t xml:space="preserve">Department of Health and Social Care (2014) </w:t>
      </w:r>
      <w:r>
        <w:rPr>
          <w:i/>
        </w:rPr>
        <w:t>Care and support statutory guidance</w:t>
      </w:r>
      <w:r>
        <w:t xml:space="preserve"> (Care Act 2014). GOV.UK. Available at: </w:t>
      </w:r>
      <w:hyperlink r:id="rId16">
        <w:r>
          <w:rPr>
            <w:color w:val="0563C1"/>
            <w:u w:val="single" w:color="0563C1"/>
          </w:rPr>
          <w:t>https://www.gov.uk/government/publications/care</w:t>
        </w:r>
      </w:hyperlink>
      <w:hyperlink r:id="rId17">
        <w:r>
          <w:rPr>
            <w:color w:val="0563C1"/>
            <w:u w:val="single" w:color="0563C1"/>
          </w:rPr>
          <w:t>-</w:t>
        </w:r>
      </w:hyperlink>
      <w:hyperlink r:id="rId18">
        <w:r>
          <w:rPr>
            <w:color w:val="0563C1"/>
            <w:u w:val="single" w:color="0563C1"/>
          </w:rPr>
          <w:t>act</w:t>
        </w:r>
      </w:hyperlink>
      <w:hyperlink r:id="rId19">
        <w:r>
          <w:rPr>
            <w:color w:val="0563C1"/>
            <w:u w:val="single" w:color="0563C1"/>
          </w:rPr>
          <w:t>-</w:t>
        </w:r>
      </w:hyperlink>
      <w:hyperlink r:id="rId20">
        <w:r>
          <w:rPr>
            <w:color w:val="0563C1"/>
            <w:u w:val="single" w:color="0563C1"/>
          </w:rPr>
          <w:t>statutory</w:t>
        </w:r>
      </w:hyperlink>
      <w:hyperlink r:id="rId21">
        <w:r>
          <w:rPr>
            <w:color w:val="0563C1"/>
            <w:u w:val="single" w:color="0563C1"/>
          </w:rPr>
          <w:t>-</w:t>
        </w:r>
      </w:hyperlink>
      <w:hyperlink r:id="rId22">
        <w:r>
          <w:rPr>
            <w:color w:val="0563C1"/>
            <w:u w:val="single" w:color="0563C1"/>
          </w:rPr>
          <w:t>guidance/care</w:t>
        </w:r>
      </w:hyperlink>
      <w:hyperlink r:id="rId23">
        <w:r>
          <w:rPr>
            <w:color w:val="0563C1"/>
            <w:u w:val="single" w:color="0563C1"/>
          </w:rPr>
          <w:t>-</w:t>
        </w:r>
      </w:hyperlink>
      <w:hyperlink r:id="rId24">
        <w:r>
          <w:rPr>
            <w:color w:val="0563C1"/>
            <w:u w:val="single" w:color="0563C1"/>
          </w:rPr>
          <w:t>and</w:t>
        </w:r>
      </w:hyperlink>
      <w:hyperlink r:id="rId25"/>
      <w:hyperlink r:id="rId26">
        <w:r>
          <w:rPr>
            <w:color w:val="0563C1"/>
            <w:u w:val="single" w:color="0563C1"/>
          </w:rPr>
          <w:t>support</w:t>
        </w:r>
      </w:hyperlink>
      <w:hyperlink r:id="rId27">
        <w:r>
          <w:rPr>
            <w:color w:val="0563C1"/>
            <w:u w:val="single" w:color="0563C1"/>
          </w:rPr>
          <w:t>-</w:t>
        </w:r>
      </w:hyperlink>
      <w:hyperlink r:id="rId28">
        <w:r>
          <w:rPr>
            <w:color w:val="0563C1"/>
            <w:u w:val="single" w:color="0563C1"/>
          </w:rPr>
          <w:t>statutory</w:t>
        </w:r>
      </w:hyperlink>
      <w:hyperlink r:id="rId29">
        <w:r>
          <w:rPr>
            <w:color w:val="0563C1"/>
            <w:u w:val="single" w:color="0563C1"/>
          </w:rPr>
          <w:t>-</w:t>
        </w:r>
      </w:hyperlink>
      <w:hyperlink r:id="rId30">
        <w:r>
          <w:rPr>
            <w:color w:val="0563C1"/>
            <w:u w:val="single" w:color="0563C1"/>
          </w:rPr>
          <w:t>guidance</w:t>
        </w:r>
      </w:hyperlink>
      <w:hyperlink r:id="rId31">
        <w:r>
          <w:t>.</w:t>
        </w:r>
      </w:hyperlink>
      <w:r>
        <w:t xml:space="preserve">  </w:t>
      </w:r>
    </w:p>
    <w:p w14:paraId="79944D89" w14:textId="77777777" w:rsidR="00520E73" w:rsidRDefault="00000000" w:rsidP="00400561">
      <w:pPr>
        <w:numPr>
          <w:ilvl w:val="0"/>
          <w:numId w:val="2"/>
        </w:numPr>
        <w:spacing w:after="1" w:line="360" w:lineRule="auto"/>
        <w:ind w:hanging="360"/>
      </w:pPr>
      <w:r>
        <w:t xml:space="preserve">Department for Constitutional Affairs (2007) </w:t>
      </w:r>
      <w:r>
        <w:rPr>
          <w:i/>
        </w:rPr>
        <w:t>Mental Capacity Act 2005: Code of Practice</w:t>
      </w:r>
      <w:r>
        <w:t xml:space="preserve">. London: TSO. Available at: </w:t>
      </w:r>
      <w:hyperlink r:id="rId32">
        <w:r>
          <w:rPr>
            <w:color w:val="0563C1"/>
            <w:u w:val="single" w:color="0563C1"/>
          </w:rPr>
          <w:t>https://www.gov.uk/government/publications/mental</w:t>
        </w:r>
      </w:hyperlink>
      <w:hyperlink r:id="rId33"/>
      <w:hyperlink r:id="rId34">
        <w:r>
          <w:rPr>
            <w:color w:val="0563C1"/>
            <w:u w:val="single" w:color="0563C1"/>
          </w:rPr>
          <w:t>capacity</w:t>
        </w:r>
      </w:hyperlink>
      <w:hyperlink r:id="rId35">
        <w:r>
          <w:rPr>
            <w:color w:val="0563C1"/>
            <w:u w:val="single" w:color="0563C1"/>
          </w:rPr>
          <w:t>-</w:t>
        </w:r>
      </w:hyperlink>
      <w:hyperlink r:id="rId36">
        <w:r>
          <w:rPr>
            <w:color w:val="0563C1"/>
            <w:u w:val="single" w:color="0563C1"/>
          </w:rPr>
          <w:t>act</w:t>
        </w:r>
      </w:hyperlink>
      <w:hyperlink r:id="rId37">
        <w:r>
          <w:rPr>
            <w:color w:val="0563C1"/>
            <w:u w:val="single" w:color="0563C1"/>
          </w:rPr>
          <w:t>-</w:t>
        </w:r>
      </w:hyperlink>
      <w:hyperlink r:id="rId38">
        <w:r>
          <w:rPr>
            <w:color w:val="0563C1"/>
            <w:u w:val="single" w:color="0563C1"/>
          </w:rPr>
          <w:t>code</w:t>
        </w:r>
      </w:hyperlink>
      <w:hyperlink r:id="rId39">
        <w:r>
          <w:rPr>
            <w:color w:val="0563C1"/>
            <w:u w:val="single" w:color="0563C1"/>
          </w:rPr>
          <w:t>-</w:t>
        </w:r>
      </w:hyperlink>
      <w:hyperlink r:id="rId40">
        <w:r>
          <w:rPr>
            <w:color w:val="0563C1"/>
            <w:u w:val="single" w:color="0563C1"/>
          </w:rPr>
          <w:t>of</w:t>
        </w:r>
      </w:hyperlink>
      <w:hyperlink r:id="rId41">
        <w:r>
          <w:rPr>
            <w:color w:val="0563C1"/>
            <w:u w:val="single" w:color="0563C1"/>
          </w:rPr>
          <w:t>-</w:t>
        </w:r>
      </w:hyperlink>
      <w:hyperlink r:id="rId42">
        <w:r>
          <w:rPr>
            <w:color w:val="0563C1"/>
            <w:u w:val="single" w:color="0563C1"/>
          </w:rPr>
          <w:t>practice</w:t>
        </w:r>
      </w:hyperlink>
      <w:hyperlink r:id="rId43">
        <w:r>
          <w:t>.</w:t>
        </w:r>
      </w:hyperlink>
      <w:r>
        <w:t xml:space="preserve">  </w:t>
      </w:r>
    </w:p>
    <w:p w14:paraId="496F7595" w14:textId="77777777" w:rsidR="00520E73" w:rsidRDefault="00000000" w:rsidP="00400561">
      <w:pPr>
        <w:numPr>
          <w:ilvl w:val="0"/>
          <w:numId w:val="2"/>
        </w:numPr>
        <w:spacing w:after="113" w:line="360" w:lineRule="auto"/>
        <w:ind w:hanging="360"/>
      </w:pPr>
      <w:r>
        <w:t xml:space="preserve">UK Government (2010) </w:t>
      </w:r>
      <w:r>
        <w:rPr>
          <w:i/>
        </w:rPr>
        <w:t>Equality Act 2010</w:t>
      </w:r>
      <w:r>
        <w:t xml:space="preserve">. London: HMSO. Available at: </w:t>
      </w:r>
    </w:p>
    <w:p w14:paraId="53FEB5DC" w14:textId="77777777" w:rsidR="00520E73" w:rsidRDefault="00000000" w:rsidP="00400561">
      <w:pPr>
        <w:spacing w:after="105" w:line="360" w:lineRule="auto"/>
        <w:ind w:left="720" w:firstLine="0"/>
      </w:pPr>
      <w:hyperlink r:id="rId44">
        <w:r>
          <w:rPr>
            <w:color w:val="0563C1"/>
            <w:u w:val="single" w:color="0563C1"/>
          </w:rPr>
          <w:t>https://www.legislation.gov.uk/ukpga/2010/15/contents</w:t>
        </w:r>
      </w:hyperlink>
      <w:hyperlink r:id="rId45">
        <w:r>
          <w:t>.</w:t>
        </w:r>
      </w:hyperlink>
      <w:r>
        <w:t xml:space="preserve">  </w:t>
      </w:r>
    </w:p>
    <w:p w14:paraId="6D93A5DD" w14:textId="77777777" w:rsidR="00520E73" w:rsidRDefault="00000000" w:rsidP="00400561">
      <w:pPr>
        <w:numPr>
          <w:ilvl w:val="0"/>
          <w:numId w:val="2"/>
        </w:numPr>
        <w:spacing w:after="1" w:line="360" w:lineRule="auto"/>
        <w:ind w:hanging="360"/>
      </w:pPr>
      <w:r>
        <w:t xml:space="preserve">Care Quality Commission (2024/2025) </w:t>
      </w:r>
      <w:r>
        <w:rPr>
          <w:i/>
        </w:rPr>
        <w:t>Regulation 9: Person-centred care</w:t>
      </w:r>
      <w:r>
        <w:t xml:space="preserve"> (Regulated Activities Regulations). CQC guidance. Available at: </w:t>
      </w:r>
      <w:hyperlink r:id="rId46">
        <w:r>
          <w:rPr>
            <w:color w:val="0563C1"/>
            <w:u w:val="single" w:color="0563C1"/>
          </w:rPr>
          <w:t>https://www.cqc.org.uk/guidance</w:t>
        </w:r>
      </w:hyperlink>
      <w:hyperlink r:id="rId47"/>
      <w:hyperlink r:id="rId48">
        <w:r>
          <w:rPr>
            <w:color w:val="0563C1"/>
            <w:u w:val="single" w:color="0563C1"/>
          </w:rPr>
          <w:t>regulation/providers/regulations</w:t>
        </w:r>
      </w:hyperlink>
      <w:hyperlink r:id="rId49">
        <w:r>
          <w:rPr>
            <w:color w:val="0563C1"/>
            <w:u w:val="single" w:color="0563C1"/>
          </w:rPr>
          <w:t>-</w:t>
        </w:r>
      </w:hyperlink>
      <w:hyperlink r:id="rId50">
        <w:r>
          <w:rPr>
            <w:color w:val="0563C1"/>
            <w:u w:val="single" w:color="0563C1"/>
          </w:rPr>
          <w:t>service</w:t>
        </w:r>
      </w:hyperlink>
      <w:hyperlink r:id="rId51">
        <w:r>
          <w:rPr>
            <w:color w:val="0563C1"/>
            <w:u w:val="single" w:color="0563C1"/>
          </w:rPr>
          <w:t>-</w:t>
        </w:r>
      </w:hyperlink>
      <w:hyperlink r:id="rId52">
        <w:r>
          <w:rPr>
            <w:color w:val="0563C1"/>
            <w:u w:val="single" w:color="0563C1"/>
          </w:rPr>
          <w:t>providers</w:t>
        </w:r>
      </w:hyperlink>
      <w:hyperlink r:id="rId53">
        <w:r>
          <w:rPr>
            <w:color w:val="0563C1"/>
            <w:u w:val="single" w:color="0563C1"/>
          </w:rPr>
          <w:t>-</w:t>
        </w:r>
      </w:hyperlink>
      <w:hyperlink r:id="rId54">
        <w:r>
          <w:rPr>
            <w:color w:val="0563C1"/>
            <w:u w:val="single" w:color="0563C1"/>
          </w:rPr>
          <w:t>and</w:t>
        </w:r>
      </w:hyperlink>
      <w:hyperlink r:id="rId55">
        <w:r>
          <w:rPr>
            <w:color w:val="0563C1"/>
            <w:u w:val="single" w:color="0563C1"/>
          </w:rPr>
          <w:t>-</w:t>
        </w:r>
      </w:hyperlink>
      <w:hyperlink r:id="rId56">
        <w:r>
          <w:rPr>
            <w:color w:val="0563C1"/>
            <w:u w:val="single" w:color="0563C1"/>
          </w:rPr>
          <w:t>managers/health</w:t>
        </w:r>
      </w:hyperlink>
      <w:hyperlink r:id="rId57">
        <w:r>
          <w:rPr>
            <w:color w:val="0563C1"/>
            <w:u w:val="single" w:color="0563C1"/>
          </w:rPr>
          <w:t>-</w:t>
        </w:r>
      </w:hyperlink>
      <w:hyperlink r:id="rId58">
        <w:r>
          <w:rPr>
            <w:color w:val="0563C1"/>
            <w:u w:val="single" w:color="0563C1"/>
          </w:rPr>
          <w:t>social</w:t>
        </w:r>
      </w:hyperlink>
      <w:hyperlink r:id="rId59">
        <w:r>
          <w:rPr>
            <w:color w:val="0563C1"/>
            <w:u w:val="single" w:color="0563C1"/>
          </w:rPr>
          <w:t>-</w:t>
        </w:r>
      </w:hyperlink>
      <w:hyperlink r:id="rId60">
        <w:r>
          <w:rPr>
            <w:color w:val="0563C1"/>
            <w:u w:val="single" w:color="0563C1"/>
          </w:rPr>
          <w:t>care</w:t>
        </w:r>
      </w:hyperlink>
      <w:hyperlink r:id="rId61"/>
      <w:hyperlink r:id="rId62">
        <w:r>
          <w:rPr>
            <w:color w:val="0563C1"/>
            <w:u w:val="single" w:color="0563C1"/>
          </w:rPr>
          <w:t>act/regulation</w:t>
        </w:r>
      </w:hyperlink>
      <w:hyperlink r:id="rId63">
        <w:r>
          <w:rPr>
            <w:color w:val="0563C1"/>
            <w:u w:val="single" w:color="0563C1"/>
          </w:rPr>
          <w:t>-</w:t>
        </w:r>
      </w:hyperlink>
      <w:hyperlink r:id="rId64">
        <w:r>
          <w:rPr>
            <w:color w:val="0563C1"/>
            <w:u w:val="single" w:color="0563C1"/>
          </w:rPr>
          <w:t>9</w:t>
        </w:r>
      </w:hyperlink>
      <w:hyperlink r:id="rId65">
        <w:r>
          <w:t>.</w:t>
        </w:r>
      </w:hyperlink>
      <w:r>
        <w:t xml:space="preserve">  </w:t>
      </w:r>
    </w:p>
    <w:p w14:paraId="544F1388" w14:textId="77777777" w:rsidR="00520E73" w:rsidRDefault="00000000" w:rsidP="00400561">
      <w:pPr>
        <w:numPr>
          <w:ilvl w:val="0"/>
          <w:numId w:val="2"/>
        </w:numPr>
        <w:spacing w:line="360" w:lineRule="auto"/>
        <w:ind w:hanging="360"/>
      </w:pPr>
      <w:r>
        <w:t xml:space="preserve">McCormack, B. and McCance, T. (2016) </w:t>
      </w:r>
      <w:r>
        <w:rPr>
          <w:i/>
        </w:rPr>
        <w:t>Person-centred Practice in Nursing and Health Care: Theory and Practice</w:t>
      </w:r>
      <w:r>
        <w:t>, 2</w:t>
      </w:r>
      <w:r>
        <w:rPr>
          <w:vertAlign w:val="superscript"/>
        </w:rPr>
        <w:t>nd</w:t>
      </w:r>
      <w:r>
        <w:t xml:space="preserve"> edition: Wiley-Blackwell. (Person-Centred Nursing Framework).  </w:t>
      </w:r>
    </w:p>
    <w:p w14:paraId="78AD392C" w14:textId="77777777" w:rsidR="00520E73" w:rsidRDefault="00000000" w:rsidP="00400561">
      <w:pPr>
        <w:numPr>
          <w:ilvl w:val="0"/>
          <w:numId w:val="2"/>
        </w:numPr>
        <w:spacing w:after="0" w:line="360" w:lineRule="auto"/>
        <w:ind w:hanging="360"/>
      </w:pPr>
      <w:r>
        <w:t xml:space="preserve">Health Foundation (2016) </w:t>
      </w:r>
      <w:r>
        <w:rPr>
          <w:i/>
        </w:rPr>
        <w:t>Person-centred care made simple: what everyone should know about person-centred care</w:t>
      </w:r>
      <w:r>
        <w:t xml:space="preserve">. London: Health Foundation. Available at: </w:t>
      </w:r>
    </w:p>
    <w:p w14:paraId="287734FD" w14:textId="77777777" w:rsidR="00520E73" w:rsidRDefault="00000000" w:rsidP="00400561">
      <w:pPr>
        <w:spacing w:after="1" w:line="360" w:lineRule="auto"/>
        <w:ind w:left="720" w:firstLine="0"/>
      </w:pPr>
      <w:hyperlink r:id="rId66">
        <w:r>
          <w:rPr>
            <w:color w:val="0563C1"/>
            <w:u w:val="single" w:color="0563C1"/>
          </w:rPr>
          <w:t>https://www.health.org.uk/resources</w:t>
        </w:r>
      </w:hyperlink>
      <w:hyperlink r:id="rId67">
        <w:r>
          <w:rPr>
            <w:color w:val="0563C1"/>
            <w:u w:val="single" w:color="0563C1"/>
          </w:rPr>
          <w:t>-</w:t>
        </w:r>
      </w:hyperlink>
      <w:hyperlink r:id="rId68">
        <w:r>
          <w:rPr>
            <w:color w:val="0563C1"/>
            <w:u w:val="single" w:color="0563C1"/>
          </w:rPr>
          <w:t>and</w:t>
        </w:r>
      </w:hyperlink>
      <w:hyperlink r:id="rId69">
        <w:r>
          <w:rPr>
            <w:color w:val="0563C1"/>
            <w:u w:val="single" w:color="0563C1"/>
          </w:rPr>
          <w:t>-</w:t>
        </w:r>
      </w:hyperlink>
      <w:hyperlink r:id="rId70">
        <w:r>
          <w:rPr>
            <w:color w:val="0563C1"/>
            <w:u w:val="single" w:color="0563C1"/>
          </w:rPr>
          <w:t>toolkits/quick</w:t>
        </w:r>
      </w:hyperlink>
      <w:hyperlink r:id="rId71">
        <w:r>
          <w:rPr>
            <w:color w:val="0563C1"/>
            <w:u w:val="single" w:color="0563C1"/>
          </w:rPr>
          <w:t>-</w:t>
        </w:r>
      </w:hyperlink>
      <w:hyperlink r:id="rId72">
        <w:r>
          <w:rPr>
            <w:color w:val="0563C1"/>
            <w:u w:val="single" w:color="0563C1"/>
          </w:rPr>
          <w:t>guides/person</w:t>
        </w:r>
      </w:hyperlink>
      <w:hyperlink r:id="rId73">
        <w:r>
          <w:rPr>
            <w:color w:val="0563C1"/>
            <w:u w:val="single" w:color="0563C1"/>
          </w:rPr>
          <w:t>-</w:t>
        </w:r>
      </w:hyperlink>
      <w:hyperlink r:id="rId74">
        <w:r>
          <w:rPr>
            <w:color w:val="0563C1"/>
            <w:u w:val="single" w:color="0563C1"/>
          </w:rPr>
          <w:t>centred</w:t>
        </w:r>
      </w:hyperlink>
      <w:hyperlink r:id="rId75">
        <w:r>
          <w:rPr>
            <w:color w:val="0563C1"/>
            <w:u w:val="single" w:color="0563C1"/>
          </w:rPr>
          <w:t>-</w:t>
        </w:r>
      </w:hyperlink>
      <w:hyperlink r:id="rId76">
        <w:r>
          <w:rPr>
            <w:color w:val="0563C1"/>
            <w:u w:val="single" w:color="0563C1"/>
          </w:rPr>
          <w:t>care</w:t>
        </w:r>
      </w:hyperlink>
      <w:hyperlink r:id="rId77"/>
      <w:hyperlink r:id="rId78">
        <w:r>
          <w:rPr>
            <w:color w:val="0563C1"/>
            <w:u w:val="single" w:color="0563C1"/>
          </w:rPr>
          <w:t>made</w:t>
        </w:r>
      </w:hyperlink>
      <w:hyperlink r:id="rId79">
        <w:r>
          <w:rPr>
            <w:color w:val="0563C1"/>
            <w:u w:val="single" w:color="0563C1"/>
          </w:rPr>
          <w:t>-</w:t>
        </w:r>
      </w:hyperlink>
      <w:hyperlink r:id="rId80">
        <w:r>
          <w:rPr>
            <w:color w:val="0563C1"/>
            <w:u w:val="single" w:color="0563C1"/>
          </w:rPr>
          <w:t>simple</w:t>
        </w:r>
      </w:hyperlink>
      <w:hyperlink r:id="rId81">
        <w:r>
          <w:t>.</w:t>
        </w:r>
      </w:hyperlink>
      <w:r>
        <w:t xml:space="preserve">  </w:t>
      </w:r>
    </w:p>
    <w:p w14:paraId="003885E3" w14:textId="77777777" w:rsidR="00520E73" w:rsidRDefault="00000000" w:rsidP="00400561">
      <w:pPr>
        <w:numPr>
          <w:ilvl w:val="0"/>
          <w:numId w:val="2"/>
        </w:numPr>
        <w:spacing w:line="360" w:lineRule="auto"/>
        <w:ind w:hanging="360"/>
      </w:pPr>
      <w:r>
        <w:t xml:space="preserve">National Institute for Health and Care Excellence (2016) </w:t>
      </w:r>
      <w:r>
        <w:rPr>
          <w:i/>
        </w:rPr>
        <w:t>Home care: delivering personal care and practical support</w:t>
      </w:r>
      <w:r>
        <w:t xml:space="preserve"> (NG21). NICE. Available at: </w:t>
      </w:r>
    </w:p>
    <w:p w14:paraId="1374FCE1" w14:textId="77777777" w:rsidR="00520E73" w:rsidRDefault="00000000" w:rsidP="00400561">
      <w:pPr>
        <w:spacing w:after="108" w:line="360" w:lineRule="auto"/>
        <w:ind w:left="720" w:firstLine="0"/>
      </w:pPr>
      <w:hyperlink r:id="rId82">
        <w:r>
          <w:rPr>
            <w:color w:val="0563C1"/>
            <w:u w:val="single" w:color="0563C1"/>
          </w:rPr>
          <w:t>https://www.nice.org.uk/guidance/ng21</w:t>
        </w:r>
      </w:hyperlink>
      <w:hyperlink r:id="rId83">
        <w:r>
          <w:t>.</w:t>
        </w:r>
      </w:hyperlink>
      <w:r>
        <w:t xml:space="preserve">  </w:t>
      </w:r>
    </w:p>
    <w:p w14:paraId="0A160C0D" w14:textId="77777777" w:rsidR="00520E73" w:rsidRDefault="00000000" w:rsidP="00400561">
      <w:pPr>
        <w:numPr>
          <w:ilvl w:val="0"/>
          <w:numId w:val="2"/>
        </w:numPr>
        <w:spacing w:line="360" w:lineRule="auto"/>
        <w:ind w:hanging="360"/>
      </w:pPr>
      <w:r>
        <w:t xml:space="preserve">National Institute for Health and Care Excellence (2018) </w:t>
      </w:r>
      <w:r>
        <w:rPr>
          <w:i/>
        </w:rPr>
        <w:t>Dementia: assessment, management and support for people living with dementia</w:t>
      </w:r>
      <w:r>
        <w:t xml:space="preserve"> (NG97). NICE. Available at: </w:t>
      </w:r>
      <w:hyperlink r:id="rId84">
        <w:r>
          <w:rPr>
            <w:color w:val="0563C1"/>
            <w:u w:val="single" w:color="0563C1"/>
          </w:rPr>
          <w:t>https://www.nice.org.uk/guidance/ng97</w:t>
        </w:r>
      </w:hyperlink>
      <w:hyperlink r:id="rId85">
        <w:r>
          <w:t>.</w:t>
        </w:r>
      </w:hyperlink>
      <w:r>
        <w:t xml:space="preserve">  </w:t>
      </w:r>
    </w:p>
    <w:p w14:paraId="0AD8F512" w14:textId="77777777" w:rsidR="00520E73" w:rsidRDefault="00000000" w:rsidP="00400561">
      <w:pPr>
        <w:numPr>
          <w:ilvl w:val="0"/>
          <w:numId w:val="2"/>
        </w:numPr>
        <w:spacing w:line="360" w:lineRule="auto"/>
        <w:ind w:hanging="360"/>
      </w:pPr>
      <w:r>
        <w:t xml:space="preserve">Barnes, D. (2017) ‘Personalization and social care assessment: implications of the Care Act 2014’, </w:t>
      </w:r>
      <w:r>
        <w:rPr>
          <w:i/>
        </w:rPr>
        <w:t>Journal of Social Policy</w:t>
      </w:r>
      <w:r>
        <w:t xml:space="preserve">, 46(3), pp. 523–541.  </w:t>
      </w:r>
    </w:p>
    <w:p w14:paraId="403E6EDD" w14:textId="77777777" w:rsidR="00520E73" w:rsidRDefault="00000000" w:rsidP="00400561">
      <w:pPr>
        <w:numPr>
          <w:ilvl w:val="0"/>
          <w:numId w:val="2"/>
        </w:numPr>
        <w:spacing w:after="0" w:line="360" w:lineRule="auto"/>
        <w:ind w:hanging="360"/>
      </w:pPr>
      <w:r>
        <w:lastRenderedPageBreak/>
        <w:t xml:space="preserve">NHS England (2022) </w:t>
      </w:r>
      <w:r>
        <w:rPr>
          <w:i/>
        </w:rPr>
        <w:t>statutory guidance on integrated care systems: working in partnership with people and communities</w:t>
      </w:r>
      <w:r>
        <w:t xml:space="preserve">. NHS England. Available at: </w:t>
      </w:r>
    </w:p>
    <w:p w14:paraId="362FF094" w14:textId="77777777" w:rsidR="00520E73" w:rsidRDefault="00000000" w:rsidP="00400561">
      <w:pPr>
        <w:spacing w:line="360" w:lineRule="auto"/>
        <w:ind w:left="730"/>
      </w:pPr>
      <w:r>
        <w:t xml:space="preserve">https://www.england.nhs.uk  </w:t>
      </w:r>
    </w:p>
    <w:p w14:paraId="682D3714" w14:textId="77777777" w:rsidR="00520E73" w:rsidRDefault="00000000" w:rsidP="00400561">
      <w:pPr>
        <w:numPr>
          <w:ilvl w:val="0"/>
          <w:numId w:val="2"/>
        </w:numPr>
        <w:spacing w:line="360" w:lineRule="auto"/>
        <w:ind w:hanging="360"/>
      </w:pPr>
      <w:r>
        <w:t xml:space="preserve">Social Care Institute for Excellence (SCIE) (no date) </w:t>
      </w:r>
      <w:r>
        <w:rPr>
          <w:i/>
        </w:rPr>
        <w:t>Person-centred care resources and guidance</w:t>
      </w:r>
      <w:r>
        <w:t xml:space="preserve">. SCIE. Available at: https://www.scie.org.uk.  </w:t>
      </w:r>
    </w:p>
    <w:p w14:paraId="29A6E7E3" w14:textId="77777777" w:rsidR="00520E73" w:rsidRDefault="00000000" w:rsidP="00400561">
      <w:pPr>
        <w:numPr>
          <w:ilvl w:val="0"/>
          <w:numId w:val="2"/>
        </w:numPr>
        <w:spacing w:line="360" w:lineRule="auto"/>
        <w:ind w:hanging="360"/>
      </w:pPr>
      <w:r>
        <w:t xml:space="preserve">The King’s Fund (2018) </w:t>
      </w:r>
      <w:r>
        <w:rPr>
          <w:i/>
        </w:rPr>
        <w:t>Integrated care: what is it?</w:t>
      </w:r>
      <w:r>
        <w:t xml:space="preserve"> London: The King’s Fund. Available at: https://www.kingsfund.org.uk. (Use for partnership working context).  </w:t>
      </w:r>
    </w:p>
    <w:p w14:paraId="031ABF58" w14:textId="77777777" w:rsidR="00520E73" w:rsidRDefault="00000000" w:rsidP="00400561">
      <w:pPr>
        <w:numPr>
          <w:ilvl w:val="0"/>
          <w:numId w:val="2"/>
        </w:numPr>
        <w:spacing w:after="33" w:line="360" w:lineRule="auto"/>
        <w:ind w:hanging="360"/>
      </w:pPr>
      <w:r>
        <w:t xml:space="preserve">Department of Health (2015) </w:t>
      </w:r>
      <w:r>
        <w:rPr>
          <w:i/>
        </w:rPr>
        <w:t>Guidance on safeguarding adults</w:t>
      </w:r>
      <w:r>
        <w:t xml:space="preserve">. GOV.UK. Available at: https://www.gov.uk/guidance/safeguarding-duties-under-the-care-act.  </w:t>
      </w:r>
    </w:p>
    <w:p w14:paraId="342B3836" w14:textId="77777777" w:rsidR="00520E73" w:rsidRDefault="00000000" w:rsidP="00400561">
      <w:pPr>
        <w:numPr>
          <w:ilvl w:val="0"/>
          <w:numId w:val="2"/>
        </w:numPr>
        <w:spacing w:line="360" w:lineRule="auto"/>
        <w:ind w:hanging="360"/>
      </w:pPr>
      <w:r>
        <w:t xml:space="preserve">McCance, T., McCormack, B. and Dewing, J. (2011) ‘An exploration of </w:t>
      </w:r>
      <w:proofErr w:type="spellStart"/>
      <w:r>
        <w:t>personcenteredness</w:t>
      </w:r>
      <w:proofErr w:type="spellEnd"/>
      <w:r>
        <w:t xml:space="preserve"> in practice’, </w:t>
      </w:r>
      <w:r>
        <w:rPr>
          <w:i/>
        </w:rPr>
        <w:t>International Journal of Older People Nursing</w:t>
      </w:r>
      <w:r>
        <w:t xml:space="preserve">, 6(2), pp. 73–81.  </w:t>
      </w:r>
    </w:p>
    <w:p w14:paraId="79182DA8" w14:textId="77777777" w:rsidR="00520E73" w:rsidRDefault="00000000" w:rsidP="00400561">
      <w:pPr>
        <w:numPr>
          <w:ilvl w:val="0"/>
          <w:numId w:val="2"/>
        </w:numPr>
        <w:spacing w:after="113" w:line="360" w:lineRule="auto"/>
        <w:ind w:hanging="360"/>
      </w:pPr>
      <w:r>
        <w:t xml:space="preserve">Health Quality Improvement Partnership / NHS Digital (2020) </w:t>
      </w:r>
      <w:r>
        <w:rPr>
          <w:i/>
        </w:rPr>
        <w:t xml:space="preserve">PROMs and PREMs </w:t>
      </w:r>
    </w:p>
    <w:p w14:paraId="2F9C8629" w14:textId="77777777" w:rsidR="00520E73" w:rsidRDefault="00000000" w:rsidP="00400561">
      <w:pPr>
        <w:spacing w:after="279" w:line="360" w:lineRule="auto"/>
        <w:ind w:left="730"/>
      </w:pPr>
      <w:r>
        <w:rPr>
          <w:i/>
        </w:rPr>
        <w:t>Guidance for social care improvement</w:t>
      </w:r>
      <w:r>
        <w:t xml:space="preserve"> (use for recommendation to measure outcomes). Available at: </w:t>
      </w:r>
      <w:hyperlink r:id="rId86">
        <w:r>
          <w:rPr>
            <w:color w:val="0563C1"/>
            <w:u w:val="single" w:color="0563C1"/>
          </w:rPr>
          <w:t>https://www.nhs.uk/</w:t>
        </w:r>
      </w:hyperlink>
      <w:hyperlink r:id="rId87">
        <w:r>
          <w:t xml:space="preserve"> </w:t>
        </w:r>
      </w:hyperlink>
      <w:r>
        <w:t xml:space="preserve"> </w:t>
      </w:r>
    </w:p>
    <w:p w14:paraId="22D39DC0" w14:textId="77777777" w:rsidR="00520E73" w:rsidRDefault="00000000" w:rsidP="00400561">
      <w:pPr>
        <w:spacing w:after="0" w:line="360" w:lineRule="auto"/>
        <w:ind w:left="0" w:firstLine="0"/>
      </w:pPr>
      <w:r>
        <w:t xml:space="preserve"> </w:t>
      </w:r>
    </w:p>
    <w:sectPr w:rsidR="00520E73">
      <w:footerReference w:type="even" r:id="rId88"/>
      <w:footerReference w:type="default" r:id="rId89"/>
      <w:footerReference w:type="first" r:id="rId90"/>
      <w:pgSz w:w="12240" w:h="15840"/>
      <w:pgMar w:top="1444" w:right="1441" w:bottom="2116" w:left="1440"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F6127" w14:textId="77777777" w:rsidR="00350FD0" w:rsidRDefault="00350FD0">
      <w:pPr>
        <w:spacing w:after="0" w:line="240" w:lineRule="auto"/>
      </w:pPr>
      <w:r>
        <w:separator/>
      </w:r>
    </w:p>
  </w:endnote>
  <w:endnote w:type="continuationSeparator" w:id="0">
    <w:p w14:paraId="37296046" w14:textId="77777777" w:rsidR="00350FD0" w:rsidRDefault="00350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75E18" w14:textId="77777777" w:rsidR="00520E73" w:rsidRDefault="00520E73">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3222" w14:textId="77777777" w:rsidR="00520E73" w:rsidRDefault="00520E73">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94B3" w14:textId="77777777" w:rsidR="00520E73" w:rsidRDefault="00520E73">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9F1C7" w14:textId="77777777" w:rsidR="00520E73" w:rsidRDefault="00000000">
    <w:pPr>
      <w:spacing w:after="256" w:line="259" w:lineRule="auto"/>
      <w:ind w:left="0" w:right="5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317D1611" w14:textId="77777777" w:rsidR="00520E73" w:rsidRDefault="00000000">
    <w:pPr>
      <w:spacing w:after="0" w:line="259" w:lineRule="auto"/>
      <w:ind w:left="0" w:firstLine="0"/>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8EDBD" w14:textId="77777777" w:rsidR="00520E73" w:rsidRDefault="00000000">
    <w:pPr>
      <w:spacing w:after="256" w:line="259" w:lineRule="auto"/>
      <w:ind w:left="0" w:right="5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49C54A5F" w14:textId="77777777" w:rsidR="00520E73" w:rsidRDefault="00000000">
    <w:pPr>
      <w:spacing w:after="0" w:line="259" w:lineRule="auto"/>
      <w:ind w:left="0" w:firstLine="0"/>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88144" w14:textId="77777777" w:rsidR="00520E73" w:rsidRDefault="00000000">
    <w:pPr>
      <w:spacing w:after="256" w:line="259" w:lineRule="auto"/>
      <w:ind w:left="0" w:right="5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0433F449" w14:textId="77777777" w:rsidR="00520E73" w:rsidRDefault="00000000">
    <w:pPr>
      <w:spacing w:after="0" w:line="259" w:lineRule="auto"/>
      <w:ind w:left="0" w:firstLine="0"/>
    </w:pPr>
    <w:r>
      <w:rPr>
        <w:rFonts w:ascii="Calibri" w:eastAsia="Calibri" w:hAnsi="Calibri" w:cs="Calibri"/>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E496D" w14:textId="77777777" w:rsidR="00520E73" w:rsidRDefault="00000000">
    <w:pPr>
      <w:spacing w:after="256"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6F685A45" wp14:editId="115BFBEF">
              <wp:simplePos x="0" y="0"/>
              <wp:positionH relativeFrom="page">
                <wp:posOffset>896417</wp:posOffset>
              </wp:positionH>
              <wp:positionV relativeFrom="page">
                <wp:posOffset>9064447</wp:posOffset>
              </wp:positionV>
              <wp:extent cx="5981065" cy="6096"/>
              <wp:effectExtent l="0" t="0" r="0" b="0"/>
              <wp:wrapSquare wrapText="bothSides"/>
              <wp:docPr id="9132" name="Group 9132"/>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9504" name="Shape 9504"/>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9132" style="width:470.95pt;height:0.47998pt;position:absolute;mso-position-horizontal-relative:page;mso-position-horizontal:absolute;margin-left:70.584pt;mso-position-vertical-relative:page;margin-top:713.736pt;" coordsize="59810,60">
              <v:shape id="Shape 9505"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4</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04539BCA" w14:textId="77777777" w:rsidR="00520E73" w:rsidRDefault="00000000">
    <w:pPr>
      <w:spacing w:after="0" w:line="259" w:lineRule="auto"/>
      <w:ind w:left="0" w:firstLine="0"/>
    </w:pPr>
    <w:r>
      <w:rPr>
        <w:rFonts w:ascii="Calibri" w:eastAsia="Calibri" w:hAnsi="Calibri" w:cs="Calibri"/>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5D2C9" w14:textId="77777777" w:rsidR="00520E73" w:rsidRDefault="00000000">
    <w:pPr>
      <w:spacing w:after="256" w:line="259" w:lineRule="auto"/>
      <w:ind w:left="0" w:right="56"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0C042F15" w14:textId="77777777" w:rsidR="00520E73" w:rsidRDefault="00000000">
    <w:pPr>
      <w:spacing w:after="0" w:line="259" w:lineRule="auto"/>
      <w:ind w:left="0" w:firstLine="0"/>
    </w:pPr>
    <w:r>
      <w:rPr>
        <w:rFonts w:ascii="Calibri" w:eastAsia="Calibri" w:hAnsi="Calibri" w:cs="Calibri"/>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04479" w14:textId="77777777" w:rsidR="00520E73" w:rsidRDefault="00000000">
    <w:pPr>
      <w:spacing w:after="256" w:line="259" w:lineRule="auto"/>
      <w:ind w:left="0" w:right="56" w:firstLine="0"/>
      <w:jc w:val="righ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10DCC4D6" wp14:editId="00780463">
              <wp:simplePos x="0" y="0"/>
              <wp:positionH relativeFrom="page">
                <wp:posOffset>896417</wp:posOffset>
              </wp:positionH>
              <wp:positionV relativeFrom="page">
                <wp:posOffset>9064447</wp:posOffset>
              </wp:positionV>
              <wp:extent cx="5981065" cy="6096"/>
              <wp:effectExtent l="0" t="0" r="0" b="0"/>
              <wp:wrapSquare wrapText="bothSides"/>
              <wp:docPr id="9104" name="Group 9104"/>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9502" name="Shape 9502"/>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9104" style="width:470.95pt;height:0.47998pt;position:absolute;mso-position-horizontal-relative:page;mso-position-horizontal:absolute;margin-left:70.584pt;mso-position-vertical-relative:page;margin-top:713.736pt;" coordsize="59810,60">
              <v:shape id="Shape 9503"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4</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6B1FB45D" w14:textId="77777777" w:rsidR="00520E73" w:rsidRDefault="00000000">
    <w:pPr>
      <w:spacing w:after="0" w:line="259" w:lineRule="auto"/>
      <w:ind w:left="0" w:firstLine="0"/>
    </w:pPr>
    <w:r>
      <w:rPr>
        <w:rFonts w:ascii="Calibri" w:eastAsia="Calibri" w:hAnsi="Calibri" w:cs="Calibri"/>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A6B74" w14:textId="77777777" w:rsidR="00520E73" w:rsidRDefault="00000000">
    <w:pPr>
      <w:spacing w:after="256" w:line="259" w:lineRule="auto"/>
      <w:ind w:left="0" w:right="55"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174CF7C0" wp14:editId="7EC9338D">
              <wp:simplePos x="0" y="0"/>
              <wp:positionH relativeFrom="page">
                <wp:posOffset>896417</wp:posOffset>
              </wp:positionH>
              <wp:positionV relativeFrom="page">
                <wp:posOffset>9064447</wp:posOffset>
              </wp:positionV>
              <wp:extent cx="5981065" cy="6096"/>
              <wp:effectExtent l="0" t="0" r="0" b="0"/>
              <wp:wrapSquare wrapText="bothSides"/>
              <wp:docPr id="9178" name="Group 9178"/>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9510" name="Shape 9510"/>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9178" style="width:470.95pt;height:0.47998pt;position:absolute;mso-position-horizontal-relative:page;mso-position-horizontal:absolute;margin-left:70.584pt;mso-position-vertical-relative:page;margin-top:713.736pt;" coordsize="59810,60">
              <v:shape id="Shape 9511"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4</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6D7906D2" w14:textId="77777777" w:rsidR="00520E73" w:rsidRDefault="00000000">
    <w:pPr>
      <w:spacing w:after="0" w:line="259" w:lineRule="auto"/>
      <w:ind w:left="0" w:firstLine="0"/>
    </w:pPr>
    <w:r>
      <w:rPr>
        <w:rFonts w:ascii="Calibri" w:eastAsia="Calibri" w:hAnsi="Calibri" w:cs="Calibri"/>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DC66F" w14:textId="77777777" w:rsidR="00520E73" w:rsidRDefault="00000000">
    <w:pPr>
      <w:spacing w:after="256" w:line="259" w:lineRule="auto"/>
      <w:ind w:left="0" w:right="55" w:firstLine="0"/>
      <w:jc w:val="righ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07CB9369" wp14:editId="27E2E3A9">
              <wp:simplePos x="0" y="0"/>
              <wp:positionH relativeFrom="page">
                <wp:posOffset>896417</wp:posOffset>
              </wp:positionH>
              <wp:positionV relativeFrom="page">
                <wp:posOffset>9064447</wp:posOffset>
              </wp:positionV>
              <wp:extent cx="5981065" cy="6096"/>
              <wp:effectExtent l="0" t="0" r="0" b="0"/>
              <wp:wrapSquare wrapText="bothSides"/>
              <wp:docPr id="9163" name="Group 9163"/>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9508" name="Shape 9508"/>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9163" style="width:470.95pt;height:0.47998pt;position:absolute;mso-position-horizontal-relative:page;mso-position-horizontal:absolute;margin-left:70.584pt;mso-position-vertical-relative:page;margin-top:713.736pt;" coordsize="59810,60">
              <v:shape id="Shape 9509"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4</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205273D5" w14:textId="77777777" w:rsidR="00520E73" w:rsidRDefault="00000000">
    <w:pPr>
      <w:spacing w:after="0" w:line="259" w:lineRule="auto"/>
      <w:ind w:left="0" w:firstLine="0"/>
    </w:pPr>
    <w:r>
      <w:rPr>
        <w:rFonts w:ascii="Calibri" w:eastAsia="Calibri" w:hAnsi="Calibri" w:cs="Calibri"/>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C45BF" w14:textId="77777777" w:rsidR="00520E73" w:rsidRDefault="00000000">
    <w:pPr>
      <w:spacing w:after="256" w:line="259" w:lineRule="auto"/>
      <w:ind w:left="0" w:right="55" w:firstLine="0"/>
      <w:jc w:val="righ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46448CEE" wp14:editId="4EDF6BB0">
              <wp:simplePos x="0" y="0"/>
              <wp:positionH relativeFrom="page">
                <wp:posOffset>896417</wp:posOffset>
              </wp:positionH>
              <wp:positionV relativeFrom="page">
                <wp:posOffset>9064447</wp:posOffset>
              </wp:positionV>
              <wp:extent cx="5981065" cy="6096"/>
              <wp:effectExtent l="0" t="0" r="0" b="0"/>
              <wp:wrapSquare wrapText="bothSides"/>
              <wp:docPr id="9148" name="Group 9148"/>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9506" name="Shape 9506"/>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9148" style="width:470.95pt;height:0.47998pt;position:absolute;mso-position-horizontal-relative:page;mso-position-horizontal:absolute;margin-left:70.584pt;mso-position-vertical-relative:page;margin-top:713.736pt;" coordsize="59810,60">
              <v:shape id="Shape 9507" style="position:absolute;width:59810;height:91;left:0;top:0;" coordsize="5981065,9144" path="m0,0l5981065,0l5981065,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rFonts w:ascii="Calibri" w:eastAsia="Calibri" w:hAnsi="Calibri" w:cs="Calibri"/>
      </w:rPr>
      <w:t>4</w:t>
    </w:r>
    <w:r>
      <w:rPr>
        <w:rFonts w:ascii="Calibri" w:eastAsia="Calibri" w:hAnsi="Calibri" w:cs="Calibri"/>
      </w:rPr>
      <w:fldChar w:fldCharType="end"/>
    </w:r>
    <w:r>
      <w:rPr>
        <w:rFonts w:ascii="Calibri" w:eastAsia="Calibri" w:hAnsi="Calibri" w:cs="Calibri"/>
      </w:rPr>
      <w:t xml:space="preserve"> | </w:t>
    </w:r>
    <w:r>
      <w:rPr>
        <w:rFonts w:ascii="Calibri" w:eastAsia="Calibri" w:hAnsi="Calibri" w:cs="Calibri"/>
        <w:color w:val="7F7F7F"/>
      </w:rPr>
      <w:t>P a g e</w:t>
    </w:r>
    <w:r>
      <w:rPr>
        <w:rFonts w:ascii="Calibri" w:eastAsia="Calibri" w:hAnsi="Calibri" w:cs="Calibri"/>
      </w:rPr>
      <w:t xml:space="preserve"> </w:t>
    </w:r>
  </w:p>
  <w:p w14:paraId="7CCC8893" w14:textId="77777777" w:rsidR="00520E73" w:rsidRDefault="00000000">
    <w:pPr>
      <w:spacing w:after="0" w:line="259" w:lineRule="auto"/>
      <w:ind w:lef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4B04D" w14:textId="77777777" w:rsidR="00350FD0" w:rsidRDefault="00350FD0">
      <w:pPr>
        <w:spacing w:after="0" w:line="240" w:lineRule="auto"/>
      </w:pPr>
      <w:r>
        <w:separator/>
      </w:r>
    </w:p>
  </w:footnote>
  <w:footnote w:type="continuationSeparator" w:id="0">
    <w:p w14:paraId="24C3E409" w14:textId="77777777" w:rsidR="00350FD0" w:rsidRDefault="00350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47A23"/>
    <w:multiLevelType w:val="hybridMultilevel"/>
    <w:tmpl w:val="D838726A"/>
    <w:lvl w:ilvl="0" w:tplc="C4883EDC">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6121C1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47AE9B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5E894A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484DA3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19C37FE">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8DE12E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6A8A00E">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9BA61A2">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1E07DB2"/>
    <w:multiLevelType w:val="hybridMultilevel"/>
    <w:tmpl w:val="7E82B0AC"/>
    <w:lvl w:ilvl="0" w:tplc="5C8E12FE">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ECDCCC">
      <w:start w:val="1"/>
      <w:numFmt w:val="bullet"/>
      <w:lvlText w:val="o"/>
      <w:lvlJc w:val="left"/>
      <w:pPr>
        <w:ind w:left="11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950315C">
      <w:start w:val="1"/>
      <w:numFmt w:val="bullet"/>
      <w:lvlText w:val="▪"/>
      <w:lvlJc w:val="left"/>
      <w:pPr>
        <w:ind w:left="18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902252">
      <w:start w:val="1"/>
      <w:numFmt w:val="bullet"/>
      <w:lvlText w:val="•"/>
      <w:lvlJc w:val="left"/>
      <w:pPr>
        <w:ind w:left="25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7E564C">
      <w:start w:val="1"/>
      <w:numFmt w:val="bullet"/>
      <w:lvlText w:val="o"/>
      <w:lvlJc w:val="left"/>
      <w:pPr>
        <w:ind w:left="3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B34C37C">
      <w:start w:val="1"/>
      <w:numFmt w:val="bullet"/>
      <w:lvlText w:val="▪"/>
      <w:lvlJc w:val="left"/>
      <w:pPr>
        <w:ind w:left="39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38AC080">
      <w:start w:val="1"/>
      <w:numFmt w:val="bullet"/>
      <w:lvlText w:val="•"/>
      <w:lvlJc w:val="left"/>
      <w:pPr>
        <w:ind w:left="4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CC1A0C">
      <w:start w:val="1"/>
      <w:numFmt w:val="bullet"/>
      <w:lvlText w:val="o"/>
      <w:lvlJc w:val="left"/>
      <w:pPr>
        <w:ind w:left="54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D22C138">
      <w:start w:val="1"/>
      <w:numFmt w:val="bullet"/>
      <w:lvlText w:val="▪"/>
      <w:lvlJc w:val="left"/>
      <w:pPr>
        <w:ind w:left="61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2039621925">
    <w:abstractNumId w:val="1"/>
  </w:num>
  <w:num w:numId="2" w16cid:durableId="608128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E73"/>
    <w:rsid w:val="00350FD0"/>
    <w:rsid w:val="00400561"/>
    <w:rsid w:val="00520E73"/>
    <w:rsid w:val="00D54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1E1B7"/>
  <w15:docId w15:val="{2B7E940B-6672-418D-AB5D-9BEA8B28E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6" w:line="363"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344" w:line="259" w:lineRule="auto"/>
      <w:ind w:left="10" w:hanging="10"/>
      <w:outlineLvl w:val="0"/>
    </w:pPr>
    <w:rPr>
      <w:rFonts w:ascii="Arial" w:eastAsia="Arial" w:hAnsi="Arial" w:cs="Arial"/>
      <w:color w:val="000000"/>
      <w:sz w:val="32"/>
    </w:rPr>
  </w:style>
  <w:style w:type="paragraph" w:styleId="Heading2">
    <w:name w:val="heading 2"/>
    <w:next w:val="Normal"/>
    <w:link w:val="Heading2Char"/>
    <w:uiPriority w:val="9"/>
    <w:unhideWhenUsed/>
    <w:qFormat/>
    <w:pPr>
      <w:keepNext/>
      <w:keepLines/>
      <w:spacing w:after="344" w:line="259" w:lineRule="auto"/>
      <w:ind w:left="10" w:hanging="10"/>
      <w:outlineLvl w:val="1"/>
    </w:pPr>
    <w:rPr>
      <w:rFonts w:ascii="Arial" w:eastAsia="Arial" w:hAnsi="Arial" w:cs="Arial"/>
      <w:color w:val="000000"/>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32"/>
    </w:rPr>
  </w:style>
  <w:style w:type="character" w:customStyle="1" w:styleId="Heading1Char">
    <w:name w:val="Heading 1 Char"/>
    <w:link w:val="Heading1"/>
    <w:rPr>
      <w:rFonts w:ascii="Arial" w:eastAsia="Arial" w:hAnsi="Arial" w:cs="Arial"/>
      <w:color w:val="000000"/>
      <w:sz w:val="32"/>
    </w:rPr>
  </w:style>
  <w:style w:type="paragraph" w:styleId="TOC1">
    <w:name w:val="toc 1"/>
    <w:hidden/>
    <w:pPr>
      <w:spacing w:after="284" w:line="259" w:lineRule="auto"/>
      <w:ind w:left="25" w:right="23" w:hanging="10"/>
    </w:pPr>
    <w:rPr>
      <w:rFonts w:ascii="Arial" w:eastAsia="Arial" w:hAnsi="Arial" w:cs="Arial"/>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care-act-statutory-guidance/care-and-support-statutory-guidance?utm_source=chatgpt.com" TargetMode="External"/><Relationship Id="rId21" Type="http://schemas.openxmlformats.org/officeDocument/2006/relationships/hyperlink" Target="https://www.gov.uk/government/publications/care-act-statutory-guidance/care-and-support-statutory-guidance?utm_source=chatgpt.com" TargetMode="External"/><Relationship Id="rId42" Type="http://schemas.openxmlformats.org/officeDocument/2006/relationships/hyperlink" Target="https://www.gov.uk/government/publications/mental-capacity-act-code-of-practice?utm_source=chatgpt.com" TargetMode="External"/><Relationship Id="rId47" Type="http://schemas.openxmlformats.org/officeDocument/2006/relationships/hyperlink" Target="https://www.cqc.org.uk/guidance-regulation/providers/regulations-service-providers-and-managers/health-social-care-act/regulation-9?utm_source=chatgpt.com" TargetMode="External"/><Relationship Id="rId63" Type="http://schemas.openxmlformats.org/officeDocument/2006/relationships/hyperlink" Target="https://www.cqc.org.uk/guidance-regulation/providers/regulations-service-providers-and-managers/health-social-care-act/regulation-9?utm_source=chatgpt.com" TargetMode="External"/><Relationship Id="rId68" Type="http://schemas.openxmlformats.org/officeDocument/2006/relationships/hyperlink" Target="https://www.health.org.uk/resources-and-toolkits/quick-guides/person-centred-care-made-simple?utm_source=chatgpt.com" TargetMode="External"/><Relationship Id="rId84" Type="http://schemas.openxmlformats.org/officeDocument/2006/relationships/hyperlink" Target="https://www.nice.org.uk/guidance/ng97?utm_source=chatgpt.com" TargetMode="External"/><Relationship Id="rId89" Type="http://schemas.openxmlformats.org/officeDocument/2006/relationships/footer" Target="footer11.xml"/><Relationship Id="rId16" Type="http://schemas.openxmlformats.org/officeDocument/2006/relationships/hyperlink" Target="https://www.gov.uk/government/publications/care-act-statutory-guidance/care-and-support-statutory-guidance?utm_source=chatgpt.com" TargetMode="External"/><Relationship Id="rId11" Type="http://schemas.openxmlformats.org/officeDocument/2006/relationships/footer" Target="footer5.xml"/><Relationship Id="rId32" Type="http://schemas.openxmlformats.org/officeDocument/2006/relationships/hyperlink" Target="https://www.gov.uk/government/publications/mental-capacity-act-code-of-practice?utm_source=chatgpt.com" TargetMode="External"/><Relationship Id="rId37" Type="http://schemas.openxmlformats.org/officeDocument/2006/relationships/hyperlink" Target="https://www.gov.uk/government/publications/mental-capacity-act-code-of-practice?utm_source=chatgpt.com" TargetMode="External"/><Relationship Id="rId53" Type="http://schemas.openxmlformats.org/officeDocument/2006/relationships/hyperlink" Target="https://www.cqc.org.uk/guidance-regulation/providers/regulations-service-providers-and-managers/health-social-care-act/regulation-9?utm_source=chatgpt.com" TargetMode="External"/><Relationship Id="rId58" Type="http://schemas.openxmlformats.org/officeDocument/2006/relationships/hyperlink" Target="https://www.cqc.org.uk/guidance-regulation/providers/regulations-service-providers-and-managers/health-social-care-act/regulation-9?utm_source=chatgpt.com" TargetMode="External"/><Relationship Id="rId74" Type="http://schemas.openxmlformats.org/officeDocument/2006/relationships/hyperlink" Target="https://www.health.org.uk/resources-and-toolkits/quick-guides/person-centred-care-made-simple?utm_source=chatgpt.com" TargetMode="External"/><Relationship Id="rId79" Type="http://schemas.openxmlformats.org/officeDocument/2006/relationships/hyperlink" Target="https://www.health.org.uk/resources-and-toolkits/quick-guides/person-centred-care-made-simple?utm_source=chatgpt.com" TargetMode="External"/><Relationship Id="rId5" Type="http://schemas.openxmlformats.org/officeDocument/2006/relationships/footnotes" Target="footnotes.xml"/><Relationship Id="rId90" Type="http://schemas.openxmlformats.org/officeDocument/2006/relationships/footer" Target="footer12.xml"/><Relationship Id="rId14" Type="http://schemas.openxmlformats.org/officeDocument/2006/relationships/footer" Target="footer8.xml"/><Relationship Id="rId22" Type="http://schemas.openxmlformats.org/officeDocument/2006/relationships/hyperlink" Target="https://www.gov.uk/government/publications/care-act-statutory-guidance/care-and-support-statutory-guidance?utm_source=chatgpt.com" TargetMode="External"/><Relationship Id="rId27" Type="http://schemas.openxmlformats.org/officeDocument/2006/relationships/hyperlink" Target="https://www.gov.uk/government/publications/care-act-statutory-guidance/care-and-support-statutory-guidance?utm_source=chatgpt.com" TargetMode="External"/><Relationship Id="rId30" Type="http://schemas.openxmlformats.org/officeDocument/2006/relationships/hyperlink" Target="https://www.gov.uk/government/publications/care-act-statutory-guidance/care-and-support-statutory-guidance?utm_source=chatgpt.com" TargetMode="External"/><Relationship Id="rId35" Type="http://schemas.openxmlformats.org/officeDocument/2006/relationships/hyperlink" Target="https://www.gov.uk/government/publications/mental-capacity-act-code-of-practice?utm_source=chatgpt.com" TargetMode="External"/><Relationship Id="rId43" Type="http://schemas.openxmlformats.org/officeDocument/2006/relationships/hyperlink" Target="https://www.gov.uk/government/publications/mental-capacity-act-code-of-practice?utm_source=chatgpt.com" TargetMode="External"/><Relationship Id="rId48" Type="http://schemas.openxmlformats.org/officeDocument/2006/relationships/hyperlink" Target="https://www.cqc.org.uk/guidance-regulation/providers/regulations-service-providers-and-managers/health-social-care-act/regulation-9?utm_source=chatgpt.com" TargetMode="External"/><Relationship Id="rId56" Type="http://schemas.openxmlformats.org/officeDocument/2006/relationships/hyperlink" Target="https://www.cqc.org.uk/guidance-regulation/providers/regulations-service-providers-and-managers/health-social-care-act/regulation-9?utm_source=chatgpt.com" TargetMode="External"/><Relationship Id="rId64" Type="http://schemas.openxmlformats.org/officeDocument/2006/relationships/hyperlink" Target="https://www.cqc.org.uk/guidance-regulation/providers/regulations-service-providers-and-managers/health-social-care-act/regulation-9?utm_source=chatgpt.com" TargetMode="External"/><Relationship Id="rId69" Type="http://schemas.openxmlformats.org/officeDocument/2006/relationships/hyperlink" Target="https://www.health.org.uk/resources-and-toolkits/quick-guides/person-centred-care-made-simple?utm_source=chatgpt.com" TargetMode="External"/><Relationship Id="rId77" Type="http://schemas.openxmlformats.org/officeDocument/2006/relationships/hyperlink" Target="https://www.health.org.uk/resources-and-toolkits/quick-guides/person-centred-care-made-simple?utm_source=chatgpt.com" TargetMode="External"/><Relationship Id="rId8" Type="http://schemas.openxmlformats.org/officeDocument/2006/relationships/footer" Target="footer2.xml"/><Relationship Id="rId51" Type="http://schemas.openxmlformats.org/officeDocument/2006/relationships/hyperlink" Target="https://www.cqc.org.uk/guidance-regulation/providers/regulations-service-providers-and-managers/health-social-care-act/regulation-9?utm_source=chatgpt.com" TargetMode="External"/><Relationship Id="rId72" Type="http://schemas.openxmlformats.org/officeDocument/2006/relationships/hyperlink" Target="https://www.health.org.uk/resources-and-toolkits/quick-guides/person-centred-care-made-simple?utm_source=chatgpt.com" TargetMode="External"/><Relationship Id="rId80" Type="http://schemas.openxmlformats.org/officeDocument/2006/relationships/hyperlink" Target="https://www.health.org.uk/resources-and-toolkits/quick-guides/person-centred-care-made-simple?utm_source=chatgpt.com" TargetMode="External"/><Relationship Id="rId85" Type="http://schemas.openxmlformats.org/officeDocument/2006/relationships/hyperlink" Target="https://www.nice.org.uk/guidance/ng97?utm_source=chatgpt.com" TargetMode="External"/><Relationship Id="rId3" Type="http://schemas.openxmlformats.org/officeDocument/2006/relationships/settings" Target="settings.xml"/><Relationship Id="rId12" Type="http://schemas.openxmlformats.org/officeDocument/2006/relationships/footer" Target="footer6.xml"/><Relationship Id="rId17" Type="http://schemas.openxmlformats.org/officeDocument/2006/relationships/hyperlink" Target="https://www.gov.uk/government/publications/care-act-statutory-guidance/care-and-support-statutory-guidance?utm_source=chatgpt.com" TargetMode="External"/><Relationship Id="rId25" Type="http://schemas.openxmlformats.org/officeDocument/2006/relationships/hyperlink" Target="https://www.gov.uk/government/publications/care-act-statutory-guidance/care-and-support-statutory-guidance?utm_source=chatgpt.com" TargetMode="External"/><Relationship Id="rId33" Type="http://schemas.openxmlformats.org/officeDocument/2006/relationships/hyperlink" Target="https://www.gov.uk/government/publications/mental-capacity-act-code-of-practice?utm_source=chatgpt.com" TargetMode="External"/><Relationship Id="rId38" Type="http://schemas.openxmlformats.org/officeDocument/2006/relationships/hyperlink" Target="https://www.gov.uk/government/publications/mental-capacity-act-code-of-practice?utm_source=chatgpt.com" TargetMode="External"/><Relationship Id="rId46" Type="http://schemas.openxmlformats.org/officeDocument/2006/relationships/hyperlink" Target="https://www.cqc.org.uk/guidance-regulation/providers/regulations-service-providers-and-managers/health-social-care-act/regulation-9?utm_source=chatgpt.com" TargetMode="External"/><Relationship Id="rId59" Type="http://schemas.openxmlformats.org/officeDocument/2006/relationships/hyperlink" Target="https://www.cqc.org.uk/guidance-regulation/providers/regulations-service-providers-and-managers/health-social-care-act/regulation-9?utm_source=chatgpt.com" TargetMode="External"/><Relationship Id="rId67" Type="http://schemas.openxmlformats.org/officeDocument/2006/relationships/hyperlink" Target="https://www.health.org.uk/resources-and-toolkits/quick-guides/person-centred-care-made-simple?utm_source=chatgpt.com" TargetMode="External"/><Relationship Id="rId20" Type="http://schemas.openxmlformats.org/officeDocument/2006/relationships/hyperlink" Target="https://www.gov.uk/government/publications/care-act-statutory-guidance/care-and-support-statutory-guidance?utm_source=chatgpt.com" TargetMode="External"/><Relationship Id="rId41" Type="http://schemas.openxmlformats.org/officeDocument/2006/relationships/hyperlink" Target="https://www.gov.uk/government/publications/mental-capacity-act-code-of-practice?utm_source=chatgpt.com" TargetMode="External"/><Relationship Id="rId54" Type="http://schemas.openxmlformats.org/officeDocument/2006/relationships/hyperlink" Target="https://www.cqc.org.uk/guidance-regulation/providers/regulations-service-providers-and-managers/health-social-care-act/regulation-9?utm_source=chatgpt.com" TargetMode="External"/><Relationship Id="rId62" Type="http://schemas.openxmlformats.org/officeDocument/2006/relationships/hyperlink" Target="https://www.cqc.org.uk/guidance-regulation/providers/regulations-service-providers-and-managers/health-social-care-act/regulation-9?utm_source=chatgpt.com" TargetMode="External"/><Relationship Id="rId70" Type="http://schemas.openxmlformats.org/officeDocument/2006/relationships/hyperlink" Target="https://www.health.org.uk/resources-and-toolkits/quick-guides/person-centred-care-made-simple?utm_source=chatgpt.com" TargetMode="External"/><Relationship Id="rId75" Type="http://schemas.openxmlformats.org/officeDocument/2006/relationships/hyperlink" Target="https://www.health.org.uk/resources-and-toolkits/quick-guides/person-centred-care-made-simple?utm_source=chatgpt.com" TargetMode="External"/><Relationship Id="rId83" Type="http://schemas.openxmlformats.org/officeDocument/2006/relationships/hyperlink" Target="https://www.nice.org.uk/guidance/ng21?utm_source=chatgpt.com" TargetMode="External"/><Relationship Id="rId88" Type="http://schemas.openxmlformats.org/officeDocument/2006/relationships/footer" Target="footer10.xm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9.xml"/><Relationship Id="rId23" Type="http://schemas.openxmlformats.org/officeDocument/2006/relationships/hyperlink" Target="https://www.gov.uk/government/publications/care-act-statutory-guidance/care-and-support-statutory-guidance?utm_source=chatgpt.com" TargetMode="External"/><Relationship Id="rId28" Type="http://schemas.openxmlformats.org/officeDocument/2006/relationships/hyperlink" Target="https://www.gov.uk/government/publications/care-act-statutory-guidance/care-and-support-statutory-guidance?utm_source=chatgpt.com" TargetMode="External"/><Relationship Id="rId36" Type="http://schemas.openxmlformats.org/officeDocument/2006/relationships/hyperlink" Target="https://www.gov.uk/government/publications/mental-capacity-act-code-of-practice?utm_source=chatgpt.com" TargetMode="External"/><Relationship Id="rId49" Type="http://schemas.openxmlformats.org/officeDocument/2006/relationships/hyperlink" Target="https://www.cqc.org.uk/guidance-regulation/providers/regulations-service-providers-and-managers/health-social-care-act/regulation-9?utm_source=chatgpt.com" TargetMode="External"/><Relationship Id="rId57" Type="http://schemas.openxmlformats.org/officeDocument/2006/relationships/hyperlink" Target="https://www.cqc.org.uk/guidance-regulation/providers/regulations-service-providers-and-managers/health-social-care-act/regulation-9?utm_source=chatgpt.com" TargetMode="External"/><Relationship Id="rId10" Type="http://schemas.openxmlformats.org/officeDocument/2006/relationships/footer" Target="footer4.xml"/><Relationship Id="rId31" Type="http://schemas.openxmlformats.org/officeDocument/2006/relationships/hyperlink" Target="https://www.gov.uk/government/publications/care-act-statutory-guidance/care-and-support-statutory-guidance?utm_source=chatgpt.com" TargetMode="External"/><Relationship Id="rId44" Type="http://schemas.openxmlformats.org/officeDocument/2006/relationships/hyperlink" Target="https://www.legislation.gov.uk/ukpga/2010/15/contents?utm_source=chatgpt.com" TargetMode="External"/><Relationship Id="rId52" Type="http://schemas.openxmlformats.org/officeDocument/2006/relationships/hyperlink" Target="https://www.cqc.org.uk/guidance-regulation/providers/regulations-service-providers-and-managers/health-social-care-act/regulation-9?utm_source=chatgpt.com" TargetMode="External"/><Relationship Id="rId60" Type="http://schemas.openxmlformats.org/officeDocument/2006/relationships/hyperlink" Target="https://www.cqc.org.uk/guidance-regulation/providers/regulations-service-providers-and-managers/health-social-care-act/regulation-9?utm_source=chatgpt.com" TargetMode="External"/><Relationship Id="rId65" Type="http://schemas.openxmlformats.org/officeDocument/2006/relationships/hyperlink" Target="https://www.cqc.org.uk/guidance-regulation/providers/regulations-service-providers-and-managers/health-social-care-act/regulation-9?utm_source=chatgpt.com" TargetMode="External"/><Relationship Id="rId73" Type="http://schemas.openxmlformats.org/officeDocument/2006/relationships/hyperlink" Target="https://www.health.org.uk/resources-and-toolkits/quick-guides/person-centred-care-made-simple?utm_source=chatgpt.com" TargetMode="External"/><Relationship Id="rId78" Type="http://schemas.openxmlformats.org/officeDocument/2006/relationships/hyperlink" Target="https://www.health.org.uk/resources-and-toolkits/quick-guides/person-centred-care-made-simple?utm_source=chatgpt.com" TargetMode="External"/><Relationship Id="rId81" Type="http://schemas.openxmlformats.org/officeDocument/2006/relationships/hyperlink" Target="https://www.health.org.uk/resources-and-toolkits/quick-guides/person-centred-care-made-simple?utm_source=chatgpt.com" TargetMode="External"/><Relationship Id="rId86" Type="http://schemas.openxmlformats.org/officeDocument/2006/relationships/hyperlink" Target="https://www.nhs.uk/" TargetMode="Externa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footer" Target="footer7.xml"/><Relationship Id="rId18" Type="http://schemas.openxmlformats.org/officeDocument/2006/relationships/hyperlink" Target="https://www.gov.uk/government/publications/care-act-statutory-guidance/care-and-support-statutory-guidance?utm_source=chatgpt.com" TargetMode="External"/><Relationship Id="rId39" Type="http://schemas.openxmlformats.org/officeDocument/2006/relationships/hyperlink" Target="https://www.gov.uk/government/publications/mental-capacity-act-code-of-practice?utm_source=chatgpt.com" TargetMode="External"/><Relationship Id="rId34" Type="http://schemas.openxmlformats.org/officeDocument/2006/relationships/hyperlink" Target="https://www.gov.uk/government/publications/mental-capacity-act-code-of-practice?utm_source=chatgpt.com" TargetMode="External"/><Relationship Id="rId50" Type="http://schemas.openxmlformats.org/officeDocument/2006/relationships/hyperlink" Target="https://www.cqc.org.uk/guidance-regulation/providers/regulations-service-providers-and-managers/health-social-care-act/regulation-9?utm_source=chatgpt.com" TargetMode="External"/><Relationship Id="rId55" Type="http://schemas.openxmlformats.org/officeDocument/2006/relationships/hyperlink" Target="https://www.cqc.org.uk/guidance-regulation/providers/regulations-service-providers-and-managers/health-social-care-act/regulation-9?utm_source=chatgpt.com" TargetMode="External"/><Relationship Id="rId76" Type="http://schemas.openxmlformats.org/officeDocument/2006/relationships/hyperlink" Target="https://www.health.org.uk/resources-and-toolkits/quick-guides/person-centred-care-made-simple?utm_source=chatgpt.com" TargetMode="External"/><Relationship Id="rId7" Type="http://schemas.openxmlformats.org/officeDocument/2006/relationships/footer" Target="footer1.xml"/><Relationship Id="rId71" Type="http://schemas.openxmlformats.org/officeDocument/2006/relationships/hyperlink" Target="https://www.health.org.uk/resources-and-toolkits/quick-guides/person-centred-care-made-simple?utm_source=chatgpt.com"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www.gov.uk/government/publications/care-act-statutory-guidance/care-and-support-statutory-guidance?utm_source=chatgpt.com" TargetMode="External"/><Relationship Id="rId24" Type="http://schemas.openxmlformats.org/officeDocument/2006/relationships/hyperlink" Target="https://www.gov.uk/government/publications/care-act-statutory-guidance/care-and-support-statutory-guidance?utm_source=chatgpt.com" TargetMode="External"/><Relationship Id="rId40" Type="http://schemas.openxmlformats.org/officeDocument/2006/relationships/hyperlink" Target="https://www.gov.uk/government/publications/mental-capacity-act-code-of-practice?utm_source=chatgpt.com" TargetMode="External"/><Relationship Id="rId45" Type="http://schemas.openxmlformats.org/officeDocument/2006/relationships/hyperlink" Target="https://www.legislation.gov.uk/ukpga/2010/15/contents?utm_source=chatgpt.com" TargetMode="External"/><Relationship Id="rId66" Type="http://schemas.openxmlformats.org/officeDocument/2006/relationships/hyperlink" Target="https://www.health.org.uk/resources-and-toolkits/quick-guides/person-centred-care-made-simple?utm_source=chatgpt.com" TargetMode="External"/><Relationship Id="rId87" Type="http://schemas.openxmlformats.org/officeDocument/2006/relationships/hyperlink" Target="https://www.nhs.uk/" TargetMode="External"/><Relationship Id="rId61" Type="http://schemas.openxmlformats.org/officeDocument/2006/relationships/hyperlink" Target="https://www.cqc.org.uk/guidance-regulation/providers/regulations-service-providers-and-managers/health-social-care-act/regulation-9?utm_source=chatgpt.com" TargetMode="External"/><Relationship Id="rId82" Type="http://schemas.openxmlformats.org/officeDocument/2006/relationships/hyperlink" Target="https://www.nice.org.uk/guidance/ng21?utm_source=chatgpt.com" TargetMode="External"/><Relationship Id="rId19" Type="http://schemas.openxmlformats.org/officeDocument/2006/relationships/hyperlink" Target="https://www.gov.uk/government/publications/care-act-statutory-guidance/care-and-support-statutory-guidanc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4329</Words>
  <Characters>24677</Characters>
  <Application>Microsoft Office Word</Application>
  <DocSecurity>0</DocSecurity>
  <Lines>205</Lines>
  <Paragraphs>57</Paragraphs>
  <ScaleCrop>false</ScaleCrop>
  <Company/>
  <LinksUpToDate>false</LinksUpToDate>
  <CharactersWithSpaces>28949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3010</dc:creator>
  <cp:keywords/>
  <cp:lastModifiedBy>Yonathan Wondimu</cp:lastModifiedBy>
  <cp:revision>2</cp:revision>
  <dcterms:created xsi:type="dcterms:W3CDTF">2025-11-05T17:29:00Z</dcterms:created>
  <dcterms:modified xsi:type="dcterms:W3CDTF">2025-11-05T17:29:00Z</dcterms:modified>
</cp:coreProperties>
</file>