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72A1D">
      <w:pPr>
        <w:tabs>
          <w:tab w:val="left" w:pos="6540"/>
        </w:tabs>
        <w:spacing w:line="360" w:lineRule="auto"/>
        <w:rPr>
          <w:rFonts w:ascii="Arial" w:hAnsi="Arial" w:cs="Arial"/>
          <w:sz w:val="28"/>
          <w:szCs w:val="28"/>
        </w:rPr>
      </w:pPr>
    </w:p>
    <w:p w14:paraId="2F4F861B" w14:textId="5C7BFCC5" w:rsidR="00C558B0" w:rsidRPr="00C72A1D" w:rsidRDefault="00C558B0" w:rsidP="00C72A1D">
      <w:pPr>
        <w:spacing w:line="360" w:lineRule="auto"/>
        <w:rPr>
          <w:rFonts w:ascii="Arial" w:hAnsi="Arial" w:cs="Arial"/>
          <w:b/>
          <w:bCs/>
          <w:sz w:val="28"/>
          <w:szCs w:val="28"/>
          <w:lang w:val="nl-NL"/>
        </w:rPr>
      </w:pPr>
      <w:r w:rsidRPr="00C72A1D">
        <w:rPr>
          <w:rFonts w:ascii="Arial" w:hAnsi="Arial" w:cs="Arial"/>
          <w:b/>
          <w:bCs/>
          <w:sz w:val="28"/>
          <w:szCs w:val="28"/>
          <w:lang w:val="nl-NL"/>
        </w:rPr>
        <w:t>Student name:</w:t>
      </w:r>
      <w:r w:rsidR="0089264F" w:rsidRPr="00C72A1D">
        <w:rPr>
          <w:rFonts w:ascii="Arial" w:hAnsi="Arial" w:cs="Arial"/>
          <w:b/>
          <w:bCs/>
          <w:sz w:val="28"/>
          <w:szCs w:val="28"/>
          <w:lang w:val="nl-NL"/>
        </w:rPr>
        <w:t xml:space="preserve"> Natalja Golub</w:t>
      </w:r>
    </w:p>
    <w:p w14:paraId="18D88AE2" w14:textId="4C656E9A" w:rsidR="00C558B0" w:rsidRPr="00C72A1D" w:rsidRDefault="00C558B0" w:rsidP="00C72A1D">
      <w:pPr>
        <w:spacing w:line="360" w:lineRule="auto"/>
        <w:rPr>
          <w:rFonts w:ascii="Arial" w:hAnsi="Arial" w:cs="Arial"/>
          <w:b/>
          <w:bCs/>
          <w:sz w:val="28"/>
          <w:szCs w:val="28"/>
          <w:lang w:val="nl-NL"/>
        </w:rPr>
      </w:pPr>
      <w:r w:rsidRPr="00C72A1D">
        <w:rPr>
          <w:rFonts w:ascii="Arial" w:hAnsi="Arial" w:cs="Arial"/>
          <w:b/>
          <w:bCs/>
          <w:sz w:val="28"/>
          <w:szCs w:val="28"/>
          <w:lang w:val="nl-NL"/>
        </w:rPr>
        <w:t>Student ID:</w:t>
      </w:r>
      <w:r w:rsidR="0089264F" w:rsidRPr="00C72A1D">
        <w:rPr>
          <w:rFonts w:ascii="Arial" w:hAnsi="Arial" w:cs="Arial"/>
          <w:b/>
          <w:bCs/>
          <w:sz w:val="28"/>
          <w:szCs w:val="28"/>
          <w:lang w:val="nl-NL"/>
        </w:rPr>
        <w:t xml:space="preserve"> 2440433</w:t>
      </w:r>
    </w:p>
    <w:p w14:paraId="6A72850F" w14:textId="440064EC" w:rsidR="009A709A" w:rsidRPr="00C72A1D" w:rsidRDefault="00C558B0" w:rsidP="00C72A1D">
      <w:pPr>
        <w:spacing w:line="360" w:lineRule="auto"/>
        <w:rPr>
          <w:rFonts w:ascii="Arial" w:eastAsia="Times New Roman" w:hAnsi="Arial" w:cs="Arial"/>
          <w:b/>
          <w:bCs/>
          <w:color w:val="1D2125"/>
          <w:sz w:val="28"/>
          <w:szCs w:val="28"/>
          <w:lang w:eastAsia="en-GB"/>
        </w:rPr>
      </w:pPr>
      <w:r w:rsidRPr="00C72A1D">
        <w:rPr>
          <w:rFonts w:ascii="Arial" w:hAnsi="Arial" w:cs="Arial"/>
          <w:b/>
          <w:bCs/>
          <w:sz w:val="28"/>
          <w:szCs w:val="28"/>
          <w:lang w:val="nl-NL"/>
        </w:rPr>
        <w:t xml:space="preserve">Module name: </w:t>
      </w:r>
      <w:r w:rsidR="0089264F" w:rsidRPr="00C72A1D">
        <w:rPr>
          <w:rFonts w:ascii="Arial" w:eastAsia="Times New Roman" w:hAnsi="Arial" w:cs="Arial"/>
          <w:b/>
          <w:bCs/>
          <w:color w:val="1D2125"/>
          <w:sz w:val="28"/>
          <w:szCs w:val="28"/>
          <w:lang w:eastAsia="en-GB"/>
        </w:rPr>
        <w:t>Principles of Health and Social Care Practice</w:t>
      </w:r>
    </w:p>
    <w:p w14:paraId="1A13368F" w14:textId="2B4AAA43" w:rsidR="0089264F" w:rsidRPr="00C72A1D" w:rsidRDefault="00C558B0" w:rsidP="00C72A1D">
      <w:pPr>
        <w:spacing w:line="360" w:lineRule="auto"/>
        <w:rPr>
          <w:rFonts w:ascii="Arial" w:eastAsia="Times New Roman" w:hAnsi="Arial" w:cs="Arial"/>
          <w:b/>
          <w:bCs/>
          <w:color w:val="1D2125"/>
          <w:sz w:val="28"/>
          <w:szCs w:val="28"/>
          <w:lang w:eastAsia="en-GB"/>
        </w:rPr>
      </w:pPr>
      <w:r w:rsidRPr="00C72A1D">
        <w:rPr>
          <w:rFonts w:ascii="Arial" w:hAnsi="Arial" w:cs="Arial"/>
          <w:b/>
          <w:bCs/>
          <w:sz w:val="28"/>
          <w:szCs w:val="28"/>
        </w:rPr>
        <w:t>Module code:</w:t>
      </w:r>
      <w:r w:rsidR="0089264F" w:rsidRPr="00C72A1D">
        <w:rPr>
          <w:rFonts w:ascii="Arial" w:hAnsi="Arial" w:cs="Arial"/>
          <w:b/>
          <w:bCs/>
          <w:sz w:val="28"/>
          <w:szCs w:val="28"/>
        </w:rPr>
        <w:t xml:space="preserve"> </w:t>
      </w:r>
      <w:r w:rsidR="0089264F" w:rsidRPr="00C72A1D">
        <w:rPr>
          <w:rFonts w:ascii="Arial" w:eastAsia="Times New Roman" w:hAnsi="Arial" w:cs="Arial"/>
          <w:b/>
          <w:bCs/>
          <w:color w:val="1D2125"/>
          <w:sz w:val="28"/>
          <w:szCs w:val="28"/>
          <w:lang w:eastAsia="en-GB"/>
        </w:rPr>
        <w:t>BMHP5016</w:t>
      </w:r>
    </w:p>
    <w:p w14:paraId="7DB3261D" w14:textId="4EA0B3F1" w:rsidR="00C558B0" w:rsidRPr="00C72A1D" w:rsidRDefault="00FF1F10" w:rsidP="00C72A1D">
      <w:pPr>
        <w:spacing w:line="360" w:lineRule="auto"/>
        <w:rPr>
          <w:rFonts w:ascii="Arial" w:hAnsi="Arial" w:cs="Arial"/>
          <w:b/>
          <w:bCs/>
          <w:sz w:val="28"/>
          <w:szCs w:val="28"/>
        </w:rPr>
      </w:pPr>
      <w:r w:rsidRPr="00C72A1D">
        <w:rPr>
          <w:rFonts w:ascii="Arial" w:hAnsi="Arial" w:cs="Arial"/>
          <w:b/>
          <w:bCs/>
          <w:sz w:val="28"/>
          <w:szCs w:val="28"/>
        </w:rPr>
        <w:t xml:space="preserve">Component </w:t>
      </w:r>
      <w:proofErr w:type="gramStart"/>
      <w:r w:rsidRPr="00C72A1D">
        <w:rPr>
          <w:rFonts w:ascii="Arial" w:hAnsi="Arial" w:cs="Arial"/>
          <w:b/>
          <w:bCs/>
          <w:sz w:val="28"/>
          <w:szCs w:val="28"/>
        </w:rPr>
        <w:t>2 :</w:t>
      </w:r>
      <w:proofErr w:type="gramEnd"/>
      <w:r w:rsidR="00663DA3" w:rsidRPr="00C72A1D">
        <w:rPr>
          <w:rFonts w:ascii="Arial" w:hAnsi="Arial" w:cs="Arial"/>
          <w:b/>
          <w:bCs/>
          <w:sz w:val="28"/>
          <w:szCs w:val="28"/>
        </w:rPr>
        <w:t xml:space="preserve"> </w:t>
      </w:r>
      <w:r w:rsidRPr="00C72A1D">
        <w:rPr>
          <w:rFonts w:ascii="Arial" w:hAnsi="Arial" w:cs="Arial"/>
          <w:b/>
          <w:bCs/>
          <w:sz w:val="28"/>
          <w:szCs w:val="28"/>
        </w:rPr>
        <w:t>Written Assignment (Essay)</w:t>
      </w:r>
    </w:p>
    <w:p w14:paraId="3F1FD9A8" w14:textId="7EE29F0D" w:rsidR="004A5A64" w:rsidRPr="00C72A1D" w:rsidRDefault="00C558B0" w:rsidP="00C72A1D">
      <w:pPr>
        <w:spacing w:line="360" w:lineRule="auto"/>
        <w:rPr>
          <w:rFonts w:ascii="Arial" w:hAnsi="Arial" w:cs="Arial"/>
          <w:b/>
          <w:bCs/>
          <w:color w:val="1D2125"/>
          <w:sz w:val="28"/>
          <w:szCs w:val="28"/>
          <w:shd w:val="clear" w:color="auto" w:fill="FFFFFF"/>
        </w:rPr>
      </w:pPr>
      <w:r w:rsidRPr="00C72A1D">
        <w:rPr>
          <w:rFonts w:ascii="Arial" w:hAnsi="Arial" w:cs="Arial"/>
          <w:b/>
          <w:bCs/>
          <w:sz w:val="28"/>
          <w:szCs w:val="28"/>
        </w:rPr>
        <w:t>Lecturer name:</w:t>
      </w:r>
      <w:r w:rsidR="0089264F" w:rsidRPr="00C72A1D">
        <w:rPr>
          <w:rFonts w:ascii="Arial" w:hAnsi="Arial" w:cs="Arial"/>
          <w:b/>
          <w:bCs/>
          <w:sz w:val="28"/>
          <w:szCs w:val="28"/>
        </w:rPr>
        <w:t xml:space="preserve"> </w:t>
      </w:r>
      <w:r w:rsidR="0089264F" w:rsidRPr="00C72A1D">
        <w:rPr>
          <w:rFonts w:ascii="Arial" w:hAnsi="Arial" w:cs="Arial"/>
          <w:b/>
          <w:bCs/>
          <w:color w:val="1D2125"/>
          <w:sz w:val="28"/>
          <w:szCs w:val="28"/>
          <w:shd w:val="clear" w:color="auto" w:fill="FFFFFF"/>
        </w:rPr>
        <w:t>Lou Well</w:t>
      </w:r>
    </w:p>
    <w:p w14:paraId="6EDA35B8" w14:textId="77777777" w:rsidR="005272F9" w:rsidRDefault="005272F9" w:rsidP="009A709A">
      <w:pPr>
        <w:tabs>
          <w:tab w:val="left" w:pos="6540"/>
        </w:tabs>
        <w:spacing w:line="360" w:lineRule="auto"/>
        <w:rPr>
          <w:rFonts w:ascii="Segoe UI" w:hAnsi="Segoe UI" w:cs="Segoe UI"/>
          <w:b/>
          <w:bCs/>
          <w:color w:val="1D2125"/>
          <w:sz w:val="23"/>
          <w:szCs w:val="23"/>
          <w:shd w:val="clear" w:color="auto" w:fill="FFFFFF"/>
        </w:rPr>
      </w:pPr>
    </w:p>
    <w:p w14:paraId="2CC7BA09" w14:textId="77777777" w:rsidR="005272F9" w:rsidRDefault="005272F9" w:rsidP="009A709A">
      <w:pPr>
        <w:tabs>
          <w:tab w:val="left" w:pos="6540"/>
        </w:tabs>
        <w:spacing w:line="360" w:lineRule="auto"/>
        <w:rPr>
          <w:rFonts w:ascii="Segoe UI" w:hAnsi="Segoe UI" w:cs="Segoe UI"/>
          <w:b/>
          <w:bCs/>
          <w:color w:val="1D2125"/>
          <w:sz w:val="23"/>
          <w:szCs w:val="23"/>
          <w:shd w:val="clear" w:color="auto" w:fill="FFFFFF"/>
        </w:rPr>
      </w:pPr>
    </w:p>
    <w:p w14:paraId="6B8A5063" w14:textId="77777777" w:rsidR="005272F9" w:rsidRDefault="005272F9" w:rsidP="009A709A">
      <w:pPr>
        <w:tabs>
          <w:tab w:val="left" w:pos="6540"/>
        </w:tabs>
        <w:spacing w:line="360" w:lineRule="auto"/>
        <w:rPr>
          <w:rFonts w:ascii="Segoe UI" w:hAnsi="Segoe UI" w:cs="Segoe UI"/>
          <w:b/>
          <w:bCs/>
          <w:color w:val="1D2125"/>
          <w:sz w:val="23"/>
          <w:szCs w:val="23"/>
          <w:shd w:val="clear" w:color="auto" w:fill="FFFFFF"/>
        </w:rPr>
      </w:pPr>
    </w:p>
    <w:p w14:paraId="51DC39F5" w14:textId="77777777" w:rsidR="005272F9" w:rsidRDefault="005272F9" w:rsidP="009A709A">
      <w:pPr>
        <w:tabs>
          <w:tab w:val="left" w:pos="6540"/>
        </w:tabs>
        <w:spacing w:line="360" w:lineRule="auto"/>
        <w:rPr>
          <w:rFonts w:ascii="Segoe UI" w:hAnsi="Segoe UI" w:cs="Segoe UI"/>
          <w:b/>
          <w:bCs/>
          <w:color w:val="1D2125"/>
          <w:sz w:val="23"/>
          <w:szCs w:val="23"/>
          <w:shd w:val="clear" w:color="auto" w:fill="FFFFFF"/>
        </w:rPr>
      </w:pPr>
    </w:p>
    <w:p w14:paraId="3B9D54DB" w14:textId="77777777" w:rsidR="005272F9" w:rsidRDefault="005272F9" w:rsidP="009A709A">
      <w:pPr>
        <w:tabs>
          <w:tab w:val="left" w:pos="6540"/>
        </w:tabs>
        <w:spacing w:line="360" w:lineRule="auto"/>
        <w:rPr>
          <w:rFonts w:ascii="Segoe UI" w:hAnsi="Segoe UI" w:cs="Segoe UI"/>
          <w:b/>
          <w:bCs/>
          <w:color w:val="1D2125"/>
          <w:sz w:val="23"/>
          <w:szCs w:val="23"/>
          <w:shd w:val="clear" w:color="auto" w:fill="FFFFFF"/>
        </w:rPr>
      </w:pPr>
    </w:p>
    <w:p w14:paraId="62611C14" w14:textId="77777777" w:rsidR="005272F9" w:rsidRDefault="005272F9" w:rsidP="009A709A">
      <w:pPr>
        <w:tabs>
          <w:tab w:val="left" w:pos="6540"/>
        </w:tabs>
        <w:spacing w:line="360" w:lineRule="auto"/>
        <w:rPr>
          <w:rFonts w:ascii="Segoe UI" w:hAnsi="Segoe UI" w:cs="Segoe UI"/>
          <w:b/>
          <w:bCs/>
          <w:color w:val="1D2125"/>
          <w:sz w:val="23"/>
          <w:szCs w:val="23"/>
          <w:shd w:val="clear" w:color="auto" w:fill="FFFFFF"/>
        </w:rPr>
      </w:pPr>
    </w:p>
    <w:p w14:paraId="23321216" w14:textId="77777777" w:rsidR="005272F9" w:rsidRDefault="005272F9" w:rsidP="009A709A">
      <w:pPr>
        <w:tabs>
          <w:tab w:val="left" w:pos="6540"/>
        </w:tabs>
        <w:spacing w:line="360" w:lineRule="auto"/>
        <w:rPr>
          <w:rFonts w:ascii="Segoe UI" w:hAnsi="Segoe UI" w:cs="Segoe UI"/>
          <w:b/>
          <w:bCs/>
          <w:color w:val="1D2125"/>
          <w:sz w:val="23"/>
          <w:szCs w:val="23"/>
          <w:shd w:val="clear" w:color="auto" w:fill="FFFFFF"/>
        </w:rPr>
      </w:pPr>
    </w:p>
    <w:p w14:paraId="5C1CBBD1" w14:textId="77777777" w:rsidR="005272F9" w:rsidRDefault="005272F9" w:rsidP="009A709A">
      <w:pPr>
        <w:tabs>
          <w:tab w:val="left" w:pos="6540"/>
        </w:tabs>
        <w:spacing w:line="360" w:lineRule="auto"/>
        <w:rPr>
          <w:rFonts w:ascii="Segoe UI" w:hAnsi="Segoe UI" w:cs="Segoe UI"/>
          <w:b/>
          <w:bCs/>
          <w:color w:val="1D2125"/>
          <w:sz w:val="23"/>
          <w:szCs w:val="23"/>
          <w:shd w:val="clear" w:color="auto" w:fill="FFFFFF"/>
        </w:rPr>
      </w:pPr>
    </w:p>
    <w:p w14:paraId="1A999050" w14:textId="77777777" w:rsidR="005272F9" w:rsidRDefault="005272F9" w:rsidP="009A709A">
      <w:pPr>
        <w:tabs>
          <w:tab w:val="left" w:pos="6540"/>
        </w:tabs>
        <w:spacing w:line="360" w:lineRule="auto"/>
        <w:rPr>
          <w:rFonts w:ascii="Segoe UI" w:hAnsi="Segoe UI" w:cs="Segoe UI"/>
          <w:b/>
          <w:bCs/>
          <w:color w:val="1D2125"/>
          <w:sz w:val="23"/>
          <w:szCs w:val="23"/>
          <w:shd w:val="clear" w:color="auto" w:fill="FFFFFF"/>
        </w:rPr>
      </w:pPr>
    </w:p>
    <w:p w14:paraId="4F0760B6" w14:textId="77777777" w:rsidR="005272F9" w:rsidRDefault="005272F9" w:rsidP="009A709A">
      <w:pPr>
        <w:tabs>
          <w:tab w:val="left" w:pos="6540"/>
        </w:tabs>
        <w:spacing w:line="360" w:lineRule="auto"/>
        <w:rPr>
          <w:rFonts w:ascii="Segoe UI" w:hAnsi="Segoe UI" w:cs="Segoe UI"/>
          <w:b/>
          <w:bCs/>
          <w:color w:val="1D2125"/>
          <w:sz w:val="23"/>
          <w:szCs w:val="23"/>
          <w:shd w:val="clear" w:color="auto" w:fill="FFFFFF"/>
        </w:rPr>
      </w:pPr>
    </w:p>
    <w:p w14:paraId="0A8ADCE1" w14:textId="77777777" w:rsidR="005272F9" w:rsidRDefault="005272F9" w:rsidP="009A709A">
      <w:pPr>
        <w:tabs>
          <w:tab w:val="left" w:pos="6540"/>
        </w:tabs>
        <w:spacing w:line="360" w:lineRule="auto"/>
        <w:rPr>
          <w:rFonts w:ascii="Segoe UI" w:hAnsi="Segoe UI" w:cs="Segoe UI"/>
          <w:b/>
          <w:bCs/>
          <w:color w:val="1D2125"/>
          <w:sz w:val="23"/>
          <w:szCs w:val="23"/>
          <w:shd w:val="clear" w:color="auto" w:fill="FFFFFF"/>
        </w:rPr>
      </w:pPr>
    </w:p>
    <w:p w14:paraId="5F171443" w14:textId="77777777" w:rsidR="005272F9" w:rsidRDefault="005272F9" w:rsidP="009A709A">
      <w:pPr>
        <w:tabs>
          <w:tab w:val="left" w:pos="6540"/>
        </w:tabs>
        <w:spacing w:line="360" w:lineRule="auto"/>
        <w:rPr>
          <w:rFonts w:ascii="Segoe UI" w:hAnsi="Segoe UI" w:cs="Segoe UI"/>
          <w:color w:val="1D2125"/>
          <w:sz w:val="23"/>
          <w:szCs w:val="23"/>
          <w:shd w:val="clear" w:color="auto" w:fill="FFFFFF"/>
        </w:rPr>
      </w:pPr>
    </w:p>
    <w:p w14:paraId="38410F01" w14:textId="4E7F3BB8" w:rsidR="00663DA3" w:rsidRDefault="00663DA3" w:rsidP="005272F9">
      <w:pPr>
        <w:rPr>
          <w:rFonts w:ascii="Arial" w:hAnsi="Arial" w:cs="Arial"/>
          <w:b/>
          <w:bCs/>
          <w:sz w:val="22"/>
          <w:shd w:val="clear" w:color="auto" w:fill="FFFFFF"/>
        </w:rPr>
      </w:pPr>
      <w:r w:rsidRPr="005272F9">
        <w:rPr>
          <w:rFonts w:ascii="Arial" w:hAnsi="Arial" w:cs="Arial"/>
          <w:b/>
          <w:bCs/>
          <w:sz w:val="22"/>
          <w:shd w:val="clear" w:color="auto" w:fill="FFFFFF"/>
        </w:rPr>
        <w:lastRenderedPageBreak/>
        <w:t>A Critical Discussion of the Social Model of Disability in Health and Social Care</w:t>
      </w:r>
    </w:p>
    <w:p w14:paraId="009535B4" w14:textId="77777777" w:rsidR="00C72A1D" w:rsidRPr="005272F9" w:rsidRDefault="00C72A1D" w:rsidP="005272F9">
      <w:pPr>
        <w:rPr>
          <w:rFonts w:ascii="Arial" w:eastAsia="Times New Roman" w:hAnsi="Arial" w:cs="Arial"/>
          <w:b/>
          <w:bCs/>
          <w:color w:val="222222"/>
          <w:kern w:val="36"/>
          <w:sz w:val="22"/>
          <w:lang w:eastAsia="en-GB"/>
        </w:rPr>
      </w:pPr>
    </w:p>
    <w:p w14:paraId="3916D9C3"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This essay critically discusses the social model of disability and its importance for health and social care. The model changes the way disability is understood. Instead of viewing disability only as an individual medical problem, it argues that many of the difficulties experienced by disabled people are created by social, physical, organisational and attitudinal barriers. These barriers may include inaccessible buildings, unsuitable transport, poor communication systems, negative assumptions, discrimination and services that do not respect individual choice.</w:t>
      </w:r>
    </w:p>
    <w:p w14:paraId="516BC26F" w14:textId="78710C0E"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The model is important because health and social care services should not focus only on diagnosis, impairment or treatment. They should also consider the person’s rights, goals, strengths, relationships and ability to participate in society. In this way, the social model is closely connected to person-centred care, equality, dignity, independence and empowerment. This essay outlines the development of the model, considers major criticisms and responses, examines its application in UK health and social care policy and practice, identifies implementation problems and presents recommendations.</w:t>
      </w:r>
    </w:p>
    <w:p w14:paraId="2E0EEF1F"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The social model developed as a challenge to the traditional medical model of disability. The medical model usually understands disability as the result of an individual’s impairment, illness or condition. Its main focus is therefore diagnosis, treatment, rehabilitation and professional expertise. This approach can be valuable because many disabled people need medication, therapy, surgery, equipment or clinical monitoring. However, it can also be limited because it may present the person as passive, dependent or in need of being “fixed” (Oliver, 1990). It may also give professionals greater authority than the disabled person and reduce attention to the individual’s own experience and choices.</w:t>
      </w:r>
    </w:p>
    <w:p w14:paraId="0DF84717"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The social model emerged from the disability rights movement in the United Kingdom, particularly during the 1970s and 1980s. The Union of the Physically Impaired Against Segregation argued that people are disabled not simply by their impairments, but by the way society is organised (UPIAS, 1976). Mike Oliver later developed and popularised the term “social model of disability” in his work on disability and social work (Oliver, 1983). This was a major shift because disability began to be understood as a social, political and human-rights issue rather than only as a personal tragedy or medical condition.</w:t>
      </w:r>
    </w:p>
    <w:p w14:paraId="2405D661" w14:textId="77777777" w:rsid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 xml:space="preserve">A central feature of the model is the distinction between impairment and disability. Impairment refers to a physical, sensory, intellectual or mental health condition. </w:t>
      </w:r>
    </w:p>
    <w:p w14:paraId="08CBF422" w14:textId="23E85B5D"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lastRenderedPageBreak/>
        <w:t>Disability refers to the restrictions created when society does not accommodate people with impairments. For example, a wheelchair user is not excluded from a building because of the wheelchair itself, but because the building has steps, narrow doors or no lift. Similarly, a Deaf person may be excluded from healthcare when no British Sign Language interpreter is available, while a person with a learning disability may be disadvantaged when information is only provided in complex written language.</w:t>
      </w:r>
    </w:p>
    <w:p w14:paraId="1361675D"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This distinction challenged the idea that disabled people must change in order to fit society. Instead, it placed responsibility on society and organisations to remove barriers. The model also supported the principle of “nothing about us without us”, meaning that disabled people should be involved in decisions that affect their lives. This is particularly relevant to person-centred care because good support should be planned with the person rather than imposed on them.</w:t>
      </w:r>
    </w:p>
    <w:p w14:paraId="1AC7184E"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The model has nevertheless been criticised. One important criticism is that it can underestimate the direct experience of impairment. Pain, fatigue, breathlessness, anxiety, depression, fluctuating conditions and progressive illness can affect daily life even when social barriers are reduced (Shakespeare, 2013). For example, an accessible workplace may not remove severe pain or exhaustion. A service that focuses only on barriers may therefore fail to respond adequately to medical or emotional needs.</w:t>
      </w:r>
    </w:p>
    <w:p w14:paraId="62FC20AE"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A second criticism is that the model may present the medical and social approaches as complete opposites. In practice, many disabled people require both appropriate medical care and the removal of social barriers. A person may need medication, physiotherapy or specialist equipment while also needing accessible transport, flexible appointments and support to remain socially included. Therefore, the strongest response to criticism is not to reject the social model, but to use it within a balanced and holistic approach (Barnes and Mercer, 2010; Thomas, 2007).</w:t>
      </w:r>
    </w:p>
    <w:p w14:paraId="7E5FD613" w14:textId="6F8F6F5A"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A further difficulty is implementation. Removing barriers may require funding, staff training, accessible buildings, inclusive technology and political commitment. Organisations may accept the language of the social model while continuing to operate in ways that are rigid or inaccessible. This shows that the model is influential, but its success depends on practical action and accountability.</w:t>
      </w:r>
    </w:p>
    <w:p w14:paraId="3DA4A3FE"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The social model has had a significant influence on UK health and social care policy and practice. Its principles can be seen in equality law, reasonable adjustments, accessible information, personalisation, independent living and person-centred care.</w:t>
      </w:r>
    </w:p>
    <w:p w14:paraId="7034224F"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lastRenderedPageBreak/>
        <w:t>The Equality Act 2010 is particularly important because it protects disabled people from discrimination and places a duty on organisations to make reasonable adjustments. In health and social care, these adjustments may include ramps, lifts, adapted equipment, longer appointment times, accessible websites, easy-read information, large-print letters, interpreters or alternative methods of communication. This reflects the social model because it requires services to adapt rather than expecting the individual to manage an inaccessible system.</w:t>
      </w:r>
    </w:p>
    <w:p w14:paraId="1B152524"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The Accessible Information Standard also reflects the model by requiring NHS and publicly funded adult social care services to identify, record, share and meet people’s communication and information needs. Communication barriers can prevent people from understanding treatment, giving informed consent, attending appointments or making decisions about care. For example, a Deaf person may require a British Sign Language interpreter, a visually impaired person may need audio or large-print information and a person with a learning disability may need easy-read materials. Without these adjustments, the service itself becomes disabling.</w:t>
      </w:r>
    </w:p>
    <w:p w14:paraId="153E940C"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The social model is also closely linked to person-centred care. Person-centred care recognises the individual as a person with strengths, values, preferences and rights. Care plans should therefore include what matters to the person, what they can do independently, what support they want, what barriers they face and what outcomes they hope to achieve. A disabled adult receiving home care may want support that enables them to remain at home, maintain relationships, attend community activities and make daily choices. This is different from task-based care that focuses only on washing, dressing or medication.</w:t>
      </w:r>
    </w:p>
    <w:p w14:paraId="1CC24C28"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The Care Act 2014 supports this approach by placing wellbeing, prevention and individual outcomes at the centre of adult social care. It encourages attention to dignity, control over day-to-day life, relationships, participation in the community and suitable living arrangements. The Act therefore reflects the social model by recognising that quality of life depends not only on physical care, but also on inclusion, choice and control.</w:t>
      </w:r>
    </w:p>
    <w:p w14:paraId="64F04C0F"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The model also supports independent living. Independent living does not necessarily mean completing every task without help. It means having choice, control and appropriate support to live in the way the person chooses. Direct payments, personal budgets, personal assistants, home adaptations and community support can all promote independence. These arrangements may reduce unnecessary institutionalisation and enable people to remain active members of society.</w:t>
      </w:r>
    </w:p>
    <w:p w14:paraId="71A2B7C2"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lastRenderedPageBreak/>
        <w:t>In residential care, the social model can help staff avoid institutional practices. Residents should not lose their rights because they live in a care home. They should still be able to choose their clothing, food, routines, activities, visitors and level of privacy. In hospitals, the model encourages staff to consider communication, dignity, consent and physical access. A disabled person should not be described as “difficult” simply because they need more time, an interpreter or adapted equipment.</w:t>
      </w:r>
    </w:p>
    <w:p w14:paraId="0A70854A"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The model is also useful in safeguarding. Disabled people may be at greater risk because of isolation, dependence on others, poverty, inaccessible services or communication barriers. A social-model approach encourages professionals to examine the person’s environment and support network. For example, missed appointments may not show that a person is “non-compliant”. The real cause may be inaccessible transport, confusing letters or a telephone-only booking system.</w:t>
      </w:r>
    </w:p>
    <w:p w14:paraId="19B62C72"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However, major problems remain. One is lack of resources. Staff shortages, limited budgets and time pressure can make it difficult to listen properly, review care plans or arrange adjustments. Older buildings may be expensive to adapt, while local community services may be limited. As a result, person-centred language may appear in policy even when practice remains rushed or inflexible.</w:t>
      </w:r>
    </w:p>
    <w:p w14:paraId="7CD3CC9B"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Professional attitudes are another barrier. Some workers may continue to use a paternalistic approach and assume that professionals know best. They may make decisions for people rather than with them. Although doing everything for a disabled person may appear helpful, it can reduce confidence, choice and independence. Staff should instead identify what the person can do and provide only the support that is genuinely needed.</w:t>
      </w:r>
    </w:p>
    <w:p w14:paraId="68E712B3" w14:textId="340193DA"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There can also be a gap between policy and lived experience. Legislation may promise equality and inclusion, but disabled people may still face long waits, inaccessible communication, poor transport or limited choice. This demonstrates that policies are not sufficient by themselves. Services must be monitored, properly funded and held accountable for outcomes.</w:t>
      </w:r>
    </w:p>
    <w:p w14:paraId="03C558D0"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Several measures could improve the application of the social model in health and social care. First, staff should receive regular training on disability rights, reasonable adjustments, inclusive communication and person-centred practice. Training should use real examples and, where possible, be designed and delivered with disabled people. This would help staff understand barriers from the perspective of people who use services.</w:t>
      </w:r>
    </w:p>
    <w:p w14:paraId="44ECD9BC"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lastRenderedPageBreak/>
        <w:t>Second, care planning should always involve the person and, where appropriate, their family, advocate or chosen representative. Professionals should ask what matters to the individual, what barriers they face and what outcomes they want. Care plans should be reviewed regularly because needs, health conditions and preferences may change.</w:t>
      </w:r>
    </w:p>
    <w:p w14:paraId="4D69E7A6"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Third, services should improve physical, digital and communication accessibility. Buildings, websites, forms, appointment systems and telephone services should all be designed inclusively. Information should be available in easy-read, large print, Braille, audio, email or British Sign Language where required. Accessibility should be planned from the beginning rather than added only after a problem occurs.</w:t>
      </w:r>
    </w:p>
    <w:p w14:paraId="72E8A9C9"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Fourth, disabled people should be involved in policy development, service design and evaluation. Co-production can identify problems that professionals may overlook and can make services more respectful and effective.</w:t>
      </w:r>
    </w:p>
    <w:p w14:paraId="62C68618"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Fifth, health and social care services need adequate funding and staffing. Resources are required for interpreters, adaptations, advocacy, community support, training and sufficient staff time. Without these resources, person-centred care risks becoming only an aspiration.</w:t>
      </w:r>
    </w:p>
    <w:p w14:paraId="7BB7C9E4" w14:textId="51D48FD8"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Finally, services should use a balanced and holistic approach. The social model is essential for identifying and removing barriers, but it should not lead professionals to ignore pain, illness, treatment or emotional wellbeing. Good practice should combine appropriate medical support with social inclusion, rights, safeguarding and personal choice.</w:t>
      </w:r>
    </w:p>
    <w:p w14:paraId="54C92DEE"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The social model of disability is an important concept for health and social care because it challenges the view that disability is only an individual medical problem. It shows that many difficulties experienced by disabled people are created or increased by social, physical, organisational and attitudinal barriers. The model has influenced equality law, reasonable adjustments, accessible information, independent living and person-centred care.</w:t>
      </w:r>
    </w:p>
    <w:p w14:paraId="44F3F846" w14:textId="77777777" w:rsidR="00FF1F10" w:rsidRPr="005272F9"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However, the model also has limitations. It may underestimate the direct effects of pain, illness and fluctuating conditions, and it can be difficult to implement where services lack funding, staff, training or accessible facilities. Therefore, the model is most effective when used as part of a balanced and holistic approach.</w:t>
      </w:r>
    </w:p>
    <w:p w14:paraId="5E887616" w14:textId="77777777" w:rsidR="00FF1F10"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5272F9">
        <w:rPr>
          <w:rFonts w:ascii="Arial" w:eastAsia="Times New Roman" w:hAnsi="Arial" w:cs="Arial"/>
          <w:color w:val="222222"/>
          <w:sz w:val="22"/>
          <w:lang w:eastAsia="en-GB"/>
        </w:rPr>
        <w:t xml:space="preserve">Health and social care services should remove barriers, involve disabled people in decisions, provide reasonable adjustments and respect individual choice. At the same time, </w:t>
      </w:r>
      <w:r w:rsidRPr="005272F9">
        <w:rPr>
          <w:rFonts w:ascii="Arial" w:eastAsia="Times New Roman" w:hAnsi="Arial" w:cs="Arial"/>
          <w:color w:val="222222"/>
          <w:sz w:val="22"/>
          <w:lang w:eastAsia="en-GB"/>
        </w:rPr>
        <w:lastRenderedPageBreak/>
        <w:t>they should respond appropriately to medical, emotional and practical needs. Applying the model in this way can promote greater dignity, independence, equality and control.</w:t>
      </w:r>
    </w:p>
    <w:p w14:paraId="132D6449" w14:textId="77777777" w:rsidR="00C72A1D" w:rsidRDefault="00C72A1D"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p>
    <w:p w14:paraId="221F6710" w14:textId="77777777" w:rsidR="00C72A1D" w:rsidRPr="005272F9" w:rsidRDefault="00C72A1D"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p>
    <w:p w14:paraId="34270FF8" w14:textId="77777777" w:rsidR="00FF1F10" w:rsidRPr="00C72A1D" w:rsidRDefault="00FF1F10" w:rsidP="005272F9">
      <w:pPr>
        <w:rPr>
          <w:rFonts w:ascii="Arial" w:hAnsi="Arial" w:cs="Arial"/>
          <w:b/>
          <w:bCs/>
          <w:sz w:val="22"/>
          <w:lang w:eastAsia="en-GB"/>
        </w:rPr>
      </w:pPr>
      <w:r w:rsidRPr="00C72A1D">
        <w:rPr>
          <w:rFonts w:ascii="Arial" w:hAnsi="Arial" w:cs="Arial"/>
          <w:b/>
          <w:bCs/>
          <w:sz w:val="22"/>
          <w:lang w:eastAsia="en-GB"/>
        </w:rPr>
        <w:t>References</w:t>
      </w:r>
    </w:p>
    <w:p w14:paraId="599C7F19" w14:textId="77777777" w:rsidR="00FF1F10" w:rsidRPr="00C72A1D"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C72A1D">
        <w:rPr>
          <w:rFonts w:ascii="Arial" w:eastAsia="Times New Roman" w:hAnsi="Arial" w:cs="Arial"/>
          <w:color w:val="222222"/>
          <w:sz w:val="22"/>
          <w:lang w:eastAsia="en-GB"/>
        </w:rPr>
        <w:t>Barnes, C. and Mercer, G. (2010) </w:t>
      </w:r>
      <w:r w:rsidRPr="00C72A1D">
        <w:rPr>
          <w:rFonts w:ascii="Arial" w:eastAsia="Times New Roman" w:hAnsi="Arial" w:cs="Arial"/>
          <w:i/>
          <w:iCs/>
          <w:color w:val="222222"/>
          <w:sz w:val="22"/>
          <w:lang w:eastAsia="en-GB"/>
        </w:rPr>
        <w:t>Exploring Disability</w:t>
      </w:r>
      <w:r w:rsidRPr="00C72A1D">
        <w:rPr>
          <w:rFonts w:ascii="Arial" w:eastAsia="Times New Roman" w:hAnsi="Arial" w:cs="Arial"/>
          <w:color w:val="222222"/>
          <w:sz w:val="22"/>
          <w:lang w:eastAsia="en-GB"/>
        </w:rPr>
        <w:t xml:space="preserve">. 2nd </w:t>
      </w:r>
      <w:proofErr w:type="spellStart"/>
      <w:r w:rsidRPr="00C72A1D">
        <w:rPr>
          <w:rFonts w:ascii="Arial" w:eastAsia="Times New Roman" w:hAnsi="Arial" w:cs="Arial"/>
          <w:color w:val="222222"/>
          <w:sz w:val="22"/>
          <w:lang w:eastAsia="en-GB"/>
        </w:rPr>
        <w:t>edn</w:t>
      </w:r>
      <w:proofErr w:type="spellEnd"/>
      <w:r w:rsidRPr="00C72A1D">
        <w:rPr>
          <w:rFonts w:ascii="Arial" w:eastAsia="Times New Roman" w:hAnsi="Arial" w:cs="Arial"/>
          <w:color w:val="222222"/>
          <w:sz w:val="22"/>
          <w:lang w:eastAsia="en-GB"/>
        </w:rPr>
        <w:t>. Cambridge: Polity Press.</w:t>
      </w:r>
    </w:p>
    <w:p w14:paraId="63C4D266" w14:textId="77777777" w:rsidR="00FF1F10" w:rsidRPr="00C72A1D"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C72A1D">
        <w:rPr>
          <w:rFonts w:ascii="Arial" w:eastAsia="Times New Roman" w:hAnsi="Arial" w:cs="Arial"/>
          <w:color w:val="222222"/>
          <w:sz w:val="22"/>
          <w:lang w:eastAsia="en-GB"/>
        </w:rPr>
        <w:t>Care Act 2014, c.23. London: The Stationery Office.</w:t>
      </w:r>
    </w:p>
    <w:p w14:paraId="10C8779D" w14:textId="77777777" w:rsidR="00FF1F10" w:rsidRPr="00C72A1D"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C72A1D">
        <w:rPr>
          <w:rFonts w:ascii="Arial" w:eastAsia="Times New Roman" w:hAnsi="Arial" w:cs="Arial"/>
          <w:color w:val="222222"/>
          <w:sz w:val="22"/>
          <w:lang w:eastAsia="en-GB"/>
        </w:rPr>
        <w:t>Equality Act 2010, c.15. London: The Stationery Office.</w:t>
      </w:r>
    </w:p>
    <w:p w14:paraId="75A16C5E" w14:textId="77777777" w:rsidR="00FF1F10" w:rsidRPr="00C72A1D"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C72A1D">
        <w:rPr>
          <w:rFonts w:ascii="Arial" w:eastAsia="Times New Roman" w:hAnsi="Arial" w:cs="Arial"/>
          <w:color w:val="222222"/>
          <w:sz w:val="22"/>
          <w:lang w:eastAsia="en-GB"/>
        </w:rPr>
        <w:t>NHS England (n.d.) </w:t>
      </w:r>
      <w:r w:rsidRPr="00C72A1D">
        <w:rPr>
          <w:rFonts w:ascii="Arial" w:eastAsia="Times New Roman" w:hAnsi="Arial" w:cs="Arial"/>
          <w:i/>
          <w:iCs/>
          <w:color w:val="222222"/>
          <w:sz w:val="22"/>
          <w:lang w:eastAsia="en-GB"/>
        </w:rPr>
        <w:t>Accessible Information Standard</w:t>
      </w:r>
      <w:r w:rsidRPr="00C72A1D">
        <w:rPr>
          <w:rFonts w:ascii="Arial" w:eastAsia="Times New Roman" w:hAnsi="Arial" w:cs="Arial"/>
          <w:color w:val="222222"/>
          <w:sz w:val="22"/>
          <w:lang w:eastAsia="en-GB"/>
        </w:rPr>
        <w:t>. London: NHS England.</w:t>
      </w:r>
    </w:p>
    <w:p w14:paraId="4CC7440A" w14:textId="77777777" w:rsidR="00FF1F10" w:rsidRPr="00C72A1D"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C72A1D">
        <w:rPr>
          <w:rFonts w:ascii="Arial" w:eastAsia="Times New Roman" w:hAnsi="Arial" w:cs="Arial"/>
          <w:color w:val="222222"/>
          <w:sz w:val="22"/>
          <w:lang w:eastAsia="en-GB"/>
        </w:rPr>
        <w:t>Oliver, M. (1983) </w:t>
      </w:r>
      <w:r w:rsidRPr="00C72A1D">
        <w:rPr>
          <w:rFonts w:ascii="Arial" w:eastAsia="Times New Roman" w:hAnsi="Arial" w:cs="Arial"/>
          <w:i/>
          <w:iCs/>
          <w:color w:val="222222"/>
          <w:sz w:val="22"/>
          <w:lang w:eastAsia="en-GB"/>
        </w:rPr>
        <w:t>Social Work with Disabled People</w:t>
      </w:r>
      <w:r w:rsidRPr="00C72A1D">
        <w:rPr>
          <w:rFonts w:ascii="Arial" w:eastAsia="Times New Roman" w:hAnsi="Arial" w:cs="Arial"/>
          <w:color w:val="222222"/>
          <w:sz w:val="22"/>
          <w:lang w:eastAsia="en-GB"/>
        </w:rPr>
        <w:t>. Basingstoke: Macmillan.</w:t>
      </w:r>
    </w:p>
    <w:p w14:paraId="138A1112" w14:textId="77777777" w:rsidR="00FF1F10" w:rsidRPr="00C72A1D"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C72A1D">
        <w:rPr>
          <w:rFonts w:ascii="Arial" w:eastAsia="Times New Roman" w:hAnsi="Arial" w:cs="Arial"/>
          <w:color w:val="222222"/>
          <w:sz w:val="22"/>
          <w:lang w:eastAsia="en-GB"/>
        </w:rPr>
        <w:t>Oliver, M. (1990) </w:t>
      </w:r>
      <w:r w:rsidRPr="00C72A1D">
        <w:rPr>
          <w:rFonts w:ascii="Arial" w:eastAsia="Times New Roman" w:hAnsi="Arial" w:cs="Arial"/>
          <w:i/>
          <w:iCs/>
          <w:color w:val="222222"/>
          <w:sz w:val="22"/>
          <w:lang w:eastAsia="en-GB"/>
        </w:rPr>
        <w:t>The Politics of Disablement</w:t>
      </w:r>
      <w:r w:rsidRPr="00C72A1D">
        <w:rPr>
          <w:rFonts w:ascii="Arial" w:eastAsia="Times New Roman" w:hAnsi="Arial" w:cs="Arial"/>
          <w:color w:val="222222"/>
          <w:sz w:val="22"/>
          <w:lang w:eastAsia="en-GB"/>
        </w:rPr>
        <w:t>. Basingstoke: Macmillan.</w:t>
      </w:r>
    </w:p>
    <w:p w14:paraId="32BDA66C" w14:textId="77777777" w:rsidR="00FF1F10" w:rsidRPr="00C72A1D"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C72A1D">
        <w:rPr>
          <w:rFonts w:ascii="Arial" w:eastAsia="Times New Roman" w:hAnsi="Arial" w:cs="Arial"/>
          <w:color w:val="222222"/>
          <w:sz w:val="22"/>
          <w:lang w:eastAsia="en-GB"/>
        </w:rPr>
        <w:t>Shakespeare, T. (2013) </w:t>
      </w:r>
      <w:r w:rsidRPr="00C72A1D">
        <w:rPr>
          <w:rFonts w:ascii="Arial" w:eastAsia="Times New Roman" w:hAnsi="Arial" w:cs="Arial"/>
          <w:i/>
          <w:iCs/>
          <w:color w:val="222222"/>
          <w:sz w:val="22"/>
          <w:lang w:eastAsia="en-GB"/>
        </w:rPr>
        <w:t>Disability Rights and Wrongs Revisited</w:t>
      </w:r>
      <w:r w:rsidRPr="00C72A1D">
        <w:rPr>
          <w:rFonts w:ascii="Arial" w:eastAsia="Times New Roman" w:hAnsi="Arial" w:cs="Arial"/>
          <w:color w:val="222222"/>
          <w:sz w:val="22"/>
          <w:lang w:eastAsia="en-GB"/>
        </w:rPr>
        <w:t xml:space="preserve">. 2nd </w:t>
      </w:r>
      <w:proofErr w:type="spellStart"/>
      <w:r w:rsidRPr="00C72A1D">
        <w:rPr>
          <w:rFonts w:ascii="Arial" w:eastAsia="Times New Roman" w:hAnsi="Arial" w:cs="Arial"/>
          <w:color w:val="222222"/>
          <w:sz w:val="22"/>
          <w:lang w:eastAsia="en-GB"/>
        </w:rPr>
        <w:t>edn</w:t>
      </w:r>
      <w:proofErr w:type="spellEnd"/>
      <w:r w:rsidRPr="00C72A1D">
        <w:rPr>
          <w:rFonts w:ascii="Arial" w:eastAsia="Times New Roman" w:hAnsi="Arial" w:cs="Arial"/>
          <w:color w:val="222222"/>
          <w:sz w:val="22"/>
          <w:lang w:eastAsia="en-GB"/>
        </w:rPr>
        <w:t>. London: Routledge.</w:t>
      </w:r>
    </w:p>
    <w:p w14:paraId="30A650A1" w14:textId="77777777" w:rsidR="00FF1F10" w:rsidRPr="00C72A1D"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C72A1D">
        <w:rPr>
          <w:rFonts w:ascii="Arial" w:eastAsia="Times New Roman" w:hAnsi="Arial" w:cs="Arial"/>
          <w:color w:val="222222"/>
          <w:sz w:val="22"/>
          <w:lang w:eastAsia="en-GB"/>
        </w:rPr>
        <w:t>Thomas, C. (2007) </w:t>
      </w:r>
      <w:r w:rsidRPr="00C72A1D">
        <w:rPr>
          <w:rFonts w:ascii="Arial" w:eastAsia="Times New Roman" w:hAnsi="Arial" w:cs="Arial"/>
          <w:i/>
          <w:iCs/>
          <w:color w:val="222222"/>
          <w:sz w:val="22"/>
          <w:lang w:eastAsia="en-GB"/>
        </w:rPr>
        <w:t>Sociologies of Disability and Illness: Contested Ideas in Disability Studies and Medical Sociology</w:t>
      </w:r>
      <w:r w:rsidRPr="00C72A1D">
        <w:rPr>
          <w:rFonts w:ascii="Arial" w:eastAsia="Times New Roman" w:hAnsi="Arial" w:cs="Arial"/>
          <w:color w:val="222222"/>
          <w:sz w:val="22"/>
          <w:lang w:eastAsia="en-GB"/>
        </w:rPr>
        <w:t>. Basingstoke: Palgrave Macmillan.</w:t>
      </w:r>
    </w:p>
    <w:p w14:paraId="777010B1" w14:textId="77777777" w:rsidR="00FF1F10" w:rsidRPr="00C72A1D"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r w:rsidRPr="00C72A1D">
        <w:rPr>
          <w:rFonts w:ascii="Arial" w:eastAsia="Times New Roman" w:hAnsi="Arial" w:cs="Arial"/>
          <w:color w:val="222222"/>
          <w:sz w:val="22"/>
          <w:lang w:eastAsia="en-GB"/>
        </w:rPr>
        <w:t>UPIAS (1976) </w:t>
      </w:r>
      <w:r w:rsidRPr="00C72A1D">
        <w:rPr>
          <w:rFonts w:ascii="Arial" w:eastAsia="Times New Roman" w:hAnsi="Arial" w:cs="Arial"/>
          <w:i/>
          <w:iCs/>
          <w:color w:val="222222"/>
          <w:sz w:val="22"/>
          <w:lang w:eastAsia="en-GB"/>
        </w:rPr>
        <w:t>Fundamental Principles of Disability</w:t>
      </w:r>
      <w:r w:rsidRPr="00C72A1D">
        <w:rPr>
          <w:rFonts w:ascii="Arial" w:eastAsia="Times New Roman" w:hAnsi="Arial" w:cs="Arial"/>
          <w:color w:val="222222"/>
          <w:sz w:val="22"/>
          <w:lang w:eastAsia="en-GB"/>
        </w:rPr>
        <w:t>. London: Union of the Physically Impaired Against Segregation.</w:t>
      </w:r>
    </w:p>
    <w:p w14:paraId="6BF5C7DD" w14:textId="309E4A54" w:rsidR="00C72A1D" w:rsidRPr="00C72A1D" w:rsidRDefault="00C72A1D" w:rsidP="00C72A1D">
      <w:pPr>
        <w:spacing w:after="0" w:line="240" w:lineRule="auto"/>
        <w:rPr>
          <w:rFonts w:ascii="Arial" w:eastAsia="Times New Roman" w:hAnsi="Arial" w:cs="Arial"/>
          <w:color w:val="222222"/>
          <w:sz w:val="22"/>
          <w:shd w:val="clear" w:color="auto" w:fill="FFFFFF"/>
          <w:lang w:eastAsia="en-GB"/>
        </w:rPr>
      </w:pPr>
      <w:r w:rsidRPr="00C72A1D">
        <w:rPr>
          <w:rFonts w:ascii="Arial" w:eastAsia="Times New Roman" w:hAnsi="Arial" w:cs="Arial"/>
          <w:color w:val="222222"/>
          <w:sz w:val="22"/>
          <w:shd w:val="clear" w:color="auto" w:fill="FFFFFF"/>
          <w:lang w:eastAsia="en-GB"/>
        </w:rPr>
        <w:t>HM Government (2021) National Disability Strategy. London: HM Government. Available at: </w:t>
      </w:r>
      <w:hyperlink r:id="rId9" w:tgtFrame="_blank" w:history="1">
        <w:r w:rsidRPr="00C72A1D">
          <w:rPr>
            <w:rFonts w:ascii="Arial" w:eastAsia="Times New Roman" w:hAnsi="Arial" w:cs="Arial"/>
            <w:color w:val="1155CC"/>
            <w:sz w:val="22"/>
            <w:u w:val="single"/>
            <w:shd w:val="clear" w:color="auto" w:fill="FFFFFF"/>
            <w:lang w:eastAsia="en-GB"/>
          </w:rPr>
          <w:t>https://www.gov.uk/government/publications/national-disability-strategy</w:t>
        </w:r>
      </w:hyperlink>
      <w:r w:rsidRPr="00C72A1D">
        <w:rPr>
          <w:rFonts w:ascii="Segoe UI Symbol" w:eastAsia="Times New Roman" w:hAnsi="Segoe UI Symbol" w:cs="Segoe UI Symbol"/>
          <w:color w:val="222222"/>
          <w:sz w:val="22"/>
          <w:shd w:val="clear" w:color="auto" w:fill="FFFFFF"/>
          <w:lang w:eastAsia="en-GB"/>
        </w:rPr>
        <w:t>⁠</w:t>
      </w:r>
      <w:r w:rsidRPr="00C72A1D">
        <w:rPr>
          <w:rFonts w:ascii="Arial" w:eastAsia="Times New Roman" w:hAnsi="Arial" w:cs="Arial"/>
          <w:color w:val="222222"/>
          <w:sz w:val="22"/>
          <w:shd w:val="clear" w:color="auto" w:fill="FFFFFF"/>
          <w:lang w:eastAsia="en-GB"/>
        </w:rPr>
        <w:t xml:space="preserve"> (Accessed: 30 July 2026).</w:t>
      </w:r>
    </w:p>
    <w:p w14:paraId="6887360C" w14:textId="77777777" w:rsidR="00C72A1D" w:rsidRPr="00C72A1D" w:rsidRDefault="00C72A1D" w:rsidP="00C72A1D">
      <w:pPr>
        <w:spacing w:after="0" w:line="240" w:lineRule="auto"/>
        <w:rPr>
          <w:rFonts w:ascii="Arial" w:eastAsia="Times New Roman" w:hAnsi="Arial" w:cs="Arial"/>
          <w:sz w:val="22"/>
          <w:lang w:eastAsia="en-GB"/>
        </w:rPr>
      </w:pPr>
    </w:p>
    <w:p w14:paraId="4F016D3C" w14:textId="4396513B" w:rsidR="00C72A1D" w:rsidRPr="00C72A1D" w:rsidRDefault="00C72A1D" w:rsidP="00C72A1D">
      <w:pPr>
        <w:shd w:val="clear" w:color="auto" w:fill="FFFFFF"/>
        <w:spacing w:after="0" w:line="240" w:lineRule="auto"/>
        <w:rPr>
          <w:rFonts w:ascii="Arial" w:eastAsia="Times New Roman" w:hAnsi="Arial" w:cs="Arial"/>
          <w:color w:val="222222"/>
          <w:sz w:val="22"/>
          <w:lang w:eastAsia="en-GB"/>
        </w:rPr>
      </w:pPr>
      <w:r w:rsidRPr="00C72A1D">
        <w:rPr>
          <w:rFonts w:ascii="Arial" w:eastAsia="Times New Roman" w:hAnsi="Arial" w:cs="Arial"/>
          <w:color w:val="222222"/>
          <w:sz w:val="22"/>
          <w:lang w:eastAsia="en-GB"/>
        </w:rPr>
        <w:t>Social Care Institute for Excellence (SCIE) (n.d.) Co-production: What it is and how to do it. London: SCIE. Available at: </w:t>
      </w:r>
      <w:hyperlink r:id="rId10" w:tgtFrame="_blank" w:history="1">
        <w:r w:rsidRPr="00C72A1D">
          <w:rPr>
            <w:rFonts w:ascii="Arial" w:eastAsia="Times New Roman" w:hAnsi="Arial" w:cs="Arial"/>
            <w:color w:val="1155CC"/>
            <w:sz w:val="22"/>
            <w:u w:val="single"/>
            <w:lang w:eastAsia="en-GB"/>
          </w:rPr>
          <w:t>https://www.scie.org.uk/co-production/what-how/</w:t>
        </w:r>
      </w:hyperlink>
      <w:r w:rsidRPr="00C72A1D">
        <w:rPr>
          <w:rFonts w:ascii="Segoe UI Symbol" w:eastAsia="Times New Roman" w:hAnsi="Segoe UI Symbol" w:cs="Segoe UI Symbol"/>
          <w:color w:val="222222"/>
          <w:sz w:val="22"/>
          <w:lang w:eastAsia="en-GB"/>
        </w:rPr>
        <w:t>⁠</w:t>
      </w:r>
      <w:r w:rsidRPr="00C72A1D">
        <w:rPr>
          <w:rFonts w:ascii="Arial" w:eastAsia="Times New Roman" w:hAnsi="Arial" w:cs="Arial"/>
          <w:color w:val="222222"/>
          <w:sz w:val="22"/>
          <w:lang w:eastAsia="en-GB"/>
        </w:rPr>
        <w:t xml:space="preserve"> (Accessed: 30 July 2026).</w:t>
      </w:r>
    </w:p>
    <w:p w14:paraId="4C87D963" w14:textId="77777777" w:rsidR="00C72A1D" w:rsidRPr="00C72A1D" w:rsidRDefault="00C72A1D" w:rsidP="00C72A1D">
      <w:pPr>
        <w:shd w:val="clear" w:color="auto" w:fill="FFFFFF"/>
        <w:spacing w:after="0" w:line="240" w:lineRule="auto"/>
        <w:rPr>
          <w:rFonts w:ascii="Arial" w:eastAsia="Times New Roman" w:hAnsi="Arial" w:cs="Arial"/>
          <w:color w:val="222222"/>
          <w:sz w:val="22"/>
          <w:lang w:eastAsia="en-GB"/>
        </w:rPr>
      </w:pPr>
    </w:p>
    <w:p w14:paraId="04C86BB2" w14:textId="593522F4" w:rsidR="00C72A1D" w:rsidRPr="00C72A1D" w:rsidRDefault="00C72A1D" w:rsidP="00C72A1D">
      <w:pPr>
        <w:shd w:val="clear" w:color="auto" w:fill="FFFFFF"/>
        <w:spacing w:after="0" w:line="240" w:lineRule="auto"/>
        <w:rPr>
          <w:rFonts w:ascii="Arial" w:eastAsia="Times New Roman" w:hAnsi="Arial" w:cs="Arial"/>
          <w:color w:val="222222"/>
          <w:sz w:val="22"/>
          <w:lang w:eastAsia="en-GB"/>
        </w:rPr>
      </w:pPr>
      <w:r w:rsidRPr="00C72A1D">
        <w:rPr>
          <w:rFonts w:ascii="Arial" w:eastAsia="Times New Roman" w:hAnsi="Arial" w:cs="Arial"/>
          <w:color w:val="222222"/>
          <w:sz w:val="22"/>
          <w:lang w:eastAsia="en-GB"/>
        </w:rPr>
        <w:t>World Health Organization (2022) Global Report on Health Equity for Persons with Disabilities. Geneva: World Health Organization. Available at: </w:t>
      </w:r>
      <w:hyperlink r:id="rId11" w:tgtFrame="_blank" w:history="1">
        <w:r w:rsidRPr="00C72A1D">
          <w:rPr>
            <w:rFonts w:ascii="Arial" w:eastAsia="Times New Roman" w:hAnsi="Arial" w:cs="Arial"/>
            <w:color w:val="1155CC"/>
            <w:sz w:val="22"/>
            <w:u w:val="single"/>
            <w:lang w:eastAsia="en-GB"/>
          </w:rPr>
          <w:t>https://www.who.int/publications/i/item/9789240063600</w:t>
        </w:r>
      </w:hyperlink>
      <w:r w:rsidRPr="00C72A1D">
        <w:rPr>
          <w:rFonts w:ascii="Segoe UI Symbol" w:eastAsia="Times New Roman" w:hAnsi="Segoe UI Symbol" w:cs="Segoe UI Symbol"/>
          <w:color w:val="222222"/>
          <w:sz w:val="22"/>
          <w:lang w:eastAsia="en-GB"/>
        </w:rPr>
        <w:t>⁠</w:t>
      </w:r>
      <w:r w:rsidRPr="00C72A1D">
        <w:rPr>
          <w:rFonts w:ascii="Arial" w:eastAsia="Times New Roman" w:hAnsi="Arial" w:cs="Arial"/>
          <w:color w:val="222222"/>
          <w:sz w:val="22"/>
          <w:lang w:eastAsia="en-GB"/>
        </w:rPr>
        <w:t>(Accessed: 30 July 2026).</w:t>
      </w:r>
    </w:p>
    <w:p w14:paraId="213D5F32" w14:textId="5A2C2F7E" w:rsidR="00FF1F10" w:rsidRPr="00C72A1D" w:rsidRDefault="00FF1F10" w:rsidP="005272F9">
      <w:pPr>
        <w:shd w:val="clear" w:color="auto" w:fill="FFFFFF"/>
        <w:spacing w:before="100" w:beforeAutospacing="1" w:after="100" w:afterAutospacing="1" w:line="360" w:lineRule="auto"/>
        <w:rPr>
          <w:rFonts w:ascii="Arial" w:eastAsia="Times New Roman" w:hAnsi="Arial" w:cs="Arial"/>
          <w:color w:val="222222"/>
          <w:sz w:val="22"/>
          <w:lang w:eastAsia="en-GB"/>
        </w:rPr>
      </w:pPr>
    </w:p>
    <w:p w14:paraId="0DE6998A" w14:textId="77777777" w:rsidR="00247A6B" w:rsidRPr="005272F9" w:rsidRDefault="00247A6B" w:rsidP="005272F9">
      <w:pPr>
        <w:tabs>
          <w:tab w:val="left" w:pos="6540"/>
        </w:tabs>
        <w:spacing w:line="360" w:lineRule="auto"/>
        <w:rPr>
          <w:rFonts w:ascii="Arial" w:hAnsi="Arial" w:cs="Arial"/>
          <w:sz w:val="22"/>
        </w:rPr>
      </w:pPr>
    </w:p>
    <w:sectPr w:rsidR="00247A6B" w:rsidRPr="005272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FCD49" w14:textId="77777777" w:rsidR="009F6CEB" w:rsidRDefault="009F6CEB" w:rsidP="00032A5B">
      <w:pPr>
        <w:spacing w:after="0" w:line="240" w:lineRule="auto"/>
      </w:pPr>
      <w:r>
        <w:separator/>
      </w:r>
    </w:p>
  </w:endnote>
  <w:endnote w:type="continuationSeparator" w:id="0">
    <w:p w14:paraId="3E8ABD46" w14:textId="77777777" w:rsidR="009F6CEB" w:rsidRDefault="009F6CEB"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07F13" w14:textId="77777777" w:rsidR="009F6CEB" w:rsidRDefault="009F6CEB" w:rsidP="00032A5B">
      <w:pPr>
        <w:spacing w:after="0" w:line="240" w:lineRule="auto"/>
      </w:pPr>
      <w:r>
        <w:separator/>
      </w:r>
    </w:p>
  </w:footnote>
  <w:footnote w:type="continuationSeparator" w:id="0">
    <w:p w14:paraId="12E2ECFE" w14:textId="77777777" w:rsidR="009F6CEB" w:rsidRDefault="009F6CEB"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32A5B"/>
    <w:rsid w:val="001333C2"/>
    <w:rsid w:val="001E6850"/>
    <w:rsid w:val="00231315"/>
    <w:rsid w:val="00247A6B"/>
    <w:rsid w:val="00313E8D"/>
    <w:rsid w:val="00317E3D"/>
    <w:rsid w:val="0032791E"/>
    <w:rsid w:val="003775D2"/>
    <w:rsid w:val="003E4ED4"/>
    <w:rsid w:val="004A5A64"/>
    <w:rsid w:val="005272F9"/>
    <w:rsid w:val="005501B8"/>
    <w:rsid w:val="00577F00"/>
    <w:rsid w:val="0058218C"/>
    <w:rsid w:val="006524ED"/>
    <w:rsid w:val="00653572"/>
    <w:rsid w:val="00663DA3"/>
    <w:rsid w:val="006A1ECE"/>
    <w:rsid w:val="006A3E63"/>
    <w:rsid w:val="006D2F2D"/>
    <w:rsid w:val="006E1FF9"/>
    <w:rsid w:val="00785886"/>
    <w:rsid w:val="007F3A6A"/>
    <w:rsid w:val="0083683E"/>
    <w:rsid w:val="0089264F"/>
    <w:rsid w:val="009A1484"/>
    <w:rsid w:val="009A493C"/>
    <w:rsid w:val="009A709A"/>
    <w:rsid w:val="009E71F3"/>
    <w:rsid w:val="009F6CEB"/>
    <w:rsid w:val="00A14675"/>
    <w:rsid w:val="00BC79FE"/>
    <w:rsid w:val="00C558B0"/>
    <w:rsid w:val="00C72A1D"/>
    <w:rsid w:val="00D545BA"/>
    <w:rsid w:val="00DF66FB"/>
    <w:rsid w:val="00E81204"/>
    <w:rsid w:val="00E9668F"/>
    <w:rsid w:val="00F4548A"/>
    <w:rsid w:val="00F81510"/>
    <w:rsid w:val="00FA1054"/>
    <w:rsid w:val="00FA2DAE"/>
    <w:rsid w:val="00FA6248"/>
    <w:rsid w:val="00FF1F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FF1F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F1F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9264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character" w:customStyle="1" w:styleId="Heading3Char">
    <w:name w:val="Heading 3 Char"/>
    <w:basedOn w:val="DefaultParagraphFont"/>
    <w:link w:val="Heading3"/>
    <w:uiPriority w:val="9"/>
    <w:semiHidden/>
    <w:rsid w:val="0089264F"/>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FF1F1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F1F1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publications/i/item/9789240063600" TargetMode="External"/><Relationship Id="rId5" Type="http://schemas.openxmlformats.org/officeDocument/2006/relationships/footnotes" Target="footnotes.xml"/><Relationship Id="rId10" Type="http://schemas.openxmlformats.org/officeDocument/2006/relationships/hyperlink" Target="https://www.scie.org.uk/co-production/what-how/" TargetMode="External"/><Relationship Id="rId4" Type="http://schemas.openxmlformats.org/officeDocument/2006/relationships/webSettings" Target="webSettings.xml"/><Relationship Id="rId9" Type="http://schemas.openxmlformats.org/officeDocument/2006/relationships/hyperlink" Target="https://www.gov.uk/government/publications/national-disability-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Pages>
  <Words>2281</Words>
  <Characters>13003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Natalja Golub (2440433)</cp:lastModifiedBy>
  <cp:revision>9</cp:revision>
  <dcterms:created xsi:type="dcterms:W3CDTF">2026-07-02T16:15:00Z</dcterms:created>
  <dcterms:modified xsi:type="dcterms:W3CDTF">2026-07-30T18:52:00Z</dcterms:modified>
</cp:coreProperties>
</file>