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B2801" w14:textId="203497C6" w:rsidR="00E10213" w:rsidRDefault="00E10213">
      <w:r>
        <w:t>Task 4</w:t>
      </w:r>
    </w:p>
    <w:p w14:paraId="4810A4EB" w14:textId="585748E0" w:rsidR="00770F9F" w:rsidRDefault="00CD617F">
      <w:r>
        <w:t xml:space="preserve">Safeguarding </w:t>
      </w:r>
      <w:r w:rsidR="00521188">
        <w:t>C</w:t>
      </w:r>
      <w:r>
        <w:t>hildren</w:t>
      </w:r>
      <w:r w:rsidR="00521188">
        <w:t>:</w:t>
      </w:r>
    </w:p>
    <w:p w14:paraId="52B48D1D" w14:textId="6736AC7D" w:rsidR="00E31D9E" w:rsidRDefault="00A13C83">
      <w:r>
        <w:t xml:space="preserve">Both adult and child safeguarding </w:t>
      </w:r>
      <w:r w:rsidR="00E31D9E">
        <w:t>is now covered by the</w:t>
      </w:r>
      <w:r>
        <w:t xml:space="preserve"> “Wales Safeguarding Procedures” </w:t>
      </w:r>
      <w:r w:rsidR="001F08D6">
        <w:t>(</w:t>
      </w:r>
      <w:r w:rsidR="00E10213">
        <w:t xml:space="preserve">Social Care Wales, </w:t>
      </w:r>
      <w:r>
        <w:t xml:space="preserve">2019) which has brought clarity and made it easy to access the procedures. The safeguarding of children was covered in the main by the Children Act (2004). Section 28 of the Act imposes a duty on local authorities and other bodies to have regard to the safeguarding of children when undertaking their duties. This is now largely covered by the Social Services and Well-being (Wales) Act </w:t>
      </w:r>
      <w:r w:rsidR="00F1161E">
        <w:t>(SSWBW</w:t>
      </w:r>
      <w:r w:rsidR="00A20119">
        <w:t>A</w:t>
      </w:r>
      <w:r w:rsidR="00F1161E">
        <w:t xml:space="preserve">) </w:t>
      </w:r>
      <w:r>
        <w:t xml:space="preserve">2014. This sets </w:t>
      </w:r>
      <w:r w:rsidR="00F1161E">
        <w:t>out in parts 3 and 4 that local authorities have a duty to assess and meet the care and support needs of children. Part 7 of the SSWBWA also states that local authorities must establish safeguarding children’s boards regionally to look into issues around safeguarding.</w:t>
      </w:r>
      <w:r w:rsidR="00E31D9E">
        <w:t xml:space="preserve"> </w:t>
      </w:r>
    </w:p>
    <w:p w14:paraId="6221BF4A" w14:textId="127BEB41" w:rsidR="00A13C83" w:rsidRDefault="00E31D9E">
      <w:r>
        <w:t xml:space="preserve">The regional boards then brought in the “Wales Safeguarding Procedures” </w:t>
      </w:r>
      <w:r w:rsidR="00891C85">
        <w:t>(</w:t>
      </w:r>
      <w:r>
        <w:t>2019</w:t>
      </w:r>
      <w:r w:rsidR="00891C85">
        <w:t>)</w:t>
      </w:r>
      <w:r>
        <w:t xml:space="preserve"> to build upon the legislation and make it easier for practitioners and the public to follow the safeguarding mechanisms. This aims to standardise the approach across Wales and make it easily accessible through the app. They replace the “All Wales Child Protection Procedures” (</w:t>
      </w:r>
      <w:r w:rsidR="00A20119">
        <w:t xml:space="preserve">Welsh Government, </w:t>
      </w:r>
      <w:r>
        <w:t>2008) and are published digitally only to ensure they are always up to date.</w:t>
      </w:r>
    </w:p>
    <w:p w14:paraId="5FD51E88" w14:textId="3B766669" w:rsidR="002F684D" w:rsidRDefault="002F684D">
      <w:r>
        <w:t xml:space="preserve">The </w:t>
      </w:r>
      <w:r w:rsidR="00E31D9E">
        <w:t xml:space="preserve">“Wales </w:t>
      </w:r>
      <w:r w:rsidR="00BB5759">
        <w:t>S</w:t>
      </w:r>
      <w:r>
        <w:t xml:space="preserve">afeguarding </w:t>
      </w:r>
      <w:r w:rsidR="00BB5759">
        <w:t>P</w:t>
      </w:r>
      <w:r>
        <w:t>rocedures</w:t>
      </w:r>
      <w:r w:rsidR="00E31D9E">
        <w:t>”</w:t>
      </w:r>
      <w:r>
        <w:t xml:space="preserve"> for children (</w:t>
      </w:r>
      <w:r w:rsidR="00A20119">
        <w:t xml:space="preserve">Social Care Wales, </w:t>
      </w:r>
      <w:r>
        <w:t xml:space="preserve">2019) underpinned by the SSWBWA </w:t>
      </w:r>
      <w:r w:rsidR="00BB5759">
        <w:t xml:space="preserve">(2014) </w:t>
      </w:r>
      <w:r>
        <w:t>primary legislation make it clear that safeguarding and protecting children is everyone’s responsibility. Practitioner’s need to be clear on their own organisational safeguarding procedures and seek to promote the welfare of children at risk of harm, abuse or neglect. Practitioners should always adapt a child-centred approach (</w:t>
      </w:r>
      <w:r w:rsidR="009D456B">
        <w:t>Welsh Government</w:t>
      </w:r>
      <w:r>
        <w:t>, 2014). In practice this requires the child’s best interest being the priority, the rights of the child should always be upheld and practitioners should always seek to have regard to the child’s views, wishes and feelings</w:t>
      </w:r>
      <w:r w:rsidR="009D456B">
        <w:t xml:space="preserve"> (Law Wales, 2023)</w:t>
      </w:r>
      <w:r>
        <w:t>. Furthermore, it is important that practitioners share appropriate information and work in partnership with other agencies.</w:t>
      </w:r>
      <w:r w:rsidR="00BB5759">
        <w:t xml:space="preserve"> Practitioners should also be aware of the United Nations </w:t>
      </w:r>
      <w:r w:rsidR="00A20119">
        <w:t>C</w:t>
      </w:r>
      <w:r w:rsidR="00BB5759">
        <w:t>onvention on Children’s Rights (United Nations, 1992) which upholds a number of rights of children such as the right to a private life, education and to be free of violence. All of which could be part of safeguarding procedures.</w:t>
      </w:r>
    </w:p>
    <w:p w14:paraId="3F3399CF" w14:textId="7B14E8EF" w:rsidR="00266BDD" w:rsidRDefault="002F684D">
      <w:r>
        <w:t xml:space="preserve">It is important to note </w:t>
      </w:r>
      <w:r w:rsidR="00266BDD">
        <w:t>that a child only needs to be at risk of harm, abuse or neglect rather than actually experiencing it. This is in line with the preventative ethos of the S</w:t>
      </w:r>
      <w:r w:rsidR="009D456B">
        <w:t>ocial Services and Well-being (Wales) Act (SSWBWA)</w:t>
      </w:r>
      <w:r w:rsidR="00266BDD">
        <w:t xml:space="preserve"> (2014) and means that practitioners must be proactive in looking for signs of such harm. </w:t>
      </w:r>
      <w:r w:rsidR="006C1A96">
        <w:t xml:space="preserve">Early intervention can prevent problems from escalating and avoid children experiencing Adverse Childhood Experiences (ACE’s) which research has demonstrated can negatively affect individuals throughout their lives (Public Health Wales, 2022). </w:t>
      </w:r>
    </w:p>
    <w:p w14:paraId="49A9677B" w14:textId="58C87221" w:rsidR="002F684D" w:rsidRDefault="00266BDD">
      <w:r>
        <w:t>If a practitioner has concerns for likely or actual Significant Harm then this will trigger a section 47 enquiry under the Children Act (</w:t>
      </w:r>
      <w:r w:rsidR="00A20119">
        <w:t xml:space="preserve">UK Government, </w:t>
      </w:r>
      <w:r>
        <w:t xml:space="preserve">1989). </w:t>
      </w:r>
      <w:r w:rsidR="006C1A96">
        <w:t>Practitioners will go to investigate this harm and have the power to put things in place to prevent any significant harm occurring. This could lead to child protection procedures which can lead to a child being removed from the care of the responsible adults.</w:t>
      </w:r>
    </w:p>
    <w:p w14:paraId="5472A3AE" w14:textId="4CFE3788" w:rsidR="00521188" w:rsidRDefault="00BB5759">
      <w:r>
        <w:t>5</w:t>
      </w:r>
      <w:r w:rsidR="00EB070B">
        <w:t>2</w:t>
      </w:r>
      <w:r w:rsidR="00A20119">
        <w:t>3</w:t>
      </w:r>
      <w:r>
        <w:t xml:space="preserve"> words</w:t>
      </w:r>
    </w:p>
    <w:p w14:paraId="52643305" w14:textId="4FA536C5" w:rsidR="00770F9F" w:rsidRDefault="00770F9F"/>
    <w:p w14:paraId="1032FFA8" w14:textId="77777777" w:rsidR="00521188" w:rsidRDefault="00521188"/>
    <w:p w14:paraId="6BA30417" w14:textId="79A97493" w:rsidR="00770F9F" w:rsidRDefault="00770F9F">
      <w:r>
        <w:lastRenderedPageBreak/>
        <w:t xml:space="preserve">B) </w:t>
      </w:r>
      <w:r w:rsidR="00521188">
        <w:t>Differences Safeguarding:</w:t>
      </w:r>
    </w:p>
    <w:p w14:paraId="48B55720" w14:textId="3FCFB68F" w:rsidR="00770F9F" w:rsidRDefault="004A091B">
      <w:r>
        <w:t>Adult safeguarding has now been put on an equal footing with children’s safeguarding through the “Wales Safeguarding Procedures” (2019). This is legislatively underpinned by the SSWBWA (</w:t>
      </w:r>
      <w:r w:rsidR="009D456B">
        <w:t xml:space="preserve">Welsh Government, </w:t>
      </w:r>
      <w:r>
        <w:t xml:space="preserve">2014) which legislates for regional safeguarding boards to be in operation covering </w:t>
      </w:r>
      <w:r w:rsidR="00053269">
        <w:t>both adult and child safeguarding with a duty to investigate the risk of an adult or child being at risk of harm, abuse or neglect and determining whether they have needs for care and support.</w:t>
      </w:r>
      <w:r w:rsidR="00855009">
        <w:t xml:space="preserve"> This is in line with an underpinning principle of the SSWBWA (2014) which is to prioritise preventative work and early intervention. </w:t>
      </w:r>
    </w:p>
    <w:p w14:paraId="61A4390D" w14:textId="4EC07C09" w:rsidR="00053269" w:rsidRDefault="00053269">
      <w:r>
        <w:t xml:space="preserve">There </w:t>
      </w:r>
      <w:r w:rsidR="00E10213">
        <w:t>remain</w:t>
      </w:r>
      <w:r>
        <w:t xml:space="preserve"> some key differences though between adult and child safeguarding. In adult safeguarding in line with upholding an individual’s human rights such as a right to a private life</w:t>
      </w:r>
      <w:r w:rsidR="00E10213">
        <w:t>, a</w:t>
      </w:r>
      <w:r>
        <w:t xml:space="preserve">n adult can consciously decide whether they want to receive any support or participate in the safeguarding procedures. As long as the individual in question is deemed to have mental capacity then they can choose not to engage in the process. Whether or not a person has mental capacity is adjudged by the Mental Capacity Act </w:t>
      </w:r>
      <w:r w:rsidR="00E10213">
        <w:t>(</w:t>
      </w:r>
      <w:r>
        <w:t>2005</w:t>
      </w:r>
      <w:r w:rsidR="00E10213">
        <w:t>)</w:t>
      </w:r>
      <w:r>
        <w:t xml:space="preserve"> and is time</w:t>
      </w:r>
      <w:r w:rsidR="009D456B">
        <w:t xml:space="preserve"> and decision</w:t>
      </w:r>
      <w:r>
        <w:t xml:space="preserve"> specific. An important principle is that a person should be able to make an unwise decision</w:t>
      </w:r>
      <w:r w:rsidR="00AD166B">
        <w:t xml:space="preserve"> and that this should not be used as an example of someone lacking capacity. This aligns with the ethos of the SSWBWA (2014) which strives to work in partnership with the individual so far as possible. As the threshold for proving a lack of capacity</w:t>
      </w:r>
      <w:r w:rsidR="00E10213">
        <w:t xml:space="preserve"> is high,</w:t>
      </w:r>
      <w:r w:rsidR="00AD166B">
        <w:t xml:space="preserve"> this provides in itself a safeguard against the overreach of the state into an individual’s </w:t>
      </w:r>
      <w:r w:rsidR="00E10213">
        <w:t xml:space="preserve">private </w:t>
      </w:r>
      <w:r w:rsidR="00AD166B">
        <w:t>life</w:t>
      </w:r>
      <w:r w:rsidR="00855009">
        <w:t xml:space="preserve"> (Human Rights Act, 1998)</w:t>
      </w:r>
      <w:r w:rsidR="00AD166B">
        <w:t xml:space="preserve">. </w:t>
      </w:r>
    </w:p>
    <w:p w14:paraId="060F04B9" w14:textId="0081D16B" w:rsidR="00AD166B" w:rsidRDefault="00AD166B">
      <w:r>
        <w:t xml:space="preserve">In contrast to this in children’s safeguarding, a child is deemed to not have the capacity to make decisions for themselves although it is extremely important that their voice is heard. </w:t>
      </w:r>
      <w:r w:rsidR="00007813">
        <w:t>There is though the long-standing</w:t>
      </w:r>
      <w:r>
        <w:t xml:space="preserve"> principle of the “Gillick Competency”</w:t>
      </w:r>
      <w:r w:rsidR="00007813">
        <w:t xml:space="preserve"> (19</w:t>
      </w:r>
      <w:r w:rsidR="009D456B">
        <w:t>86</w:t>
      </w:r>
      <w:r w:rsidR="00007813">
        <w:t>). This establishes the notion that in some circumstances a child could consent to medical treatment without their parent</w:t>
      </w:r>
      <w:r w:rsidR="00855009">
        <w:t>’</w:t>
      </w:r>
      <w:r w:rsidR="00007813">
        <w:t>s consent if they were deemed to fully understand the implications of their decision (</w:t>
      </w:r>
      <w:r w:rsidR="009D456B">
        <w:t>Gillick Competence)</w:t>
      </w:r>
      <w:r w:rsidR="00007813">
        <w:t>. Th</w:t>
      </w:r>
      <w:r w:rsidR="00E10213">
        <w:t>is means that</w:t>
      </w:r>
      <w:r w:rsidR="00007813">
        <w:t xml:space="preserve"> in certain circumstances young people are able to make informed decisions about their own lives</w:t>
      </w:r>
      <w:r w:rsidR="009D456B">
        <w:t xml:space="preserve"> (NSPCC, 2022)</w:t>
      </w:r>
      <w:r w:rsidR="00007813">
        <w:t>.</w:t>
      </w:r>
      <w:r w:rsidR="00E10213">
        <w:t xml:space="preserve"> </w:t>
      </w:r>
      <w:r w:rsidR="00855009">
        <w:t>It is also important to remember that children have rights as set out in the United Nations Convention on the Rights of the Child (1992) which was brought into British legislation by the United Kingdom government.</w:t>
      </w:r>
      <w:r w:rsidR="00F15DEB">
        <w:t xml:space="preserve"> This includes a duty through Article 19 to protect children from violence. This must be taken into account when the safeguarding of children is to be considered.</w:t>
      </w:r>
    </w:p>
    <w:p w14:paraId="503FD357" w14:textId="45D97070" w:rsidR="00EB070B" w:rsidRDefault="00EB070B">
      <w:r>
        <w:t>430 words</w:t>
      </w:r>
    </w:p>
    <w:p w14:paraId="3C2D766E" w14:textId="37253AC5" w:rsidR="00AD166B" w:rsidRDefault="00AD166B"/>
    <w:p w14:paraId="2A4C651E" w14:textId="4FD009A9" w:rsidR="00AD166B" w:rsidRDefault="00AD166B"/>
    <w:p w14:paraId="7B0F8975" w14:textId="77777777" w:rsidR="00AD166B" w:rsidRDefault="00AD166B"/>
    <w:p w14:paraId="1F2EAD4D" w14:textId="1E9B5C6D" w:rsidR="00BB5759" w:rsidRDefault="00BB5759"/>
    <w:sectPr w:rsidR="00BB5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17F"/>
    <w:rsid w:val="00007813"/>
    <w:rsid w:val="00053269"/>
    <w:rsid w:val="001A4429"/>
    <w:rsid w:val="001D310A"/>
    <w:rsid w:val="001E32B9"/>
    <w:rsid w:val="001F08D6"/>
    <w:rsid w:val="00266BDD"/>
    <w:rsid w:val="0026779F"/>
    <w:rsid w:val="002F684D"/>
    <w:rsid w:val="003D1857"/>
    <w:rsid w:val="00461241"/>
    <w:rsid w:val="004A091B"/>
    <w:rsid w:val="00521188"/>
    <w:rsid w:val="00601076"/>
    <w:rsid w:val="006C1A96"/>
    <w:rsid w:val="00770F9F"/>
    <w:rsid w:val="00855009"/>
    <w:rsid w:val="00891C85"/>
    <w:rsid w:val="009D456B"/>
    <w:rsid w:val="009E4616"/>
    <w:rsid w:val="00A13C83"/>
    <w:rsid w:val="00A20119"/>
    <w:rsid w:val="00AD166B"/>
    <w:rsid w:val="00B25D6D"/>
    <w:rsid w:val="00B817E1"/>
    <w:rsid w:val="00BB5759"/>
    <w:rsid w:val="00BF3D1A"/>
    <w:rsid w:val="00CD617F"/>
    <w:rsid w:val="00CE4601"/>
    <w:rsid w:val="00E10213"/>
    <w:rsid w:val="00E31D9E"/>
    <w:rsid w:val="00EB070B"/>
    <w:rsid w:val="00F1161E"/>
    <w:rsid w:val="00F1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0D8F9"/>
  <w15:chartTrackingRefBased/>
  <w15:docId w15:val="{B95F72D2-E2B7-4649-89C6-7471CA22D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0F9F"/>
    <w:rPr>
      <w:color w:val="0000FF"/>
      <w:u w:val="single"/>
    </w:rPr>
  </w:style>
  <w:style w:type="character" w:styleId="FollowedHyperlink">
    <w:name w:val="FollowedHyperlink"/>
    <w:basedOn w:val="DefaultParagraphFont"/>
    <w:uiPriority w:val="99"/>
    <w:semiHidden/>
    <w:unhideWhenUsed/>
    <w:rsid w:val="00A13C83"/>
    <w:rPr>
      <w:color w:val="954F72" w:themeColor="followedHyperlink"/>
      <w:u w:val="single"/>
    </w:rPr>
  </w:style>
  <w:style w:type="character" w:customStyle="1" w:styleId="UnresolvedMention1">
    <w:name w:val="Unresolved Mention1"/>
    <w:basedOn w:val="DefaultParagraphFont"/>
    <w:uiPriority w:val="99"/>
    <w:semiHidden/>
    <w:unhideWhenUsed/>
    <w:rsid w:val="00BB5759"/>
    <w:rPr>
      <w:color w:val="605E5C"/>
      <w:shd w:val="clear" w:color="auto" w:fill="E1DFDD"/>
    </w:rPr>
  </w:style>
  <w:style w:type="character" w:styleId="UnresolvedMention">
    <w:name w:val="Unresolved Mention"/>
    <w:basedOn w:val="DefaultParagraphFont"/>
    <w:uiPriority w:val="99"/>
    <w:semiHidden/>
    <w:unhideWhenUsed/>
    <w:rsid w:val="00A20119"/>
    <w:rPr>
      <w:color w:val="605E5C"/>
      <w:shd w:val="clear" w:color="auto" w:fill="E1DFDD"/>
    </w:rPr>
  </w:style>
  <w:style w:type="character" w:styleId="Strong">
    <w:name w:val="Strong"/>
    <w:basedOn w:val="DefaultParagraphFont"/>
    <w:uiPriority w:val="22"/>
    <w:qFormat/>
    <w:rsid w:val="009D45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540C595597C64781B99700D84956F3" ma:contentTypeVersion="13" ma:contentTypeDescription="Create a new document." ma:contentTypeScope="" ma:versionID="68117c6e30267f9dad695080adc51637">
  <xsd:schema xmlns:xsd="http://www.w3.org/2001/XMLSchema" xmlns:xs="http://www.w3.org/2001/XMLSchema" xmlns:p="http://schemas.microsoft.com/office/2006/metadata/properties" xmlns:ns3="f6351a76-f196-4922-ae4d-6cd1f1c6a749" xmlns:ns4="ee4d76f2-b2a1-4907-b039-340525ef97e5" targetNamespace="http://schemas.microsoft.com/office/2006/metadata/properties" ma:root="true" ma:fieldsID="d98698f41eff072ac66cb1087368c3f2" ns3:_="" ns4:_="">
    <xsd:import namespace="f6351a76-f196-4922-ae4d-6cd1f1c6a749"/>
    <xsd:import namespace="ee4d76f2-b2a1-4907-b039-340525ef97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351a76-f196-4922-ae4d-6cd1f1c6a7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4d76f2-b2a1-4907-b039-340525ef97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57B849-B132-438D-BDDB-F532E26DDF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B4638F-C49B-429F-8EC9-994422F63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351a76-f196-4922-ae4d-6cd1f1c6a749"/>
    <ds:schemaRef ds:uri="ee4d76f2-b2a1-4907-b039-340525ef97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091CE4-CBC5-4FD5-8B8D-9431D71A09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sadler</dc:creator>
  <cp:keywords/>
  <dc:description/>
  <cp:lastModifiedBy>robin sadler</cp:lastModifiedBy>
  <cp:revision>3</cp:revision>
  <dcterms:created xsi:type="dcterms:W3CDTF">2023-02-25T14:17:00Z</dcterms:created>
  <dcterms:modified xsi:type="dcterms:W3CDTF">2023-02-25T14:18:00Z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0x010100E1540C595597C64781B99700D84956F3</vt:lpwstr>
  </property>
</Properties>
</file>