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default" w:ascii="Times New Roman" w:hAnsi="Times New Roman" w:cs="Times New Roman"/>
          <w:sz w:val="24"/>
          <w:szCs w:val="24"/>
        </w:rPr>
      </w:pPr>
      <w:r>
        <w:rPr>
          <w:rFonts w:hint="default" w:ascii="Times New Roman" w:hAnsi="Times New Roman" w:cs="Times New Roman"/>
          <w:sz w:val="24"/>
          <w:szCs w:val="24"/>
        </w:rPr>
        <w:t>Cultural dimensions</w:t>
      </w:r>
    </w:p>
    <w:p>
      <w:pPr>
        <w:pStyle w:val="3"/>
        <w:bidi w:val="0"/>
        <w:rPr>
          <w:rFonts w:hint="default" w:ascii="Times New Roman" w:hAnsi="Times New Roman" w:cs="Times New Roman"/>
          <w:sz w:val="24"/>
          <w:szCs w:val="24"/>
        </w:rPr>
      </w:pPr>
      <w:r>
        <w:rPr>
          <w:rFonts w:hint="default" w:ascii="Times New Roman" w:hAnsi="Times New Roman" w:cs="Times New Roman"/>
          <w:sz w:val="24"/>
          <w:szCs w:val="24"/>
        </w:rPr>
        <w:t>Hofstede's theory of cultural dimensions</w:t>
      </w:r>
    </w:p>
    <w:p>
      <w:pPr>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Hofstede believes that culture is a psychological process shared by people in an environment. It separates one group of people from the rest. Through research, he summarized the differences among different cultures into six basic dimensions of cultural values</w:t>
      </w:r>
      <w:r>
        <w:rPr>
          <w:rFonts w:hint="eastAsia" w:ascii="Times New Roman" w:hAnsi="Times New Roman" w:cs="Times New Roman"/>
          <w:sz w:val="24"/>
          <w:szCs w:val="24"/>
          <w:lang w:val="en-US" w:eastAsia="zh-CN"/>
        </w:rPr>
        <w:t>.</w:t>
      </w:r>
    </w:p>
    <w:p>
      <w:pPr>
        <w:rPr>
          <w:rFonts w:hint="default" w:ascii="Times New Roman" w:hAnsi="Times New Roman" w:cs="Times New Roman"/>
          <w:sz w:val="24"/>
          <w:szCs w:val="24"/>
        </w:rPr>
      </w:pPr>
      <w:r>
        <w:rPr>
          <w:rFonts w:hint="default" w:ascii="Times New Roman" w:hAnsi="Times New Roman" w:cs="Times New Roman"/>
          <w:sz w:val="24"/>
          <w:szCs w:val="24"/>
        </w:rPr>
        <w:t>Power Distance</w:t>
      </w:r>
    </w:p>
    <w:p>
      <w:pPr>
        <w:rPr>
          <w:rFonts w:hint="default" w:ascii="Times New Roman" w:hAnsi="Times New Roman" w:cs="Times New Roman"/>
          <w:sz w:val="24"/>
          <w:szCs w:val="24"/>
        </w:rPr>
      </w:pPr>
      <w:r>
        <w:rPr>
          <w:rFonts w:hint="default" w:ascii="Times New Roman" w:hAnsi="Times New Roman" w:cs="Times New Roman"/>
          <w:sz w:val="24"/>
          <w:szCs w:val="24"/>
        </w:rPr>
        <w:t>Power distance refers to the degree to which a society accepts unequal distribution of power in an organization. In the culture with too much power distance, subordinates have a strong attachment to their superiors while in the culture with too little power distance.</w:t>
      </w:r>
    </w:p>
    <w:p>
      <w:pPr>
        <w:rPr>
          <w:rFonts w:hint="default" w:ascii="Times New Roman" w:hAnsi="Times New Roman" w:cs="Times New Roman"/>
          <w:sz w:val="24"/>
          <w:szCs w:val="24"/>
        </w:rPr>
      </w:pPr>
      <w:r>
        <w:rPr>
          <w:rFonts w:hint="default" w:ascii="Times New Roman" w:hAnsi="Times New Roman" w:cs="Times New Roman"/>
          <w:sz w:val="24"/>
          <w:szCs w:val="24"/>
        </w:rPr>
        <w:t>The power distance of each country is shown in Figure 1.</w:t>
      </w:r>
    </w:p>
    <w:p>
      <w:pPr>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1769110" cy="2284095"/>
            <wp:effectExtent l="0" t="0" r="13970" b="1905"/>
            <wp:docPr id="4" name="内容占位符 3" descr="微信图片_2021110508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内容占位符 3" descr="微信图片_20211105085321"/>
                    <pic:cNvPicPr>
                      <a:picLocks noChangeAspect="1"/>
                    </pic:cNvPicPr>
                  </pic:nvPicPr>
                  <pic:blipFill>
                    <a:blip r:embed="rId4"/>
                    <a:stretch>
                      <a:fillRect/>
                    </a:stretch>
                  </pic:blipFill>
                  <pic:spPr>
                    <a:xfrm>
                      <a:off x="0" y="0"/>
                      <a:ext cx="1769110" cy="2284095"/>
                    </a:xfrm>
                    <a:prstGeom prst="rect">
                      <a:avLst/>
                    </a:prstGeom>
                    <a:noFill/>
                    <a:ln w="9525">
                      <a:noFill/>
                    </a:ln>
                  </pic:spPr>
                </pic:pic>
              </a:graphicData>
            </a:graphic>
          </wp:inline>
        </w:drawing>
      </w:r>
    </w:p>
    <w:p>
      <w:pPr>
        <w:rPr>
          <w:rFonts w:hint="default" w:ascii="Times New Roman" w:hAnsi="Times New Roman" w:cs="Times New Roman"/>
          <w:i w:val="0"/>
          <w:iCs w:val="0"/>
          <w:sz w:val="24"/>
          <w:szCs w:val="24"/>
        </w:rPr>
      </w:pPr>
      <w:r>
        <w:rPr>
          <w:rFonts w:hint="default" w:ascii="Times New Roman" w:hAnsi="Times New Roman" w:cs="Times New Roman"/>
          <w:b w:val="0"/>
          <w:bCs w:val="0"/>
          <w:i w:val="0"/>
          <w:iCs w:val="0"/>
          <w:color w:val="000000" w:themeColor="text1"/>
          <w:sz w:val="24"/>
          <w:szCs w:val="24"/>
          <w:lang w:val="en-US" w:eastAsia="zh-CN"/>
          <w14:textFill>
            <w14:solidFill>
              <w14:schemeClr w14:val="tx1"/>
            </w14:solidFill>
          </w14:textFill>
        </w:rPr>
        <w:t>Pic 1.</w:t>
      </w:r>
      <w:r>
        <w:rPr>
          <w:rFonts w:hint="default" w:ascii="Times New Roman" w:hAnsi="Times New Roman" w:cs="Times New Roman"/>
          <w:b w:val="0"/>
          <w:bCs w:val="0"/>
          <w:i w:val="0"/>
          <w:iCs w:val="0"/>
          <w:color w:val="000000" w:themeColor="text1"/>
          <w:sz w:val="24"/>
          <w:szCs w:val="24"/>
          <w14:textFill>
            <w14:solidFill>
              <w14:schemeClr w14:val="tx1"/>
            </w14:solidFill>
          </w14:textFill>
        </w:rPr>
        <w:t>Culture and organizations: software of the mindHofstede,Geert(2012)</w:t>
      </w:r>
    </w:p>
    <w:p>
      <w:pPr>
        <w:rPr>
          <w:rFonts w:hint="default" w:ascii="Times New Roman" w:hAnsi="Times New Roman" w:cs="Times New Roman"/>
          <w:sz w:val="24"/>
          <w:szCs w:val="24"/>
        </w:rPr>
      </w:pPr>
      <w:r>
        <w:rPr>
          <w:rFonts w:hint="default" w:ascii="Times New Roman" w:hAnsi="Times New Roman" w:cs="Times New Roman"/>
          <w:sz w:val="24"/>
          <w:szCs w:val="24"/>
        </w:rPr>
        <w:t>uncertainty avoidance</w:t>
      </w:r>
    </w:p>
    <w:p>
      <w:pPr>
        <w:rPr>
          <w:rFonts w:hint="default" w:ascii="Times New Roman" w:hAnsi="Times New Roman" w:cs="Times New Roman"/>
          <w:sz w:val="24"/>
          <w:szCs w:val="24"/>
        </w:rPr>
      </w:pPr>
      <w:r>
        <w:rPr>
          <w:rFonts w:hint="default" w:ascii="Times New Roman" w:hAnsi="Times New Roman" w:cs="Times New Roman"/>
          <w:sz w:val="24"/>
          <w:szCs w:val="24"/>
        </w:rPr>
        <w:t>It refers to the degree to which people in a country prefer structured scenarios to unstructured scenarios</w:t>
      </w:r>
    </w:p>
    <w:p>
      <w:pPr>
        <w:rPr>
          <w:rFonts w:hint="default" w:ascii="Times New Roman" w:hAnsi="Times New Roman" w:cs="Times New Roman"/>
          <w:sz w:val="24"/>
          <w:szCs w:val="24"/>
        </w:rPr>
      </w:pPr>
      <w:r>
        <w:rPr>
          <w:rFonts w:hint="default" w:ascii="Times New Roman" w:hAnsi="Times New Roman" w:cs="Times New Roman"/>
          <w:sz w:val="24"/>
          <w:szCs w:val="24"/>
        </w:rPr>
        <w:t>individualism and collectivism</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It refers to the degree to which individuals identify with and value organizational relationships. </w:t>
      </w:r>
    </w:p>
    <w:p>
      <w:pPr>
        <w:rPr>
          <w:rFonts w:hint="default" w:ascii="Times New Roman" w:hAnsi="Times New Roman" w:cs="Times New Roman"/>
          <w:sz w:val="24"/>
          <w:szCs w:val="24"/>
        </w:rPr>
      </w:pPr>
      <w:r>
        <w:rPr>
          <w:rFonts w:hint="default" w:ascii="Times New Roman" w:hAnsi="Times New Roman" w:cs="Times New Roman"/>
          <w:sz w:val="24"/>
          <w:szCs w:val="24"/>
        </w:rPr>
        <w:t>masculinity and femininity</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It refers to two different temperaments such as masculinity, which values power and control over social behavior more than women.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long-term orientation and short-term orientation</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 It refers to the degree to which a country values long-term and short-term interests. For example, countries that value long-term interests pay more attention to long-term interests and persistence while short-term countries pay more attention to immediate value orientation.</w:t>
      </w:r>
    </w:p>
    <w:p>
      <w:pPr>
        <w:rPr>
          <w:rFonts w:hint="default" w:ascii="Times New Roman" w:hAnsi="Times New Roman" w:cs="Times New Roman"/>
          <w:sz w:val="24"/>
          <w:szCs w:val="24"/>
        </w:rPr>
      </w:pPr>
      <w:r>
        <w:rPr>
          <w:rFonts w:hint="default" w:ascii="Times New Roman" w:hAnsi="Times New Roman" w:cs="Times New Roman"/>
          <w:sz w:val="24"/>
          <w:szCs w:val="24"/>
        </w:rPr>
        <w:t>self-indulgence and restraint</w:t>
      </w:r>
    </w:p>
    <w:p>
      <w:pPr>
        <w:rPr>
          <w:rFonts w:hint="default" w:ascii="Times New Roman" w:hAnsi="Times New Roman" w:cs="Times New Roman"/>
          <w:sz w:val="24"/>
          <w:szCs w:val="24"/>
        </w:rPr>
      </w:pPr>
      <w:r>
        <w:rPr>
          <w:rFonts w:hint="default" w:ascii="Times New Roman" w:hAnsi="Times New Roman" w:cs="Times New Roman"/>
          <w:sz w:val="24"/>
          <w:szCs w:val="24"/>
        </w:rPr>
        <w:t>It refers to the influence of a society's culture on people, as opposed to self-restraint or self-indulgence</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pStyle w:val="2"/>
        <w:bidi w:val="0"/>
        <w:rPr>
          <w:rFonts w:hint="default" w:ascii="Times New Roman" w:hAnsi="Times New Roman" w:cs="Times New Roman"/>
          <w:sz w:val="24"/>
          <w:szCs w:val="24"/>
        </w:rPr>
      </w:pPr>
      <w:r>
        <w:rPr>
          <w:rFonts w:hint="default" w:ascii="Times New Roman" w:hAnsi="Times New Roman" w:cs="Times New Roman"/>
          <w:sz w:val="24"/>
          <w:szCs w:val="24"/>
        </w:rPr>
        <w:t>Causes of communication failure and solutions</w:t>
      </w:r>
    </w:p>
    <w:p>
      <w:pPr>
        <w:pStyle w:val="3"/>
        <w:bidi w:val="0"/>
        <w:rPr>
          <w:rFonts w:hint="default" w:ascii="Times New Roman" w:hAnsi="Times New Roman" w:cs="Times New Roman"/>
          <w:sz w:val="24"/>
          <w:szCs w:val="24"/>
        </w:rPr>
      </w:pPr>
      <w:r>
        <w:rPr>
          <w:rFonts w:hint="default" w:ascii="Times New Roman" w:hAnsi="Times New Roman" w:cs="Times New Roman"/>
          <w:sz w:val="24"/>
          <w:szCs w:val="24"/>
        </w:rPr>
        <w:t xml:space="preserve">Disability </w:t>
      </w:r>
    </w:p>
    <w:p>
      <w:pPr>
        <w:rPr>
          <w:rFonts w:hint="default" w:ascii="Times New Roman" w:hAnsi="Times New Roman" w:cs="Times New Roman"/>
          <w:sz w:val="24"/>
          <w:szCs w:val="24"/>
        </w:rPr>
      </w:pPr>
      <w:r>
        <w:rPr>
          <w:rFonts w:hint="default" w:ascii="Times New Roman" w:hAnsi="Times New Roman" w:cs="Times New Roman"/>
          <w:sz w:val="24"/>
          <w:szCs w:val="24"/>
        </w:rPr>
        <w:t>If the company expands into Russia. When communicating with the company, the partner is deaf and mute. Because the sign language is different from country to country, direct video communication may fail due to the different information conveyed by body language. Companies can try to communicate by letter or email. To avoid this kind of failure.</w:t>
      </w:r>
    </w:p>
    <w:p>
      <w:pPr>
        <w:rPr>
          <w:rFonts w:hint="default" w:ascii="Times New Roman" w:hAnsi="Times New Roman" w:cs="Times New Roman"/>
          <w:sz w:val="24"/>
          <w:szCs w:val="24"/>
        </w:rPr>
      </w:pPr>
      <w:bookmarkStart w:id="0" w:name="_GoBack"/>
      <w:bookmarkEnd w:id="0"/>
    </w:p>
    <w:p>
      <w:pPr>
        <w:pStyle w:val="3"/>
        <w:bidi w:val="0"/>
        <w:rPr>
          <w:rFonts w:hint="default" w:ascii="Times New Roman" w:hAnsi="Times New Roman" w:cs="Times New Roman"/>
          <w:sz w:val="24"/>
          <w:szCs w:val="24"/>
        </w:rPr>
      </w:pPr>
      <w:r>
        <w:rPr>
          <w:rFonts w:hint="default" w:ascii="Times New Roman" w:hAnsi="Times New Roman" w:cs="Times New Roman"/>
          <w:sz w:val="24"/>
          <w:szCs w:val="24"/>
        </w:rPr>
        <w:t>Lack of interest</w:t>
      </w:r>
    </w:p>
    <w:p>
      <w:pPr>
        <w:rPr>
          <w:rFonts w:hint="default" w:ascii="Times New Roman" w:hAnsi="Times New Roman" w:cs="Times New Roman"/>
          <w:sz w:val="24"/>
          <w:szCs w:val="24"/>
        </w:rPr>
      </w:pPr>
      <w:r>
        <w:rPr>
          <w:rFonts w:hint="default" w:ascii="Times New Roman" w:hAnsi="Times New Roman" w:cs="Times New Roman"/>
          <w:sz w:val="24"/>
          <w:szCs w:val="24"/>
        </w:rPr>
        <w:t>Different regulatory regimes lead to attitudes towards communication</w:t>
      </w:r>
      <w:r>
        <w:rPr>
          <w:rFonts w:hint="eastAsia" w:ascii="Times New Roman" w:hAnsi="Times New Roman" w:cs="Times New Roman"/>
          <w:sz w:val="24"/>
          <w:szCs w:val="24"/>
          <w:lang w:val="en-US" w:eastAsia="zh-CN"/>
        </w:rPr>
        <w:t>.(</w:t>
      </w:r>
      <w:r>
        <w:rPr>
          <w:rFonts w:hint="default" w:ascii="Times New Roman" w:hAnsi="Times New Roman" w:eastAsia="Helvetica" w:cs="Times New Roman"/>
          <w:i w:val="0"/>
          <w:iCs w:val="0"/>
          <w:caps w:val="0"/>
          <w:color w:val="auto"/>
          <w:spacing w:val="0"/>
          <w:sz w:val="24"/>
          <w:szCs w:val="24"/>
          <w:shd w:val="clear" w:fill="FFFFFF"/>
        </w:rPr>
        <w:t>Harvey Jassem and Susan J. Drucker</w:t>
      </w:r>
      <w:r>
        <w:rPr>
          <w:rFonts w:hint="default" w:ascii="Times New Roman" w:hAnsi="Times New Roman" w:eastAsia="宋体" w:cs="Times New Roman"/>
          <w:i w:val="0"/>
          <w:iCs w:val="0"/>
          <w:caps w:val="0"/>
          <w:color w:val="auto"/>
          <w:spacing w:val="0"/>
          <w:sz w:val="24"/>
          <w:szCs w:val="24"/>
          <w:shd w:val="clear" w:fill="FFFFFF"/>
          <w:lang w:val="en-US" w:eastAsia="zh-CN"/>
        </w:rPr>
        <w:t>,2018</w:t>
      </w:r>
      <w:r>
        <w:rPr>
          <w:rFonts w:hint="eastAsia" w:ascii="Helvetica" w:hAnsi="Helvetica" w:eastAsia="宋体" w:cs="Helvetica"/>
          <w:i w:val="0"/>
          <w:iCs w:val="0"/>
          <w:caps w:val="0"/>
          <w:color w:val="555555"/>
          <w:spacing w:val="0"/>
          <w:sz w:val="18"/>
          <w:szCs w:val="18"/>
          <w:shd w:val="clear" w:fill="FFFFFF"/>
          <w:lang w:val="en-US" w:eastAsia="zh-CN"/>
        </w:rPr>
        <w:t>)</w:t>
      </w:r>
      <w:r>
        <w:rPr>
          <w:rFonts w:hint="default" w:ascii="Times New Roman" w:hAnsi="Times New Roman" w:cs="Times New Roman"/>
          <w:sz w:val="24"/>
          <w:szCs w:val="24"/>
        </w:rPr>
        <w:t xml:space="preserve"> Russian partners are deaf people direct video communication may fail because of the different messages conveyed by body language.</w:t>
      </w:r>
      <w:r>
        <w:rPr>
          <w:rFonts w:hint="eastAsia" w:ascii="Times New Roman" w:hAnsi="Times New Roman" w:cs="Times New Roman"/>
          <w:sz w:val="24"/>
          <w:szCs w:val="24"/>
          <w:lang w:val="en-US" w:eastAsia="zh-CN"/>
        </w:rPr>
        <w:t>Use word just mean what it means.(</w:t>
      </w:r>
      <w:r>
        <w:rPr>
          <w:rFonts w:hint="default" w:ascii="Times New Roman" w:hAnsi="Times New Roman" w:eastAsia="Helvetica" w:cs="Times New Roman"/>
          <w:b w:val="0"/>
          <w:bCs w:val="0"/>
          <w:i w:val="0"/>
          <w:iCs w:val="0"/>
          <w:caps w:val="0"/>
          <w:color w:val="000000" w:themeColor="text1"/>
          <w:spacing w:val="0"/>
          <w:sz w:val="24"/>
          <w:szCs w:val="24"/>
          <w:shd w:val="clear" w:fill="FFFFFF"/>
          <w14:textFill>
            <w14:solidFill>
              <w14:schemeClr w14:val="tx1"/>
            </w14:solidFill>
          </w14:textFill>
        </w:rPr>
        <w:t>Agarwal, Anurag K</w:t>
      </w:r>
      <w:r>
        <w:rPr>
          <w:rFonts w:hint="eastAsia"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,2019)</w:t>
      </w:r>
      <w:r>
        <w:rPr>
          <w:rFonts w:hint="default" w:ascii="Times New Roman" w:hAnsi="Times New Roman" w:cs="Times New Roman"/>
          <w:sz w:val="24"/>
          <w:szCs w:val="24"/>
        </w:rPr>
        <w:t>Companies can try to communicate by letter or email. To avoid this kind of failure.</w:t>
      </w:r>
    </w:p>
    <w:p>
      <w:pPr>
        <w:pStyle w:val="3"/>
        <w:bidi w:val="0"/>
        <w:rPr>
          <w:rFonts w:hint="default" w:ascii="Times New Roman" w:hAnsi="Times New Roman" w:cs="Times New Roman"/>
          <w:sz w:val="24"/>
          <w:szCs w:val="24"/>
        </w:rPr>
      </w:pPr>
      <w:r>
        <w:rPr>
          <w:rFonts w:hint="default" w:ascii="Times New Roman" w:hAnsi="Times New Roman" w:cs="Times New Roman"/>
          <w:sz w:val="24"/>
          <w:szCs w:val="24"/>
        </w:rPr>
        <w:t>Physical distance</w:t>
      </w:r>
    </w:p>
    <w:p>
      <w:pPr>
        <w:rPr>
          <w:rFonts w:hint="default" w:ascii="Times New Roman" w:hAnsi="Times New Roman" w:cs="Times New Roman"/>
          <w:sz w:val="24"/>
          <w:szCs w:val="24"/>
        </w:rPr>
      </w:pPr>
      <w:r>
        <w:rPr>
          <w:rFonts w:hint="default" w:ascii="Times New Roman" w:hAnsi="Times New Roman" w:cs="Times New Roman"/>
          <w:sz w:val="24"/>
          <w:szCs w:val="24"/>
        </w:rPr>
        <w:t>The time difference between Hong Kong and the UK is eight hours. Failure to deliver information in a timely manner will result in failure.</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The rise of remote work depends on an increasing reliance on electronic communication. </w:t>
      </w:r>
      <w:r>
        <w:rPr>
          <w:rFonts w:hint="eastAsia" w:ascii="Times New Roman" w:hAnsi="Times New Roman" w:cs="Times New Roman"/>
          <w:sz w:val="24"/>
          <w:szCs w:val="24"/>
          <w:lang w:val="en-US" w:eastAsia="zh-CN"/>
        </w:rPr>
        <w:t>(</w:t>
      </w:r>
      <w:r>
        <w:rPr>
          <w:rFonts w:hint="default" w:ascii="Times New Roman" w:hAnsi="Times New Roman" w:cs="Times New Roman"/>
          <w:b w:val="0"/>
          <w:bCs w:val="0"/>
          <w:color w:val="000000" w:themeColor="text1"/>
          <w:sz w:val="24"/>
          <w:szCs w:val="24"/>
          <w14:textFill>
            <w14:solidFill>
              <w14:schemeClr w14:val="tx1"/>
            </w14:solidFill>
          </w14:textFill>
        </w:rPr>
        <w:t xml:space="preserve">Richard R Reilly,Karen Sobel Lojeski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2020)</w:t>
      </w:r>
      <w:r>
        <w:rPr>
          <w:rFonts w:hint="default" w:ascii="Times New Roman" w:hAnsi="Times New Roman" w:cs="Times New Roman"/>
          <w:sz w:val="24"/>
          <w:szCs w:val="24"/>
        </w:rPr>
        <w:t>Companies can communicate their ideas directly to partners via email or phone, regardless of distance.</w:t>
      </w:r>
    </w:p>
    <w:p>
      <w:pPr>
        <w:pStyle w:val="3"/>
        <w:bidi w:val="0"/>
        <w:rPr>
          <w:rFonts w:hint="default" w:ascii="Times New Roman" w:hAnsi="Times New Roman" w:cs="Times New Roman"/>
          <w:sz w:val="24"/>
          <w:szCs w:val="24"/>
        </w:rPr>
      </w:pPr>
      <w:r>
        <w:rPr>
          <w:rFonts w:hint="default" w:ascii="Times New Roman" w:hAnsi="Times New Roman" w:cs="Times New Roman"/>
          <w:sz w:val="24"/>
          <w:szCs w:val="24"/>
        </w:rPr>
        <w:t>Too many questions</w:t>
      </w:r>
    </w:p>
    <w:p>
      <w:pPr>
        <w:rPr>
          <w:rFonts w:hint="default" w:ascii="Times New Roman" w:hAnsi="Times New Roman" w:cs="Times New Roman"/>
          <w:sz w:val="24"/>
          <w:szCs w:val="24"/>
        </w:rPr>
      </w:pPr>
      <w:r>
        <w:rPr>
          <w:rFonts w:hint="default" w:ascii="Times New Roman" w:hAnsi="Times New Roman" w:cs="Times New Roman"/>
          <w:sz w:val="24"/>
          <w:szCs w:val="24"/>
        </w:rPr>
        <w:t>As Hong Kong is a country with a high power distance, some subordinates may rely too much on their superiors. Too long a communication process will lead to the passing of core words.</w:t>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Recognize</w:t>
      </w:r>
      <w:r>
        <w:rPr>
          <w:rFonts w:hint="default" w:ascii="Times New Roman" w:hAnsi="Times New Roman" w:cs="Times New Roman"/>
          <w:sz w:val="24"/>
          <w:szCs w:val="24"/>
        </w:rPr>
        <w:t xml:space="preserve"> the </w:t>
      </w:r>
      <w:r>
        <w:rPr>
          <w:rFonts w:hint="default" w:ascii="Times New Roman" w:hAnsi="Times New Roman" w:cs="Times New Roman"/>
          <w:sz w:val="24"/>
          <w:szCs w:val="24"/>
          <w:lang w:val="en-US" w:eastAsia="zh-CN"/>
        </w:rPr>
        <w:t xml:space="preserve">significance </w:t>
      </w:r>
      <w:r>
        <w:rPr>
          <w:rFonts w:hint="default" w:ascii="Times New Roman" w:hAnsi="Times New Roman" w:cs="Times New Roman"/>
          <w:sz w:val="24"/>
          <w:szCs w:val="24"/>
        </w:rPr>
        <w:t>of words and their meanings</w:t>
      </w:r>
      <w:r>
        <w:rPr>
          <w:rFonts w:hint="default" w:ascii="Times New Roman" w:hAnsi="Times New Roman" w:cs="Times New Roman"/>
          <w:sz w:val="24"/>
          <w:szCs w:val="24"/>
          <w:lang w:val="en-US" w:eastAsia="zh-CN"/>
        </w:rPr>
        <w:t>.(</w:t>
      </w:r>
      <w:r>
        <w:rPr>
          <w:rFonts w:hint="default" w:ascii="Times New Roman" w:hAnsi="Times New Roman" w:eastAsia="Helvetica" w:cs="Times New Roman"/>
          <w:b w:val="0"/>
          <w:bCs w:val="0"/>
          <w:i w:val="0"/>
          <w:iCs w:val="0"/>
          <w:caps w:val="0"/>
          <w:color w:val="000000" w:themeColor="text1"/>
          <w:spacing w:val="0"/>
          <w:sz w:val="24"/>
          <w:szCs w:val="24"/>
          <w:shd w:val="clear" w:fill="FFFFFF"/>
          <w14:textFill>
            <w14:solidFill>
              <w14:schemeClr w14:val="tx1"/>
            </w14:solidFill>
          </w14:textFill>
        </w:rPr>
        <w:t>Polack, L 2020</w:t>
      </w: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sz w:val="24"/>
          <w:szCs w:val="24"/>
        </w:rPr>
        <w:t xml:space="preserve"> </w:t>
      </w:r>
      <w:r>
        <w:rPr>
          <w:rFonts w:hint="default" w:ascii="Times New Roman" w:hAnsi="Times New Roman" w:cs="Times New Roman"/>
          <w:color w:val="0000FF"/>
          <w:sz w:val="24"/>
          <w:szCs w:val="24"/>
        </w:rPr>
        <w:t>There is a huge difference between Chinese and English. Both sides may have too many problems due to misunderstanding. Translation software on the computer can be used to help understand.</w:t>
      </w:r>
      <w:r>
        <w:rPr>
          <w:rFonts w:hint="eastAsia" w:ascii="Times New Roman" w:hAnsi="Times New Roman" w:cs="Times New Roman"/>
          <w:color w:val="0000FF"/>
          <w:sz w:val="24"/>
          <w:szCs w:val="24"/>
          <w:lang w:val="en-US" w:eastAsia="zh-CN"/>
        </w:rPr>
        <w:t xml:space="preserve">There was shift from using computers to check for correct/incorrect answers.( </w:t>
      </w:r>
      <w:r>
        <w:rPr>
          <w:rFonts w:hint="default" w:ascii="Times New Roman" w:hAnsi="Times New Roman" w:eastAsia="Helvetica" w:cs="Times New Roman"/>
          <w:i w:val="0"/>
          <w:iCs w:val="0"/>
          <w:caps w:val="0"/>
          <w:color w:val="0000FF"/>
          <w:spacing w:val="0"/>
          <w:sz w:val="24"/>
          <w:szCs w:val="24"/>
          <w:shd w:val="clear" w:fill="FFFFFF"/>
        </w:rPr>
        <w:t>Zielonka, A.2017</w:t>
      </w:r>
      <w:r>
        <w:rPr>
          <w:rFonts w:hint="eastAsia" w:ascii="Times New Roman" w:hAnsi="Times New Roman" w:eastAsia="宋体" w:cs="Times New Roman"/>
          <w:i w:val="0"/>
          <w:iCs w:val="0"/>
          <w:caps w:val="0"/>
          <w:color w:val="0000FF"/>
          <w:spacing w:val="0"/>
          <w:sz w:val="24"/>
          <w:szCs w:val="24"/>
          <w:shd w:val="clear" w:fill="FFFFFF"/>
          <w:lang w:val="en-US" w:eastAsia="zh-CN"/>
        </w:rPr>
        <w:t>)</w:t>
      </w:r>
      <w:r>
        <w:rPr>
          <w:rFonts w:hint="default" w:ascii="Times New Roman" w:hAnsi="Times New Roman" w:cs="Times New Roman"/>
          <w:sz w:val="24"/>
          <w:szCs w:val="24"/>
        </w:rPr>
        <w:t>In the early stage of cooperation, the company can also directly express the details to the Partner in Hong Kong</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p>
    <w:p>
      <w:pPr>
        <w:rPr>
          <w:rFonts w:hint="default"/>
        </w:rPr>
      </w:pPr>
    </w:p>
    <w:p>
      <w:pPr>
        <w:rPr>
          <w:rFonts w:hint="default" w:ascii="Times New Roman" w:hAnsi="Times New Roman" w:cs="Times New Roman"/>
          <w:b w:val="0"/>
          <w:bCs w:val="0"/>
          <w:i/>
          <w:iCs/>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Richard R Reilly,Karen Sobel Lojeski (2020),T</w:t>
      </w:r>
      <w:r>
        <w:rPr>
          <w:rFonts w:hint="default" w:ascii="Times New Roman" w:hAnsi="Times New Roman" w:cs="Times New Roman"/>
          <w:b w:val="0"/>
          <w:bCs w:val="0"/>
          <w:i/>
          <w:iCs/>
          <w:color w:val="000000" w:themeColor="text1"/>
          <w:sz w:val="24"/>
          <w:szCs w:val="24"/>
          <w14:textFill>
            <w14:solidFill>
              <w14:schemeClr w14:val="tx1"/>
            </w14:solidFill>
          </w14:textFill>
        </w:rPr>
        <w:t>he Power of Virtual Distance : A Guide to Productivity and Happiness in the Age of Remote Work</w:t>
      </w:r>
    </w:p>
    <w:p>
      <w:pPr>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Hofstede, G. et al. (2010) </w:t>
      </w:r>
      <w:r>
        <w:rPr>
          <w:rFonts w:hint="default" w:ascii="Times New Roman" w:hAnsi="Times New Roman" w:eastAsia="Helvetica" w:cs="Times New Roman"/>
          <w:i/>
          <w:iCs/>
          <w:caps w:val="0"/>
          <w:color w:val="000000" w:themeColor="text1"/>
          <w:spacing w:val="0"/>
          <w:sz w:val="24"/>
          <w:szCs w:val="24"/>
          <w:shd w:val="clear" w:fill="FFFFFF"/>
          <w14:textFill>
            <w14:solidFill>
              <w14:schemeClr w14:val="tx1"/>
            </w14:solidFill>
          </w14:textFill>
        </w:rPr>
        <w:t>Cultures and organizations : software of the mind</w:t>
      </w: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 Third edition. New York: McGraw-Hill.</w:t>
      </w:r>
      <w:r>
        <w:rPr>
          <w:rFonts w:hint="default" w:ascii="Times New Roman" w:hAnsi="Times New Roman" w:cs="Times New Roman"/>
          <w:b w:val="0"/>
          <w:bCs w:val="0"/>
          <w:color w:val="000000" w:themeColor="text1"/>
          <w:sz w:val="24"/>
          <w:szCs w:val="24"/>
          <w14:textFill>
            <w14:solidFill>
              <w14:schemeClr w14:val="tx1"/>
            </w14:solidFill>
          </w14:textFill>
        </w:rPr>
        <w:t>p318</w:t>
      </w:r>
    </w:p>
    <w:p>
      <w:pPr>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Polack, L. (2020) </w:t>
      </w:r>
      <w:r>
        <w:rPr>
          <w:rFonts w:hint="default" w:ascii="Times New Roman" w:hAnsi="Times New Roman" w:eastAsia="Helvetica" w:cs="Times New Roman"/>
          <w:i/>
          <w:iCs/>
          <w:caps w:val="0"/>
          <w:color w:val="000000" w:themeColor="text1"/>
          <w:spacing w:val="0"/>
          <w:sz w:val="24"/>
          <w:szCs w:val="24"/>
          <w:shd w:val="clear" w:fill="FFFFFF"/>
          <w14:textFill>
            <w14:solidFill>
              <w14:schemeClr w14:val="tx1"/>
            </w14:solidFill>
          </w14:textFill>
        </w:rPr>
        <w:t>Communicating effectively in the workforce</w:t>
      </w: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 Hoboken, New Jersey: John Wiley &amp; Sons</w:t>
      </w:r>
    </w:p>
    <w:p>
      <w:pPr>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Jassem, H. &amp; Drucker, S. J. (2017) </w:t>
      </w:r>
      <w:r>
        <w:rPr>
          <w:rFonts w:hint="default" w:ascii="Times New Roman" w:hAnsi="Times New Roman" w:eastAsia="Helvetica" w:cs="Times New Roman"/>
          <w:i/>
          <w:iCs/>
          <w:caps w:val="0"/>
          <w:color w:val="000000" w:themeColor="text1"/>
          <w:spacing w:val="0"/>
          <w:sz w:val="24"/>
          <w:szCs w:val="24"/>
          <w:shd w:val="clear" w:fill="FFFFFF"/>
          <w14:textFill>
            <w14:solidFill>
              <w14:schemeClr w14:val="tx1"/>
            </w14:solidFill>
          </w14:textFill>
        </w:rPr>
        <w:t>Urban communication regulations : communication freedoms and limits</w:t>
      </w: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 New York, [New York: Peter Lang.</w:t>
      </w:r>
    </w:p>
    <w:p>
      <w:pPr>
        <w:rPr>
          <w:rFonts w:hint="default" w:ascii="Times New Roman" w:hAnsi="Times New Roman" w:eastAsia="Helvetica" w:cs="Times New Roman"/>
          <w:b w:val="0"/>
          <w:bCs w:val="0"/>
          <w:i w:val="0"/>
          <w:iCs w:val="0"/>
          <w:caps w:val="0"/>
          <w:color w:val="000000" w:themeColor="text1"/>
          <w:spacing w:val="0"/>
          <w:sz w:val="24"/>
          <w:szCs w:val="24"/>
          <w:shd w:val="clear" w:fill="FFFFFF"/>
          <w14:textFill>
            <w14:solidFill>
              <w14:schemeClr w14:val="tx1"/>
            </w14:solidFill>
          </w14:textFill>
        </w:rPr>
      </w:pPr>
    </w:p>
    <w:p>
      <w:pP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pP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Agarwal, A. K. (2019) </w:t>
      </w:r>
      <w:r>
        <w:rPr>
          <w:rFonts w:hint="default" w:ascii="Times New Roman" w:hAnsi="Times New Roman" w:eastAsia="Helvetica" w:cs="Times New Roman"/>
          <w:i/>
          <w:iCs/>
          <w:caps w:val="0"/>
          <w:color w:val="000000" w:themeColor="text1"/>
          <w:spacing w:val="0"/>
          <w:sz w:val="24"/>
          <w:szCs w:val="24"/>
          <w:shd w:val="clear" w:fill="FFFFFF"/>
          <w14:textFill>
            <w14:solidFill>
              <w14:schemeClr w14:val="tx1"/>
            </w14:solidFill>
          </w14:textFill>
        </w:rPr>
        <w:t>Legal Language and Business Communication</w:t>
      </w: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 1st ed. 2019. [Online]. Singapore: Springer Singapore.</w:t>
      </w:r>
    </w:p>
    <w:p>
      <w:pP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pPr>
    </w:p>
    <w:p>
      <w:pP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pPr>
    </w:p>
    <w:p>
      <w:pP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pP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 xml:space="preserve">  Zielonka, A. (2017) Data-driven problem-solving in international business communication : examining the use of bilingual web-based tools for text production with advanced English as a foreign language professionals. Frankfurt am Main, [Germany] ;: Peter Lang.</w:t>
      </w:r>
    </w:p>
    <w:p>
      <w:pP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pPr>
    </w:p>
    <w:p>
      <w:pP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w:t>
      </w:r>
    </w:p>
    <w:p>
      <w:pP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imesnewroma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95439"/>
    <w:rsid w:val="1C497ED5"/>
    <w:rsid w:val="3C55652B"/>
    <w:rsid w:val="3F093465"/>
    <w:rsid w:val="61954917"/>
    <w:rsid w:val="65B24B0E"/>
    <w:rsid w:val="7400774F"/>
    <w:rsid w:val="7F8112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7"/>
    <w:unhideWhenUsed/>
    <w:qFormat/>
    <w:uiPriority w:val="0"/>
    <w:pPr>
      <w:keepNext/>
      <w:keepLines/>
      <w:spacing w:before="260" w:beforeLines="0" w:beforeAutospacing="0" w:after="260" w:afterLines="0" w:afterAutospacing="0" w:line="413" w:lineRule="auto"/>
      <w:outlineLvl w:val="1"/>
    </w:pPr>
    <w:rPr>
      <w:rFonts w:ascii="Times New Roman" w:hAnsi="Times New Roman" w:eastAsia="Timesnewroman"/>
      <w:b/>
      <w:sz w:val="2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6">
    <w:name w:val="Hyperlink"/>
    <w:basedOn w:val="5"/>
    <w:qFormat/>
    <w:uiPriority w:val="0"/>
    <w:rPr>
      <w:color w:val="0000FF"/>
      <w:u w:val="single"/>
    </w:rPr>
  </w:style>
  <w:style w:type="character" w:customStyle="1" w:styleId="7">
    <w:name w:val="标题 2 Char"/>
    <w:link w:val="3"/>
    <w:qFormat/>
    <w:uiPriority w:val="0"/>
    <w:rPr>
      <w:rFonts w:ascii="Times New Roman" w:hAnsi="Times New Roman" w:eastAsia="Timesnewroman"/>
      <w:b/>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Office_11.1.0.10502_F1E327BC-269C-435d-A152-05C5408002CA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艺罅</cp:lastModifiedBy>
  <dcterms:modified xsi:type="dcterms:W3CDTF">2021-11-22T07:02:59Z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2052-11.1.0.10502</vt:lpwstr>
  </property>
  <property fmtid="{D5CDD505-2E9C-101B-9397-08002B2CF9AE}" pid="3" name="ICV">
    <vt:lpwstr>B069187A9F0F4D79B84E815C55FFD8EF</vt:lpwstr>
  </property>
</Properties>
</file>