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D4EE8" w14:textId="77777777" w:rsidR="00476A55" w:rsidRDefault="00476A55" w:rsidP="00476A55">
      <w:pPr>
        <w:spacing w:after="0" w:line="360" w:lineRule="auto"/>
        <w:contextualSpacing/>
        <w:jc w:val="center"/>
        <w:rPr>
          <w:rFonts w:ascii="Times New Roman" w:hAnsi="Times New Roman" w:cs="Times New Roman"/>
          <w:b/>
          <w:bCs/>
          <w:sz w:val="48"/>
          <w:szCs w:val="48"/>
        </w:rPr>
      </w:pPr>
      <w:bookmarkStart w:id="0" w:name="_Hlk198978578"/>
      <w:r w:rsidRPr="001723C7">
        <w:rPr>
          <w:rFonts w:ascii="Times New Roman" w:hAnsi="Times New Roman" w:cs="Times New Roman"/>
          <w:b/>
          <w:bCs/>
          <w:noProof/>
          <w:sz w:val="48"/>
          <w:szCs w:val="48"/>
        </w:rPr>
        <w:drawing>
          <wp:inline distT="0" distB="0" distL="0" distR="0" wp14:anchorId="00BA99AA" wp14:editId="11A5BAAB">
            <wp:extent cx="1857634" cy="704948"/>
            <wp:effectExtent l="0" t="0" r="9525" b="0"/>
            <wp:docPr id="5380418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10;&#10;AI-generated content may be incorrect."/>
                    <pic:cNvPicPr/>
                  </pic:nvPicPr>
                  <pic:blipFill>
                    <a:blip r:embed="rId8"/>
                    <a:stretch>
                      <a:fillRect/>
                    </a:stretch>
                  </pic:blipFill>
                  <pic:spPr>
                    <a:xfrm>
                      <a:off x="0" y="0"/>
                      <a:ext cx="1857634" cy="704948"/>
                    </a:xfrm>
                    <a:prstGeom prst="rect">
                      <a:avLst/>
                    </a:prstGeom>
                  </pic:spPr>
                </pic:pic>
              </a:graphicData>
            </a:graphic>
          </wp:inline>
        </w:drawing>
      </w:r>
    </w:p>
    <w:p w14:paraId="3798E68F" w14:textId="77777777" w:rsidR="00476A55" w:rsidRDefault="00476A55" w:rsidP="00476A55">
      <w:pPr>
        <w:spacing w:after="0" w:line="360" w:lineRule="auto"/>
        <w:contextualSpacing/>
        <w:jc w:val="center"/>
        <w:rPr>
          <w:rFonts w:ascii="Times New Roman" w:hAnsi="Times New Roman" w:cs="Times New Roman"/>
          <w:b/>
          <w:bCs/>
          <w:sz w:val="48"/>
          <w:szCs w:val="48"/>
        </w:rPr>
      </w:pPr>
    </w:p>
    <w:p w14:paraId="3F7A8381" w14:textId="0F4CC86E" w:rsidR="00476A55" w:rsidRDefault="00476A55" w:rsidP="00476A55">
      <w:pPr>
        <w:spacing w:after="0" w:line="360" w:lineRule="auto"/>
        <w:contextualSpacing/>
        <w:jc w:val="center"/>
        <w:rPr>
          <w:rFonts w:ascii="Times New Roman" w:hAnsi="Times New Roman" w:cs="Times New Roman"/>
          <w:b/>
          <w:bCs/>
          <w:sz w:val="32"/>
          <w:szCs w:val="32"/>
        </w:rPr>
      </w:pPr>
      <w:r w:rsidRPr="00476A55">
        <w:rPr>
          <w:rFonts w:ascii="Times New Roman" w:hAnsi="Times New Roman" w:cs="Times New Roman"/>
          <w:b/>
          <w:bCs/>
          <w:sz w:val="32"/>
          <w:szCs w:val="32"/>
        </w:rPr>
        <w:t>BA International Hotel Management</w:t>
      </w:r>
    </w:p>
    <w:p w14:paraId="4F36BE86" w14:textId="386FDB32" w:rsidR="00476A55" w:rsidRDefault="00476A55" w:rsidP="00476A55">
      <w:pPr>
        <w:spacing w:after="0" w:line="360" w:lineRule="auto"/>
        <w:contextualSpacing/>
        <w:jc w:val="center"/>
        <w:rPr>
          <w:rFonts w:ascii="Times New Roman" w:hAnsi="Times New Roman" w:cs="Times New Roman"/>
          <w:b/>
          <w:bCs/>
          <w:sz w:val="32"/>
          <w:szCs w:val="32"/>
        </w:rPr>
      </w:pPr>
    </w:p>
    <w:p w14:paraId="3E314EFD" w14:textId="77777777" w:rsidR="00476A55" w:rsidRPr="00476A55" w:rsidRDefault="00476A55" w:rsidP="00476A55">
      <w:pPr>
        <w:spacing w:after="0" w:line="360" w:lineRule="auto"/>
        <w:contextualSpacing/>
        <w:jc w:val="center"/>
        <w:rPr>
          <w:rFonts w:ascii="Times New Roman" w:hAnsi="Times New Roman" w:cs="Times New Roman"/>
          <w:b/>
          <w:bCs/>
          <w:sz w:val="32"/>
          <w:szCs w:val="32"/>
        </w:rPr>
      </w:pPr>
    </w:p>
    <w:p w14:paraId="5A13CF38" w14:textId="73BBC234" w:rsidR="00476A55" w:rsidRDefault="00476A55" w:rsidP="00476A55">
      <w:pPr>
        <w:spacing w:after="0" w:line="360" w:lineRule="auto"/>
        <w:contextualSpacing/>
        <w:jc w:val="center"/>
        <w:rPr>
          <w:rFonts w:ascii="Times New Roman" w:hAnsi="Times New Roman" w:cs="Times New Roman"/>
          <w:b/>
          <w:bCs/>
          <w:sz w:val="48"/>
          <w:szCs w:val="48"/>
        </w:rPr>
      </w:pPr>
      <w:r>
        <w:rPr>
          <w:rFonts w:ascii="Times New Roman" w:hAnsi="Times New Roman" w:cs="Times New Roman"/>
          <w:b/>
          <w:bCs/>
          <w:sz w:val="48"/>
          <w:szCs w:val="48"/>
        </w:rPr>
        <w:t>BMIH6001</w:t>
      </w:r>
    </w:p>
    <w:p w14:paraId="628B3350" w14:textId="1581E713" w:rsidR="00476A55" w:rsidRDefault="00476A55" w:rsidP="00476A55">
      <w:pPr>
        <w:spacing w:after="0" w:line="360" w:lineRule="auto"/>
        <w:contextualSpacing/>
        <w:jc w:val="center"/>
        <w:rPr>
          <w:rFonts w:ascii="Times New Roman" w:hAnsi="Times New Roman" w:cs="Times New Roman"/>
          <w:b/>
          <w:bCs/>
          <w:sz w:val="48"/>
          <w:szCs w:val="48"/>
        </w:rPr>
      </w:pPr>
      <w:r w:rsidRPr="00476A55">
        <w:rPr>
          <w:rFonts w:ascii="Times New Roman" w:hAnsi="Times New Roman" w:cs="Times New Roman"/>
          <w:b/>
          <w:bCs/>
          <w:sz w:val="48"/>
          <w:szCs w:val="48"/>
        </w:rPr>
        <w:t>Contemporary Themes in the Hotel and Hospitality Sector</w:t>
      </w:r>
    </w:p>
    <w:p w14:paraId="638E04D6" w14:textId="77777777" w:rsidR="00476A55" w:rsidRDefault="00476A55" w:rsidP="00476A55">
      <w:pPr>
        <w:spacing w:after="0" w:line="360" w:lineRule="auto"/>
        <w:contextualSpacing/>
        <w:jc w:val="center"/>
        <w:rPr>
          <w:rFonts w:ascii="Times New Roman" w:hAnsi="Times New Roman" w:cs="Times New Roman"/>
          <w:b/>
          <w:bCs/>
          <w:sz w:val="48"/>
          <w:szCs w:val="48"/>
        </w:rPr>
      </w:pPr>
    </w:p>
    <w:p w14:paraId="113C81DF" w14:textId="2532929C" w:rsidR="00476A55" w:rsidRPr="008D2E2C" w:rsidRDefault="00476A55" w:rsidP="00476A55">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name</w:t>
      </w:r>
      <w:r w:rsidRPr="008D2E2C">
        <w:rPr>
          <w:rFonts w:ascii="Times New Roman" w:hAnsi="Times New Roman" w:cs="Times New Roman"/>
          <w:sz w:val="40"/>
          <w:szCs w:val="40"/>
        </w:rPr>
        <w:t>:</w:t>
      </w:r>
      <w:r w:rsidRPr="008D2E2C">
        <w:rPr>
          <w:sz w:val="36"/>
          <w:szCs w:val="36"/>
        </w:rPr>
        <w:t xml:space="preserve"> </w:t>
      </w:r>
      <w:r w:rsidR="005F66E5" w:rsidRPr="005F66E5">
        <w:rPr>
          <w:sz w:val="36"/>
          <w:szCs w:val="36"/>
        </w:rPr>
        <w:t>Gabriela Zosllei</w:t>
      </w:r>
    </w:p>
    <w:p w14:paraId="594EFA83" w14:textId="6E484354" w:rsidR="00476A55" w:rsidRPr="008D2E2C" w:rsidRDefault="00476A55" w:rsidP="00476A55">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number</w:t>
      </w:r>
      <w:r w:rsidRPr="008D2E2C">
        <w:rPr>
          <w:rFonts w:ascii="Times New Roman" w:hAnsi="Times New Roman" w:cs="Times New Roman"/>
          <w:sz w:val="40"/>
          <w:szCs w:val="40"/>
        </w:rPr>
        <w:t xml:space="preserve">: </w:t>
      </w:r>
      <w:r w:rsidR="005F66E5" w:rsidRPr="005F66E5">
        <w:rPr>
          <w:rFonts w:ascii="Times New Roman" w:hAnsi="Times New Roman" w:cs="Times New Roman"/>
          <w:sz w:val="40"/>
          <w:szCs w:val="40"/>
        </w:rPr>
        <w:t>2133167</w:t>
      </w:r>
    </w:p>
    <w:p w14:paraId="45ED5DC3" w14:textId="09C9E7D5" w:rsidR="00476A55" w:rsidRDefault="009F4590" w:rsidP="00476A55">
      <w:pPr>
        <w:spacing w:after="0" w:line="360" w:lineRule="auto"/>
        <w:contextualSpacing/>
        <w:jc w:val="center"/>
        <w:rPr>
          <w:rFonts w:ascii="Times New Roman" w:hAnsi="Times New Roman" w:cs="Times New Roman"/>
          <w:b/>
          <w:bCs/>
          <w:sz w:val="40"/>
          <w:szCs w:val="40"/>
        </w:rPr>
      </w:pPr>
      <w:r>
        <w:rPr>
          <w:rFonts w:ascii="Times New Roman" w:hAnsi="Times New Roman" w:cs="Times New Roman"/>
          <w:b/>
          <w:bCs/>
          <w:sz w:val="40"/>
          <w:szCs w:val="40"/>
        </w:rPr>
        <w:t xml:space="preserve">Tutor: </w:t>
      </w:r>
      <w:r w:rsidRPr="009F4590">
        <w:rPr>
          <w:rFonts w:ascii="Times New Roman" w:hAnsi="Times New Roman" w:cs="Times New Roman"/>
          <w:sz w:val="40"/>
          <w:szCs w:val="40"/>
        </w:rPr>
        <w:t>Antoinette Milne</w:t>
      </w:r>
    </w:p>
    <w:p w14:paraId="4258BA68" w14:textId="77777777" w:rsidR="00476A55" w:rsidRDefault="00476A55" w:rsidP="00476A55">
      <w:pPr>
        <w:spacing w:after="0" w:line="360" w:lineRule="auto"/>
        <w:contextualSpacing/>
        <w:jc w:val="center"/>
        <w:rPr>
          <w:rFonts w:ascii="Times New Roman" w:hAnsi="Times New Roman" w:cs="Times New Roman"/>
          <w:b/>
          <w:bCs/>
          <w:sz w:val="40"/>
          <w:szCs w:val="40"/>
        </w:rPr>
      </w:pPr>
    </w:p>
    <w:p w14:paraId="60F3FAF3" w14:textId="76EFB9A5" w:rsidR="00476A55" w:rsidRDefault="00476A55" w:rsidP="00476A55">
      <w:pPr>
        <w:spacing w:after="0" w:line="360" w:lineRule="auto"/>
        <w:contextualSpacing/>
        <w:jc w:val="center"/>
        <w:rPr>
          <w:rFonts w:ascii="Times New Roman" w:hAnsi="Times New Roman" w:cs="Times New Roman"/>
          <w:sz w:val="40"/>
          <w:szCs w:val="40"/>
        </w:rPr>
      </w:pPr>
    </w:p>
    <w:p w14:paraId="14C26573" w14:textId="78D11C37" w:rsidR="00476A55" w:rsidRPr="001723C7" w:rsidRDefault="00476A55" w:rsidP="009F4590">
      <w:pPr>
        <w:spacing w:after="0" w:line="360" w:lineRule="auto"/>
        <w:contextualSpacing/>
        <w:rPr>
          <w:rFonts w:ascii="Times New Roman" w:hAnsi="Times New Roman" w:cs="Times New Roman"/>
          <w:b/>
          <w:bCs/>
          <w:sz w:val="40"/>
          <w:szCs w:val="40"/>
        </w:rPr>
      </w:pPr>
    </w:p>
    <w:p w14:paraId="2971B343" w14:textId="77777777" w:rsidR="00476A55" w:rsidRDefault="00476A55" w:rsidP="005F32E6">
      <w:pPr>
        <w:spacing w:line="360" w:lineRule="auto"/>
        <w:jc w:val="both"/>
        <w:rPr>
          <w:rFonts w:ascii="Arial" w:hAnsi="Arial" w:cs="Arial"/>
          <w:b/>
          <w:bCs/>
        </w:rPr>
      </w:pPr>
    </w:p>
    <w:p w14:paraId="3683AC8A" w14:textId="15DB10BD" w:rsidR="007115DD" w:rsidRDefault="00F10EF9" w:rsidP="00F10EF9">
      <w:pPr>
        <w:jc w:val="center"/>
        <w:rPr>
          <w:rFonts w:ascii="Times New Roman" w:hAnsi="Times New Roman" w:cs="Times New Roman"/>
          <w:b/>
          <w:bCs/>
        </w:rPr>
      </w:pPr>
      <w:r w:rsidRPr="00E619F3">
        <w:rPr>
          <w:rFonts w:ascii="Times New Roman" w:hAnsi="Times New Roman" w:cs="Times New Roman"/>
          <w:b/>
          <w:bCs/>
        </w:rPr>
        <w:t>I confirm that I have not used any AI tools in the research creation of this assignment.</w:t>
      </w:r>
      <w:r w:rsidR="004F7CBA">
        <w:rPr>
          <w:rFonts w:ascii="Times New Roman" w:hAnsi="Times New Roman" w:cs="Times New Roman"/>
          <w:b/>
          <w:bCs/>
        </w:rPr>
        <w:t xml:space="preserve"> In confirm that I have not presented any AI generated materials as my own work. I confirm I have copies of my drafts, notes, and other resources I used, which I may be asked to provide in evidence.</w:t>
      </w:r>
    </w:p>
    <w:p w14:paraId="2F8E8D11" w14:textId="77777777" w:rsidR="007115DD" w:rsidRDefault="007115DD" w:rsidP="00F10EF9">
      <w:pPr>
        <w:jc w:val="center"/>
        <w:rPr>
          <w:rFonts w:ascii="Times New Roman" w:hAnsi="Times New Roman" w:cs="Times New Roman"/>
          <w:b/>
          <w:bCs/>
        </w:rPr>
      </w:pPr>
    </w:p>
    <w:p w14:paraId="7C2923AA" w14:textId="77777777" w:rsidR="007115DD" w:rsidRDefault="007115DD" w:rsidP="00F10EF9">
      <w:pPr>
        <w:jc w:val="center"/>
        <w:rPr>
          <w:rFonts w:ascii="Times New Roman" w:hAnsi="Times New Roman" w:cs="Times New Roman"/>
          <w:b/>
          <w:bCs/>
        </w:rPr>
      </w:pPr>
    </w:p>
    <w:p w14:paraId="232BC2CF" w14:textId="77777777" w:rsidR="007115DD" w:rsidRDefault="007115DD" w:rsidP="00F10EF9">
      <w:pPr>
        <w:jc w:val="center"/>
        <w:rPr>
          <w:rFonts w:ascii="Times New Roman" w:hAnsi="Times New Roman" w:cs="Times New Roman"/>
          <w:b/>
          <w:bCs/>
        </w:rPr>
      </w:pPr>
    </w:p>
    <w:p w14:paraId="25A25255" w14:textId="77777777" w:rsidR="007115DD" w:rsidRDefault="007115DD" w:rsidP="00F10EF9">
      <w:pPr>
        <w:jc w:val="center"/>
        <w:rPr>
          <w:rFonts w:ascii="Times New Roman" w:hAnsi="Times New Roman" w:cs="Times New Roman"/>
          <w:b/>
          <w:bCs/>
        </w:rPr>
      </w:pPr>
    </w:p>
    <w:p w14:paraId="5094A5F0" w14:textId="77777777" w:rsidR="007115DD" w:rsidRDefault="007115DD" w:rsidP="00F10EF9">
      <w:pPr>
        <w:jc w:val="center"/>
        <w:rPr>
          <w:rFonts w:ascii="Times New Roman" w:hAnsi="Times New Roman" w:cs="Times New Roman"/>
          <w:b/>
          <w:bCs/>
        </w:rPr>
      </w:pPr>
    </w:p>
    <w:p w14:paraId="59506CF6" w14:textId="77777777" w:rsidR="007115DD" w:rsidRDefault="007115DD" w:rsidP="00F10EF9">
      <w:pPr>
        <w:jc w:val="center"/>
        <w:rPr>
          <w:rFonts w:ascii="Times New Roman" w:hAnsi="Times New Roman" w:cs="Times New Roman"/>
          <w:b/>
          <w:bCs/>
        </w:rPr>
      </w:pPr>
    </w:p>
    <w:p w14:paraId="74E39F3F" w14:textId="77777777" w:rsidR="007115DD" w:rsidRDefault="007115DD" w:rsidP="00F10EF9">
      <w:pPr>
        <w:jc w:val="center"/>
        <w:rPr>
          <w:rFonts w:ascii="Times New Roman" w:hAnsi="Times New Roman" w:cs="Times New Roman"/>
          <w:b/>
          <w:bCs/>
        </w:rPr>
      </w:pPr>
    </w:p>
    <w:p w14:paraId="3871C6A0" w14:textId="77777777" w:rsidR="007115DD" w:rsidRDefault="007115DD" w:rsidP="00F10EF9">
      <w:pPr>
        <w:jc w:val="center"/>
        <w:rPr>
          <w:rFonts w:ascii="Times New Roman" w:hAnsi="Times New Roman" w:cs="Times New Roman"/>
          <w:b/>
          <w:bCs/>
        </w:rPr>
      </w:pPr>
    </w:p>
    <w:p w14:paraId="76A6B216" w14:textId="02DCE1DB" w:rsidR="007115DD" w:rsidRPr="007115DD" w:rsidRDefault="00B679D7" w:rsidP="00F10EF9">
      <w:pPr>
        <w:jc w:val="center"/>
        <w:rPr>
          <w:rFonts w:ascii="Times New Roman" w:hAnsi="Times New Roman" w:cs="Times New Roman"/>
          <w:b/>
          <w:bCs/>
          <w:sz w:val="40"/>
          <w:szCs w:val="40"/>
        </w:rPr>
      </w:pPr>
      <w:r>
        <w:rPr>
          <w:rFonts w:ascii="Times New Roman" w:hAnsi="Times New Roman" w:cs="Times New Roman"/>
          <w:b/>
          <w:bCs/>
          <w:sz w:val="40"/>
          <w:szCs w:val="40"/>
        </w:rPr>
        <w:t>Theme 1</w:t>
      </w:r>
    </w:p>
    <w:p w14:paraId="580141C3" w14:textId="7FDDAF9A" w:rsidR="00F10EF9" w:rsidRPr="00E619F3" w:rsidRDefault="007115DD" w:rsidP="00F10EF9">
      <w:pPr>
        <w:jc w:val="center"/>
        <w:rPr>
          <w:rFonts w:ascii="Times New Roman" w:hAnsi="Times New Roman" w:cs="Times New Roman"/>
          <w:b/>
          <w:bCs/>
        </w:rPr>
      </w:pPr>
      <w:r w:rsidRPr="007115DD">
        <w:rPr>
          <w:rFonts w:ascii="Times New Roman" w:hAnsi="Times New Roman" w:cs="Times New Roman"/>
          <w:b/>
          <w:bCs/>
          <w:sz w:val="40"/>
          <w:szCs w:val="40"/>
        </w:rPr>
        <w:t>The future of work: Artificial Intelligence and human collaboration in hotel and hospitality</w:t>
      </w:r>
      <w:bookmarkEnd w:id="0"/>
      <w:r w:rsidR="00F10EF9" w:rsidRPr="00E619F3">
        <w:rPr>
          <w:rFonts w:ascii="Times New Roman" w:hAnsi="Times New Roman" w:cs="Times New Roman"/>
          <w:b/>
          <w:bCs/>
        </w:rPr>
        <w:br w:type="page"/>
      </w:r>
    </w:p>
    <w:p w14:paraId="114F1EE9" w14:textId="1A9C6B16" w:rsidR="00251D32" w:rsidRPr="00251D32" w:rsidRDefault="00677226" w:rsidP="005F32E6">
      <w:pPr>
        <w:spacing w:line="360" w:lineRule="auto"/>
        <w:jc w:val="both"/>
        <w:rPr>
          <w:rFonts w:ascii="Arial" w:hAnsi="Arial" w:cs="Arial"/>
          <w:b/>
          <w:bCs/>
        </w:rPr>
      </w:pPr>
      <w:r>
        <w:rPr>
          <w:rFonts w:ascii="Arial" w:hAnsi="Arial" w:cs="Arial"/>
          <w:b/>
          <w:bCs/>
        </w:rPr>
        <w:lastRenderedPageBreak/>
        <w:t>Abstract</w:t>
      </w:r>
    </w:p>
    <w:p w14:paraId="2361798F" w14:textId="32DEE577" w:rsidR="005F32E6" w:rsidRDefault="003233BB" w:rsidP="005F32E6">
      <w:pPr>
        <w:spacing w:line="360" w:lineRule="auto"/>
        <w:jc w:val="both"/>
        <w:rPr>
          <w:rFonts w:ascii="Arial" w:hAnsi="Arial" w:cs="Arial"/>
        </w:rPr>
      </w:pPr>
      <w:r w:rsidRPr="003233BB">
        <w:rPr>
          <w:rFonts w:ascii="Arial" w:hAnsi="Arial" w:cs="Arial"/>
        </w:rPr>
        <w:t>The hospitality industry is at the intersection point of technological disruption as well as changing customer needs, and intelligent automation and person to person contact are critical ingredients for the success of competitions. This research paper focuses on the integration of AI technologies in hotels and the ways AI impacts service delivery, the role of staff as well as interaction with customers. By reviewing the available academic reports and operational examples, the study shows that the implementation of AI is successful when supporting human employees is continued instead of neglecting them. The results indicate that hotels that adopt AI alongside human-led services report greater satisfaction of guests and better firm performance. Strategies should first and foremost, focus on developing and implementing AI integration models, strengthen the current staff education and create operational mechanisms for fruitful collaboration between technology and human expertise</w:t>
      </w:r>
      <w:r w:rsidR="00251D32" w:rsidRPr="00251D32">
        <w:rPr>
          <w:rFonts w:ascii="Arial" w:hAnsi="Arial" w:cs="Arial"/>
        </w:rPr>
        <w:t>.</w:t>
      </w:r>
    </w:p>
    <w:p w14:paraId="32D38F88" w14:textId="77777777" w:rsidR="005F32E6" w:rsidRDefault="005F32E6">
      <w:pPr>
        <w:rPr>
          <w:rFonts w:ascii="Arial" w:hAnsi="Arial" w:cs="Arial"/>
        </w:rPr>
      </w:pPr>
      <w:r>
        <w:rPr>
          <w:rFonts w:ascii="Arial" w:hAnsi="Arial" w:cs="Arial"/>
        </w:rPr>
        <w:br w:type="page"/>
      </w:r>
    </w:p>
    <w:p w14:paraId="6D811D2B" w14:textId="1D28217D" w:rsidR="00251D32" w:rsidRPr="005F32E6" w:rsidRDefault="00251D32" w:rsidP="005F32E6">
      <w:pPr>
        <w:pStyle w:val="Heading1"/>
        <w:rPr>
          <w:rFonts w:cs="Arial"/>
        </w:rPr>
      </w:pPr>
      <w:bookmarkStart w:id="1" w:name="_Toc197873705"/>
      <w:bookmarkStart w:id="2" w:name="_Toc198406848"/>
      <w:r w:rsidRPr="005F32E6">
        <w:rPr>
          <w:rFonts w:cs="Arial"/>
        </w:rPr>
        <w:lastRenderedPageBreak/>
        <w:t>Introduction</w:t>
      </w:r>
      <w:bookmarkEnd w:id="1"/>
      <w:bookmarkEnd w:id="2"/>
    </w:p>
    <w:p w14:paraId="05EF9871" w14:textId="634CAB2D" w:rsidR="005F32E6" w:rsidRPr="005F32E6" w:rsidRDefault="005F32E6" w:rsidP="005F32E6">
      <w:pPr>
        <w:spacing w:line="360" w:lineRule="auto"/>
        <w:jc w:val="both"/>
        <w:rPr>
          <w:rFonts w:ascii="Arial" w:hAnsi="Arial" w:cs="Arial"/>
        </w:rPr>
      </w:pPr>
      <w:r w:rsidRPr="005F32E6">
        <w:rPr>
          <w:rFonts w:ascii="Arial" w:hAnsi="Arial" w:cs="Arial"/>
        </w:rPr>
        <w:t xml:space="preserve">The global hospitality sector is experiencing drastic changes with AI technologies changing the face of how operations have been conducted and services delivered. Contemporary hotels are under the pressure of shifting guests’ desires, staffing problems, and pressures of the market, and, therefore, they must struggle incessantly to maintain the standard of the hospitality sector. </w:t>
      </w:r>
    </w:p>
    <w:p w14:paraId="53B7DD00" w14:textId="799907E1" w:rsidR="005F32E6" w:rsidRPr="005F32E6" w:rsidRDefault="005F32E6" w:rsidP="005F32E6">
      <w:pPr>
        <w:spacing w:line="360" w:lineRule="auto"/>
        <w:jc w:val="both"/>
        <w:rPr>
          <w:rFonts w:ascii="Arial" w:hAnsi="Arial" w:cs="Arial"/>
        </w:rPr>
      </w:pPr>
      <w:r w:rsidRPr="005F32E6">
        <w:rPr>
          <w:rFonts w:ascii="Arial" w:hAnsi="Arial" w:cs="Arial"/>
        </w:rPr>
        <w:t>This paper explores the interplay between AI and collaborative human efforts in the future of hotel work, with a particular emphasis on operations, guest engagements and roles. This area is critical for supporting the industry, its competitiveness, and the high standards of service in view of the core issues at stake. The extensive use of AI in hotel operations such as reservation process and customized guest services calls for key consideration since this will serve these operations in alignment with technology and human talent for strategic fulfilment.</w:t>
      </w:r>
    </w:p>
    <w:p w14:paraId="4FA61A72" w14:textId="285C3271" w:rsidR="005F32E6" w:rsidRPr="005F32E6" w:rsidRDefault="005F32E6" w:rsidP="005F32E6">
      <w:pPr>
        <w:spacing w:line="360" w:lineRule="auto"/>
        <w:jc w:val="both"/>
        <w:rPr>
          <w:rFonts w:ascii="Arial" w:hAnsi="Arial" w:cs="Arial"/>
        </w:rPr>
      </w:pPr>
      <w:r w:rsidRPr="005F32E6">
        <w:rPr>
          <w:rFonts w:ascii="Arial" w:hAnsi="Arial" w:cs="Arial"/>
        </w:rPr>
        <w:t>COVID 19 accelerated technology change in hospitality, and necessitated more contactless options, improved efficiency in operations and increased workforce adaptability. Such a rapid change places great emphasis on the value of using AI to complement and augment human skills instead of just replacing human roles. The study examines some of the most important issues about the future of hospitality work, with a special emphasis on striking a balance between developing authentic guest interactions and using AI to increase competitiveness.</w:t>
      </w:r>
      <w:r w:rsidR="008933AD">
        <w:rPr>
          <w:rFonts w:ascii="Arial" w:hAnsi="Arial" w:cs="Arial"/>
        </w:rPr>
        <w:t xml:space="preserve"> </w:t>
      </w:r>
      <w:r w:rsidR="008933AD" w:rsidRPr="008933AD">
        <w:rPr>
          <w:rFonts w:ascii="Arial" w:hAnsi="Arial" w:cs="Arial"/>
        </w:rPr>
        <w:t xml:space="preserve">Contrasting and expanding from </w:t>
      </w:r>
      <w:proofErr w:type="spellStart"/>
      <w:r w:rsidR="008933AD" w:rsidRPr="008933AD">
        <w:rPr>
          <w:rFonts w:ascii="Arial" w:hAnsi="Arial" w:cs="Arial"/>
        </w:rPr>
        <w:t>Gretzel</w:t>
      </w:r>
      <w:proofErr w:type="spellEnd"/>
      <w:r w:rsidR="008933AD" w:rsidRPr="008933AD">
        <w:rPr>
          <w:rFonts w:ascii="Arial" w:hAnsi="Arial" w:cs="Arial"/>
        </w:rPr>
        <w:t xml:space="preserve"> et al.’s (2015) initial discourse the theoretical framework that they presented brings to light the conversion of traditional hospitality services to intelligent and adaptive systems with the application of AI technologies.</w:t>
      </w:r>
    </w:p>
    <w:p w14:paraId="32517243" w14:textId="77777777" w:rsidR="005F32E6" w:rsidRPr="005F32E6" w:rsidRDefault="005F32E6" w:rsidP="005F32E6">
      <w:pPr>
        <w:pStyle w:val="Heading1"/>
        <w:rPr>
          <w:rFonts w:cs="Arial"/>
        </w:rPr>
      </w:pPr>
      <w:bookmarkStart w:id="3" w:name="_Toc197873706"/>
      <w:bookmarkStart w:id="4" w:name="_Toc198406849"/>
      <w:r w:rsidRPr="005F32E6">
        <w:rPr>
          <w:rFonts w:cs="Arial"/>
        </w:rPr>
        <w:t>Literature Review</w:t>
      </w:r>
      <w:bookmarkEnd w:id="3"/>
      <w:bookmarkEnd w:id="4"/>
    </w:p>
    <w:p w14:paraId="79994EED" w14:textId="0A41816C" w:rsidR="005F32E6" w:rsidRPr="005F32E6" w:rsidRDefault="005F32E6" w:rsidP="005F32E6">
      <w:pPr>
        <w:spacing w:line="360" w:lineRule="auto"/>
        <w:jc w:val="both"/>
        <w:rPr>
          <w:rFonts w:ascii="Arial" w:hAnsi="Arial" w:cs="Arial"/>
        </w:rPr>
      </w:pPr>
      <w:r w:rsidRPr="005F32E6">
        <w:rPr>
          <w:rFonts w:ascii="Arial" w:hAnsi="Arial" w:cs="Arial"/>
        </w:rPr>
        <w:t>Studies of recent time bring out significant progress in the adoption of AI technologies in hospitality sectors. According to Koo et al. (2021), artificial intelligence represents a profound change in the way that travel, and hospitality services are delivered, ending existing modes of operations. From their research, they identify three major areas of impact of the AI on operations: impact of service optimization, experience of customers, and human resource changes. These factors constitute complex relationship forming, requiring careful monitoring and intelligent policy.</w:t>
      </w:r>
    </w:p>
    <w:p w14:paraId="0975CB18" w14:textId="70D51EBB" w:rsidR="005F32E6" w:rsidRPr="005F32E6" w:rsidRDefault="005F32E6" w:rsidP="005F32E6">
      <w:pPr>
        <w:spacing w:line="360" w:lineRule="auto"/>
        <w:jc w:val="both"/>
        <w:rPr>
          <w:rFonts w:ascii="Arial" w:hAnsi="Arial" w:cs="Arial"/>
        </w:rPr>
      </w:pPr>
      <w:r w:rsidRPr="005F32E6">
        <w:rPr>
          <w:rFonts w:ascii="Arial" w:hAnsi="Arial" w:cs="Arial"/>
        </w:rPr>
        <w:lastRenderedPageBreak/>
        <w:t>Hospitality contexts are characterized by high concerns of how AI impacts employees. Li, Bonn and Ye (2019) demonstrate that employees’ awareness of AI and robotics technology influences their likelihood to turnover and organizational support and competitive working environment are important moderators. Their research suggests that the successful integration of AI requires intensive change management processes aimed at addressing the concerns of the staff regarding job security, and job standard. The results show that job satisfaction and intention to leave are positively affected if workers feel that AI complements rather than replaces them.</w:t>
      </w:r>
      <w:r w:rsidR="006C350B">
        <w:rPr>
          <w:rFonts w:ascii="Arial" w:hAnsi="Arial" w:cs="Arial"/>
        </w:rPr>
        <w:t xml:space="preserve"> </w:t>
      </w:r>
      <w:r w:rsidR="006C350B" w:rsidRPr="006C350B">
        <w:rPr>
          <w:rFonts w:ascii="Arial" w:hAnsi="Arial" w:cs="Arial"/>
        </w:rPr>
        <w:t xml:space="preserve">As Murphy, Hofacker, and </w:t>
      </w:r>
      <w:proofErr w:type="spellStart"/>
      <w:r w:rsidR="006C350B" w:rsidRPr="006C350B">
        <w:rPr>
          <w:rFonts w:ascii="Arial" w:hAnsi="Arial" w:cs="Arial"/>
        </w:rPr>
        <w:t>Gretzel</w:t>
      </w:r>
      <w:proofErr w:type="spellEnd"/>
      <w:r w:rsidR="006C350B" w:rsidRPr="006C350B">
        <w:rPr>
          <w:rFonts w:ascii="Arial" w:hAnsi="Arial" w:cs="Arial"/>
        </w:rPr>
        <w:t xml:space="preserve"> (2017) state, there is a desperate need for hospitality educational programmes to change and prepare students for the impact of AI in the workplace.</w:t>
      </w:r>
    </w:p>
    <w:p w14:paraId="06FD07E7" w14:textId="60E248E5" w:rsidR="005F32E6" w:rsidRPr="005F32E6" w:rsidRDefault="005F32E6" w:rsidP="005F32E6">
      <w:pPr>
        <w:spacing w:line="360" w:lineRule="auto"/>
        <w:jc w:val="both"/>
        <w:rPr>
          <w:rFonts w:ascii="Arial" w:hAnsi="Arial" w:cs="Arial"/>
        </w:rPr>
      </w:pPr>
      <w:r w:rsidRPr="005F32E6">
        <w:rPr>
          <w:rFonts w:ascii="Arial" w:hAnsi="Arial" w:cs="Arial"/>
        </w:rPr>
        <w:t xml:space="preserve">The use of AI technologies in service automation provides opportunities and simultaneously poses challenges in preserving the personal nature of hospitality. The review of service robot applications by Tuomi, </w:t>
      </w:r>
      <w:proofErr w:type="spellStart"/>
      <w:r w:rsidRPr="005F32E6">
        <w:rPr>
          <w:rFonts w:ascii="Arial" w:hAnsi="Arial" w:cs="Arial"/>
        </w:rPr>
        <w:t>Tussyadiah</w:t>
      </w:r>
      <w:proofErr w:type="spellEnd"/>
      <w:r w:rsidRPr="005F32E6">
        <w:rPr>
          <w:rFonts w:ascii="Arial" w:hAnsi="Arial" w:cs="Arial"/>
        </w:rPr>
        <w:t xml:space="preserve">, and </w:t>
      </w:r>
      <w:proofErr w:type="spellStart"/>
      <w:r w:rsidRPr="005F32E6">
        <w:rPr>
          <w:rFonts w:ascii="Arial" w:hAnsi="Arial" w:cs="Arial"/>
        </w:rPr>
        <w:t>Stienmetz</w:t>
      </w:r>
      <w:proofErr w:type="spellEnd"/>
      <w:r w:rsidRPr="005F32E6">
        <w:rPr>
          <w:rFonts w:ascii="Arial" w:hAnsi="Arial" w:cs="Arial"/>
        </w:rPr>
        <w:t xml:space="preserve"> (2020) indicates that despite automation increasing efficiency and consistency, direct human interaction remains important in close service encounters. The research emphasizes some situations when AI is the most effective, and these include routine transactions, data analysis, and personalization algorithms. </w:t>
      </w:r>
      <w:r w:rsidR="00D17FFB" w:rsidRPr="00D17FFB">
        <w:rPr>
          <w:rFonts w:ascii="Arial" w:hAnsi="Arial" w:cs="Arial"/>
        </w:rPr>
        <w:t>Automated social presence denotes, as van Doorn et al. (2017) explain, how AI technologies ought to combine efficiency and human connexion preservation.</w:t>
      </w:r>
      <w:r w:rsidR="00D17FFB">
        <w:rPr>
          <w:rFonts w:ascii="Arial" w:hAnsi="Arial" w:cs="Arial"/>
        </w:rPr>
        <w:t xml:space="preserve"> </w:t>
      </w:r>
      <w:r w:rsidRPr="005F32E6">
        <w:rPr>
          <w:rFonts w:ascii="Arial" w:hAnsi="Arial" w:cs="Arial"/>
        </w:rPr>
        <w:t>The research points to the need to consider cultural and demographical factors for effective deployment, because of the differing levels of acceptance of AI among market segments.</w:t>
      </w:r>
    </w:p>
    <w:p w14:paraId="19EB82ED" w14:textId="31CDC102" w:rsidR="008933AD" w:rsidRPr="005F32E6" w:rsidRDefault="005F32E6" w:rsidP="005F32E6">
      <w:pPr>
        <w:spacing w:line="360" w:lineRule="auto"/>
        <w:jc w:val="both"/>
        <w:rPr>
          <w:rFonts w:ascii="Arial" w:hAnsi="Arial" w:cs="Arial"/>
        </w:rPr>
      </w:pPr>
      <w:r w:rsidRPr="005F32E6">
        <w:rPr>
          <w:rFonts w:ascii="Arial" w:hAnsi="Arial" w:cs="Arial"/>
        </w:rPr>
        <w:t>The COVID-19 outbreak hastened the roll-out of new technologies with increased demands to contactless operation and strong business continuity. Hospitality 5.0 model is based on ultra-personalized experiences, enhanced-level safety, and comprehensive digital systems (Pillai et al., 2021). In the new normal of hospitality, according to their study, they require a harmonious blending of AI and human service delivery to cope with changing guest preferences. This shift puts a lot of focus on the use of flexible technologies that will ensure quality service in the face of unexpected changes.</w:t>
      </w:r>
      <w:r w:rsidR="008933AD">
        <w:rPr>
          <w:rFonts w:ascii="Arial" w:hAnsi="Arial" w:cs="Arial"/>
        </w:rPr>
        <w:t xml:space="preserve"> </w:t>
      </w:r>
      <w:r w:rsidR="008933AD" w:rsidRPr="008933AD">
        <w:rPr>
          <w:rFonts w:ascii="Arial" w:hAnsi="Arial" w:cs="Arial"/>
        </w:rPr>
        <w:t xml:space="preserve">In the opinion of </w:t>
      </w:r>
      <w:proofErr w:type="spellStart"/>
      <w:r w:rsidR="008933AD" w:rsidRPr="008933AD">
        <w:rPr>
          <w:rFonts w:ascii="Arial" w:hAnsi="Arial" w:cs="Arial"/>
        </w:rPr>
        <w:t>Buhalis</w:t>
      </w:r>
      <w:proofErr w:type="spellEnd"/>
      <w:r w:rsidR="008933AD" w:rsidRPr="008933AD">
        <w:rPr>
          <w:rFonts w:ascii="Arial" w:hAnsi="Arial" w:cs="Arial"/>
        </w:rPr>
        <w:t xml:space="preserve"> and Leung (2018), smart hospitality is perceived as an interconnected system driven by AI that integrates the service interfaces to achieve operational effectivity and increased satisfaction among customers.</w:t>
      </w:r>
    </w:p>
    <w:p w14:paraId="03FA0DF2" w14:textId="77777777" w:rsidR="005F32E6" w:rsidRPr="005F32E6" w:rsidRDefault="005F32E6" w:rsidP="005F32E6">
      <w:pPr>
        <w:spacing w:line="360" w:lineRule="auto"/>
        <w:jc w:val="both"/>
        <w:rPr>
          <w:rFonts w:ascii="Arial" w:hAnsi="Arial" w:cs="Arial"/>
        </w:rPr>
      </w:pPr>
      <w:r w:rsidRPr="005F32E6">
        <w:rPr>
          <w:rFonts w:ascii="Arial" w:hAnsi="Arial" w:cs="Arial"/>
        </w:rPr>
        <w:lastRenderedPageBreak/>
        <w:t>The innovations in technology go beyond issues of operational improvements because they also tackle the issues of health and safety. Shin and Kang (2020) examine the way that technological advancements for social distancing and cleanliness reduce the guests’ burden. Based on the research, now guests tend to prefer such technologies that can support health and safety measures, yet not neglect their hospitality stay.</w:t>
      </w:r>
    </w:p>
    <w:p w14:paraId="2AF5BAA8" w14:textId="77777777" w:rsidR="005F32E6" w:rsidRPr="005F32E6" w:rsidRDefault="005F32E6" w:rsidP="005F32E6">
      <w:pPr>
        <w:spacing w:line="360" w:lineRule="auto"/>
        <w:jc w:val="both"/>
        <w:rPr>
          <w:rFonts w:ascii="Arial" w:hAnsi="Arial" w:cs="Arial"/>
        </w:rPr>
      </w:pPr>
      <w:r w:rsidRPr="005F32E6">
        <w:rPr>
          <w:rFonts w:ascii="Arial" w:hAnsi="Arial" w:cs="Arial"/>
        </w:rPr>
        <w:t>Rivera (2020) is helpful in the explanation of crisis-driven innovation, claiming that the pandemic caused a fundamental shift of hospitality operations. Studies show that periods of crisis speed up the process of accepting innovative solutions which lead to long-term changes in industry practices. This argument emphasizes on dynamic and resilient structures that ensure that core hospitality values are secured despite changeability to unexpected disruptions.</w:t>
      </w:r>
    </w:p>
    <w:p w14:paraId="30068C49" w14:textId="78FCFBAA" w:rsidR="005F32E6" w:rsidRPr="005F32E6" w:rsidRDefault="005F32E6" w:rsidP="005F32E6">
      <w:pPr>
        <w:spacing w:line="360" w:lineRule="auto"/>
        <w:jc w:val="both"/>
        <w:rPr>
          <w:rFonts w:ascii="Arial" w:hAnsi="Arial" w:cs="Arial"/>
        </w:rPr>
      </w:pPr>
      <w:r w:rsidRPr="005F32E6">
        <w:rPr>
          <w:rFonts w:ascii="Arial" w:hAnsi="Arial" w:cs="Arial"/>
        </w:rPr>
        <w:t>Recent academic attention has also been paid to the environmental impacts of the use of AI. Costa &amp; Costa (2022) examine the relationship between sustainability endeavour and technological progress and note that, AI contributes to environmental sustainability, as it optimizes energy use, reduces waste and improves resource management. The findings reveal that hotels that use holistic AI methods do not only improve their environmental footprint but also reduce their operational expenses.</w:t>
      </w:r>
    </w:p>
    <w:p w14:paraId="06408A6A" w14:textId="74F3748E" w:rsidR="005F32E6" w:rsidRPr="005F32E6" w:rsidRDefault="005F32E6" w:rsidP="005F32E6">
      <w:pPr>
        <w:spacing w:line="360" w:lineRule="auto"/>
        <w:jc w:val="both"/>
        <w:rPr>
          <w:rFonts w:ascii="Arial" w:hAnsi="Arial" w:cs="Arial"/>
        </w:rPr>
      </w:pPr>
      <w:r w:rsidRPr="005F32E6">
        <w:rPr>
          <w:rFonts w:ascii="Arial" w:hAnsi="Arial" w:cs="Arial"/>
        </w:rPr>
        <w:t>There is substantial digital transformation in hospitality marketing and customer relationship management. According to Dwivedi et al. (2021), the role of how AI-enabled analytics facilitates social media adoption in B2B settings is analysed, with insights on the appreciation of customers and relationship management. Their findings demonstrate the way AI helps to create subtle customer profiling, personalized marketing, and efficient predictive analytics for demand forecasting.</w:t>
      </w:r>
      <w:r w:rsidR="00BC7932">
        <w:rPr>
          <w:rFonts w:ascii="Arial" w:hAnsi="Arial" w:cs="Arial"/>
        </w:rPr>
        <w:t xml:space="preserve"> </w:t>
      </w:r>
      <w:r w:rsidR="00BC7932" w:rsidRPr="00BC7932">
        <w:rPr>
          <w:rFonts w:ascii="Arial" w:hAnsi="Arial" w:cs="Arial"/>
        </w:rPr>
        <w:t>AI adoption in hospitality increased exponentially from 15% to 65% according to Law, Leung and Chan (2020).</w:t>
      </w:r>
    </w:p>
    <w:p w14:paraId="170B7FC5" w14:textId="62242930" w:rsidR="005F32E6" w:rsidRPr="005F32E6" w:rsidRDefault="005F32E6" w:rsidP="005F32E6">
      <w:pPr>
        <w:spacing w:line="360" w:lineRule="auto"/>
        <w:jc w:val="both"/>
        <w:rPr>
          <w:rFonts w:ascii="Arial" w:hAnsi="Arial" w:cs="Arial"/>
        </w:rPr>
      </w:pPr>
      <w:r w:rsidRPr="005F32E6">
        <w:rPr>
          <w:rFonts w:ascii="Arial" w:hAnsi="Arial" w:cs="Arial"/>
        </w:rPr>
        <w:t>The success of AI integration for sustainability is based on green human resource management practices. Pham et al. (2019) explored the correlation between green HRM and environmental performance finding that environmental initiatives undertaken by employees add to the organizational effectiveness. The findings from their side suggest that to link AI to environmental aims the ideal is through strategic HR initiatives that align tech development with the goals of environment conservation.</w:t>
      </w:r>
    </w:p>
    <w:p w14:paraId="1875FA85" w14:textId="3774CDE4" w:rsidR="00251D32" w:rsidRPr="005F32E6" w:rsidRDefault="00251D32" w:rsidP="005F32E6">
      <w:pPr>
        <w:pStyle w:val="Heading1"/>
        <w:rPr>
          <w:rFonts w:cs="Arial"/>
        </w:rPr>
      </w:pPr>
      <w:bookmarkStart w:id="5" w:name="_Toc197873707"/>
      <w:bookmarkStart w:id="6" w:name="_Toc198406850"/>
      <w:r w:rsidRPr="005F32E6">
        <w:rPr>
          <w:rFonts w:cs="Arial"/>
        </w:rPr>
        <w:lastRenderedPageBreak/>
        <w:t>Method</w:t>
      </w:r>
      <w:bookmarkEnd w:id="5"/>
      <w:bookmarkEnd w:id="6"/>
    </w:p>
    <w:p w14:paraId="346872AB" w14:textId="7A91AA60" w:rsidR="005F32E6" w:rsidRPr="005F32E6" w:rsidRDefault="005F32E6" w:rsidP="005F32E6">
      <w:pPr>
        <w:spacing w:line="360" w:lineRule="auto"/>
        <w:jc w:val="both"/>
        <w:rPr>
          <w:rFonts w:ascii="Arial" w:hAnsi="Arial" w:cs="Arial"/>
        </w:rPr>
      </w:pPr>
      <w:r w:rsidRPr="005F32E6">
        <w:rPr>
          <w:rFonts w:ascii="Arial" w:hAnsi="Arial" w:cs="Arial"/>
        </w:rPr>
        <w:t>This study uses a systematic literature review approach in which peer reviewed articles between 2013 and 2024 are reviewed to monitor the changes in perception of view on AI in the hospitality sector. The analytical approach employs thematic understanding derived from literature in academic work, industry reports, and case studies with a view of uncovering core patterns, challenges and effective approaches towards AI integration with human collaboration.</w:t>
      </w:r>
      <w:r w:rsidR="001C43BB">
        <w:rPr>
          <w:rFonts w:ascii="Arial" w:hAnsi="Arial" w:cs="Arial"/>
        </w:rPr>
        <w:t xml:space="preserve"> </w:t>
      </w:r>
      <w:r w:rsidR="001C43BB" w:rsidRPr="001C43BB">
        <w:rPr>
          <w:rFonts w:ascii="Arial" w:hAnsi="Arial" w:cs="Arial"/>
        </w:rPr>
        <w:t>Building on the methodology proposed by Sigala, Rahimi, and Thelwall (2019); this research study employs a variety of angles to explore the wide range of impacts of AI on operations in the hospitality sector.</w:t>
      </w:r>
    </w:p>
    <w:p w14:paraId="2603E875" w14:textId="19722400" w:rsidR="005F32E6" w:rsidRPr="005F32E6" w:rsidRDefault="005F32E6" w:rsidP="005F32E6">
      <w:pPr>
        <w:spacing w:line="360" w:lineRule="auto"/>
        <w:jc w:val="both"/>
        <w:rPr>
          <w:rFonts w:ascii="Arial" w:hAnsi="Arial" w:cs="Arial"/>
        </w:rPr>
      </w:pPr>
      <w:r w:rsidRPr="005F32E6">
        <w:rPr>
          <w:rFonts w:ascii="Arial" w:hAnsi="Arial" w:cs="Arial"/>
        </w:rPr>
        <w:t>To collect data on the topic, the research completed extensive database research utilising keywords “artificial intelligence hospitality,” “hotel automation,” “service robots,” and “human-AI collaboration.” The chosen sources were scrutinised with respect to their relevance, reliability, and methodological reliability. Multidimensional implications of AI integration in the context of hotel operation were examined from PEST (Political, Economic, Social, Technological) perspective.</w:t>
      </w:r>
    </w:p>
    <w:p w14:paraId="7EF99E47" w14:textId="5F0A8242" w:rsidR="005F32E6" w:rsidRPr="005F32E6" w:rsidRDefault="005F32E6" w:rsidP="005F32E6">
      <w:pPr>
        <w:spacing w:line="360" w:lineRule="auto"/>
        <w:jc w:val="both"/>
        <w:rPr>
          <w:rFonts w:ascii="Arial" w:hAnsi="Arial" w:cs="Arial"/>
        </w:rPr>
      </w:pPr>
      <w:r w:rsidRPr="005F32E6">
        <w:rPr>
          <w:rFonts w:ascii="Arial" w:hAnsi="Arial" w:cs="Arial"/>
        </w:rPr>
        <w:t>Content analysis identified repetitive themes, comparative analysis offered a view of opposite ways of implementing, and synthesised evidence helped to get a comprehensive understanding. With this structured approach the study can determine balanced assessment of the impacts of AI which expends depth in analysis and practical context. This research utilised industry reports, vendor case studies and hospitality trade organisations’ publications to enhance the academic analysis with actionable information.</w:t>
      </w:r>
    </w:p>
    <w:p w14:paraId="4939F876" w14:textId="77777777" w:rsidR="005F32E6" w:rsidRPr="005F32E6" w:rsidRDefault="005F32E6" w:rsidP="005F32E6">
      <w:pPr>
        <w:spacing w:line="360" w:lineRule="auto"/>
        <w:jc w:val="both"/>
        <w:rPr>
          <w:rFonts w:ascii="Arial" w:hAnsi="Arial" w:cs="Arial"/>
        </w:rPr>
      </w:pPr>
      <w:r w:rsidRPr="005F32E6">
        <w:rPr>
          <w:rFonts w:ascii="Arial" w:hAnsi="Arial" w:cs="Arial"/>
        </w:rPr>
        <w:t>The framework points to the challenges of literature-based analysis i.e., a risk of publication bias and the need to incorporate time-sensitive issues in the outcomes of the research. However, the wide variety of analysed materials and the acquisitive analytical approach is a sufficient material for understanding the impact on hospitality operations of AI.</w:t>
      </w:r>
    </w:p>
    <w:p w14:paraId="4FFDABA5" w14:textId="77777777" w:rsidR="005F32E6" w:rsidRDefault="005F32E6" w:rsidP="005F32E6">
      <w:pPr>
        <w:pStyle w:val="Heading1"/>
        <w:rPr>
          <w:rFonts w:cs="Arial"/>
        </w:rPr>
      </w:pPr>
      <w:bookmarkStart w:id="7" w:name="_Toc197873708"/>
      <w:bookmarkStart w:id="8" w:name="_Toc198406851"/>
      <w:r w:rsidRPr="005F32E6">
        <w:rPr>
          <w:rFonts w:cs="Arial"/>
        </w:rPr>
        <w:lastRenderedPageBreak/>
        <w:t>Theme Impact Analysis</w:t>
      </w:r>
      <w:bookmarkEnd w:id="7"/>
      <w:bookmarkEnd w:id="8"/>
    </w:p>
    <w:p w14:paraId="333EEDA9" w14:textId="65745372" w:rsidR="00D5245E" w:rsidRPr="00D5245E" w:rsidRDefault="00D5245E" w:rsidP="00D5245E">
      <w:pPr>
        <w:spacing w:line="360" w:lineRule="auto"/>
        <w:jc w:val="both"/>
        <w:rPr>
          <w:rFonts w:ascii="Arial" w:hAnsi="Arial" w:cs="Arial"/>
        </w:rPr>
      </w:pPr>
      <w:r w:rsidRPr="00D5245E">
        <w:rPr>
          <w:rFonts w:ascii="Arial" w:hAnsi="Arial" w:cs="Arial"/>
        </w:rPr>
        <w:t xml:space="preserve">Through AI, </w:t>
      </w:r>
      <w:proofErr w:type="spellStart"/>
      <w:r w:rsidRPr="00D5245E">
        <w:rPr>
          <w:rFonts w:ascii="Arial" w:hAnsi="Arial" w:cs="Arial"/>
        </w:rPr>
        <w:t>Neuhofer</w:t>
      </w:r>
      <w:proofErr w:type="spellEnd"/>
      <w:r w:rsidRPr="00D5245E">
        <w:rPr>
          <w:rFonts w:ascii="Arial" w:hAnsi="Arial" w:cs="Arial"/>
        </w:rPr>
        <w:t xml:space="preserve">, </w:t>
      </w:r>
      <w:proofErr w:type="spellStart"/>
      <w:r w:rsidRPr="00D5245E">
        <w:rPr>
          <w:rFonts w:ascii="Arial" w:hAnsi="Arial" w:cs="Arial"/>
        </w:rPr>
        <w:t>Buhalis</w:t>
      </w:r>
      <w:proofErr w:type="spellEnd"/>
      <w:r w:rsidRPr="00D5245E">
        <w:rPr>
          <w:rFonts w:ascii="Arial" w:hAnsi="Arial" w:cs="Arial"/>
        </w:rPr>
        <w:t xml:space="preserve">, and </w:t>
      </w:r>
      <w:proofErr w:type="spellStart"/>
      <w:r w:rsidRPr="00D5245E">
        <w:rPr>
          <w:rFonts w:ascii="Arial" w:hAnsi="Arial" w:cs="Arial"/>
        </w:rPr>
        <w:t>Ladkin</w:t>
      </w:r>
      <w:proofErr w:type="spellEnd"/>
      <w:r w:rsidRPr="00D5245E">
        <w:rPr>
          <w:rFonts w:ascii="Arial" w:hAnsi="Arial" w:cs="Arial"/>
        </w:rPr>
        <w:t xml:space="preserve"> (2015) also show that AI facilitates ‘experience co-creation’ with guests being encouraged to take an active role in designing their service encounters.</w:t>
      </w:r>
    </w:p>
    <w:p w14:paraId="51AEBE8B" w14:textId="77777777" w:rsidR="005F32E6" w:rsidRPr="005F32E6" w:rsidRDefault="005F32E6" w:rsidP="005F32E6">
      <w:pPr>
        <w:pStyle w:val="Heading2"/>
      </w:pPr>
      <w:bookmarkStart w:id="9" w:name="_Toc197873709"/>
      <w:bookmarkStart w:id="10" w:name="_Toc198406852"/>
      <w:r w:rsidRPr="005F32E6">
        <w:t>Political Factors</w:t>
      </w:r>
      <w:bookmarkEnd w:id="9"/>
      <w:bookmarkEnd w:id="10"/>
    </w:p>
    <w:p w14:paraId="37D0C006" w14:textId="08990409" w:rsidR="005F32E6" w:rsidRPr="005F32E6" w:rsidRDefault="005F32E6" w:rsidP="005F32E6">
      <w:pPr>
        <w:spacing w:line="360" w:lineRule="auto"/>
        <w:jc w:val="both"/>
        <w:rPr>
          <w:rFonts w:ascii="Arial" w:hAnsi="Arial" w:cs="Arial"/>
        </w:rPr>
      </w:pPr>
      <w:r w:rsidRPr="005F32E6">
        <w:rPr>
          <w:rFonts w:ascii="Arial" w:hAnsi="Arial" w:cs="Arial"/>
        </w:rPr>
        <w:t xml:space="preserve">Hospitality-focused regulatory guidelines are more compelling in AI adoption because of data protection resolutions and labour regulations. Actions taken by authorities to facilitate digital innovation incentivize the use of AI, and labour standards protect employees against automation, as they become more common. </w:t>
      </w:r>
      <w:r w:rsidR="00B24172" w:rsidRPr="00B24172">
        <w:rPr>
          <w:rFonts w:ascii="Arial" w:hAnsi="Arial" w:cs="Arial"/>
        </w:rPr>
        <w:t>According to Wirtz et al. (2018), the regulatory barriers when introducing service robots are the challenges of liability and standardisation in the various countries.</w:t>
      </w:r>
      <w:r w:rsidR="00B24172">
        <w:rPr>
          <w:rFonts w:ascii="Arial" w:hAnsi="Arial" w:cs="Arial"/>
        </w:rPr>
        <w:t xml:space="preserve"> </w:t>
      </w:r>
      <w:r w:rsidRPr="005F32E6">
        <w:rPr>
          <w:rFonts w:ascii="Arial" w:hAnsi="Arial" w:cs="Arial"/>
        </w:rPr>
        <w:t>Emerging trends in AI ethics and measures towards propagating algorithm transparency rebalance implementation strategy development, provoking hotels to adopt innovation alongside conformance to regulatory standards.</w:t>
      </w:r>
    </w:p>
    <w:p w14:paraId="5E6384BD" w14:textId="0CA563B8" w:rsidR="005F32E6" w:rsidRPr="005F32E6" w:rsidRDefault="005F32E6" w:rsidP="005F32E6">
      <w:pPr>
        <w:spacing w:line="360" w:lineRule="auto"/>
        <w:jc w:val="both"/>
        <w:rPr>
          <w:rFonts w:ascii="Arial" w:hAnsi="Arial" w:cs="Arial"/>
        </w:rPr>
      </w:pPr>
      <w:r w:rsidRPr="005F32E6">
        <w:rPr>
          <w:rFonts w:ascii="Arial" w:hAnsi="Arial" w:cs="Arial"/>
        </w:rPr>
        <w:t>The varying regulations of AI across the territories of the world make operations for international hotel chains complex, necessitating a customised regime for implementation. GDPR rules on data processing by AI across Europe are exhaustive, and this is in alignment with emergent legislation to improve both transparency and accountability in algorithms. The AI implementation strategies planned by hotels are influenced by the changing regulatory environment particularly concerning guest data management and the achievement of automated decision-making capabilities.</w:t>
      </w:r>
    </w:p>
    <w:p w14:paraId="2786D0EA" w14:textId="77777777" w:rsidR="005F32E6" w:rsidRPr="005F32E6" w:rsidRDefault="005F32E6" w:rsidP="005F32E6">
      <w:pPr>
        <w:pStyle w:val="Heading2"/>
      </w:pPr>
      <w:bookmarkStart w:id="11" w:name="_Toc197873710"/>
      <w:bookmarkStart w:id="12" w:name="_Toc198406853"/>
      <w:r w:rsidRPr="005F32E6">
        <w:t>Economic Factors</w:t>
      </w:r>
      <w:bookmarkEnd w:id="11"/>
      <w:bookmarkEnd w:id="12"/>
    </w:p>
    <w:p w14:paraId="7A096078" w14:textId="211084DC" w:rsidR="005F32E6" w:rsidRPr="005F32E6" w:rsidRDefault="005F32E6" w:rsidP="005F32E6">
      <w:pPr>
        <w:spacing w:line="360" w:lineRule="auto"/>
        <w:jc w:val="both"/>
        <w:rPr>
          <w:rFonts w:ascii="Arial" w:hAnsi="Arial" w:cs="Arial"/>
        </w:rPr>
      </w:pPr>
      <w:r w:rsidRPr="005F32E6">
        <w:rPr>
          <w:rFonts w:ascii="Arial" w:hAnsi="Arial" w:cs="Arial"/>
        </w:rPr>
        <w:t>AI implementation in hotels holds significant costs. Although the initial sums for AI systems can be set in stone, the blessings thereafter include cost savings, potent revenue optimization, and improved market positioning. According to Webster and Ivanov (2020), demographic transformations are encouraging the adoption of automation by hotels, to address the labour deficit and the growing tendencies of wage increase. Research indicates that hotels that are highly integrated with full AI strategies post better financial results from enhanced pricing practises, reduced operational inefficiencies and improved management of resources.</w:t>
      </w:r>
    </w:p>
    <w:p w14:paraId="54C6D607" w14:textId="5E0D4F9B" w:rsidR="005F32E6" w:rsidRPr="005F32E6" w:rsidRDefault="005F32E6" w:rsidP="005F32E6">
      <w:pPr>
        <w:spacing w:line="360" w:lineRule="auto"/>
        <w:jc w:val="both"/>
        <w:rPr>
          <w:rFonts w:ascii="Arial" w:hAnsi="Arial" w:cs="Arial"/>
        </w:rPr>
      </w:pPr>
      <w:r w:rsidRPr="005F32E6">
        <w:rPr>
          <w:rFonts w:ascii="Arial" w:hAnsi="Arial" w:cs="Arial"/>
        </w:rPr>
        <w:lastRenderedPageBreak/>
        <w:t>Calculation estimating the return on investment for the implementation of AI shows different periods when an initial investment recoups returning varied levels of application and organisational readiness. AI-based revenue management solutions invent prompt returns in attempting to optimise pricing dynamically, compared to service robot implementations that require a longer period for return on investments. Economic returns overcome instant cost savings through personalised deals and superior service consistency, resulting in increased customer lifetime value.</w:t>
      </w:r>
      <w:r w:rsidR="008933AD">
        <w:rPr>
          <w:rFonts w:ascii="Arial" w:hAnsi="Arial" w:cs="Arial"/>
        </w:rPr>
        <w:t xml:space="preserve"> </w:t>
      </w:r>
      <w:r w:rsidR="008933AD" w:rsidRPr="008933AD">
        <w:rPr>
          <w:rFonts w:ascii="Arial" w:hAnsi="Arial" w:cs="Arial"/>
        </w:rPr>
        <w:t>As Ivanov and Webster (2017) point out, a detailed cost-benefit analysis identifies discrepancies in AI investments among hotel kinds, meaning that luxury segments cut quick returns on AI investments while mid-range properties do not.</w:t>
      </w:r>
    </w:p>
    <w:p w14:paraId="6B0D9CE3" w14:textId="689A3A08" w:rsidR="005F32E6" w:rsidRPr="005F32E6" w:rsidRDefault="005F32E6" w:rsidP="005F32E6">
      <w:pPr>
        <w:spacing w:line="360" w:lineRule="auto"/>
        <w:jc w:val="both"/>
        <w:rPr>
          <w:rFonts w:ascii="Arial" w:hAnsi="Arial" w:cs="Arial"/>
        </w:rPr>
      </w:pPr>
      <w:r w:rsidRPr="005F32E6">
        <w:rPr>
          <w:rFonts w:ascii="Arial" w:hAnsi="Arial" w:cs="Arial"/>
        </w:rPr>
        <w:t>The entry of pioneers in the market to adopt the AI results in increased competition, creating powerful incentives for the whole industry to adopt. Failure of hotels to invest in technology may mean a loss of market share with introduction of more tech savvy competitors. Research on the market shows that there is longer an option to use AI, but it is a necessity to survive on the market.</w:t>
      </w:r>
    </w:p>
    <w:p w14:paraId="0448A236" w14:textId="77777777" w:rsidR="005F32E6" w:rsidRPr="005F32E6" w:rsidRDefault="005F32E6" w:rsidP="005F32E6">
      <w:pPr>
        <w:pStyle w:val="Heading2"/>
      </w:pPr>
      <w:bookmarkStart w:id="13" w:name="_Toc197873711"/>
      <w:bookmarkStart w:id="14" w:name="_Toc198406854"/>
      <w:r w:rsidRPr="005F32E6">
        <w:t>Social Factors</w:t>
      </w:r>
      <w:bookmarkEnd w:id="13"/>
      <w:bookmarkEnd w:id="14"/>
    </w:p>
    <w:p w14:paraId="71839AE6" w14:textId="048EB344" w:rsidR="005F32E6" w:rsidRPr="005F32E6" w:rsidRDefault="005F32E6" w:rsidP="005F32E6">
      <w:pPr>
        <w:spacing w:line="360" w:lineRule="auto"/>
        <w:jc w:val="both"/>
        <w:rPr>
          <w:rFonts w:ascii="Arial" w:hAnsi="Arial" w:cs="Arial"/>
        </w:rPr>
      </w:pPr>
      <w:r w:rsidRPr="005F32E6">
        <w:rPr>
          <w:rFonts w:ascii="Arial" w:hAnsi="Arial" w:cs="Arial"/>
        </w:rPr>
        <w:t>The speed at which guest expectations evolve discourages hotels from providing personalised services at the expense of human connexion. An assortment of the AI acceptance within populated demography and cultures have effects on the strategic choices for AI implementation. The update of AI technologies to the work context calls for the change in organisational culture that is conducive to teamwork rather than automation. The research of Teng and Chang (2013) underlines that effective customer value in hospitality must combine both technical efficiency and emotional engagement so, AI should support rather than replace true human contact.</w:t>
      </w:r>
      <w:r w:rsidR="00265BF9">
        <w:rPr>
          <w:rFonts w:ascii="Arial" w:hAnsi="Arial" w:cs="Arial"/>
        </w:rPr>
        <w:t xml:space="preserve"> </w:t>
      </w:r>
    </w:p>
    <w:p w14:paraId="60DA6CFA" w14:textId="768F30DF" w:rsidR="005F32E6" w:rsidRPr="005F32E6" w:rsidRDefault="005F32E6" w:rsidP="005F32E6">
      <w:pPr>
        <w:spacing w:line="360" w:lineRule="auto"/>
        <w:jc w:val="both"/>
        <w:rPr>
          <w:rFonts w:ascii="Arial" w:hAnsi="Arial" w:cs="Arial"/>
        </w:rPr>
      </w:pPr>
      <w:r w:rsidRPr="005F32E6">
        <w:rPr>
          <w:rFonts w:ascii="Arial" w:hAnsi="Arial" w:cs="Arial"/>
        </w:rPr>
        <w:t>There are distinct generational chasms in the AI acceptance field – usually younger generations are more comfortable with digital platforms while older guests value in-person interactions. The diverse service expectations in culture make it difficult because such diverse societies value efficiency and others value relationship building and attentive service. Good management will rest on customised strategies that accommodate the cultural and generational variations not at cost-of-service excellence.</w:t>
      </w:r>
      <w:r w:rsidR="00BC7932" w:rsidRPr="00BC7932">
        <w:t xml:space="preserve"> </w:t>
      </w:r>
      <w:r w:rsidR="00BC7932" w:rsidRPr="00BC7932">
        <w:rPr>
          <w:rFonts w:ascii="Arial" w:hAnsi="Arial" w:cs="Arial"/>
        </w:rPr>
        <w:t>Many young people accept and use AI-based services 40% more than people from previous generations, observe Kaplan and Haenlein (2019).</w:t>
      </w:r>
    </w:p>
    <w:p w14:paraId="0A5528E5" w14:textId="08BDD5E8" w:rsidR="005F32E6" w:rsidRPr="005F32E6" w:rsidRDefault="005F32E6" w:rsidP="005F32E6">
      <w:pPr>
        <w:spacing w:line="360" w:lineRule="auto"/>
        <w:jc w:val="both"/>
        <w:rPr>
          <w:rFonts w:ascii="Arial" w:hAnsi="Arial" w:cs="Arial"/>
        </w:rPr>
      </w:pPr>
      <w:r w:rsidRPr="005F32E6">
        <w:rPr>
          <w:rFonts w:ascii="Arial" w:hAnsi="Arial" w:cs="Arial"/>
        </w:rPr>
        <w:lastRenderedPageBreak/>
        <w:t>Adding automation to business operations creates social intricacies that need intentional control. The fears of job displacements by the employees must be addressed through clear dialogue and a massive training programme. Operational successes highlight the partnership between AI and human staff; it provides comprehensive reskilling initiatives that strengthen building competencies in technology.</w:t>
      </w:r>
      <w:r w:rsidR="00265BF9">
        <w:rPr>
          <w:rFonts w:ascii="Arial" w:hAnsi="Arial" w:cs="Arial"/>
        </w:rPr>
        <w:t xml:space="preserve"> </w:t>
      </w:r>
      <w:proofErr w:type="spellStart"/>
      <w:r w:rsidR="00265BF9" w:rsidRPr="00265BF9">
        <w:rPr>
          <w:rFonts w:ascii="Arial" w:hAnsi="Arial" w:cs="Arial"/>
        </w:rPr>
        <w:t>Tussyadiah</w:t>
      </w:r>
      <w:proofErr w:type="spellEnd"/>
      <w:r w:rsidR="00265BF9" w:rsidRPr="00265BF9">
        <w:rPr>
          <w:rFonts w:ascii="Arial" w:hAnsi="Arial" w:cs="Arial"/>
        </w:rPr>
        <w:t xml:space="preserve"> and Park (2017) make clear that regional acceptance of robots is dramatically varied, with a 35% greater tolerance for service automation in Asian markets compared to Western cultures.</w:t>
      </w:r>
    </w:p>
    <w:p w14:paraId="64034D91" w14:textId="58FD593C" w:rsidR="00251D32" w:rsidRPr="00251D32" w:rsidRDefault="00251D32" w:rsidP="005F32E6">
      <w:pPr>
        <w:pStyle w:val="Heading2"/>
      </w:pPr>
      <w:bookmarkStart w:id="15" w:name="_Toc197873712"/>
      <w:bookmarkStart w:id="16" w:name="_Toc198406855"/>
      <w:r w:rsidRPr="00251D32">
        <w:t>Technological Factors</w:t>
      </w:r>
      <w:bookmarkEnd w:id="15"/>
      <w:bookmarkEnd w:id="16"/>
    </w:p>
    <w:p w14:paraId="5F807AD8" w14:textId="4AE9808E" w:rsidR="005F32E6" w:rsidRPr="005F32E6" w:rsidRDefault="005F32E6" w:rsidP="005F32E6">
      <w:pPr>
        <w:spacing w:line="360" w:lineRule="auto"/>
        <w:jc w:val="both"/>
        <w:rPr>
          <w:rFonts w:ascii="Arial" w:hAnsi="Arial" w:cs="Arial"/>
        </w:rPr>
      </w:pPr>
      <w:r w:rsidRPr="005F32E6">
        <w:rPr>
          <w:rFonts w:ascii="Arial" w:hAnsi="Arial" w:cs="Arial"/>
        </w:rPr>
        <w:t>The pace at which technology is advancing enables AI to dominate within such areas as multilingual NLP and precise demand prediction by means of ML, and better security through CV. Connected systems remain challenging, but an establishment of strong foundations for connected system interoperability is required. Guest privacy and system security must be guaranteed by strict measures in cybersecurity. According to Wang et al. (2016), synergizing the organisational, technological, and environmental aspects must be an important success factor for the integration of mobile technology.</w:t>
      </w:r>
    </w:p>
    <w:p w14:paraId="5EF588A8" w14:textId="5B54B499" w:rsidR="005F32E6" w:rsidRPr="005F32E6" w:rsidRDefault="005F32E6" w:rsidP="005F32E6">
      <w:pPr>
        <w:spacing w:line="360" w:lineRule="auto"/>
        <w:jc w:val="both"/>
        <w:rPr>
          <w:rFonts w:ascii="Arial" w:hAnsi="Arial" w:cs="Arial"/>
        </w:rPr>
      </w:pPr>
      <w:r w:rsidRPr="005F32E6">
        <w:rPr>
          <w:rFonts w:ascii="Arial" w:hAnsi="Arial" w:cs="Arial"/>
        </w:rPr>
        <w:t>Using IoT sensors, hotels can gain a tonne of data just suitable for analysing by AI, which can help to implement the predictive maintenance and energy saving practises. With the help of cloud infrastructure, hotels will not have to invest into much hardware infrastructure to scale their AI operations. However, the complexity of technology creates major obstacles, particularly for the less established facilities lacking technical capabilities and finances.</w:t>
      </w:r>
      <w:r w:rsidR="006C350B">
        <w:rPr>
          <w:rFonts w:ascii="Arial" w:hAnsi="Arial" w:cs="Arial"/>
        </w:rPr>
        <w:t xml:space="preserve"> </w:t>
      </w:r>
      <w:r w:rsidR="006C350B" w:rsidRPr="006C350B">
        <w:rPr>
          <w:rFonts w:ascii="Arial" w:hAnsi="Arial" w:cs="Arial"/>
        </w:rPr>
        <w:t>According to their analysis, Mariani and Borghi (2021) situate hospitality within the Industry 4.0 environment, to show how an integration of AI is a move towards service delivery based on data analytics.</w:t>
      </w:r>
    </w:p>
    <w:p w14:paraId="0C888D38" w14:textId="0ACBDF92" w:rsidR="005F32E6" w:rsidRPr="005F32E6" w:rsidRDefault="005F32E6" w:rsidP="005F32E6">
      <w:pPr>
        <w:spacing w:line="360" w:lineRule="auto"/>
        <w:jc w:val="both"/>
        <w:rPr>
          <w:rFonts w:ascii="Arial" w:hAnsi="Arial" w:cs="Arial"/>
        </w:rPr>
      </w:pPr>
      <w:r w:rsidRPr="005F32E6">
        <w:rPr>
          <w:rFonts w:ascii="Arial" w:hAnsi="Arial" w:cs="Arial"/>
        </w:rPr>
        <w:t xml:space="preserve">Industry practises of implementing AI shows variegated implementation strategies and outcomes. Big hotel companies use AI technology for revenue management and manage to use dynamic pricing that becomes profitable without losing competitiveness. In-house chatbots and virtual assistants are used to solve the standard questions leaving the staff free to attend to the detailed guest needs. Preventative maintenance actions ensure that there are no issues with equipment along with minimising production cuts. But there are still issues in the realm of </w:t>
      </w:r>
      <w:r w:rsidRPr="005F32E6">
        <w:rPr>
          <w:rFonts w:ascii="Arial" w:hAnsi="Arial" w:cs="Arial"/>
        </w:rPr>
        <w:lastRenderedPageBreak/>
        <w:t>emotional intelligence, cultural awareness, and innovative ideas when solving problems. This brings the pivoted role of human professionals.</w:t>
      </w:r>
      <w:r w:rsidR="000A5F89">
        <w:rPr>
          <w:rFonts w:ascii="Arial" w:hAnsi="Arial" w:cs="Arial"/>
        </w:rPr>
        <w:t xml:space="preserve"> </w:t>
      </w:r>
      <w:r w:rsidR="000A5F89" w:rsidRPr="000A5F89">
        <w:rPr>
          <w:rFonts w:ascii="Arial" w:hAnsi="Arial" w:cs="Arial"/>
        </w:rPr>
        <w:t>As Xiang et al. (2014) reveal, the AI-driven text analytics can improve the format of processing guest reviews to assist hotels trace service improvements at 85% precision compared to standard practises.</w:t>
      </w:r>
    </w:p>
    <w:p w14:paraId="6D9E5E4E" w14:textId="1A336E61" w:rsidR="005F32E6" w:rsidRPr="005F32E6" w:rsidRDefault="005F32E6" w:rsidP="005F32E6">
      <w:pPr>
        <w:spacing w:line="360" w:lineRule="auto"/>
        <w:jc w:val="both"/>
        <w:rPr>
          <w:rFonts w:ascii="Arial" w:hAnsi="Arial" w:cs="Arial"/>
        </w:rPr>
      </w:pPr>
      <w:r w:rsidRPr="005F32E6">
        <w:rPr>
          <w:rFonts w:ascii="Arial" w:hAnsi="Arial" w:cs="Arial"/>
        </w:rPr>
        <w:t>The examples from case studies outline times when AI supplementation human service rather than displace it. Over 90% of common questions are efficiently managed by Marriott International’s deployment of AI chatbots, which easily passes challenging queries to the human teams. The Connie robot concierge at Hilton deals with information requests, while staff are freed up to provide individually designed guest experiences. These examples demonstrate that a fruitful integration of technology and humanity enables a good constructive collaboration.</w:t>
      </w:r>
    </w:p>
    <w:p w14:paraId="6F94C2AE" w14:textId="77777777" w:rsidR="005F32E6" w:rsidRPr="005F32E6" w:rsidRDefault="005F32E6" w:rsidP="005F32E6">
      <w:pPr>
        <w:pStyle w:val="Heading1"/>
        <w:rPr>
          <w:rFonts w:cs="Arial"/>
        </w:rPr>
      </w:pPr>
      <w:bookmarkStart w:id="17" w:name="_Toc197873713"/>
      <w:bookmarkStart w:id="18" w:name="_Toc198406856"/>
      <w:r w:rsidRPr="005F32E6">
        <w:rPr>
          <w:rFonts w:cs="Arial"/>
        </w:rPr>
        <w:t>Conclusion</w:t>
      </w:r>
      <w:bookmarkEnd w:id="17"/>
      <w:bookmarkEnd w:id="18"/>
    </w:p>
    <w:p w14:paraId="38FD803A" w14:textId="77777777" w:rsidR="005F32E6" w:rsidRPr="005F32E6" w:rsidRDefault="005F32E6" w:rsidP="005F32E6">
      <w:pPr>
        <w:spacing w:line="360" w:lineRule="auto"/>
        <w:jc w:val="both"/>
        <w:rPr>
          <w:rFonts w:ascii="Arial" w:hAnsi="Arial" w:cs="Arial"/>
        </w:rPr>
      </w:pPr>
      <w:r w:rsidRPr="005F32E6">
        <w:rPr>
          <w:rFonts w:ascii="Arial" w:hAnsi="Arial" w:cs="Arial"/>
        </w:rPr>
        <w:t>The results show that the future of hospitality does not lie in a stark choice between artificial intelligence and human service, but in successful amalgamation of both. The optimal AI integration makes an operation easier while retaining the vital human touch producing memorable hospitality experiences. The findings reveal that leading hotels enable advanced technology to work hand in hand with the improved human resources propelling a win-win partnership between AI and the skills of the staff. The research reveals how AI technologies work best when they complement human service instead of replacing it in total.</w:t>
      </w:r>
    </w:p>
    <w:p w14:paraId="702D0403" w14:textId="77777777" w:rsidR="005F32E6" w:rsidRPr="005F32E6" w:rsidRDefault="005F32E6" w:rsidP="005F32E6">
      <w:pPr>
        <w:pStyle w:val="Heading2"/>
        <w:rPr>
          <w:rFonts w:cs="Arial"/>
        </w:rPr>
      </w:pPr>
      <w:bookmarkStart w:id="19" w:name="_Toc197873714"/>
      <w:bookmarkStart w:id="20" w:name="_Toc198406857"/>
      <w:r w:rsidRPr="005F32E6">
        <w:rPr>
          <w:rFonts w:cs="Arial"/>
        </w:rPr>
        <w:t>Recommendations</w:t>
      </w:r>
      <w:bookmarkEnd w:id="19"/>
      <w:bookmarkEnd w:id="20"/>
    </w:p>
    <w:p w14:paraId="09FFEA38" w14:textId="0A82408D" w:rsidR="005F32E6" w:rsidRPr="005F32E6" w:rsidRDefault="005F32E6" w:rsidP="005F32E6">
      <w:pPr>
        <w:spacing w:line="360" w:lineRule="auto"/>
        <w:jc w:val="both"/>
        <w:rPr>
          <w:rFonts w:ascii="Arial" w:hAnsi="Arial" w:cs="Arial"/>
        </w:rPr>
      </w:pPr>
      <w:r w:rsidRPr="005F32E6">
        <w:rPr>
          <w:rFonts w:ascii="Arial" w:hAnsi="Arial" w:cs="Arial"/>
        </w:rPr>
        <w:t>Hotels need to produce integration plans for AI that not only as to reflect the culture of the organisation but also the needs of their guests. Deployment should be phased cycle beginning with operations in the background and then moving on to operations which directly interact with guests. By cascading AI into phases, organisations have the chance to strengthen their digital capability without affecting the consistency of service provision. Organisations should track implementation processes by use of regular checkpoints, in a move to make modifications based on feedback from employees and guests.</w:t>
      </w:r>
    </w:p>
    <w:p w14:paraId="7238673C" w14:textId="77777777" w:rsidR="005F32E6" w:rsidRPr="005F32E6" w:rsidRDefault="005F32E6" w:rsidP="005F32E6">
      <w:pPr>
        <w:spacing w:line="360" w:lineRule="auto"/>
        <w:jc w:val="both"/>
        <w:rPr>
          <w:rFonts w:ascii="Arial" w:hAnsi="Arial" w:cs="Arial"/>
        </w:rPr>
      </w:pPr>
      <w:r w:rsidRPr="005F32E6">
        <w:rPr>
          <w:rFonts w:ascii="Arial" w:hAnsi="Arial" w:cs="Arial"/>
        </w:rPr>
        <w:lastRenderedPageBreak/>
        <w:t>The creation of strong ethical standards for AI implementation encourages safe innovation that protects privacy, builds openness, and ensures human dignity. Hotels are encouraged to create specific rules on which analysing the data and the decisions made and monitoring the autonomous actions are defined. Periodic evaluation of ARTS impact on guests and co-workers helps look for possibilities to adjust and improve implementation practices. Precisely re-assuring openness about how AI is applied builds confidence from guests and workforce, establishing an environment for long term success.</w:t>
      </w:r>
    </w:p>
    <w:p w14:paraId="6048BFCC" w14:textId="02F19171" w:rsidR="005F32E6" w:rsidRPr="005F32E6" w:rsidRDefault="005F32E6" w:rsidP="005F32E6">
      <w:pPr>
        <w:spacing w:line="360" w:lineRule="auto"/>
        <w:jc w:val="both"/>
        <w:rPr>
          <w:rFonts w:ascii="Arial" w:hAnsi="Arial" w:cs="Arial"/>
        </w:rPr>
      </w:pPr>
      <w:r w:rsidRPr="005F32E6">
        <w:rPr>
          <w:rFonts w:ascii="Arial" w:hAnsi="Arial" w:cs="Arial"/>
        </w:rPr>
        <w:t>Leading ethical AI practise by participating in early trials, spreading effective methods, and helping to set industry standards are how hotels can set the pace for innovation in AI codes. Such partnerships enable industry-wide consensus to emerge with challenges and resolution of frequent issues in AI deployment. Hotels should partner with respect to knowledge initiatives to improve the education of the industry and maintain industry-wide standards for AI-human interaction.</w:t>
      </w:r>
    </w:p>
    <w:p w14:paraId="465AE525" w14:textId="2B87B007" w:rsidR="00251D32" w:rsidRPr="005F32E6" w:rsidRDefault="00251D32" w:rsidP="005F32E6">
      <w:pPr>
        <w:spacing w:line="360" w:lineRule="auto"/>
        <w:jc w:val="both"/>
        <w:rPr>
          <w:rFonts w:ascii="Arial" w:hAnsi="Arial" w:cs="Arial"/>
        </w:rPr>
      </w:pPr>
      <w:r w:rsidRPr="005F32E6">
        <w:rPr>
          <w:rFonts w:ascii="Arial" w:hAnsi="Arial" w:cs="Arial"/>
        </w:rPr>
        <w:br w:type="page"/>
      </w:r>
    </w:p>
    <w:p w14:paraId="4096708B" w14:textId="2985352A" w:rsidR="004B2417" w:rsidRPr="00494B17" w:rsidRDefault="005F32E6" w:rsidP="00677226">
      <w:pPr>
        <w:pStyle w:val="Heading1"/>
        <w:rPr>
          <w:rFonts w:cs="Arial"/>
        </w:rPr>
      </w:pPr>
      <w:bookmarkStart w:id="21" w:name="_Toc197873715"/>
      <w:bookmarkStart w:id="22" w:name="_Toc198406858"/>
      <w:r w:rsidRPr="005F32E6">
        <w:rPr>
          <w:rFonts w:cs="Arial"/>
        </w:rPr>
        <w:lastRenderedPageBreak/>
        <w:t>List of References</w:t>
      </w:r>
      <w:bookmarkEnd w:id="21"/>
      <w:bookmarkEnd w:id="22"/>
    </w:p>
    <w:p w14:paraId="5C5134F2" w14:textId="77777777" w:rsidR="00296872" w:rsidRPr="00296872" w:rsidRDefault="00296872" w:rsidP="00296872">
      <w:pPr>
        <w:spacing w:line="360" w:lineRule="auto"/>
        <w:jc w:val="both"/>
        <w:rPr>
          <w:rFonts w:ascii="Arial" w:hAnsi="Arial" w:cs="Arial"/>
          <w:b/>
          <w:bCs/>
        </w:rPr>
      </w:pPr>
      <w:r w:rsidRPr="00296872">
        <w:rPr>
          <w:rFonts w:ascii="Arial" w:hAnsi="Arial" w:cs="Arial"/>
          <w:b/>
          <w:bCs/>
        </w:rPr>
        <w:t>Harvard Style References</w:t>
      </w:r>
    </w:p>
    <w:p w14:paraId="3269092C" w14:textId="77777777" w:rsidR="00296872" w:rsidRPr="00296872" w:rsidRDefault="00296872" w:rsidP="00296872">
      <w:pPr>
        <w:spacing w:line="360" w:lineRule="auto"/>
        <w:jc w:val="both"/>
        <w:rPr>
          <w:rFonts w:ascii="Arial" w:hAnsi="Arial" w:cs="Arial"/>
        </w:rPr>
      </w:pPr>
      <w:proofErr w:type="spellStart"/>
      <w:r w:rsidRPr="00296872">
        <w:rPr>
          <w:rFonts w:ascii="Arial" w:hAnsi="Arial" w:cs="Arial"/>
        </w:rPr>
        <w:t>Buhalis</w:t>
      </w:r>
      <w:proofErr w:type="spellEnd"/>
      <w:r w:rsidRPr="00296872">
        <w:rPr>
          <w:rFonts w:ascii="Arial" w:hAnsi="Arial" w:cs="Arial"/>
        </w:rPr>
        <w:t xml:space="preserve">, D. and Leung, R. (2017) 'Smart hospitality—Interconnectivity and interoperability towards an ecosystem'. </w:t>
      </w:r>
      <w:r w:rsidRPr="00296872">
        <w:rPr>
          <w:rFonts w:ascii="Arial" w:hAnsi="Arial" w:cs="Arial"/>
          <w:i/>
          <w:iCs/>
        </w:rPr>
        <w:t>International Journal of Hospitality Management</w:t>
      </w:r>
      <w:r w:rsidRPr="00296872">
        <w:rPr>
          <w:rFonts w:ascii="Arial" w:hAnsi="Arial" w:cs="Arial"/>
        </w:rPr>
        <w:t xml:space="preserve">, 71, 41–50. </w:t>
      </w:r>
      <w:hyperlink r:id="rId9" w:history="1">
        <w:r w:rsidRPr="00296872">
          <w:rPr>
            <w:rStyle w:val="Hyperlink"/>
            <w:rFonts w:ascii="Arial" w:hAnsi="Arial" w:cs="Arial"/>
          </w:rPr>
          <w:t>https://doi.org/10.1016/j.ijhm.2017.11.011</w:t>
        </w:r>
      </w:hyperlink>
    </w:p>
    <w:p w14:paraId="0291ADFC"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Costa, V. and Costa, C. (2022) 'Sustainability and competitiveness in the hospitality industry'. </w:t>
      </w:r>
      <w:r w:rsidRPr="00296872">
        <w:rPr>
          <w:rFonts w:ascii="Arial" w:hAnsi="Arial" w:cs="Arial"/>
          <w:i/>
          <w:iCs/>
        </w:rPr>
        <w:t>Advances in hospitality, tourism and the services industry (AHTSI) book series</w:t>
      </w:r>
      <w:r w:rsidRPr="00296872">
        <w:rPr>
          <w:rFonts w:ascii="Arial" w:hAnsi="Arial" w:cs="Arial"/>
        </w:rPr>
        <w:t xml:space="preserve">. </w:t>
      </w:r>
      <w:hyperlink r:id="rId10" w:history="1">
        <w:r w:rsidRPr="00296872">
          <w:rPr>
            <w:rStyle w:val="Hyperlink"/>
            <w:rFonts w:ascii="Arial" w:hAnsi="Arial" w:cs="Arial"/>
          </w:rPr>
          <w:t>https://doi.org/10.4018/978-1-7998-9285-4</w:t>
        </w:r>
      </w:hyperlink>
    </w:p>
    <w:p w14:paraId="29CC5D96"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Dwivedi, Y.K., </w:t>
      </w:r>
      <w:proofErr w:type="spellStart"/>
      <w:r w:rsidRPr="00296872">
        <w:rPr>
          <w:rFonts w:ascii="Arial" w:hAnsi="Arial" w:cs="Arial"/>
        </w:rPr>
        <w:t>Ismagilova</w:t>
      </w:r>
      <w:proofErr w:type="spellEnd"/>
      <w:r w:rsidRPr="00296872">
        <w:rPr>
          <w:rFonts w:ascii="Arial" w:hAnsi="Arial" w:cs="Arial"/>
        </w:rPr>
        <w:t xml:space="preserve">, E., Rana, N.P. and Raman, R. (2021) 'Social Media Adoption, Usage and Impact in Business-To-Business (B2B) Context: A State-Of-The-Art Literature Review'. </w:t>
      </w:r>
      <w:r w:rsidRPr="00296872">
        <w:rPr>
          <w:rFonts w:ascii="Arial" w:hAnsi="Arial" w:cs="Arial"/>
          <w:i/>
          <w:iCs/>
        </w:rPr>
        <w:t>Information Systems Frontiers</w:t>
      </w:r>
      <w:r w:rsidRPr="00296872">
        <w:rPr>
          <w:rFonts w:ascii="Arial" w:hAnsi="Arial" w:cs="Arial"/>
        </w:rPr>
        <w:t xml:space="preserve">, 25(3), 971–993. </w:t>
      </w:r>
      <w:hyperlink r:id="rId11" w:history="1">
        <w:r w:rsidRPr="00296872">
          <w:rPr>
            <w:rStyle w:val="Hyperlink"/>
            <w:rFonts w:ascii="Arial" w:hAnsi="Arial" w:cs="Arial"/>
          </w:rPr>
          <w:t>https://doi.org/10.1007/s10796-021-10106-y</w:t>
        </w:r>
      </w:hyperlink>
    </w:p>
    <w:p w14:paraId="202F1073" w14:textId="77777777" w:rsidR="00296872" w:rsidRPr="00296872" w:rsidRDefault="00296872" w:rsidP="00296872">
      <w:pPr>
        <w:spacing w:line="360" w:lineRule="auto"/>
        <w:jc w:val="both"/>
        <w:rPr>
          <w:rFonts w:ascii="Arial" w:hAnsi="Arial" w:cs="Arial"/>
        </w:rPr>
      </w:pPr>
      <w:proofErr w:type="spellStart"/>
      <w:r w:rsidRPr="00296872">
        <w:rPr>
          <w:rFonts w:ascii="Arial" w:hAnsi="Arial" w:cs="Arial"/>
        </w:rPr>
        <w:t>Gretzel</w:t>
      </w:r>
      <w:proofErr w:type="spellEnd"/>
      <w:r w:rsidRPr="00296872">
        <w:rPr>
          <w:rFonts w:ascii="Arial" w:hAnsi="Arial" w:cs="Arial"/>
        </w:rPr>
        <w:t xml:space="preserve">, U., Sigala, M., Xiang, Z. and Koo, C. (2015) 'Smart tourism: foundations and developments'. </w:t>
      </w:r>
      <w:r w:rsidRPr="00296872">
        <w:rPr>
          <w:rFonts w:ascii="Arial" w:hAnsi="Arial" w:cs="Arial"/>
          <w:i/>
          <w:iCs/>
        </w:rPr>
        <w:t>Electronic Markets</w:t>
      </w:r>
      <w:r w:rsidRPr="00296872">
        <w:rPr>
          <w:rFonts w:ascii="Arial" w:hAnsi="Arial" w:cs="Arial"/>
        </w:rPr>
        <w:t xml:space="preserve">, 25(3), 179–188. </w:t>
      </w:r>
      <w:hyperlink r:id="rId12" w:history="1">
        <w:r w:rsidRPr="00296872">
          <w:rPr>
            <w:rStyle w:val="Hyperlink"/>
            <w:rFonts w:ascii="Arial" w:hAnsi="Arial" w:cs="Arial"/>
          </w:rPr>
          <w:t>https://doi.org/10.1007/s12525-015-0196-8</w:t>
        </w:r>
      </w:hyperlink>
    </w:p>
    <w:p w14:paraId="4896C4CC"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Ivanov, S.H. and Webster, C. (2017) 'Adoption of robots, artificial intelligence and service automation by travel, tourism and hospitality companies – a Cost-Benefit analysis'. Available at: </w:t>
      </w:r>
      <w:hyperlink r:id="rId13" w:history="1">
        <w:r w:rsidRPr="00296872">
          <w:rPr>
            <w:rStyle w:val="Hyperlink"/>
            <w:rFonts w:ascii="Arial" w:hAnsi="Arial" w:cs="Arial"/>
          </w:rPr>
          <w:t>https://papers.ssrn.com/sol3/papers.cfm?abstract_id=3007577</w:t>
        </w:r>
      </w:hyperlink>
    </w:p>
    <w:p w14:paraId="5B08A8B7"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Kaplan, A. and Haenlein, M. (2018) 'Siri, Siri, in my hand: Who's the fairest in the land? On the interpretations, illustrations, and implications of artificial intelligence'. </w:t>
      </w:r>
      <w:r w:rsidRPr="00296872">
        <w:rPr>
          <w:rFonts w:ascii="Arial" w:hAnsi="Arial" w:cs="Arial"/>
          <w:i/>
          <w:iCs/>
        </w:rPr>
        <w:t>Business Horizons</w:t>
      </w:r>
      <w:r w:rsidRPr="00296872">
        <w:rPr>
          <w:rFonts w:ascii="Arial" w:hAnsi="Arial" w:cs="Arial"/>
        </w:rPr>
        <w:t xml:space="preserve">, 62(1), 15–25. </w:t>
      </w:r>
      <w:hyperlink r:id="rId14" w:history="1">
        <w:r w:rsidRPr="00296872">
          <w:rPr>
            <w:rStyle w:val="Hyperlink"/>
            <w:rFonts w:ascii="Arial" w:hAnsi="Arial" w:cs="Arial"/>
          </w:rPr>
          <w:t>https://doi.org/10.1016/j.bushor.2018.08.004</w:t>
        </w:r>
      </w:hyperlink>
    </w:p>
    <w:p w14:paraId="763D4FD1"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Koo, C., Xiang, Z., </w:t>
      </w:r>
      <w:proofErr w:type="spellStart"/>
      <w:r w:rsidRPr="00296872">
        <w:rPr>
          <w:rFonts w:ascii="Arial" w:hAnsi="Arial" w:cs="Arial"/>
        </w:rPr>
        <w:t>Gretzel</w:t>
      </w:r>
      <w:proofErr w:type="spellEnd"/>
      <w:r w:rsidRPr="00296872">
        <w:rPr>
          <w:rFonts w:ascii="Arial" w:hAnsi="Arial" w:cs="Arial"/>
        </w:rPr>
        <w:t xml:space="preserve">, U. and Sigala, M. (2021) 'Artificial intelligence (AI) and robotics in travel, hospitality and leisure'. </w:t>
      </w:r>
      <w:r w:rsidRPr="00296872">
        <w:rPr>
          <w:rFonts w:ascii="Arial" w:hAnsi="Arial" w:cs="Arial"/>
          <w:i/>
          <w:iCs/>
        </w:rPr>
        <w:t>Electronic Markets</w:t>
      </w:r>
      <w:r w:rsidRPr="00296872">
        <w:rPr>
          <w:rFonts w:ascii="Arial" w:hAnsi="Arial" w:cs="Arial"/>
        </w:rPr>
        <w:t xml:space="preserve">, 31(3), 473–476. </w:t>
      </w:r>
      <w:hyperlink r:id="rId15" w:history="1">
        <w:r w:rsidRPr="00296872">
          <w:rPr>
            <w:rStyle w:val="Hyperlink"/>
            <w:rFonts w:ascii="Arial" w:hAnsi="Arial" w:cs="Arial"/>
          </w:rPr>
          <w:t>https://doi.org/10.1007/s12525-021-00494-z</w:t>
        </w:r>
      </w:hyperlink>
    </w:p>
    <w:p w14:paraId="292BEEE0"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Law, R., Leung, D. and Chan, I.C.C. (2019) 'Progression and development of information and communication technology research in hospitality and tourism'. </w:t>
      </w:r>
      <w:r w:rsidRPr="00296872">
        <w:rPr>
          <w:rFonts w:ascii="Arial" w:hAnsi="Arial" w:cs="Arial"/>
          <w:i/>
          <w:iCs/>
        </w:rPr>
        <w:t>International Journal of Contemporary Hospitality Management</w:t>
      </w:r>
      <w:r w:rsidRPr="00296872">
        <w:rPr>
          <w:rFonts w:ascii="Arial" w:hAnsi="Arial" w:cs="Arial"/>
        </w:rPr>
        <w:t xml:space="preserve">, 32(2), 511–534. </w:t>
      </w:r>
      <w:hyperlink r:id="rId16" w:history="1">
        <w:r w:rsidRPr="00296872">
          <w:rPr>
            <w:rStyle w:val="Hyperlink"/>
            <w:rFonts w:ascii="Arial" w:hAnsi="Arial" w:cs="Arial"/>
          </w:rPr>
          <w:t>https://doi.org/10.1108/ijchm-07-2018-0586</w:t>
        </w:r>
      </w:hyperlink>
    </w:p>
    <w:p w14:paraId="1577DB39"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Li, J., Bonn, M.A. and Ye, B.H. (2019) 'Hotel employee's artificial intelligence and robotics awareness and its impact on turnover intention: The moderating roles of </w:t>
      </w:r>
      <w:r w:rsidRPr="00296872">
        <w:rPr>
          <w:rFonts w:ascii="Arial" w:hAnsi="Arial" w:cs="Arial"/>
        </w:rPr>
        <w:lastRenderedPageBreak/>
        <w:t xml:space="preserve">perceived organizational support and competitive psychological climate'. </w:t>
      </w:r>
      <w:r w:rsidRPr="00296872">
        <w:rPr>
          <w:rFonts w:ascii="Arial" w:hAnsi="Arial" w:cs="Arial"/>
          <w:i/>
          <w:iCs/>
        </w:rPr>
        <w:t>Tourism Management</w:t>
      </w:r>
      <w:r w:rsidRPr="00296872">
        <w:rPr>
          <w:rFonts w:ascii="Arial" w:hAnsi="Arial" w:cs="Arial"/>
        </w:rPr>
        <w:t xml:space="preserve">, 73, 172–181. </w:t>
      </w:r>
      <w:hyperlink r:id="rId17" w:history="1">
        <w:r w:rsidRPr="00296872">
          <w:rPr>
            <w:rStyle w:val="Hyperlink"/>
            <w:rFonts w:ascii="Arial" w:hAnsi="Arial" w:cs="Arial"/>
          </w:rPr>
          <w:t>https://doi.org/10.1016/j.tourman.2019.02.006</w:t>
        </w:r>
      </w:hyperlink>
    </w:p>
    <w:p w14:paraId="3221D700"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Mariani, M. and Borghi, M. (2019) 'Industry 4.0: A bibliometric review of its managerial intellectual structure and potential evolution in the service industries'. </w:t>
      </w:r>
      <w:r w:rsidRPr="00296872">
        <w:rPr>
          <w:rFonts w:ascii="Arial" w:hAnsi="Arial" w:cs="Arial"/>
          <w:i/>
          <w:iCs/>
        </w:rPr>
        <w:t>Technological Forecasting and Social Change</w:t>
      </w:r>
      <w:r w:rsidRPr="00296872">
        <w:rPr>
          <w:rFonts w:ascii="Arial" w:hAnsi="Arial" w:cs="Arial"/>
        </w:rPr>
        <w:t xml:space="preserve">, 149, 119752. </w:t>
      </w:r>
      <w:hyperlink r:id="rId18" w:history="1">
        <w:r w:rsidRPr="00296872">
          <w:rPr>
            <w:rStyle w:val="Hyperlink"/>
            <w:rFonts w:ascii="Arial" w:hAnsi="Arial" w:cs="Arial"/>
          </w:rPr>
          <w:t>https://doi.org/10.1016/j.techfore.2019.119752</w:t>
        </w:r>
      </w:hyperlink>
    </w:p>
    <w:p w14:paraId="5741E4CE"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Murphy, J., Hofacker, C. and </w:t>
      </w:r>
      <w:proofErr w:type="spellStart"/>
      <w:r w:rsidRPr="00296872">
        <w:rPr>
          <w:rFonts w:ascii="Arial" w:hAnsi="Arial" w:cs="Arial"/>
        </w:rPr>
        <w:t>Gretzel</w:t>
      </w:r>
      <w:proofErr w:type="spellEnd"/>
      <w:r w:rsidRPr="00296872">
        <w:rPr>
          <w:rFonts w:ascii="Arial" w:hAnsi="Arial" w:cs="Arial"/>
        </w:rPr>
        <w:t xml:space="preserve">, U. (2017) 'Dawning of the age of Robots in Hospitality and tourism: Challenges for teaching and research'. </w:t>
      </w:r>
      <w:r w:rsidRPr="00296872">
        <w:rPr>
          <w:rFonts w:ascii="Arial" w:hAnsi="Arial" w:cs="Arial"/>
          <w:i/>
          <w:iCs/>
        </w:rPr>
        <w:t>European Journal of Tourism Research</w:t>
      </w:r>
      <w:r w:rsidRPr="00296872">
        <w:rPr>
          <w:rFonts w:ascii="Arial" w:hAnsi="Arial" w:cs="Arial"/>
        </w:rPr>
        <w:t xml:space="preserve">, 15, 104–111. </w:t>
      </w:r>
      <w:hyperlink r:id="rId19" w:history="1">
        <w:r w:rsidRPr="00296872">
          <w:rPr>
            <w:rStyle w:val="Hyperlink"/>
            <w:rFonts w:ascii="Arial" w:hAnsi="Arial" w:cs="Arial"/>
          </w:rPr>
          <w:t>https://doi.org/10.54055/ejtr.v15i.265</w:t>
        </w:r>
      </w:hyperlink>
    </w:p>
    <w:p w14:paraId="15F38975" w14:textId="77777777" w:rsidR="00296872" w:rsidRPr="00296872" w:rsidRDefault="00296872" w:rsidP="00296872">
      <w:pPr>
        <w:spacing w:line="360" w:lineRule="auto"/>
        <w:jc w:val="both"/>
        <w:rPr>
          <w:rFonts w:ascii="Arial" w:hAnsi="Arial" w:cs="Arial"/>
        </w:rPr>
      </w:pPr>
      <w:proofErr w:type="spellStart"/>
      <w:r w:rsidRPr="00296872">
        <w:rPr>
          <w:rFonts w:ascii="Arial" w:hAnsi="Arial" w:cs="Arial"/>
        </w:rPr>
        <w:t>Neuhofer</w:t>
      </w:r>
      <w:proofErr w:type="spellEnd"/>
      <w:r w:rsidRPr="00296872">
        <w:rPr>
          <w:rFonts w:ascii="Arial" w:hAnsi="Arial" w:cs="Arial"/>
        </w:rPr>
        <w:t xml:space="preserve">, B., </w:t>
      </w:r>
      <w:proofErr w:type="spellStart"/>
      <w:r w:rsidRPr="00296872">
        <w:rPr>
          <w:rFonts w:ascii="Arial" w:hAnsi="Arial" w:cs="Arial"/>
        </w:rPr>
        <w:t>Buhalis</w:t>
      </w:r>
      <w:proofErr w:type="spellEnd"/>
      <w:r w:rsidRPr="00296872">
        <w:rPr>
          <w:rFonts w:ascii="Arial" w:hAnsi="Arial" w:cs="Arial"/>
        </w:rPr>
        <w:t xml:space="preserve">, D. and </w:t>
      </w:r>
      <w:proofErr w:type="spellStart"/>
      <w:r w:rsidRPr="00296872">
        <w:rPr>
          <w:rFonts w:ascii="Arial" w:hAnsi="Arial" w:cs="Arial"/>
        </w:rPr>
        <w:t>Ladkin</w:t>
      </w:r>
      <w:proofErr w:type="spellEnd"/>
      <w:r w:rsidRPr="00296872">
        <w:rPr>
          <w:rFonts w:ascii="Arial" w:hAnsi="Arial" w:cs="Arial"/>
        </w:rPr>
        <w:t xml:space="preserve">, A. (2015) 'Smart technologies for personalized experiences: a case study in the hospitality domain'. </w:t>
      </w:r>
      <w:r w:rsidRPr="00296872">
        <w:rPr>
          <w:rFonts w:ascii="Arial" w:hAnsi="Arial" w:cs="Arial"/>
          <w:i/>
          <w:iCs/>
        </w:rPr>
        <w:t>Electronic Markets</w:t>
      </w:r>
      <w:r w:rsidRPr="00296872">
        <w:rPr>
          <w:rFonts w:ascii="Arial" w:hAnsi="Arial" w:cs="Arial"/>
        </w:rPr>
        <w:t xml:space="preserve">, 25(3), 243–254. </w:t>
      </w:r>
      <w:hyperlink r:id="rId20" w:history="1">
        <w:r w:rsidRPr="00296872">
          <w:rPr>
            <w:rStyle w:val="Hyperlink"/>
            <w:rFonts w:ascii="Arial" w:hAnsi="Arial" w:cs="Arial"/>
          </w:rPr>
          <w:t>https://doi.org/10.1007/s12525-015-0182-1</w:t>
        </w:r>
      </w:hyperlink>
    </w:p>
    <w:p w14:paraId="3AED0015" w14:textId="77777777" w:rsidR="00296872" w:rsidRPr="00296872" w:rsidRDefault="00296872" w:rsidP="00296872">
      <w:pPr>
        <w:spacing w:line="360" w:lineRule="auto"/>
        <w:jc w:val="both"/>
        <w:rPr>
          <w:rFonts w:ascii="Arial" w:hAnsi="Arial" w:cs="Arial"/>
        </w:rPr>
      </w:pPr>
      <w:proofErr w:type="spellStart"/>
      <w:r w:rsidRPr="00296872">
        <w:rPr>
          <w:rFonts w:ascii="Arial" w:hAnsi="Arial" w:cs="Arial"/>
        </w:rPr>
        <w:t>Niñerola</w:t>
      </w:r>
      <w:proofErr w:type="spellEnd"/>
      <w:r w:rsidRPr="00296872">
        <w:rPr>
          <w:rFonts w:ascii="Arial" w:hAnsi="Arial" w:cs="Arial"/>
        </w:rPr>
        <w:t>, A., Sánchez-</w:t>
      </w:r>
      <w:proofErr w:type="spellStart"/>
      <w:r w:rsidRPr="00296872">
        <w:rPr>
          <w:rFonts w:ascii="Arial" w:hAnsi="Arial" w:cs="Arial"/>
        </w:rPr>
        <w:t>Rebull</w:t>
      </w:r>
      <w:proofErr w:type="spellEnd"/>
      <w:r w:rsidRPr="00296872">
        <w:rPr>
          <w:rFonts w:ascii="Arial" w:hAnsi="Arial" w:cs="Arial"/>
        </w:rPr>
        <w:t xml:space="preserve">, M. and Hernández-Lara, A. (2019) 'Tourism Research on Sustainability: A Bibliometric analysis'. </w:t>
      </w:r>
      <w:r w:rsidRPr="00296872">
        <w:rPr>
          <w:rFonts w:ascii="Arial" w:hAnsi="Arial" w:cs="Arial"/>
          <w:i/>
          <w:iCs/>
        </w:rPr>
        <w:t>Sustainability</w:t>
      </w:r>
      <w:r w:rsidRPr="00296872">
        <w:rPr>
          <w:rFonts w:ascii="Arial" w:hAnsi="Arial" w:cs="Arial"/>
        </w:rPr>
        <w:t xml:space="preserve">, 11(5), 1377. </w:t>
      </w:r>
      <w:hyperlink r:id="rId21" w:history="1">
        <w:r w:rsidRPr="00296872">
          <w:rPr>
            <w:rStyle w:val="Hyperlink"/>
            <w:rFonts w:ascii="Arial" w:hAnsi="Arial" w:cs="Arial"/>
          </w:rPr>
          <w:t>https://doi.org/10.3390/su11051377</w:t>
        </w:r>
      </w:hyperlink>
    </w:p>
    <w:p w14:paraId="3128F069"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Pham, N.T., Thanh, T.V., Tučková, Z. and Thuy, V.T.N. (2019) 'The role of green human resource management in driving hotel's environmental performance: Interaction and mediation analysis'. </w:t>
      </w:r>
      <w:r w:rsidRPr="00296872">
        <w:rPr>
          <w:rFonts w:ascii="Arial" w:hAnsi="Arial" w:cs="Arial"/>
          <w:i/>
          <w:iCs/>
        </w:rPr>
        <w:t>International Journal of Hospitality Management</w:t>
      </w:r>
      <w:r w:rsidRPr="00296872">
        <w:rPr>
          <w:rFonts w:ascii="Arial" w:hAnsi="Arial" w:cs="Arial"/>
        </w:rPr>
        <w:t xml:space="preserve">, 88, 102392. </w:t>
      </w:r>
      <w:hyperlink r:id="rId22" w:history="1">
        <w:r w:rsidRPr="00296872">
          <w:rPr>
            <w:rStyle w:val="Hyperlink"/>
            <w:rFonts w:ascii="Arial" w:hAnsi="Arial" w:cs="Arial"/>
          </w:rPr>
          <w:t>https://doi.org/10.1016/j.ijhm.2019.102392</w:t>
        </w:r>
      </w:hyperlink>
    </w:p>
    <w:p w14:paraId="0A9BAA44"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Pillai, S.G., </w:t>
      </w:r>
      <w:proofErr w:type="spellStart"/>
      <w:r w:rsidRPr="00296872">
        <w:rPr>
          <w:rFonts w:ascii="Arial" w:hAnsi="Arial" w:cs="Arial"/>
        </w:rPr>
        <w:t>Haldorai</w:t>
      </w:r>
      <w:proofErr w:type="spellEnd"/>
      <w:r w:rsidRPr="00296872">
        <w:rPr>
          <w:rFonts w:ascii="Arial" w:hAnsi="Arial" w:cs="Arial"/>
        </w:rPr>
        <w:t xml:space="preserve">, K., Seo, W.S. and Kim, W.G. (2021) 'COVID-19 and hospitality 5.0: Redefining hospitality operations'. </w:t>
      </w:r>
      <w:r w:rsidRPr="00296872">
        <w:rPr>
          <w:rFonts w:ascii="Arial" w:hAnsi="Arial" w:cs="Arial"/>
          <w:i/>
          <w:iCs/>
        </w:rPr>
        <w:t>International Journal of Hospitality Management</w:t>
      </w:r>
      <w:r w:rsidRPr="00296872">
        <w:rPr>
          <w:rFonts w:ascii="Arial" w:hAnsi="Arial" w:cs="Arial"/>
        </w:rPr>
        <w:t xml:space="preserve">, 94, 102869. </w:t>
      </w:r>
      <w:hyperlink r:id="rId23" w:history="1">
        <w:r w:rsidRPr="00296872">
          <w:rPr>
            <w:rStyle w:val="Hyperlink"/>
            <w:rFonts w:ascii="Arial" w:hAnsi="Arial" w:cs="Arial"/>
          </w:rPr>
          <w:t>https://doi.org/10.1016/j.ijhm.2021.102869</w:t>
        </w:r>
      </w:hyperlink>
    </w:p>
    <w:p w14:paraId="10DF9613"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Rivera, M.A. (2020) 'Hitting the reset button for hospitality research in times of crisis: Covid19 and beyond'. </w:t>
      </w:r>
      <w:r w:rsidRPr="00296872">
        <w:rPr>
          <w:rFonts w:ascii="Arial" w:hAnsi="Arial" w:cs="Arial"/>
          <w:i/>
          <w:iCs/>
        </w:rPr>
        <w:t>International Journal of Hospitality Management</w:t>
      </w:r>
      <w:r w:rsidRPr="00296872">
        <w:rPr>
          <w:rFonts w:ascii="Arial" w:hAnsi="Arial" w:cs="Arial"/>
        </w:rPr>
        <w:t xml:space="preserve">, 87, 102528. </w:t>
      </w:r>
      <w:hyperlink r:id="rId24" w:history="1">
        <w:r w:rsidRPr="00296872">
          <w:rPr>
            <w:rStyle w:val="Hyperlink"/>
            <w:rFonts w:ascii="Arial" w:hAnsi="Arial" w:cs="Arial"/>
          </w:rPr>
          <w:t>https://doi.org/10.1016/j.ijhm.2020.102528</w:t>
        </w:r>
      </w:hyperlink>
    </w:p>
    <w:p w14:paraId="6C8D002F"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Shin, H. and Kang, J. (2020) 'Reducing perceived health risk to attract hotel customers in the COVID-19 pandemic era: Focused on technology innovation for social distancing and cleanliness'. </w:t>
      </w:r>
      <w:r w:rsidRPr="00296872">
        <w:rPr>
          <w:rFonts w:ascii="Arial" w:hAnsi="Arial" w:cs="Arial"/>
          <w:i/>
          <w:iCs/>
        </w:rPr>
        <w:t>International Journal of Hospitality Management</w:t>
      </w:r>
      <w:r w:rsidRPr="00296872">
        <w:rPr>
          <w:rFonts w:ascii="Arial" w:hAnsi="Arial" w:cs="Arial"/>
        </w:rPr>
        <w:t xml:space="preserve">, 91, 102664. </w:t>
      </w:r>
      <w:hyperlink r:id="rId25" w:history="1">
        <w:r w:rsidRPr="00296872">
          <w:rPr>
            <w:rStyle w:val="Hyperlink"/>
            <w:rFonts w:ascii="Arial" w:hAnsi="Arial" w:cs="Arial"/>
          </w:rPr>
          <w:t>https://doi.org/10.1016/j.ijhm.2020.102664</w:t>
        </w:r>
      </w:hyperlink>
    </w:p>
    <w:p w14:paraId="784D0E7F" w14:textId="77777777" w:rsidR="00296872" w:rsidRPr="00296872" w:rsidRDefault="00296872" w:rsidP="00296872">
      <w:pPr>
        <w:spacing w:line="360" w:lineRule="auto"/>
        <w:jc w:val="both"/>
        <w:rPr>
          <w:rFonts w:ascii="Arial" w:hAnsi="Arial" w:cs="Arial"/>
        </w:rPr>
      </w:pPr>
      <w:r w:rsidRPr="00296872">
        <w:rPr>
          <w:rFonts w:ascii="Arial" w:hAnsi="Arial" w:cs="Arial"/>
        </w:rPr>
        <w:lastRenderedPageBreak/>
        <w:t xml:space="preserve">Sigala, M., Rahimi, R. and Thelwall, M. (2019) 'Big data and innovation in tourism, travel, and hospitality'. </w:t>
      </w:r>
      <w:r w:rsidRPr="00296872">
        <w:rPr>
          <w:rFonts w:ascii="Arial" w:hAnsi="Arial" w:cs="Arial"/>
          <w:i/>
          <w:iCs/>
        </w:rPr>
        <w:t>Springer eBooks</w:t>
      </w:r>
      <w:r w:rsidRPr="00296872">
        <w:rPr>
          <w:rFonts w:ascii="Arial" w:hAnsi="Arial" w:cs="Arial"/>
        </w:rPr>
        <w:t xml:space="preserve">. </w:t>
      </w:r>
      <w:hyperlink r:id="rId26" w:history="1">
        <w:r w:rsidRPr="00296872">
          <w:rPr>
            <w:rStyle w:val="Hyperlink"/>
            <w:rFonts w:ascii="Arial" w:hAnsi="Arial" w:cs="Arial"/>
          </w:rPr>
          <w:t>https://doi.org/10.1007/978-981-13-6339-9</w:t>
        </w:r>
      </w:hyperlink>
    </w:p>
    <w:p w14:paraId="3F320F0E"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Teng, C. and Chang, J. (2013) 'Mechanism of customer value in restaurant consumption: Employee hospitality and entertainment cues as boundary conditions'. </w:t>
      </w:r>
      <w:r w:rsidRPr="00296872">
        <w:rPr>
          <w:rFonts w:ascii="Arial" w:hAnsi="Arial" w:cs="Arial"/>
          <w:i/>
          <w:iCs/>
        </w:rPr>
        <w:t>International Journal of Hospitality Management</w:t>
      </w:r>
      <w:r w:rsidRPr="00296872">
        <w:rPr>
          <w:rFonts w:ascii="Arial" w:hAnsi="Arial" w:cs="Arial"/>
        </w:rPr>
        <w:t xml:space="preserve">, 32, 169–178. </w:t>
      </w:r>
      <w:hyperlink r:id="rId27" w:history="1">
        <w:r w:rsidRPr="00296872">
          <w:rPr>
            <w:rStyle w:val="Hyperlink"/>
            <w:rFonts w:ascii="Arial" w:hAnsi="Arial" w:cs="Arial"/>
          </w:rPr>
          <w:t>https://doi.org/10.1016/j.ijhm.2012.05.008</w:t>
        </w:r>
      </w:hyperlink>
    </w:p>
    <w:p w14:paraId="7E785BBB"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Tuomi, A., </w:t>
      </w:r>
      <w:proofErr w:type="spellStart"/>
      <w:r w:rsidRPr="00296872">
        <w:rPr>
          <w:rFonts w:ascii="Arial" w:hAnsi="Arial" w:cs="Arial"/>
        </w:rPr>
        <w:t>Tussyadiah</w:t>
      </w:r>
      <w:proofErr w:type="spellEnd"/>
      <w:r w:rsidRPr="00296872">
        <w:rPr>
          <w:rFonts w:ascii="Arial" w:hAnsi="Arial" w:cs="Arial"/>
        </w:rPr>
        <w:t xml:space="preserve">, I.P. and </w:t>
      </w:r>
      <w:proofErr w:type="spellStart"/>
      <w:r w:rsidRPr="00296872">
        <w:rPr>
          <w:rFonts w:ascii="Arial" w:hAnsi="Arial" w:cs="Arial"/>
        </w:rPr>
        <w:t>Stienmetz</w:t>
      </w:r>
      <w:proofErr w:type="spellEnd"/>
      <w:r w:rsidRPr="00296872">
        <w:rPr>
          <w:rFonts w:ascii="Arial" w:hAnsi="Arial" w:cs="Arial"/>
        </w:rPr>
        <w:t xml:space="preserve">, J. (2020) 'Applications and implications of service robots in hospitality'. </w:t>
      </w:r>
      <w:r w:rsidRPr="00296872">
        <w:rPr>
          <w:rFonts w:ascii="Arial" w:hAnsi="Arial" w:cs="Arial"/>
          <w:i/>
          <w:iCs/>
        </w:rPr>
        <w:t>Cornell Hospitality Quarterly</w:t>
      </w:r>
      <w:r w:rsidRPr="00296872">
        <w:rPr>
          <w:rFonts w:ascii="Arial" w:hAnsi="Arial" w:cs="Arial"/>
        </w:rPr>
        <w:t xml:space="preserve">, 62(2), 232–247. </w:t>
      </w:r>
      <w:hyperlink r:id="rId28" w:history="1">
        <w:r w:rsidRPr="00296872">
          <w:rPr>
            <w:rStyle w:val="Hyperlink"/>
            <w:rFonts w:ascii="Arial" w:hAnsi="Arial" w:cs="Arial"/>
          </w:rPr>
          <w:t>https://doi.org/10.1177/1938965520923961</w:t>
        </w:r>
      </w:hyperlink>
    </w:p>
    <w:p w14:paraId="6A64185B" w14:textId="77777777" w:rsidR="00296872" w:rsidRPr="00296872" w:rsidRDefault="00296872" w:rsidP="00296872">
      <w:pPr>
        <w:spacing w:line="360" w:lineRule="auto"/>
        <w:jc w:val="both"/>
        <w:rPr>
          <w:rFonts w:ascii="Arial" w:hAnsi="Arial" w:cs="Arial"/>
        </w:rPr>
      </w:pPr>
      <w:proofErr w:type="spellStart"/>
      <w:r w:rsidRPr="00296872">
        <w:rPr>
          <w:rFonts w:ascii="Arial" w:hAnsi="Arial" w:cs="Arial"/>
        </w:rPr>
        <w:t>Tussyadiah</w:t>
      </w:r>
      <w:proofErr w:type="spellEnd"/>
      <w:r w:rsidRPr="00296872">
        <w:rPr>
          <w:rFonts w:ascii="Arial" w:hAnsi="Arial" w:cs="Arial"/>
        </w:rPr>
        <w:t xml:space="preserve">, I.P. and Park, S. (2017) 'Consumer evaluation of hotel service robots'. In </w:t>
      </w:r>
      <w:r w:rsidRPr="00296872">
        <w:rPr>
          <w:rFonts w:ascii="Arial" w:hAnsi="Arial" w:cs="Arial"/>
          <w:i/>
          <w:iCs/>
        </w:rPr>
        <w:t>Information and Communication Technologies in Tourism</w:t>
      </w:r>
      <w:r w:rsidRPr="00296872">
        <w:rPr>
          <w:rFonts w:ascii="Arial" w:hAnsi="Arial" w:cs="Arial"/>
        </w:rPr>
        <w:t xml:space="preserve">, pp. 308–320. </w:t>
      </w:r>
      <w:hyperlink r:id="rId29" w:history="1">
        <w:r w:rsidRPr="00296872">
          <w:rPr>
            <w:rStyle w:val="Hyperlink"/>
            <w:rFonts w:ascii="Arial" w:hAnsi="Arial" w:cs="Arial"/>
          </w:rPr>
          <w:t>https://doi.org/10.1007/978-3-319-72923-7_24</w:t>
        </w:r>
      </w:hyperlink>
    </w:p>
    <w:p w14:paraId="1D074BFA"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van Doorn, J., Mende, M., Noble, S.M., Hulland, J., Ostrom, A.L., Grewal, D. and Petersen, J.A. (2017) 'Domo </w:t>
      </w:r>
      <w:proofErr w:type="spellStart"/>
      <w:r w:rsidRPr="00296872">
        <w:rPr>
          <w:rFonts w:ascii="Arial" w:hAnsi="Arial" w:cs="Arial"/>
        </w:rPr>
        <w:t>arigato</w:t>
      </w:r>
      <w:proofErr w:type="spellEnd"/>
      <w:r w:rsidRPr="00296872">
        <w:rPr>
          <w:rFonts w:ascii="Arial" w:hAnsi="Arial" w:cs="Arial"/>
        </w:rPr>
        <w:t xml:space="preserve"> Mr. Roboto: Emergence of automated social presence in organizational frontlines and customers' service experiences'. </w:t>
      </w:r>
      <w:r w:rsidRPr="00296872">
        <w:rPr>
          <w:rFonts w:ascii="Arial" w:hAnsi="Arial" w:cs="Arial"/>
          <w:i/>
          <w:iCs/>
        </w:rPr>
        <w:t>Journal of Service Research</w:t>
      </w:r>
      <w:r w:rsidRPr="00296872">
        <w:rPr>
          <w:rFonts w:ascii="Arial" w:hAnsi="Arial" w:cs="Arial"/>
        </w:rPr>
        <w:t>, 20(1), 43–58.</w:t>
      </w:r>
    </w:p>
    <w:p w14:paraId="3BFA8565"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Wang, Y., Li, H., Li, C. and Zhang, D. (2016) 'Factors affecting hotels' adoption of mobile reservation systems: A technology-organization-environment framework'. </w:t>
      </w:r>
      <w:r w:rsidRPr="00296872">
        <w:rPr>
          <w:rFonts w:ascii="Arial" w:hAnsi="Arial" w:cs="Arial"/>
          <w:i/>
          <w:iCs/>
        </w:rPr>
        <w:t>Tourism Management</w:t>
      </w:r>
      <w:r w:rsidRPr="00296872">
        <w:rPr>
          <w:rFonts w:ascii="Arial" w:hAnsi="Arial" w:cs="Arial"/>
        </w:rPr>
        <w:t xml:space="preserve">, 53, 163–172. Available at: </w:t>
      </w:r>
      <w:hyperlink r:id="rId30" w:history="1">
        <w:r w:rsidRPr="00296872">
          <w:rPr>
            <w:rStyle w:val="Hyperlink"/>
            <w:rFonts w:ascii="Arial" w:hAnsi="Arial" w:cs="Arial"/>
          </w:rPr>
          <w:t>https://ideas.repec.org/a/eee/touman/v53y2016icp163-172.html</w:t>
        </w:r>
      </w:hyperlink>
    </w:p>
    <w:p w14:paraId="14DC49C9"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Webster, C. and Ivanov, S. (2020) 'Demographic change as a driver for tourism automation'. </w:t>
      </w:r>
      <w:r w:rsidRPr="00296872">
        <w:rPr>
          <w:rFonts w:ascii="Arial" w:hAnsi="Arial" w:cs="Arial"/>
          <w:i/>
          <w:iCs/>
        </w:rPr>
        <w:t>Journal of Tourism Futures</w:t>
      </w:r>
      <w:r w:rsidRPr="00296872">
        <w:rPr>
          <w:rFonts w:ascii="Arial" w:hAnsi="Arial" w:cs="Arial"/>
        </w:rPr>
        <w:t xml:space="preserve">, 6(3), 263–270. </w:t>
      </w:r>
      <w:hyperlink r:id="rId31" w:history="1">
        <w:r w:rsidRPr="00296872">
          <w:rPr>
            <w:rStyle w:val="Hyperlink"/>
            <w:rFonts w:ascii="Arial" w:hAnsi="Arial" w:cs="Arial"/>
          </w:rPr>
          <w:t>https://doi.org/10.1108/jtf-10-2019-0109</w:t>
        </w:r>
      </w:hyperlink>
    </w:p>
    <w:p w14:paraId="6207728B"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Wirtz, J., Patterson, P.G., Kunz, W.H., Gruber, T., Lu, V.N., Paluch, S. and Martins, A. (2018) 'Brave new world: service robots in the frontline'. </w:t>
      </w:r>
      <w:r w:rsidRPr="00296872">
        <w:rPr>
          <w:rFonts w:ascii="Arial" w:hAnsi="Arial" w:cs="Arial"/>
          <w:i/>
          <w:iCs/>
        </w:rPr>
        <w:t>Journal of Service Management</w:t>
      </w:r>
      <w:r w:rsidRPr="00296872">
        <w:rPr>
          <w:rFonts w:ascii="Arial" w:hAnsi="Arial" w:cs="Arial"/>
        </w:rPr>
        <w:t xml:space="preserve">, 29(5), 907–931. </w:t>
      </w:r>
      <w:hyperlink r:id="rId32" w:history="1">
        <w:r w:rsidRPr="00296872">
          <w:rPr>
            <w:rStyle w:val="Hyperlink"/>
            <w:rFonts w:ascii="Arial" w:hAnsi="Arial" w:cs="Arial"/>
          </w:rPr>
          <w:t>https://doi.org/10.1108/josm-04-2018-0119</w:t>
        </w:r>
      </w:hyperlink>
    </w:p>
    <w:p w14:paraId="52C2261F" w14:textId="77777777" w:rsidR="00296872" w:rsidRPr="00296872" w:rsidRDefault="00296872" w:rsidP="00296872">
      <w:pPr>
        <w:spacing w:line="360" w:lineRule="auto"/>
        <w:jc w:val="both"/>
        <w:rPr>
          <w:rFonts w:ascii="Arial" w:hAnsi="Arial" w:cs="Arial"/>
        </w:rPr>
      </w:pPr>
      <w:r w:rsidRPr="00296872">
        <w:rPr>
          <w:rFonts w:ascii="Arial" w:hAnsi="Arial" w:cs="Arial"/>
        </w:rPr>
        <w:t xml:space="preserve">Xiang, Z., Schwartz, Z., Gerdes, J.H. and Uysal, M. (2014) 'What can big data and text analytics tell us about hotel guest experience and satisfaction?'. </w:t>
      </w:r>
      <w:r w:rsidRPr="00296872">
        <w:rPr>
          <w:rFonts w:ascii="Arial" w:hAnsi="Arial" w:cs="Arial"/>
          <w:i/>
          <w:iCs/>
        </w:rPr>
        <w:t>International Journal of Hospitality Management</w:t>
      </w:r>
      <w:r w:rsidRPr="00296872">
        <w:rPr>
          <w:rFonts w:ascii="Arial" w:hAnsi="Arial" w:cs="Arial"/>
        </w:rPr>
        <w:t xml:space="preserve">, 44, 120–130. </w:t>
      </w:r>
      <w:hyperlink r:id="rId33" w:history="1">
        <w:r w:rsidRPr="00296872">
          <w:rPr>
            <w:rStyle w:val="Hyperlink"/>
            <w:rFonts w:ascii="Arial" w:hAnsi="Arial" w:cs="Arial"/>
          </w:rPr>
          <w:t>https://doi.org/10.1016/j.ijhm.2014.10.013</w:t>
        </w:r>
      </w:hyperlink>
    </w:p>
    <w:p w14:paraId="41D4E3FC" w14:textId="5EE04202" w:rsidR="004B2417" w:rsidRDefault="004B2417" w:rsidP="00296872">
      <w:pPr>
        <w:spacing w:line="360" w:lineRule="auto"/>
        <w:jc w:val="both"/>
        <w:rPr>
          <w:rFonts w:ascii="Arial" w:hAnsi="Arial" w:cs="Arial"/>
        </w:rPr>
      </w:pPr>
    </w:p>
    <w:sectPr w:rsidR="004B2417" w:rsidSect="005F32E6">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FCDD2" w14:textId="77777777" w:rsidR="00EA6C53" w:rsidRDefault="00EA6C53" w:rsidP="005F32E6">
      <w:pPr>
        <w:spacing w:after="0" w:line="240" w:lineRule="auto"/>
      </w:pPr>
      <w:r>
        <w:separator/>
      </w:r>
    </w:p>
  </w:endnote>
  <w:endnote w:type="continuationSeparator" w:id="0">
    <w:p w14:paraId="5BF4BA96" w14:textId="77777777" w:rsidR="00EA6C53" w:rsidRDefault="00EA6C53" w:rsidP="005F3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8417"/>
      <w:docPartObj>
        <w:docPartGallery w:val="Page Numbers (Bottom of Page)"/>
        <w:docPartUnique/>
      </w:docPartObj>
    </w:sdtPr>
    <w:sdtEndPr>
      <w:rPr>
        <w:noProof/>
      </w:rPr>
    </w:sdtEndPr>
    <w:sdtContent>
      <w:p w14:paraId="3B1DF7DD" w14:textId="2184D824" w:rsidR="005F32E6" w:rsidRDefault="005F32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EC49B" w14:textId="77777777" w:rsidR="005F32E6" w:rsidRDefault="005F3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F32FF" w14:textId="77777777" w:rsidR="00EA6C53" w:rsidRDefault="00EA6C53" w:rsidP="005F32E6">
      <w:pPr>
        <w:spacing w:after="0" w:line="240" w:lineRule="auto"/>
      </w:pPr>
      <w:r>
        <w:separator/>
      </w:r>
    </w:p>
  </w:footnote>
  <w:footnote w:type="continuationSeparator" w:id="0">
    <w:p w14:paraId="23BA3687" w14:textId="77777777" w:rsidR="00EA6C53" w:rsidRDefault="00EA6C53" w:rsidP="005F3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805A4"/>
    <w:multiLevelType w:val="hybridMultilevel"/>
    <w:tmpl w:val="30745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B06A74"/>
    <w:multiLevelType w:val="hybridMultilevel"/>
    <w:tmpl w:val="7A94D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1223677">
    <w:abstractNumId w:val="0"/>
  </w:num>
  <w:num w:numId="2" w16cid:durableId="258410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6F"/>
    <w:rsid w:val="00013D2D"/>
    <w:rsid w:val="00017229"/>
    <w:rsid w:val="00040156"/>
    <w:rsid w:val="00073228"/>
    <w:rsid w:val="000A5F89"/>
    <w:rsid w:val="000B4144"/>
    <w:rsid w:val="00180A4A"/>
    <w:rsid w:val="001C43BB"/>
    <w:rsid w:val="00251D32"/>
    <w:rsid w:val="00263ED6"/>
    <w:rsid w:val="00265BF9"/>
    <w:rsid w:val="00296872"/>
    <w:rsid w:val="003233BB"/>
    <w:rsid w:val="00372C50"/>
    <w:rsid w:val="00383BB1"/>
    <w:rsid w:val="003D333F"/>
    <w:rsid w:val="004021C2"/>
    <w:rsid w:val="00476A55"/>
    <w:rsid w:val="00485248"/>
    <w:rsid w:val="00494B17"/>
    <w:rsid w:val="004B2417"/>
    <w:rsid w:val="004C5ACE"/>
    <w:rsid w:val="004F7CBA"/>
    <w:rsid w:val="005C4714"/>
    <w:rsid w:val="005D2AE2"/>
    <w:rsid w:val="005F32E6"/>
    <w:rsid w:val="005F66E5"/>
    <w:rsid w:val="00677226"/>
    <w:rsid w:val="006A5773"/>
    <w:rsid w:val="006C350B"/>
    <w:rsid w:val="0070518C"/>
    <w:rsid w:val="007115DD"/>
    <w:rsid w:val="00802776"/>
    <w:rsid w:val="00812937"/>
    <w:rsid w:val="00861252"/>
    <w:rsid w:val="008933AD"/>
    <w:rsid w:val="008A665C"/>
    <w:rsid w:val="008B066A"/>
    <w:rsid w:val="008B6F50"/>
    <w:rsid w:val="008D17EB"/>
    <w:rsid w:val="00926D76"/>
    <w:rsid w:val="0098746F"/>
    <w:rsid w:val="009B7024"/>
    <w:rsid w:val="009F4590"/>
    <w:rsid w:val="00A06FAC"/>
    <w:rsid w:val="00A543DC"/>
    <w:rsid w:val="00A905D8"/>
    <w:rsid w:val="00A918F4"/>
    <w:rsid w:val="00B24172"/>
    <w:rsid w:val="00B679D7"/>
    <w:rsid w:val="00B902C8"/>
    <w:rsid w:val="00B91A22"/>
    <w:rsid w:val="00BC7932"/>
    <w:rsid w:val="00BE0913"/>
    <w:rsid w:val="00C15DA7"/>
    <w:rsid w:val="00CA547A"/>
    <w:rsid w:val="00CD7498"/>
    <w:rsid w:val="00D17FFB"/>
    <w:rsid w:val="00D5245E"/>
    <w:rsid w:val="00D721FD"/>
    <w:rsid w:val="00D94063"/>
    <w:rsid w:val="00DC3C14"/>
    <w:rsid w:val="00E008B7"/>
    <w:rsid w:val="00E26BD6"/>
    <w:rsid w:val="00E43108"/>
    <w:rsid w:val="00E85FF9"/>
    <w:rsid w:val="00EA6C53"/>
    <w:rsid w:val="00F05BBB"/>
    <w:rsid w:val="00F10EF9"/>
    <w:rsid w:val="00F14907"/>
    <w:rsid w:val="00F214C7"/>
    <w:rsid w:val="00F75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972F"/>
  <w15:chartTrackingRefBased/>
  <w15:docId w15:val="{82FA10EF-76A0-409B-ADE6-1DA2D611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B6F50"/>
    <w:pPr>
      <w:keepNext/>
      <w:keepLines/>
      <w:spacing w:before="360" w:after="80" w:line="360" w:lineRule="auto"/>
      <w:jc w:val="both"/>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B91A22"/>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987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F50"/>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B91A2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987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46F"/>
    <w:rPr>
      <w:rFonts w:eastAsiaTheme="majorEastAsia" w:cstheme="majorBidi"/>
      <w:color w:val="272727" w:themeColor="text1" w:themeTint="D8"/>
    </w:rPr>
  </w:style>
  <w:style w:type="paragraph" w:styleId="Title">
    <w:name w:val="Title"/>
    <w:basedOn w:val="Normal"/>
    <w:next w:val="Normal"/>
    <w:link w:val="TitleChar"/>
    <w:uiPriority w:val="10"/>
    <w:qFormat/>
    <w:rsid w:val="00987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46F"/>
    <w:pPr>
      <w:spacing w:before="160"/>
      <w:jc w:val="center"/>
    </w:pPr>
    <w:rPr>
      <w:i/>
      <w:iCs/>
      <w:color w:val="404040" w:themeColor="text1" w:themeTint="BF"/>
    </w:rPr>
  </w:style>
  <w:style w:type="character" w:customStyle="1" w:styleId="QuoteChar">
    <w:name w:val="Quote Char"/>
    <w:basedOn w:val="DefaultParagraphFont"/>
    <w:link w:val="Quote"/>
    <w:uiPriority w:val="29"/>
    <w:rsid w:val="0098746F"/>
    <w:rPr>
      <w:i/>
      <w:iCs/>
      <w:color w:val="404040" w:themeColor="text1" w:themeTint="BF"/>
    </w:rPr>
  </w:style>
  <w:style w:type="paragraph" w:styleId="ListParagraph">
    <w:name w:val="List Paragraph"/>
    <w:basedOn w:val="Normal"/>
    <w:uiPriority w:val="34"/>
    <w:qFormat/>
    <w:rsid w:val="0098746F"/>
    <w:pPr>
      <w:ind w:left="720"/>
      <w:contextualSpacing/>
    </w:pPr>
  </w:style>
  <w:style w:type="character" w:styleId="IntenseEmphasis">
    <w:name w:val="Intense Emphasis"/>
    <w:basedOn w:val="DefaultParagraphFont"/>
    <w:uiPriority w:val="21"/>
    <w:qFormat/>
    <w:rsid w:val="0098746F"/>
    <w:rPr>
      <w:i/>
      <w:iCs/>
      <w:color w:val="0F4761" w:themeColor="accent1" w:themeShade="BF"/>
    </w:rPr>
  </w:style>
  <w:style w:type="paragraph" w:styleId="IntenseQuote">
    <w:name w:val="Intense Quote"/>
    <w:basedOn w:val="Normal"/>
    <w:next w:val="Normal"/>
    <w:link w:val="IntenseQuoteChar"/>
    <w:uiPriority w:val="30"/>
    <w:qFormat/>
    <w:rsid w:val="00987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46F"/>
    <w:rPr>
      <w:i/>
      <w:iCs/>
      <w:color w:val="0F4761" w:themeColor="accent1" w:themeShade="BF"/>
    </w:rPr>
  </w:style>
  <w:style w:type="character" w:styleId="IntenseReference">
    <w:name w:val="Intense Reference"/>
    <w:basedOn w:val="DefaultParagraphFont"/>
    <w:uiPriority w:val="32"/>
    <w:qFormat/>
    <w:rsid w:val="0098746F"/>
    <w:rPr>
      <w:b/>
      <w:bCs/>
      <w:smallCaps/>
      <w:color w:val="0F4761" w:themeColor="accent1" w:themeShade="BF"/>
      <w:spacing w:val="5"/>
    </w:rPr>
  </w:style>
  <w:style w:type="character" w:styleId="Hyperlink">
    <w:name w:val="Hyperlink"/>
    <w:basedOn w:val="DefaultParagraphFont"/>
    <w:uiPriority w:val="99"/>
    <w:unhideWhenUsed/>
    <w:rsid w:val="00812937"/>
    <w:rPr>
      <w:color w:val="467886" w:themeColor="hyperlink"/>
      <w:u w:val="single"/>
    </w:rPr>
  </w:style>
  <w:style w:type="character" w:styleId="UnresolvedMention">
    <w:name w:val="Unresolved Mention"/>
    <w:basedOn w:val="DefaultParagraphFont"/>
    <w:uiPriority w:val="99"/>
    <w:semiHidden/>
    <w:unhideWhenUsed/>
    <w:rsid w:val="00812937"/>
    <w:rPr>
      <w:color w:val="605E5C"/>
      <w:shd w:val="clear" w:color="auto" w:fill="E1DFDD"/>
    </w:rPr>
  </w:style>
  <w:style w:type="paragraph" w:styleId="TOCHeading">
    <w:name w:val="TOC Heading"/>
    <w:basedOn w:val="Heading1"/>
    <w:next w:val="Normal"/>
    <w:uiPriority w:val="39"/>
    <w:unhideWhenUsed/>
    <w:qFormat/>
    <w:rsid w:val="005F32E6"/>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F32E6"/>
    <w:pPr>
      <w:spacing w:after="100"/>
    </w:pPr>
  </w:style>
  <w:style w:type="paragraph" w:styleId="TOC2">
    <w:name w:val="toc 2"/>
    <w:basedOn w:val="Normal"/>
    <w:next w:val="Normal"/>
    <w:autoRedefine/>
    <w:uiPriority w:val="39"/>
    <w:unhideWhenUsed/>
    <w:rsid w:val="005F32E6"/>
    <w:pPr>
      <w:spacing w:after="100"/>
      <w:ind w:left="240"/>
    </w:pPr>
  </w:style>
  <w:style w:type="paragraph" w:styleId="Header">
    <w:name w:val="header"/>
    <w:basedOn w:val="Normal"/>
    <w:link w:val="HeaderChar"/>
    <w:uiPriority w:val="99"/>
    <w:unhideWhenUsed/>
    <w:rsid w:val="005F3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32E6"/>
  </w:style>
  <w:style w:type="paragraph" w:styleId="Footer">
    <w:name w:val="footer"/>
    <w:basedOn w:val="Normal"/>
    <w:link w:val="FooterChar"/>
    <w:uiPriority w:val="99"/>
    <w:unhideWhenUsed/>
    <w:rsid w:val="005F3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32E6"/>
  </w:style>
  <w:style w:type="character" w:styleId="FollowedHyperlink">
    <w:name w:val="FollowedHyperlink"/>
    <w:basedOn w:val="DefaultParagraphFont"/>
    <w:uiPriority w:val="99"/>
    <w:semiHidden/>
    <w:unhideWhenUsed/>
    <w:rsid w:val="008933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16849">
      <w:bodyDiv w:val="1"/>
      <w:marLeft w:val="0"/>
      <w:marRight w:val="0"/>
      <w:marTop w:val="0"/>
      <w:marBottom w:val="0"/>
      <w:divBdr>
        <w:top w:val="none" w:sz="0" w:space="0" w:color="auto"/>
        <w:left w:val="none" w:sz="0" w:space="0" w:color="auto"/>
        <w:bottom w:val="none" w:sz="0" w:space="0" w:color="auto"/>
        <w:right w:val="none" w:sz="0" w:space="0" w:color="auto"/>
      </w:divBdr>
    </w:div>
    <w:div w:id="156920490">
      <w:bodyDiv w:val="1"/>
      <w:marLeft w:val="0"/>
      <w:marRight w:val="0"/>
      <w:marTop w:val="0"/>
      <w:marBottom w:val="0"/>
      <w:divBdr>
        <w:top w:val="none" w:sz="0" w:space="0" w:color="auto"/>
        <w:left w:val="none" w:sz="0" w:space="0" w:color="auto"/>
        <w:bottom w:val="none" w:sz="0" w:space="0" w:color="auto"/>
        <w:right w:val="none" w:sz="0" w:space="0" w:color="auto"/>
      </w:divBdr>
    </w:div>
    <w:div w:id="234633943">
      <w:bodyDiv w:val="1"/>
      <w:marLeft w:val="0"/>
      <w:marRight w:val="0"/>
      <w:marTop w:val="0"/>
      <w:marBottom w:val="0"/>
      <w:divBdr>
        <w:top w:val="none" w:sz="0" w:space="0" w:color="auto"/>
        <w:left w:val="none" w:sz="0" w:space="0" w:color="auto"/>
        <w:bottom w:val="none" w:sz="0" w:space="0" w:color="auto"/>
        <w:right w:val="none" w:sz="0" w:space="0" w:color="auto"/>
      </w:divBdr>
      <w:divsChild>
        <w:div w:id="183591650">
          <w:marLeft w:val="0"/>
          <w:marRight w:val="0"/>
          <w:marTop w:val="0"/>
          <w:marBottom w:val="0"/>
          <w:divBdr>
            <w:top w:val="none" w:sz="0" w:space="0" w:color="auto"/>
            <w:left w:val="none" w:sz="0" w:space="0" w:color="auto"/>
            <w:bottom w:val="none" w:sz="0" w:space="0" w:color="auto"/>
            <w:right w:val="none" w:sz="0" w:space="0" w:color="auto"/>
          </w:divBdr>
          <w:divsChild>
            <w:div w:id="1700661092">
              <w:marLeft w:val="0"/>
              <w:marRight w:val="0"/>
              <w:marTop w:val="0"/>
              <w:marBottom w:val="0"/>
              <w:divBdr>
                <w:top w:val="none" w:sz="0" w:space="0" w:color="auto"/>
                <w:left w:val="none" w:sz="0" w:space="0" w:color="auto"/>
                <w:bottom w:val="none" w:sz="0" w:space="0" w:color="auto"/>
                <w:right w:val="none" w:sz="0" w:space="0" w:color="auto"/>
              </w:divBdr>
              <w:divsChild>
                <w:div w:id="45306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33958">
          <w:marLeft w:val="0"/>
          <w:marRight w:val="0"/>
          <w:marTop w:val="0"/>
          <w:marBottom w:val="0"/>
          <w:divBdr>
            <w:top w:val="none" w:sz="0" w:space="0" w:color="auto"/>
            <w:left w:val="none" w:sz="0" w:space="0" w:color="auto"/>
            <w:bottom w:val="none" w:sz="0" w:space="0" w:color="auto"/>
            <w:right w:val="none" w:sz="0" w:space="0" w:color="auto"/>
          </w:divBdr>
          <w:divsChild>
            <w:div w:id="1474788919">
              <w:marLeft w:val="0"/>
              <w:marRight w:val="0"/>
              <w:marTop w:val="0"/>
              <w:marBottom w:val="0"/>
              <w:divBdr>
                <w:top w:val="none" w:sz="0" w:space="0" w:color="auto"/>
                <w:left w:val="none" w:sz="0" w:space="0" w:color="auto"/>
                <w:bottom w:val="none" w:sz="0" w:space="0" w:color="auto"/>
                <w:right w:val="none" w:sz="0" w:space="0" w:color="auto"/>
              </w:divBdr>
              <w:divsChild>
                <w:div w:id="1382633423">
                  <w:marLeft w:val="0"/>
                  <w:marRight w:val="0"/>
                  <w:marTop w:val="0"/>
                  <w:marBottom w:val="0"/>
                  <w:divBdr>
                    <w:top w:val="none" w:sz="0" w:space="0" w:color="auto"/>
                    <w:left w:val="none" w:sz="0" w:space="0" w:color="auto"/>
                    <w:bottom w:val="none" w:sz="0" w:space="0" w:color="auto"/>
                    <w:right w:val="none" w:sz="0" w:space="0" w:color="auto"/>
                  </w:divBdr>
                  <w:divsChild>
                    <w:div w:id="69916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2278">
          <w:marLeft w:val="0"/>
          <w:marRight w:val="0"/>
          <w:marTop w:val="0"/>
          <w:marBottom w:val="0"/>
          <w:divBdr>
            <w:top w:val="single" w:sz="6" w:space="15" w:color="74777F"/>
            <w:left w:val="single" w:sz="6" w:space="6" w:color="74777F"/>
            <w:bottom w:val="single" w:sz="6" w:space="15" w:color="74777F"/>
            <w:right w:val="single" w:sz="6" w:space="6" w:color="74777F"/>
          </w:divBdr>
          <w:divsChild>
            <w:div w:id="1563758966">
              <w:marLeft w:val="0"/>
              <w:marRight w:val="0"/>
              <w:marTop w:val="0"/>
              <w:marBottom w:val="0"/>
              <w:divBdr>
                <w:top w:val="none" w:sz="0" w:space="0" w:color="auto"/>
                <w:left w:val="none" w:sz="0" w:space="0" w:color="auto"/>
                <w:bottom w:val="none" w:sz="0" w:space="0" w:color="auto"/>
                <w:right w:val="none" w:sz="0" w:space="0" w:color="auto"/>
              </w:divBdr>
              <w:divsChild>
                <w:div w:id="84307181">
                  <w:marLeft w:val="0"/>
                  <w:marRight w:val="0"/>
                  <w:marTop w:val="0"/>
                  <w:marBottom w:val="0"/>
                  <w:divBdr>
                    <w:top w:val="none" w:sz="0" w:space="0" w:color="auto"/>
                    <w:left w:val="none" w:sz="0" w:space="0" w:color="auto"/>
                    <w:bottom w:val="none" w:sz="0" w:space="0" w:color="auto"/>
                    <w:right w:val="none" w:sz="0" w:space="0" w:color="auto"/>
                  </w:divBdr>
                  <w:divsChild>
                    <w:div w:id="5500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4879">
              <w:marLeft w:val="0"/>
              <w:marRight w:val="0"/>
              <w:marTop w:val="0"/>
              <w:marBottom w:val="0"/>
              <w:divBdr>
                <w:top w:val="none" w:sz="0" w:space="0" w:color="auto"/>
                <w:left w:val="none" w:sz="0" w:space="0" w:color="auto"/>
                <w:bottom w:val="none" w:sz="0" w:space="0" w:color="auto"/>
                <w:right w:val="none" w:sz="0" w:space="0" w:color="auto"/>
              </w:divBdr>
              <w:divsChild>
                <w:div w:id="162981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001377">
      <w:bodyDiv w:val="1"/>
      <w:marLeft w:val="0"/>
      <w:marRight w:val="0"/>
      <w:marTop w:val="0"/>
      <w:marBottom w:val="0"/>
      <w:divBdr>
        <w:top w:val="none" w:sz="0" w:space="0" w:color="auto"/>
        <w:left w:val="none" w:sz="0" w:space="0" w:color="auto"/>
        <w:bottom w:val="none" w:sz="0" w:space="0" w:color="auto"/>
        <w:right w:val="none" w:sz="0" w:space="0" w:color="auto"/>
      </w:divBdr>
    </w:div>
    <w:div w:id="300812844">
      <w:bodyDiv w:val="1"/>
      <w:marLeft w:val="0"/>
      <w:marRight w:val="0"/>
      <w:marTop w:val="0"/>
      <w:marBottom w:val="0"/>
      <w:divBdr>
        <w:top w:val="none" w:sz="0" w:space="0" w:color="auto"/>
        <w:left w:val="none" w:sz="0" w:space="0" w:color="auto"/>
        <w:bottom w:val="none" w:sz="0" w:space="0" w:color="auto"/>
        <w:right w:val="none" w:sz="0" w:space="0" w:color="auto"/>
      </w:divBdr>
    </w:div>
    <w:div w:id="435640387">
      <w:bodyDiv w:val="1"/>
      <w:marLeft w:val="0"/>
      <w:marRight w:val="0"/>
      <w:marTop w:val="0"/>
      <w:marBottom w:val="0"/>
      <w:divBdr>
        <w:top w:val="none" w:sz="0" w:space="0" w:color="auto"/>
        <w:left w:val="none" w:sz="0" w:space="0" w:color="auto"/>
        <w:bottom w:val="none" w:sz="0" w:space="0" w:color="auto"/>
        <w:right w:val="none" w:sz="0" w:space="0" w:color="auto"/>
      </w:divBdr>
    </w:div>
    <w:div w:id="647978753">
      <w:bodyDiv w:val="1"/>
      <w:marLeft w:val="0"/>
      <w:marRight w:val="0"/>
      <w:marTop w:val="0"/>
      <w:marBottom w:val="0"/>
      <w:divBdr>
        <w:top w:val="none" w:sz="0" w:space="0" w:color="auto"/>
        <w:left w:val="none" w:sz="0" w:space="0" w:color="auto"/>
        <w:bottom w:val="none" w:sz="0" w:space="0" w:color="auto"/>
        <w:right w:val="none" w:sz="0" w:space="0" w:color="auto"/>
      </w:divBdr>
    </w:div>
    <w:div w:id="733234602">
      <w:bodyDiv w:val="1"/>
      <w:marLeft w:val="0"/>
      <w:marRight w:val="0"/>
      <w:marTop w:val="0"/>
      <w:marBottom w:val="0"/>
      <w:divBdr>
        <w:top w:val="none" w:sz="0" w:space="0" w:color="auto"/>
        <w:left w:val="none" w:sz="0" w:space="0" w:color="auto"/>
        <w:bottom w:val="none" w:sz="0" w:space="0" w:color="auto"/>
        <w:right w:val="none" w:sz="0" w:space="0" w:color="auto"/>
      </w:divBdr>
    </w:div>
    <w:div w:id="847140318">
      <w:bodyDiv w:val="1"/>
      <w:marLeft w:val="0"/>
      <w:marRight w:val="0"/>
      <w:marTop w:val="0"/>
      <w:marBottom w:val="0"/>
      <w:divBdr>
        <w:top w:val="none" w:sz="0" w:space="0" w:color="auto"/>
        <w:left w:val="none" w:sz="0" w:space="0" w:color="auto"/>
        <w:bottom w:val="none" w:sz="0" w:space="0" w:color="auto"/>
        <w:right w:val="none" w:sz="0" w:space="0" w:color="auto"/>
      </w:divBdr>
    </w:div>
    <w:div w:id="983967943">
      <w:bodyDiv w:val="1"/>
      <w:marLeft w:val="0"/>
      <w:marRight w:val="0"/>
      <w:marTop w:val="0"/>
      <w:marBottom w:val="0"/>
      <w:divBdr>
        <w:top w:val="none" w:sz="0" w:space="0" w:color="auto"/>
        <w:left w:val="none" w:sz="0" w:space="0" w:color="auto"/>
        <w:bottom w:val="none" w:sz="0" w:space="0" w:color="auto"/>
        <w:right w:val="none" w:sz="0" w:space="0" w:color="auto"/>
      </w:divBdr>
    </w:div>
    <w:div w:id="984361201">
      <w:bodyDiv w:val="1"/>
      <w:marLeft w:val="0"/>
      <w:marRight w:val="0"/>
      <w:marTop w:val="0"/>
      <w:marBottom w:val="0"/>
      <w:divBdr>
        <w:top w:val="none" w:sz="0" w:space="0" w:color="auto"/>
        <w:left w:val="none" w:sz="0" w:space="0" w:color="auto"/>
        <w:bottom w:val="none" w:sz="0" w:space="0" w:color="auto"/>
        <w:right w:val="none" w:sz="0" w:space="0" w:color="auto"/>
      </w:divBdr>
    </w:div>
    <w:div w:id="998312982">
      <w:bodyDiv w:val="1"/>
      <w:marLeft w:val="0"/>
      <w:marRight w:val="0"/>
      <w:marTop w:val="0"/>
      <w:marBottom w:val="0"/>
      <w:divBdr>
        <w:top w:val="none" w:sz="0" w:space="0" w:color="auto"/>
        <w:left w:val="none" w:sz="0" w:space="0" w:color="auto"/>
        <w:bottom w:val="none" w:sz="0" w:space="0" w:color="auto"/>
        <w:right w:val="none" w:sz="0" w:space="0" w:color="auto"/>
      </w:divBdr>
    </w:div>
    <w:div w:id="1440107332">
      <w:bodyDiv w:val="1"/>
      <w:marLeft w:val="0"/>
      <w:marRight w:val="0"/>
      <w:marTop w:val="0"/>
      <w:marBottom w:val="0"/>
      <w:divBdr>
        <w:top w:val="none" w:sz="0" w:space="0" w:color="auto"/>
        <w:left w:val="none" w:sz="0" w:space="0" w:color="auto"/>
        <w:bottom w:val="none" w:sz="0" w:space="0" w:color="auto"/>
        <w:right w:val="none" w:sz="0" w:space="0" w:color="auto"/>
      </w:divBdr>
    </w:div>
    <w:div w:id="1554660200">
      <w:bodyDiv w:val="1"/>
      <w:marLeft w:val="0"/>
      <w:marRight w:val="0"/>
      <w:marTop w:val="0"/>
      <w:marBottom w:val="0"/>
      <w:divBdr>
        <w:top w:val="none" w:sz="0" w:space="0" w:color="auto"/>
        <w:left w:val="none" w:sz="0" w:space="0" w:color="auto"/>
        <w:bottom w:val="none" w:sz="0" w:space="0" w:color="auto"/>
        <w:right w:val="none" w:sz="0" w:space="0" w:color="auto"/>
      </w:divBdr>
      <w:divsChild>
        <w:div w:id="1702630136">
          <w:marLeft w:val="0"/>
          <w:marRight w:val="0"/>
          <w:marTop w:val="0"/>
          <w:marBottom w:val="0"/>
          <w:divBdr>
            <w:top w:val="none" w:sz="0" w:space="0" w:color="auto"/>
            <w:left w:val="none" w:sz="0" w:space="0" w:color="auto"/>
            <w:bottom w:val="none" w:sz="0" w:space="0" w:color="auto"/>
            <w:right w:val="none" w:sz="0" w:space="0" w:color="auto"/>
          </w:divBdr>
          <w:divsChild>
            <w:div w:id="725883648">
              <w:marLeft w:val="0"/>
              <w:marRight w:val="0"/>
              <w:marTop w:val="0"/>
              <w:marBottom w:val="0"/>
              <w:divBdr>
                <w:top w:val="none" w:sz="0" w:space="0" w:color="auto"/>
                <w:left w:val="none" w:sz="0" w:space="0" w:color="auto"/>
                <w:bottom w:val="none" w:sz="0" w:space="0" w:color="auto"/>
                <w:right w:val="none" w:sz="0" w:space="0" w:color="auto"/>
              </w:divBdr>
              <w:divsChild>
                <w:div w:id="122028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48759">
          <w:marLeft w:val="0"/>
          <w:marRight w:val="0"/>
          <w:marTop w:val="0"/>
          <w:marBottom w:val="0"/>
          <w:divBdr>
            <w:top w:val="none" w:sz="0" w:space="0" w:color="auto"/>
            <w:left w:val="none" w:sz="0" w:space="0" w:color="auto"/>
            <w:bottom w:val="none" w:sz="0" w:space="0" w:color="auto"/>
            <w:right w:val="none" w:sz="0" w:space="0" w:color="auto"/>
          </w:divBdr>
          <w:divsChild>
            <w:div w:id="650331780">
              <w:marLeft w:val="0"/>
              <w:marRight w:val="0"/>
              <w:marTop w:val="0"/>
              <w:marBottom w:val="0"/>
              <w:divBdr>
                <w:top w:val="none" w:sz="0" w:space="0" w:color="auto"/>
                <w:left w:val="none" w:sz="0" w:space="0" w:color="auto"/>
                <w:bottom w:val="none" w:sz="0" w:space="0" w:color="auto"/>
                <w:right w:val="none" w:sz="0" w:space="0" w:color="auto"/>
              </w:divBdr>
              <w:divsChild>
                <w:div w:id="408581322">
                  <w:marLeft w:val="0"/>
                  <w:marRight w:val="0"/>
                  <w:marTop w:val="0"/>
                  <w:marBottom w:val="0"/>
                  <w:divBdr>
                    <w:top w:val="none" w:sz="0" w:space="0" w:color="auto"/>
                    <w:left w:val="none" w:sz="0" w:space="0" w:color="auto"/>
                    <w:bottom w:val="none" w:sz="0" w:space="0" w:color="auto"/>
                    <w:right w:val="none" w:sz="0" w:space="0" w:color="auto"/>
                  </w:divBdr>
                  <w:divsChild>
                    <w:div w:id="1284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07910">
          <w:marLeft w:val="0"/>
          <w:marRight w:val="0"/>
          <w:marTop w:val="0"/>
          <w:marBottom w:val="0"/>
          <w:divBdr>
            <w:top w:val="single" w:sz="6" w:space="15" w:color="74777F"/>
            <w:left w:val="single" w:sz="6" w:space="6" w:color="74777F"/>
            <w:bottom w:val="single" w:sz="6" w:space="15" w:color="74777F"/>
            <w:right w:val="single" w:sz="6" w:space="6" w:color="74777F"/>
          </w:divBdr>
          <w:divsChild>
            <w:div w:id="1417093708">
              <w:marLeft w:val="0"/>
              <w:marRight w:val="0"/>
              <w:marTop w:val="0"/>
              <w:marBottom w:val="0"/>
              <w:divBdr>
                <w:top w:val="none" w:sz="0" w:space="0" w:color="auto"/>
                <w:left w:val="none" w:sz="0" w:space="0" w:color="auto"/>
                <w:bottom w:val="none" w:sz="0" w:space="0" w:color="auto"/>
                <w:right w:val="none" w:sz="0" w:space="0" w:color="auto"/>
              </w:divBdr>
              <w:divsChild>
                <w:div w:id="744450865">
                  <w:marLeft w:val="0"/>
                  <w:marRight w:val="0"/>
                  <w:marTop w:val="0"/>
                  <w:marBottom w:val="0"/>
                  <w:divBdr>
                    <w:top w:val="none" w:sz="0" w:space="0" w:color="auto"/>
                    <w:left w:val="none" w:sz="0" w:space="0" w:color="auto"/>
                    <w:bottom w:val="none" w:sz="0" w:space="0" w:color="auto"/>
                    <w:right w:val="none" w:sz="0" w:space="0" w:color="auto"/>
                  </w:divBdr>
                  <w:divsChild>
                    <w:div w:id="348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59538">
              <w:marLeft w:val="0"/>
              <w:marRight w:val="0"/>
              <w:marTop w:val="0"/>
              <w:marBottom w:val="0"/>
              <w:divBdr>
                <w:top w:val="none" w:sz="0" w:space="0" w:color="auto"/>
                <w:left w:val="none" w:sz="0" w:space="0" w:color="auto"/>
                <w:bottom w:val="none" w:sz="0" w:space="0" w:color="auto"/>
                <w:right w:val="none" w:sz="0" w:space="0" w:color="auto"/>
              </w:divBdr>
              <w:divsChild>
                <w:div w:id="13115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53200">
      <w:bodyDiv w:val="1"/>
      <w:marLeft w:val="0"/>
      <w:marRight w:val="0"/>
      <w:marTop w:val="0"/>
      <w:marBottom w:val="0"/>
      <w:divBdr>
        <w:top w:val="none" w:sz="0" w:space="0" w:color="auto"/>
        <w:left w:val="none" w:sz="0" w:space="0" w:color="auto"/>
        <w:bottom w:val="none" w:sz="0" w:space="0" w:color="auto"/>
        <w:right w:val="none" w:sz="0" w:space="0" w:color="auto"/>
      </w:divBdr>
    </w:div>
    <w:div w:id="191643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3007577" TargetMode="External"/><Relationship Id="rId18" Type="http://schemas.openxmlformats.org/officeDocument/2006/relationships/hyperlink" Target="https://doi.org/10.1016/j.techfore.2019.119752" TargetMode="External"/><Relationship Id="rId26" Type="http://schemas.openxmlformats.org/officeDocument/2006/relationships/hyperlink" Target="https://doi.org/10.1007/978-981-13-6339-9" TargetMode="External"/><Relationship Id="rId3" Type="http://schemas.openxmlformats.org/officeDocument/2006/relationships/styles" Target="styles.xml"/><Relationship Id="rId21" Type="http://schemas.openxmlformats.org/officeDocument/2006/relationships/hyperlink" Target="https://doi.org/10.3390/su1105137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7/s12525-015-0196-8" TargetMode="External"/><Relationship Id="rId17" Type="http://schemas.openxmlformats.org/officeDocument/2006/relationships/hyperlink" Target="https://doi.org/10.1016/j.tourman.2019.02.006" TargetMode="External"/><Relationship Id="rId25" Type="http://schemas.openxmlformats.org/officeDocument/2006/relationships/hyperlink" Target="https://doi.org/10.1016/j.ijhm.2020.102664" TargetMode="External"/><Relationship Id="rId33" Type="http://schemas.openxmlformats.org/officeDocument/2006/relationships/hyperlink" Target="https://doi.org/10.1016/j.ijhm.2014.10.013" TargetMode="External"/><Relationship Id="rId2" Type="http://schemas.openxmlformats.org/officeDocument/2006/relationships/numbering" Target="numbering.xml"/><Relationship Id="rId16" Type="http://schemas.openxmlformats.org/officeDocument/2006/relationships/hyperlink" Target="https://doi.org/10.1108/ijchm-07-2018-0586" TargetMode="External"/><Relationship Id="rId20" Type="http://schemas.openxmlformats.org/officeDocument/2006/relationships/hyperlink" Target="https://doi.org/10.1007/s12525-015-0182-1" TargetMode="External"/><Relationship Id="rId29" Type="http://schemas.openxmlformats.org/officeDocument/2006/relationships/hyperlink" Target="https://doi.org/10.1007/978-3-319-72923-7_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796-021-10106-y" TargetMode="External"/><Relationship Id="rId24" Type="http://schemas.openxmlformats.org/officeDocument/2006/relationships/hyperlink" Target="https://doi.org/10.1016/j.ijhm.2020.102528" TargetMode="External"/><Relationship Id="rId32" Type="http://schemas.openxmlformats.org/officeDocument/2006/relationships/hyperlink" Target="https://doi.org/10.1108/josm-04-2018-0119" TargetMode="External"/><Relationship Id="rId5" Type="http://schemas.openxmlformats.org/officeDocument/2006/relationships/webSettings" Target="webSettings.xml"/><Relationship Id="rId15" Type="http://schemas.openxmlformats.org/officeDocument/2006/relationships/hyperlink" Target="https://doi.org/10.1007/s12525-021-00494-z" TargetMode="External"/><Relationship Id="rId23" Type="http://schemas.openxmlformats.org/officeDocument/2006/relationships/hyperlink" Target="https://doi.org/10.1016/j.ijhm.2021.102869" TargetMode="External"/><Relationship Id="rId28" Type="http://schemas.openxmlformats.org/officeDocument/2006/relationships/hyperlink" Target="https://doi.org/10.1177/1938965520923961" TargetMode="External"/><Relationship Id="rId36" Type="http://schemas.openxmlformats.org/officeDocument/2006/relationships/theme" Target="theme/theme1.xml"/><Relationship Id="rId10" Type="http://schemas.openxmlformats.org/officeDocument/2006/relationships/hyperlink" Target="https://doi.org/10.4018/978-1-7998-9285-4" TargetMode="External"/><Relationship Id="rId19" Type="http://schemas.openxmlformats.org/officeDocument/2006/relationships/hyperlink" Target="https://doi.org/10.54055/ejtr.v15i.265" TargetMode="External"/><Relationship Id="rId31" Type="http://schemas.openxmlformats.org/officeDocument/2006/relationships/hyperlink" Target="https://doi.org/10.1108/jtf-10-2019-0109" TargetMode="External"/><Relationship Id="rId4" Type="http://schemas.openxmlformats.org/officeDocument/2006/relationships/settings" Target="settings.xml"/><Relationship Id="rId9" Type="http://schemas.openxmlformats.org/officeDocument/2006/relationships/hyperlink" Target="https://doi.org/10.1016/j.ijhm.2017.11.011" TargetMode="External"/><Relationship Id="rId14" Type="http://schemas.openxmlformats.org/officeDocument/2006/relationships/hyperlink" Target="https://doi.org/10.1016/j.bushor.2018.08.004" TargetMode="External"/><Relationship Id="rId22" Type="http://schemas.openxmlformats.org/officeDocument/2006/relationships/hyperlink" Target="https://doi.org/10.1016/j.ijhm.2019.102392" TargetMode="External"/><Relationship Id="rId27" Type="http://schemas.openxmlformats.org/officeDocument/2006/relationships/hyperlink" Target="https://doi.org/10.1016/j.ijhm.2012.05.008" TargetMode="External"/><Relationship Id="rId30" Type="http://schemas.openxmlformats.org/officeDocument/2006/relationships/hyperlink" Target="https://ideas.repec.org/a/eee/touman/v53y2016icp163-172.html"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A9CA2-41DA-4805-801F-2ED99CF4A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4326</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Zosllei</dc:creator>
  <cp:keywords/>
  <dc:description/>
  <cp:lastModifiedBy>Gabriela Zosllei (2133167)</cp:lastModifiedBy>
  <cp:revision>24</cp:revision>
  <dcterms:created xsi:type="dcterms:W3CDTF">2025-05-11T13:05:00Z</dcterms:created>
  <dcterms:modified xsi:type="dcterms:W3CDTF">2025-05-25T20:33:00Z</dcterms:modified>
</cp:coreProperties>
</file>