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2CEDE7" w14:textId="77777777" w:rsidR="00214BA7" w:rsidRDefault="00214BA7">
      <w:pPr>
        <w:spacing w:before="240" w:after="240"/>
        <w:jc w:val="center"/>
        <w:rPr>
          <w:b/>
          <w:bCs/>
        </w:rPr>
      </w:pPr>
    </w:p>
    <w:p w14:paraId="1EAFACC8" w14:textId="77777777" w:rsidR="00214BA7" w:rsidRDefault="00816EA6">
      <w:pPr>
        <w:spacing w:before="240" w:after="240"/>
        <w:jc w:val="center"/>
        <w:rPr>
          <w:b/>
          <w:bCs/>
        </w:rPr>
      </w:pPr>
      <w:r>
        <w:rPr>
          <w:noProof/>
        </w:rPr>
        <w:drawing>
          <wp:inline distT="0" distB="0" distL="0" distR="0" wp14:anchorId="545271A6" wp14:editId="79DECE55">
            <wp:extent cx="2819400" cy="1409700"/>
            <wp:effectExtent l="0" t="0" r="0" b="0"/>
            <wp:docPr id="2074061537"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7"/>
                    <a:srcRect/>
                    <a:stretch>
                      <a:fillRect/>
                    </a:stretch>
                  </pic:blipFill>
                  <pic:spPr>
                    <a:xfrm>
                      <a:off x="0" y="0"/>
                      <a:ext cx="2819400" cy="1409700"/>
                    </a:xfrm>
                    <a:prstGeom prst="rect">
                      <a:avLst/>
                    </a:prstGeom>
                    <a:ln/>
                  </pic:spPr>
                </pic:pic>
              </a:graphicData>
            </a:graphic>
          </wp:inline>
        </w:drawing>
      </w:r>
    </w:p>
    <w:p w14:paraId="548443C8" w14:textId="77777777" w:rsidR="00214BA7" w:rsidRDefault="00214BA7">
      <w:pPr>
        <w:spacing w:before="240" w:after="240"/>
      </w:pPr>
    </w:p>
    <w:p w14:paraId="7129224D" w14:textId="77777777" w:rsidR="00214BA7" w:rsidRDefault="00816EA6">
      <w:pPr>
        <w:spacing w:before="240" w:after="240"/>
        <w:jc w:val="center"/>
        <w:rPr>
          <w:b/>
          <w:bCs/>
          <w:sz w:val="40"/>
          <w:szCs w:val="40"/>
        </w:rPr>
      </w:pPr>
      <w:r>
        <w:rPr>
          <w:b/>
          <w:bCs/>
          <w:sz w:val="40"/>
          <w:szCs w:val="40"/>
        </w:rPr>
        <w:t>Master of Business Administration</w:t>
      </w:r>
    </w:p>
    <w:p w14:paraId="5215CB39" w14:textId="77777777" w:rsidR="00214BA7" w:rsidRDefault="00214BA7">
      <w:pPr>
        <w:spacing w:before="240" w:after="240"/>
        <w:jc w:val="center"/>
      </w:pPr>
    </w:p>
    <w:p w14:paraId="29222F3D" w14:textId="77777777" w:rsidR="00214BA7" w:rsidRDefault="00816EA6">
      <w:pPr>
        <w:spacing w:before="240" w:after="240"/>
        <w:jc w:val="center"/>
        <w:rPr>
          <w:b/>
          <w:bCs/>
          <w:sz w:val="32"/>
          <w:szCs w:val="32"/>
        </w:rPr>
      </w:pPr>
      <w:r>
        <w:rPr>
          <w:b/>
          <w:bCs/>
          <w:sz w:val="32"/>
          <w:szCs w:val="32"/>
        </w:rPr>
        <w:t>Module Name: Marketing Management</w:t>
      </w:r>
    </w:p>
    <w:p w14:paraId="1F7AEF5C" w14:textId="77777777" w:rsidR="00214BA7" w:rsidRDefault="00816EA6">
      <w:pPr>
        <w:spacing w:before="240" w:after="240"/>
        <w:jc w:val="center"/>
        <w:rPr>
          <w:b/>
          <w:bCs/>
          <w:sz w:val="32"/>
          <w:szCs w:val="32"/>
        </w:rPr>
      </w:pPr>
      <w:r>
        <w:rPr>
          <w:b/>
          <w:bCs/>
          <w:sz w:val="32"/>
          <w:szCs w:val="32"/>
        </w:rPr>
        <w:t>Module Code: LCMB7024</w:t>
      </w:r>
    </w:p>
    <w:p w14:paraId="316ED005" w14:textId="77777777" w:rsidR="00A42B36" w:rsidRPr="00A42B36" w:rsidRDefault="00A42B36" w:rsidP="00A42B36">
      <w:pPr>
        <w:spacing w:before="240" w:after="240"/>
        <w:jc w:val="center"/>
        <w:rPr>
          <w:b/>
          <w:bCs/>
          <w:sz w:val="28"/>
          <w:szCs w:val="28"/>
        </w:rPr>
      </w:pPr>
      <w:r w:rsidRPr="00A42B36">
        <w:rPr>
          <w:b/>
          <w:bCs/>
          <w:sz w:val="28"/>
          <w:szCs w:val="28"/>
        </w:rPr>
        <w:t xml:space="preserve">Name: </w:t>
      </w:r>
      <w:proofErr w:type="spellStart"/>
      <w:r w:rsidRPr="00A42B36">
        <w:rPr>
          <w:b/>
          <w:bCs/>
          <w:sz w:val="28"/>
          <w:szCs w:val="28"/>
        </w:rPr>
        <w:t>Dakshesh</w:t>
      </w:r>
      <w:proofErr w:type="spellEnd"/>
      <w:r w:rsidRPr="00A42B36">
        <w:rPr>
          <w:b/>
          <w:bCs/>
          <w:sz w:val="28"/>
          <w:szCs w:val="28"/>
        </w:rPr>
        <w:t xml:space="preserve"> </w:t>
      </w:r>
      <w:proofErr w:type="spellStart"/>
      <w:r w:rsidRPr="00A42B36">
        <w:rPr>
          <w:b/>
          <w:bCs/>
          <w:sz w:val="28"/>
          <w:szCs w:val="28"/>
        </w:rPr>
        <w:t>Narendrakumar</w:t>
      </w:r>
      <w:proofErr w:type="spellEnd"/>
      <w:r w:rsidRPr="00A42B36">
        <w:rPr>
          <w:b/>
          <w:bCs/>
          <w:sz w:val="28"/>
          <w:szCs w:val="28"/>
        </w:rPr>
        <w:t xml:space="preserve"> Patel</w:t>
      </w:r>
    </w:p>
    <w:p w14:paraId="2E822CF8" w14:textId="49B5A53D" w:rsidR="00214BA7" w:rsidRPr="00A42B36" w:rsidRDefault="00A42B36" w:rsidP="00A42B36">
      <w:pPr>
        <w:spacing w:before="240" w:after="240"/>
        <w:jc w:val="center"/>
        <w:rPr>
          <w:b/>
          <w:bCs/>
          <w:sz w:val="28"/>
          <w:szCs w:val="28"/>
        </w:rPr>
      </w:pPr>
      <w:r w:rsidRPr="00A42B36">
        <w:rPr>
          <w:b/>
          <w:bCs/>
          <w:sz w:val="28"/>
          <w:szCs w:val="28"/>
        </w:rPr>
        <w:t>Student ID: 2434255</w:t>
      </w:r>
    </w:p>
    <w:p w14:paraId="5890FDAF" w14:textId="77777777" w:rsidR="00A42B36" w:rsidRPr="00A42B36" w:rsidRDefault="00A42B36" w:rsidP="00A42B36">
      <w:pPr>
        <w:spacing w:before="240" w:after="240"/>
        <w:jc w:val="center"/>
        <w:rPr>
          <w:b/>
          <w:bCs/>
        </w:rPr>
      </w:pPr>
    </w:p>
    <w:p w14:paraId="5303E58F" w14:textId="77777777" w:rsidR="00214BA7" w:rsidRPr="00A42B36" w:rsidRDefault="00816EA6">
      <w:pPr>
        <w:spacing w:before="240" w:after="240"/>
        <w:jc w:val="center"/>
        <w:rPr>
          <w:b/>
          <w:bCs/>
          <w:i/>
          <w:iCs/>
          <w:sz w:val="32"/>
          <w:szCs w:val="32"/>
        </w:rPr>
      </w:pPr>
      <w:r w:rsidRPr="00A42B36">
        <w:rPr>
          <w:b/>
          <w:bCs/>
          <w:i/>
          <w:iCs/>
          <w:sz w:val="32"/>
          <w:szCs w:val="32"/>
        </w:rPr>
        <w:t>Assessment component 1:</w:t>
      </w:r>
    </w:p>
    <w:p w14:paraId="578A7305" w14:textId="77777777" w:rsidR="00214BA7" w:rsidRPr="00A42B36" w:rsidRDefault="00816EA6">
      <w:pPr>
        <w:spacing w:before="240" w:after="240"/>
        <w:jc w:val="center"/>
        <w:rPr>
          <w:b/>
          <w:bCs/>
          <w:i/>
          <w:iCs/>
          <w:sz w:val="32"/>
          <w:szCs w:val="32"/>
        </w:rPr>
      </w:pPr>
      <w:r w:rsidRPr="00A42B36">
        <w:rPr>
          <w:b/>
          <w:bCs/>
          <w:i/>
          <w:iCs/>
          <w:sz w:val="32"/>
          <w:szCs w:val="32"/>
        </w:rPr>
        <w:t xml:space="preserve"> Marketing Environment Analysis</w:t>
      </w:r>
    </w:p>
    <w:p w14:paraId="28F903CD" w14:textId="77777777" w:rsidR="00A42B36" w:rsidRPr="00A42B36" w:rsidRDefault="00A42B36" w:rsidP="00A42B36">
      <w:pPr>
        <w:spacing w:before="240" w:after="240"/>
        <w:jc w:val="center"/>
        <w:rPr>
          <w:b/>
          <w:bCs/>
          <w:sz w:val="28"/>
          <w:szCs w:val="28"/>
        </w:rPr>
      </w:pPr>
      <w:r w:rsidRPr="00A42B36">
        <w:rPr>
          <w:b/>
          <w:bCs/>
          <w:sz w:val="28"/>
          <w:szCs w:val="28"/>
        </w:rPr>
        <w:t xml:space="preserve">Lecturer: Dr Laila </w:t>
      </w:r>
      <w:proofErr w:type="spellStart"/>
      <w:r w:rsidRPr="00A42B36">
        <w:rPr>
          <w:b/>
          <w:bCs/>
          <w:sz w:val="28"/>
          <w:szCs w:val="28"/>
        </w:rPr>
        <w:t>Maazouz</w:t>
      </w:r>
      <w:proofErr w:type="spellEnd"/>
    </w:p>
    <w:p w14:paraId="3242ABE5" w14:textId="77777777" w:rsidR="00214BA7" w:rsidRDefault="00214BA7" w:rsidP="00A42B36">
      <w:pPr>
        <w:spacing w:before="240" w:after="240"/>
        <w:jc w:val="center"/>
        <w:rPr>
          <w:b/>
          <w:bCs/>
          <w:i/>
          <w:iCs/>
          <w:sz w:val="28"/>
          <w:szCs w:val="28"/>
        </w:rPr>
      </w:pPr>
    </w:p>
    <w:p w14:paraId="42C947EF" w14:textId="77777777" w:rsidR="00214BA7" w:rsidRDefault="00816EA6">
      <w:pPr>
        <w:spacing w:before="240" w:after="240"/>
        <w:jc w:val="center"/>
        <w:rPr>
          <w:b/>
          <w:bCs/>
        </w:rPr>
      </w:pPr>
      <w:r>
        <w:rPr>
          <w:b/>
          <w:bCs/>
        </w:rPr>
        <w:t>WORD COUNT: 2738</w:t>
      </w:r>
    </w:p>
    <w:p w14:paraId="3ED96A33" w14:textId="77777777" w:rsidR="00214BA7" w:rsidRDefault="00816EA6">
      <w:pPr>
        <w:spacing w:before="240" w:after="240"/>
        <w:jc w:val="left"/>
        <w:rPr>
          <w:b/>
          <w:bCs/>
        </w:rPr>
      </w:pPr>
      <w:r>
        <w:br w:type="page"/>
      </w:r>
    </w:p>
    <w:p w14:paraId="35CC0038" w14:textId="77777777" w:rsidR="00214BA7" w:rsidRDefault="00816EA6">
      <w:pPr>
        <w:spacing w:before="240" w:after="240"/>
        <w:rPr>
          <w:b/>
          <w:bCs/>
          <w:sz w:val="28"/>
          <w:szCs w:val="28"/>
        </w:rPr>
      </w:pPr>
      <w:r>
        <w:rPr>
          <w:b/>
          <w:bCs/>
          <w:sz w:val="28"/>
          <w:szCs w:val="28"/>
        </w:rPr>
        <w:lastRenderedPageBreak/>
        <w:t>Executive Summary</w:t>
      </w:r>
    </w:p>
    <w:p w14:paraId="6E312814" w14:textId="77777777" w:rsidR="00214BA7" w:rsidRDefault="00816EA6">
      <w:pPr>
        <w:spacing w:before="240" w:after="240"/>
      </w:pPr>
      <w:r>
        <w:t>The report critically analyses two macro marketing actors- technological and political in the EV industry. Technological forces span battery chemistry, software/ADAS, and charging, where integrated stacks such as BYD’s Blade LFP and NACS-enabled fast charg</w:t>
      </w:r>
      <w:r>
        <w:t>ing convert safety, cost and reliability into lifetime value; yet obsolescence, software regressions, and standard shifts threaten pioneers and compress follower differentiation. Political factors including subsidies, tariffs, localisation rules, and capit</w:t>
      </w:r>
      <w:r>
        <w:t>al costs that create price headroom for early localisers while exposing firms to policy whiplash and financing risk. Competitiveness depends on synchronising chemistry, software and charging with eligibility and localisation, sustaining credible total cost</w:t>
      </w:r>
      <w:r>
        <w:t>, uptime, and residuals across regions.</w:t>
      </w:r>
      <w:r>
        <w:br w:type="page"/>
      </w:r>
    </w:p>
    <w:p w14:paraId="6EDB68E5" w14:textId="77777777" w:rsidR="00214BA7" w:rsidRDefault="00816EA6">
      <w:pPr>
        <w:keepNext/>
        <w:keepLines/>
        <w:pBdr>
          <w:top w:val="nil"/>
          <w:left w:val="nil"/>
          <w:bottom w:val="nil"/>
          <w:right w:val="nil"/>
          <w:between w:val="nil"/>
        </w:pBdr>
        <w:spacing w:before="240" w:after="240"/>
        <w:jc w:val="center"/>
        <w:rPr>
          <w:b/>
          <w:bCs/>
          <w:color w:val="000000"/>
          <w:sz w:val="28"/>
          <w:szCs w:val="28"/>
        </w:rPr>
      </w:pPr>
      <w:r>
        <w:rPr>
          <w:b/>
          <w:bCs/>
          <w:color w:val="000000"/>
          <w:sz w:val="28"/>
          <w:szCs w:val="28"/>
        </w:rPr>
        <w:lastRenderedPageBreak/>
        <w:t>Table of Contents</w:t>
      </w:r>
    </w:p>
    <w:sdt>
      <w:sdtPr>
        <w:id w:val="263567247"/>
        <w:docPartObj>
          <w:docPartGallery w:val="Table of Contents"/>
          <w:docPartUnique/>
        </w:docPartObj>
      </w:sdtPr>
      <w:sdtEndPr/>
      <w:sdtContent>
        <w:p w14:paraId="72540D1A" w14:textId="77777777" w:rsidR="00214BA7" w:rsidRDefault="00816EA6">
          <w:pPr>
            <w:pBdr>
              <w:top w:val="nil"/>
              <w:left w:val="nil"/>
              <w:bottom w:val="nil"/>
              <w:right w:val="nil"/>
              <w:between w:val="nil"/>
            </w:pBdr>
            <w:tabs>
              <w:tab w:val="right" w:pos="9016"/>
            </w:tabs>
            <w:spacing w:after="100"/>
            <w:rPr>
              <w:rFonts w:ascii="Aptos" w:eastAsia="Aptos" w:hAnsi="Aptos" w:cs="Aptos"/>
              <w:color w:val="000000"/>
            </w:rPr>
          </w:pPr>
          <w:r>
            <w:fldChar w:fldCharType="begin"/>
          </w:r>
          <w:r>
            <w:instrText xml:space="preserve"> TOC \h \u \z \t "Heading 1,1,Heading 2,2,Heading 3,3,"</w:instrText>
          </w:r>
          <w:r>
            <w:fldChar w:fldCharType="separate"/>
          </w:r>
          <w:hyperlink w:anchor="_heading=h.vfsd5nqi1aru">
            <w:r>
              <w:rPr>
                <w:b/>
                <w:bCs/>
                <w:color w:val="000000"/>
              </w:rPr>
              <w:t>Task 1: Critical analysis of two macro-marketing actors (Political and Technological) in the EV industry</w:t>
            </w:r>
            <w:r>
              <w:rPr>
                <w:b/>
                <w:bCs/>
                <w:color w:val="000000"/>
              </w:rPr>
              <w:tab/>
              <w:t>5</w:t>
            </w:r>
          </w:hyperlink>
        </w:p>
        <w:p w14:paraId="1D879EA6"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2ap72zbjjcm6">
            <w:r>
              <w:rPr>
                <w:color w:val="000000"/>
              </w:rPr>
              <w:t>1.1 Technological Actor: Battery, Software/ADAS, and Charging</w:t>
            </w:r>
            <w:r>
              <w:rPr>
                <w:color w:val="000000"/>
              </w:rPr>
              <w:tab/>
              <w:t>5</w:t>
            </w:r>
          </w:hyperlink>
        </w:p>
        <w:p w14:paraId="76DE180C"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pcwbsrutjyfr">
            <w:r>
              <w:rPr>
                <w:color w:val="000000"/>
              </w:rPr>
              <w:t>1.1.1 Opportunities for Pioneers</w:t>
            </w:r>
            <w:r>
              <w:rPr>
                <w:color w:val="000000"/>
              </w:rPr>
              <w:tab/>
              <w:t>6</w:t>
            </w:r>
          </w:hyperlink>
        </w:p>
        <w:p w14:paraId="414D8B15"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sahl3kkkyjjw">
            <w:r>
              <w:rPr>
                <w:color w:val="000000"/>
              </w:rPr>
              <w:t>1.1.2 Threats for Pioneers</w:t>
            </w:r>
            <w:r>
              <w:rPr>
                <w:color w:val="000000"/>
              </w:rPr>
              <w:tab/>
              <w:t>6</w:t>
            </w:r>
          </w:hyperlink>
        </w:p>
        <w:p w14:paraId="56DD6EE2"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z81yxjtgbg9l">
            <w:r>
              <w:rPr>
                <w:color w:val="000000"/>
              </w:rPr>
              <w:t>1.1.3 Opportunities for Followers</w:t>
            </w:r>
            <w:r>
              <w:rPr>
                <w:color w:val="000000"/>
              </w:rPr>
              <w:tab/>
              <w:t>6</w:t>
            </w:r>
          </w:hyperlink>
        </w:p>
        <w:p w14:paraId="07F3AE2B"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ejy6xo5o9998">
            <w:r>
              <w:rPr>
                <w:color w:val="000000"/>
              </w:rPr>
              <w:t>1.1.4 Threa</w:t>
            </w:r>
            <w:r>
              <w:rPr>
                <w:color w:val="000000"/>
              </w:rPr>
              <w:t>ts for Followers</w:t>
            </w:r>
            <w:r>
              <w:rPr>
                <w:color w:val="000000"/>
              </w:rPr>
              <w:tab/>
              <w:t>7</w:t>
            </w:r>
          </w:hyperlink>
        </w:p>
        <w:p w14:paraId="2A6D67D6"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wke55jbo1zmx">
            <w:r>
              <w:rPr>
                <w:color w:val="000000"/>
              </w:rPr>
              <w:t>1.2 Political Actor: Tariffs, Subsidies, Localisation</w:t>
            </w:r>
            <w:r>
              <w:rPr>
                <w:color w:val="000000"/>
              </w:rPr>
              <w:tab/>
              <w:t>7</w:t>
            </w:r>
          </w:hyperlink>
        </w:p>
        <w:p w14:paraId="423549C5"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43gcu8hlmj9o">
            <w:r>
              <w:rPr>
                <w:color w:val="000000"/>
              </w:rPr>
              <w:t>1.2.1 Opportunities for Pioneers</w:t>
            </w:r>
            <w:r>
              <w:rPr>
                <w:color w:val="000000"/>
              </w:rPr>
              <w:tab/>
              <w:t>8</w:t>
            </w:r>
          </w:hyperlink>
        </w:p>
        <w:p w14:paraId="115BD9EB"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ecvtbhn4n8oa">
            <w:r>
              <w:rPr>
                <w:color w:val="000000"/>
              </w:rPr>
              <w:t>1.2.2 Th</w:t>
            </w:r>
            <w:r>
              <w:rPr>
                <w:color w:val="000000"/>
              </w:rPr>
              <w:t>reats for Pioneers</w:t>
            </w:r>
            <w:r>
              <w:rPr>
                <w:color w:val="000000"/>
              </w:rPr>
              <w:tab/>
              <w:t>9</w:t>
            </w:r>
          </w:hyperlink>
        </w:p>
        <w:p w14:paraId="0BC3CD90"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abl8p3ubo9z4">
            <w:r>
              <w:rPr>
                <w:color w:val="000000"/>
              </w:rPr>
              <w:t>1.2.3 Opportunities for Followers</w:t>
            </w:r>
            <w:r>
              <w:rPr>
                <w:color w:val="000000"/>
              </w:rPr>
              <w:tab/>
              <w:t>9</w:t>
            </w:r>
          </w:hyperlink>
        </w:p>
        <w:p w14:paraId="71B1C1D6"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jqgxn8moqhyx">
            <w:r>
              <w:rPr>
                <w:color w:val="000000"/>
              </w:rPr>
              <w:t>1.2.4 Threats for Followers</w:t>
            </w:r>
            <w:r>
              <w:rPr>
                <w:color w:val="000000"/>
              </w:rPr>
              <w:tab/>
              <w:t>9</w:t>
            </w:r>
          </w:hyperlink>
        </w:p>
        <w:p w14:paraId="4B66153E"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p79us2vtsg77">
            <w:r>
              <w:rPr>
                <w:color w:val="000000"/>
              </w:rPr>
              <w:t>1.3 Cross-Actor Interplay and Competitiveness Implications</w:t>
            </w:r>
            <w:r>
              <w:rPr>
                <w:color w:val="000000"/>
              </w:rPr>
              <w:tab/>
              <w:t>10</w:t>
            </w:r>
          </w:hyperlink>
        </w:p>
        <w:p w14:paraId="2649D7F2"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m2k726xdrced">
            <w:r>
              <w:rPr>
                <w:color w:val="000000"/>
              </w:rPr>
              <w:t>1.4 Critical Evaluation</w:t>
            </w:r>
            <w:r>
              <w:rPr>
                <w:color w:val="000000"/>
              </w:rPr>
              <w:tab/>
              <w:t>10</w:t>
            </w:r>
          </w:hyperlink>
        </w:p>
        <w:p w14:paraId="79EE3262" w14:textId="77777777" w:rsidR="00214BA7" w:rsidRDefault="00816EA6">
          <w:pPr>
            <w:pBdr>
              <w:top w:val="nil"/>
              <w:left w:val="nil"/>
              <w:bottom w:val="nil"/>
              <w:right w:val="nil"/>
              <w:between w:val="nil"/>
            </w:pBdr>
            <w:tabs>
              <w:tab w:val="right" w:pos="9016"/>
            </w:tabs>
            <w:spacing w:after="100"/>
            <w:rPr>
              <w:rFonts w:ascii="Aptos" w:eastAsia="Aptos" w:hAnsi="Aptos" w:cs="Aptos"/>
              <w:color w:val="000000"/>
            </w:rPr>
          </w:pPr>
          <w:hyperlink w:anchor="_heading=h.drt2n8hthb6g">
            <w:r>
              <w:rPr>
                <w:b/>
                <w:bCs/>
                <w:color w:val="000000"/>
              </w:rPr>
              <w:t>Task 2: Critical evaluation of strategic responses by pioneers and followers</w:t>
            </w:r>
            <w:r>
              <w:rPr>
                <w:b/>
                <w:bCs/>
                <w:color w:val="000000"/>
              </w:rPr>
              <w:tab/>
              <w:t>11</w:t>
            </w:r>
          </w:hyperlink>
        </w:p>
        <w:p w14:paraId="420FC0C7"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jthoawnuoxlt">
            <w:r>
              <w:rPr>
                <w:color w:val="000000"/>
              </w:rPr>
              <w:t>2.1 Strategic Response to the Technological Actor</w:t>
            </w:r>
            <w:r>
              <w:rPr>
                <w:color w:val="000000"/>
              </w:rPr>
              <w:tab/>
              <w:t>11</w:t>
            </w:r>
          </w:hyperlink>
        </w:p>
        <w:p w14:paraId="716370C6"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954dlj83ghc3">
            <w:r>
              <w:rPr>
                <w:color w:val="000000"/>
              </w:rPr>
              <w:t>2.1.1 Pioneers: Strategy Pattern and Implications</w:t>
            </w:r>
            <w:r>
              <w:rPr>
                <w:color w:val="000000"/>
              </w:rPr>
              <w:tab/>
              <w:t>11</w:t>
            </w:r>
          </w:hyperlink>
        </w:p>
        <w:p w14:paraId="0EEA5E02"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lkccgukw7g6n">
            <w:r>
              <w:rPr>
                <w:color w:val="000000"/>
              </w:rPr>
              <w:t>2.1.2 Followers: Strategy Pattern and Implications</w:t>
            </w:r>
            <w:r>
              <w:rPr>
                <w:color w:val="000000"/>
              </w:rPr>
              <w:tab/>
              <w:t>11</w:t>
            </w:r>
          </w:hyperlink>
        </w:p>
        <w:p w14:paraId="502532CA"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15t3dureqd6q">
            <w:r>
              <w:rPr>
                <w:color w:val="000000"/>
              </w:rPr>
              <w:t>2.2 Strategic Response to the Political Acto</w:t>
            </w:r>
            <w:r>
              <w:rPr>
                <w:color w:val="000000"/>
              </w:rPr>
              <w:t>r</w:t>
            </w:r>
            <w:r>
              <w:rPr>
                <w:color w:val="000000"/>
              </w:rPr>
              <w:tab/>
              <w:t>12</w:t>
            </w:r>
          </w:hyperlink>
        </w:p>
        <w:p w14:paraId="3E1A54D6"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jbk4dpl4iqs9">
            <w:r>
              <w:rPr>
                <w:color w:val="000000"/>
              </w:rPr>
              <w:t>2.2.1 Pioneers: Strategy Pattern and Implications</w:t>
            </w:r>
            <w:r>
              <w:rPr>
                <w:color w:val="000000"/>
              </w:rPr>
              <w:tab/>
              <w:t>12</w:t>
            </w:r>
          </w:hyperlink>
        </w:p>
        <w:p w14:paraId="13356D56" w14:textId="77777777" w:rsidR="00214BA7" w:rsidRDefault="00816EA6">
          <w:pPr>
            <w:pBdr>
              <w:top w:val="nil"/>
              <w:left w:val="nil"/>
              <w:bottom w:val="nil"/>
              <w:right w:val="nil"/>
              <w:between w:val="nil"/>
            </w:pBdr>
            <w:tabs>
              <w:tab w:val="right" w:leader="dot" w:pos="9016"/>
            </w:tabs>
            <w:spacing w:after="100"/>
            <w:ind w:left="480"/>
            <w:rPr>
              <w:rFonts w:ascii="Aptos" w:eastAsia="Aptos" w:hAnsi="Aptos" w:cs="Aptos"/>
              <w:color w:val="000000"/>
            </w:rPr>
          </w:pPr>
          <w:hyperlink w:anchor="_heading=h.6aktisr8ytaf">
            <w:r>
              <w:rPr>
                <w:color w:val="000000"/>
              </w:rPr>
              <w:t>2.2.2 Followers: Strategy Pattern and Implications</w:t>
            </w:r>
            <w:r>
              <w:rPr>
                <w:color w:val="000000"/>
              </w:rPr>
              <w:tab/>
              <w:t>13</w:t>
            </w:r>
          </w:hyperlink>
        </w:p>
        <w:p w14:paraId="03B03CAF"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d7ab9vn7c0pb">
            <w:r>
              <w:rPr>
                <w:color w:val="000000"/>
              </w:rPr>
              <w:t>2.3 Cr</w:t>
            </w:r>
            <w:r>
              <w:rPr>
                <w:color w:val="000000"/>
              </w:rPr>
              <w:t>oss-Factor Synthesis: When Strategies Win or Fail</w:t>
            </w:r>
            <w:r>
              <w:rPr>
                <w:color w:val="000000"/>
              </w:rPr>
              <w:tab/>
              <w:t>14</w:t>
            </w:r>
          </w:hyperlink>
        </w:p>
        <w:p w14:paraId="1B14C125"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tyibkwspf66n">
            <w:r>
              <w:rPr>
                <w:color w:val="000000"/>
              </w:rPr>
              <w:t>2.4 Appropriateness of Marketing Strategies</w:t>
            </w:r>
            <w:r>
              <w:rPr>
                <w:color w:val="000000"/>
              </w:rPr>
              <w:tab/>
              <w:t>15</w:t>
            </w:r>
          </w:hyperlink>
        </w:p>
        <w:p w14:paraId="06426B6E"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9udf10tvr0f3">
            <w:r>
              <w:rPr>
                <w:color w:val="000000"/>
              </w:rPr>
              <w:t>2.5 Risks, Leading Indicators, and Fallback Moves</w:t>
            </w:r>
            <w:r>
              <w:rPr>
                <w:color w:val="000000"/>
              </w:rPr>
              <w:tab/>
              <w:t>15</w:t>
            </w:r>
          </w:hyperlink>
        </w:p>
        <w:p w14:paraId="3D201D46"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oqlkwmetsmk">
            <w:r>
              <w:rPr>
                <w:color w:val="000000"/>
              </w:rPr>
              <w:t>2.6 What Sustains Competitiveness</w:t>
            </w:r>
            <w:r>
              <w:rPr>
                <w:color w:val="000000"/>
              </w:rPr>
              <w:tab/>
              <w:t>16</w:t>
            </w:r>
          </w:hyperlink>
        </w:p>
        <w:p w14:paraId="140FD6C1" w14:textId="77777777" w:rsidR="00214BA7" w:rsidRDefault="00816EA6">
          <w:pPr>
            <w:pBdr>
              <w:top w:val="nil"/>
              <w:left w:val="nil"/>
              <w:bottom w:val="nil"/>
              <w:right w:val="nil"/>
              <w:between w:val="nil"/>
            </w:pBdr>
            <w:tabs>
              <w:tab w:val="right" w:pos="9016"/>
            </w:tabs>
            <w:spacing w:after="100"/>
            <w:rPr>
              <w:rFonts w:ascii="Aptos" w:eastAsia="Aptos" w:hAnsi="Aptos" w:cs="Aptos"/>
              <w:color w:val="000000"/>
            </w:rPr>
          </w:pPr>
          <w:hyperlink w:anchor="_heading=h.lex6uyeat1y0">
            <w:r>
              <w:rPr>
                <w:b/>
                <w:bCs/>
                <w:color w:val="000000"/>
              </w:rPr>
              <w:t>Reference List</w:t>
            </w:r>
            <w:r>
              <w:rPr>
                <w:b/>
                <w:bCs/>
                <w:color w:val="000000"/>
              </w:rPr>
              <w:tab/>
              <w:t>17</w:t>
            </w:r>
          </w:hyperlink>
        </w:p>
        <w:p w14:paraId="3EAE792A" w14:textId="77777777" w:rsidR="00214BA7" w:rsidRDefault="00816EA6">
          <w:pPr>
            <w:pBdr>
              <w:top w:val="nil"/>
              <w:left w:val="nil"/>
              <w:bottom w:val="nil"/>
              <w:right w:val="nil"/>
              <w:between w:val="nil"/>
            </w:pBdr>
            <w:tabs>
              <w:tab w:val="right" w:pos="9016"/>
            </w:tabs>
            <w:spacing w:after="100"/>
            <w:rPr>
              <w:rFonts w:ascii="Aptos" w:eastAsia="Aptos" w:hAnsi="Aptos" w:cs="Aptos"/>
              <w:color w:val="000000"/>
            </w:rPr>
          </w:pPr>
          <w:hyperlink w:anchor="_heading=h.vfavy59zoe6a">
            <w:r>
              <w:rPr>
                <w:b/>
                <w:bCs/>
                <w:color w:val="000000"/>
              </w:rPr>
              <w:t>Appendices</w:t>
            </w:r>
            <w:r>
              <w:rPr>
                <w:b/>
                <w:bCs/>
                <w:color w:val="000000"/>
              </w:rPr>
              <w:tab/>
              <w:t>20</w:t>
            </w:r>
          </w:hyperlink>
        </w:p>
        <w:p w14:paraId="466B0BEF" w14:textId="77777777" w:rsidR="00214BA7" w:rsidRDefault="00816EA6">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foot7yjwrw58">
            <w:r>
              <w:rPr>
                <w:color w:val="000000"/>
              </w:rPr>
              <w:t>Appendix 1: PESTEL Analysis</w:t>
            </w:r>
            <w:r>
              <w:rPr>
                <w:color w:val="000000"/>
              </w:rPr>
              <w:tab/>
              <w:t>20</w:t>
            </w:r>
          </w:hyperlink>
        </w:p>
        <w:p w14:paraId="13B5BB33" w14:textId="77777777" w:rsidR="00214BA7" w:rsidRDefault="00816EA6">
          <w:pPr>
            <w:spacing w:before="240" w:after="240"/>
            <w:rPr>
              <w:b/>
              <w:bCs/>
            </w:rPr>
          </w:pPr>
          <w:r>
            <w:fldChar w:fldCharType="end"/>
          </w:r>
        </w:p>
      </w:sdtContent>
    </w:sdt>
    <w:p w14:paraId="3DDB522B" w14:textId="77777777" w:rsidR="00214BA7" w:rsidRDefault="00816EA6">
      <w:pPr>
        <w:spacing w:before="240" w:after="240"/>
        <w:rPr>
          <w:b/>
          <w:bCs/>
        </w:rPr>
      </w:pPr>
      <w:r>
        <w:br w:type="page"/>
      </w:r>
    </w:p>
    <w:p w14:paraId="21EC0FC5" w14:textId="77777777" w:rsidR="00214BA7" w:rsidRDefault="00816EA6">
      <w:pPr>
        <w:pStyle w:val="Heading1"/>
        <w:spacing w:before="240" w:after="240"/>
      </w:pPr>
      <w:bookmarkStart w:id="0" w:name="_heading=h.vfsd5nqi1aru" w:colFirst="0" w:colLast="0"/>
      <w:bookmarkEnd w:id="0"/>
      <w:r>
        <w:lastRenderedPageBreak/>
        <w:t>Task 1: Critical analysis of two macro-marketing actors (Political and Technological) in the EV industry</w:t>
      </w:r>
    </w:p>
    <w:p w14:paraId="7825AB5D" w14:textId="77777777" w:rsidR="00214BA7" w:rsidRDefault="00816EA6">
      <w:pPr>
        <w:pStyle w:val="Heading2"/>
        <w:spacing w:before="240" w:after="240"/>
      </w:pPr>
      <w:bookmarkStart w:id="1" w:name="_heading=h.2ap72zbjjcm6" w:colFirst="0" w:colLast="0"/>
      <w:bookmarkEnd w:id="1"/>
      <w:r>
        <w:t>1.1 Technological Actor: Battery, Software/ADAS, and</w:t>
      </w:r>
      <w:r>
        <w:t xml:space="preserve"> Charging</w:t>
      </w:r>
    </w:p>
    <w:p w14:paraId="582C14D5" w14:textId="77777777" w:rsidR="00214BA7" w:rsidRDefault="00816EA6">
      <w:pPr>
        <w:spacing w:before="240" w:after="240"/>
      </w:pPr>
      <w:r>
        <w:t xml:space="preserve">Technological actors are the interconnected design choices that turn raw materials and data into a repeatable ownership experience. Battery chemistry and pack architecture define safety margins, energy density and cost per kWh; software and ADAS </w:t>
      </w:r>
      <w:r>
        <w:t>determine efficiency, reliability and the pace of post-sale improvement; charging hardware, protocols and network uptime convert range into usable mobility. Current realities include module-less LFP architectures such as BYD’s Blade, software-defined vehic</w:t>
      </w:r>
      <w:r>
        <w:t>les that rely on disciplined OTA pipelines, and North America’s consolidation around NACS with broad Supercharger access (Wang et al., 2023). Advantage appears when these layers are engineered as one system. Risk escalates when rapid innovation or shifting</w:t>
      </w:r>
      <w:r>
        <w:t xml:space="preserve"> standards outpace a firm’s ability to update hardware, software and interfaces together.</w:t>
      </w:r>
    </w:p>
    <w:p w14:paraId="2E280792" w14:textId="77777777" w:rsidR="00214BA7" w:rsidRDefault="00816EA6">
      <w:pPr>
        <w:keepNext/>
        <w:spacing w:before="240" w:after="240"/>
        <w:jc w:val="center"/>
      </w:pPr>
      <w:r>
        <w:rPr>
          <w:noProof/>
        </w:rPr>
        <w:drawing>
          <wp:inline distT="0" distB="0" distL="0" distR="0" wp14:anchorId="739E9BB2" wp14:editId="26C7EF94">
            <wp:extent cx="4274174" cy="3423916"/>
            <wp:effectExtent l="0" t="0" r="0" b="0"/>
            <wp:docPr id="207406153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74174" cy="3423916"/>
                    </a:xfrm>
                    <a:prstGeom prst="rect">
                      <a:avLst/>
                    </a:prstGeom>
                    <a:ln/>
                  </pic:spPr>
                </pic:pic>
              </a:graphicData>
            </a:graphic>
          </wp:inline>
        </w:drawing>
      </w:r>
    </w:p>
    <w:p w14:paraId="50B73DDC" w14:textId="77777777" w:rsidR="00214BA7" w:rsidRDefault="00816EA6">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Figure 1: Key technological drivers for EV industry</w:t>
      </w:r>
    </w:p>
    <w:p w14:paraId="20CD0840" w14:textId="77777777" w:rsidR="00214BA7" w:rsidRDefault="00816EA6">
      <w:pPr>
        <w:jc w:val="center"/>
      </w:pPr>
      <w:r>
        <w:t>(Source: Self-created)</w:t>
      </w:r>
    </w:p>
    <w:p w14:paraId="74C2453B" w14:textId="77777777" w:rsidR="00214BA7" w:rsidRDefault="00816EA6">
      <w:pPr>
        <w:pStyle w:val="Heading3"/>
        <w:spacing w:before="240" w:after="240"/>
      </w:pPr>
      <w:bookmarkStart w:id="2" w:name="_heading=h.pcwbsrutjyfr" w:colFirst="0" w:colLast="0"/>
      <w:bookmarkEnd w:id="2"/>
      <w:r>
        <w:lastRenderedPageBreak/>
        <w:t>1.1.1 Opportunities for Pioneers</w:t>
      </w:r>
    </w:p>
    <w:p w14:paraId="5BE6DB4C" w14:textId="77777777" w:rsidR="00214BA7" w:rsidRDefault="00816EA6">
      <w:pPr>
        <w:spacing w:before="240" w:after="240"/>
      </w:pPr>
      <w:r>
        <w:t>The innovators are able to bundle advantages through chemistry, software and charging in a confluent offer. Blade-class LFP is an option that allows competitive range with lower costs of materials and high-quality safety storey, which helps establish conve</w:t>
      </w:r>
      <w:r>
        <w:t xml:space="preserve">nient pricing in large volumes. </w:t>
      </w:r>
      <w:r>
        <w:rPr>
          <w:color w:val="1F1F1F"/>
        </w:rPr>
        <w:t xml:space="preserve">EVs can save up to 75 % in maintenance costs per </w:t>
      </w:r>
      <w:proofErr w:type="spellStart"/>
      <w:r>
        <w:rPr>
          <w:color w:val="1F1F1F"/>
        </w:rPr>
        <w:t>kilometer</w:t>
      </w:r>
      <w:proofErr w:type="spellEnd"/>
      <w:r>
        <w:rPr>
          <w:color w:val="1F1F1F"/>
        </w:rPr>
        <w:t xml:space="preserve">. The cost savings per </w:t>
      </w:r>
      <w:proofErr w:type="spellStart"/>
      <w:r>
        <w:rPr>
          <w:color w:val="1F1F1F"/>
        </w:rPr>
        <w:t>kilometer</w:t>
      </w:r>
      <w:proofErr w:type="spellEnd"/>
      <w:r>
        <w:rPr>
          <w:color w:val="1F1F1F"/>
        </w:rPr>
        <w:t xml:space="preserve"> for gasoline have not been included since it accounts for almost zero percent of the total savings. Simplicity is achieved by making </w:t>
      </w:r>
      <w:r>
        <w:rPr>
          <w:color w:val="1F1F1F"/>
        </w:rPr>
        <w:t xml:space="preserve">engines smaller, which results in lower costs. </w:t>
      </w:r>
      <w:r>
        <w:t>Combined with an effective thermal control, powerful battery-management software and path planning that preconditions the pack before rapid charging, vehicles do not lose their performance and age more gradually, which reinforces residual values. High-powe</w:t>
      </w:r>
      <w:r>
        <w:t>r access is also dependable, which also raises the offer: as the NACS is adopted and the station is already guaranteed, innovators transform infrastructure into long-trip-confidence and friction-free payments (</w:t>
      </w:r>
      <w:proofErr w:type="spellStart"/>
      <w:r>
        <w:t>Polat</w:t>
      </w:r>
      <w:proofErr w:type="spellEnd"/>
      <w:r>
        <w:t xml:space="preserve"> et al., 2023). Such coordination also al</w:t>
      </w:r>
      <w:r>
        <w:t xml:space="preserve">lows marketing to switch to lifetime value, convenience and trust, messages that stand credible yet reduce as incentives diminish etc. </w:t>
      </w:r>
    </w:p>
    <w:p w14:paraId="4277DDFB" w14:textId="77777777" w:rsidR="00214BA7" w:rsidRDefault="00816EA6">
      <w:pPr>
        <w:pStyle w:val="Heading3"/>
        <w:spacing w:before="240" w:after="240"/>
      </w:pPr>
      <w:bookmarkStart w:id="3" w:name="_heading=h.sahl3kkkyjjw" w:colFirst="0" w:colLast="0"/>
      <w:bookmarkEnd w:id="3"/>
      <w:r>
        <w:t>1.1.2 Threats for Pioneers</w:t>
      </w:r>
    </w:p>
    <w:p w14:paraId="0B8BCB31" w14:textId="77777777" w:rsidR="00214BA7" w:rsidRDefault="00816EA6">
      <w:pPr>
        <w:spacing w:before="240" w:after="240"/>
      </w:pPr>
      <w:r>
        <w:t>Leadership increases exposure to lock-in and coordination failures. A swift shift toward sodi</w:t>
      </w:r>
      <w:r>
        <w:t>um-ion for entry models or high-silicon anodes at the premium end can strand coating equipment and structural-pack tooling tuned for LFP. Expanded software scope widens the cybersecurity surface and raises regression risk; a flawed OTA that mismanages ther</w:t>
      </w:r>
      <w:r>
        <w:t xml:space="preserve">mal pre-conditioning or range estimation can damage brand equity quickly. Standard evolution can also erase moats: if connectors, payment rules or cybersecurity mandates move faster than a network can adapt, yesterday’s differentiator becomes a compliance </w:t>
      </w:r>
      <w:r>
        <w:t xml:space="preserve">cost. </w:t>
      </w:r>
      <w:r>
        <w:rPr>
          <w:color w:val="333333"/>
          <w:highlight w:val="white"/>
        </w:rPr>
        <w:t xml:space="preserve">Delivering best-in-class battery designs requires engineers to rapidly create, test, and compare different battery cell, module, and pack configurations which creates threat or challenges for the automobile companies. </w:t>
      </w:r>
    </w:p>
    <w:p w14:paraId="0CFEC496" w14:textId="77777777" w:rsidR="00214BA7" w:rsidRDefault="00816EA6">
      <w:pPr>
        <w:pStyle w:val="Heading3"/>
        <w:spacing w:before="240" w:after="240"/>
      </w:pPr>
      <w:bookmarkStart w:id="4" w:name="_heading=h.z81yxjtgbg9l" w:colFirst="0" w:colLast="0"/>
      <w:bookmarkEnd w:id="4"/>
      <w:r>
        <w:t>1.1.3 Opportunities for Followe</w:t>
      </w:r>
      <w:r>
        <w:t>rs</w:t>
      </w:r>
    </w:p>
    <w:p w14:paraId="24C8614C" w14:textId="77777777" w:rsidR="00214BA7" w:rsidRDefault="00816EA6">
      <w:pPr>
        <w:spacing w:before="240" w:after="240"/>
      </w:pPr>
      <w:r>
        <w:t xml:space="preserve">Followers benefit as technology modularises and suppliers mature. Diffusion of LFP and cell-to-pack designs lets late movers source validated packs and e-axles without </w:t>
      </w:r>
      <w:r>
        <w:lastRenderedPageBreak/>
        <w:t>in-house cell R&amp;D. This is visible in value-oriented models from Tata Motors that use</w:t>
      </w:r>
      <w:r>
        <w:t xml:space="preserve"> LFP for predictable urban range at accessible prices while localising key subsystems. Standard convergence in North America enables followers like General Motors to promise dependable fast charging by adopting NACS and securing Supercharger access, reduci</w:t>
      </w:r>
      <w:r>
        <w:t>ng range anxiety immediately while internal networks scale. Off-the-shelf software building blocks for telematics, energy management and ADAS compress development cycles so scarce engineering can focus on calibration, UX and warranty discipline.</w:t>
      </w:r>
    </w:p>
    <w:p w14:paraId="364959EE" w14:textId="77777777" w:rsidR="00214BA7" w:rsidRDefault="00816EA6">
      <w:pPr>
        <w:pStyle w:val="Heading3"/>
        <w:spacing w:before="240" w:after="240"/>
      </w:pPr>
      <w:bookmarkStart w:id="5" w:name="_heading=h.ejy6xo5o9998" w:colFirst="0" w:colLast="0"/>
      <w:bookmarkEnd w:id="5"/>
      <w:r>
        <w:t>1.1.4 Thre</w:t>
      </w:r>
      <w:r>
        <w:t>ats for Followers</w:t>
      </w:r>
    </w:p>
    <w:p w14:paraId="370BD794" w14:textId="77777777" w:rsidR="00214BA7" w:rsidRDefault="00816EA6">
      <w:pPr>
        <w:spacing w:before="240" w:after="240"/>
      </w:pPr>
      <w:r>
        <w:t xml:space="preserve">Late entry compresses learning and narrows differentiation. If many brands buy similar Blade-class packs and common e-axles, products converge on range and charging behaviour and competition slides toward price. Access to top cell grades </w:t>
      </w:r>
      <w:r>
        <w:t>and thermal innovations is often prioritised for originators and close partners, leaving followers with later allocations or tighter design constraints. Fragmented software stacks slow OTA cadence and create inconsistent interfaces that depress residuals (</w:t>
      </w:r>
      <w:r>
        <w:t>Wang et al., 2023). Small integration gaps such as weak pre-conditioning before fast charging, unreliable route planning, sluggish infotainment that carry outsized reputational penalties and trigger costly goodwill fixes. Without a distinct software identi</w:t>
      </w:r>
      <w:r>
        <w:t>ty and dependable update rhythm, followers risk commodity positioning.</w:t>
      </w:r>
    </w:p>
    <w:p w14:paraId="5C5A139E" w14:textId="77777777" w:rsidR="00214BA7" w:rsidRDefault="00816EA6">
      <w:pPr>
        <w:pStyle w:val="Heading2"/>
        <w:spacing w:before="240" w:after="240"/>
      </w:pPr>
      <w:bookmarkStart w:id="6" w:name="_heading=h.wke55jbo1zmx" w:colFirst="0" w:colLast="0"/>
      <w:bookmarkEnd w:id="6"/>
      <w:r>
        <w:t>1.2 Political Actor: Tariffs, Subsidies, Localisation</w:t>
      </w:r>
    </w:p>
    <w:p w14:paraId="06AF7FD9" w14:textId="77777777" w:rsidR="00214BA7" w:rsidRDefault="00816EA6">
      <w:pPr>
        <w:spacing w:before="240" w:after="240"/>
      </w:pPr>
      <w:r>
        <w:t>Political actors set the feasible envelope for EV strategy. Consumer subsidies and tax credits, fleet CO</w:t>
      </w:r>
      <w:r>
        <w:rPr>
          <w:rFonts w:ascii="Cambria Math" w:eastAsia="Cambria Math" w:hAnsi="Cambria Math" w:cs="Cambria Math"/>
        </w:rPr>
        <w:t>₂</w:t>
      </w:r>
      <w:r>
        <w:t xml:space="preserve"> targets and phase-out dat</w:t>
      </w:r>
      <w:r>
        <w:t xml:space="preserve">es, local-content and critical-minerals thresholds, tariffs and export controls, and interest-rate cycles for </w:t>
      </w:r>
      <w:proofErr w:type="spellStart"/>
      <w:r>
        <w:t>gigafactory</w:t>
      </w:r>
      <w:proofErr w:type="spellEnd"/>
      <w:r>
        <w:t xml:space="preserve"> finance shape demand, cost and access. These forces are visible in the EU’s 2035 zero-emission requirement for new cars; in the U.S. c</w:t>
      </w:r>
      <w:r>
        <w:t>lean-vehicle credit linking eligibility to North American assembly and battery sourcing; in India’s continued demand-side incentives and charging build-out; and in higher tariffs on Chinese-made EVs in the U.S. and Europe. They influence not only market si</w:t>
      </w:r>
      <w:r>
        <w:t xml:space="preserve">ze but also siting of battery assets, credit eligibility and sustainable pricing power. </w:t>
      </w:r>
      <w:r>
        <w:rPr>
          <w:color w:val="1F1F1F"/>
        </w:rPr>
        <w:t>Shifting attention away from rebates, the political environment indicates that the most common barriers impeding the uptake of EVs are those related with range, chargin</w:t>
      </w:r>
      <w:r>
        <w:rPr>
          <w:color w:val="1F1F1F"/>
        </w:rPr>
        <w:t xml:space="preserve">g infrastructure and price. </w:t>
      </w:r>
    </w:p>
    <w:p w14:paraId="15C86D71" w14:textId="77777777" w:rsidR="00214BA7" w:rsidRDefault="00816EA6">
      <w:pPr>
        <w:keepNext/>
        <w:spacing w:before="240" w:after="240"/>
        <w:jc w:val="center"/>
      </w:pPr>
      <w:r>
        <w:rPr>
          <w:noProof/>
        </w:rPr>
        <w:lastRenderedPageBreak/>
        <w:drawing>
          <wp:inline distT="0" distB="0" distL="0" distR="0" wp14:anchorId="5F3EDA9A" wp14:editId="09553DFC">
            <wp:extent cx="4568658" cy="3522819"/>
            <wp:effectExtent l="0" t="0" r="0" b="0"/>
            <wp:docPr id="207406153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l="12451" r="11402"/>
                    <a:stretch>
                      <a:fillRect/>
                    </a:stretch>
                  </pic:blipFill>
                  <pic:spPr>
                    <a:xfrm>
                      <a:off x="0" y="0"/>
                      <a:ext cx="4568658" cy="3522819"/>
                    </a:xfrm>
                    <a:prstGeom prst="rect">
                      <a:avLst/>
                    </a:prstGeom>
                    <a:ln/>
                  </pic:spPr>
                </pic:pic>
              </a:graphicData>
            </a:graphic>
          </wp:inline>
        </w:drawing>
      </w:r>
    </w:p>
    <w:p w14:paraId="451B5813" w14:textId="77777777" w:rsidR="00214BA7" w:rsidRDefault="00816EA6">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Figure 2: Key Political drivers for the growth of EV</w:t>
      </w:r>
    </w:p>
    <w:p w14:paraId="450EAA71" w14:textId="77777777" w:rsidR="00214BA7" w:rsidRDefault="00816EA6">
      <w:pPr>
        <w:jc w:val="center"/>
      </w:pPr>
      <w:r>
        <w:t>(Source: Self-created)</w:t>
      </w:r>
    </w:p>
    <w:p w14:paraId="5EAD8D36" w14:textId="77777777" w:rsidR="00214BA7" w:rsidRDefault="00816EA6">
      <w:pPr>
        <w:pStyle w:val="Heading3"/>
        <w:spacing w:before="240" w:after="240"/>
      </w:pPr>
      <w:bookmarkStart w:id="7" w:name="_heading=h.43gcu8hlmj9o" w:colFirst="0" w:colLast="0"/>
      <w:bookmarkEnd w:id="7"/>
      <w:r>
        <w:t>1.2.1 Opportunities for Pioneers</w:t>
      </w:r>
    </w:p>
    <w:p w14:paraId="430F3A7E" w14:textId="77777777" w:rsidR="00214BA7" w:rsidRDefault="00816EA6">
      <w:pPr>
        <w:spacing w:before="240" w:after="240"/>
      </w:pPr>
      <w:r>
        <w:t>Policy can amplify early technical and siting bets. Firms that localised cell, module and pack capacity early, for e</w:t>
      </w:r>
      <w:r>
        <w:t xml:space="preserve">xample, Tesla in the U.S. and EU convert eligibility rules into transaction-price headroom that supports share gains. Also, </w:t>
      </w:r>
      <w:r>
        <w:rPr>
          <w:color w:val="404040"/>
        </w:rPr>
        <w:t xml:space="preserve">Tesla improved somewhat as Elon Musk pivoted the company towards </w:t>
      </w:r>
      <w:proofErr w:type="spellStart"/>
      <w:r>
        <w:rPr>
          <w:color w:val="404040"/>
        </w:rPr>
        <w:t>robotaxis</w:t>
      </w:r>
      <w:proofErr w:type="spellEnd"/>
      <w:r>
        <w:rPr>
          <w:color w:val="404040"/>
        </w:rPr>
        <w:t xml:space="preserve">, self-driving technology and robots in human form. </w:t>
      </w:r>
      <w:r>
        <w:t>Pionee</w:t>
      </w:r>
      <w:r>
        <w:t>rs operating reliable high-power charging benefit when public programmes prioritise interoperability and uptime; opening portions of proprietary networks aligns with funding criteria while preserving reputational ownership of reliability (</w:t>
      </w:r>
      <w:proofErr w:type="spellStart"/>
      <w:r>
        <w:t>Ryghaug</w:t>
      </w:r>
      <w:proofErr w:type="spellEnd"/>
      <w:r>
        <w:t xml:space="preserve"> and </w:t>
      </w:r>
      <w:proofErr w:type="spellStart"/>
      <w:r>
        <w:t>Skjøl</w:t>
      </w:r>
      <w:r>
        <w:t>svold</w:t>
      </w:r>
      <w:proofErr w:type="spellEnd"/>
      <w:r>
        <w:t>, 2023). BYD’s regionalisation follows a similar logic: assembly in Thailand and planned European battery capacity reduce tariff exposure, unlock local incentives and align with public procurement screens on origin and sustainability.</w:t>
      </w:r>
    </w:p>
    <w:p w14:paraId="3A43C080" w14:textId="77777777" w:rsidR="00214BA7" w:rsidRDefault="00816EA6">
      <w:pPr>
        <w:pStyle w:val="Heading3"/>
        <w:spacing w:before="240" w:after="240"/>
      </w:pPr>
      <w:bookmarkStart w:id="8" w:name="_heading=h.ecvtbhn4n8oa" w:colFirst="0" w:colLast="0"/>
      <w:bookmarkEnd w:id="8"/>
      <w:r>
        <w:t>1.2.2 Threats fo</w:t>
      </w:r>
      <w:r>
        <w:t>r Pioneers</w:t>
      </w:r>
    </w:p>
    <w:p w14:paraId="543CC857" w14:textId="77777777" w:rsidR="00214BA7" w:rsidRDefault="00816EA6">
      <w:pPr>
        <w:spacing w:before="240" w:after="240"/>
      </w:pPr>
      <w:r>
        <w:t xml:space="preserve">The reversibility of the benefits of the same instruments may arise when the thresholds are shifted or the geopolitics becomes more rigid. Stricter critical-minerals </w:t>
      </w:r>
      <w:r>
        <w:lastRenderedPageBreak/>
        <w:t>examinations and country of origin requirements can have the popular trims fail</w:t>
      </w:r>
      <w:r>
        <w:t xml:space="preserve"> credits, compelling price reductions or immediate re-sourcing that interferes with the launch schedules. Interim EU levies on Chinese EVs and drastically increased American tariffs on Chinese goods increase cross-border expenses and strain the export-base</w:t>
      </w:r>
      <w:r>
        <w:t>d strategies (</w:t>
      </w:r>
      <w:proofErr w:type="spellStart"/>
      <w:r>
        <w:t>Ryghaug</w:t>
      </w:r>
      <w:proofErr w:type="spellEnd"/>
      <w:r>
        <w:t xml:space="preserve"> and </w:t>
      </w:r>
      <w:proofErr w:type="spellStart"/>
      <w:r>
        <w:t>Skjølsvold</w:t>
      </w:r>
      <w:proofErr w:type="spellEnd"/>
      <w:r>
        <w:t xml:space="preserve">, 2023). Increased interest rates raise the price of the </w:t>
      </w:r>
      <w:proofErr w:type="spellStart"/>
      <w:r>
        <w:t>gigafactories</w:t>
      </w:r>
      <w:proofErr w:type="spellEnd"/>
      <w:r>
        <w:t>, recycling facilities and charging station constructions, decreasing the option value of operating parallel technology lines. The increasing requirem</w:t>
      </w:r>
      <w:r>
        <w:t>ents regarding cybersecurity, data residency and right-to-repair provide fixed overhead and may slow the release pace.</w:t>
      </w:r>
    </w:p>
    <w:p w14:paraId="3ADE8347" w14:textId="77777777" w:rsidR="00214BA7" w:rsidRDefault="00816EA6">
      <w:pPr>
        <w:pStyle w:val="Heading3"/>
        <w:spacing w:before="240" w:after="240"/>
      </w:pPr>
      <w:bookmarkStart w:id="9" w:name="_heading=h.abl8p3ubo9z4" w:colFirst="0" w:colLast="0"/>
      <w:bookmarkEnd w:id="9"/>
      <w:r>
        <w:t>1.2.3 Opportunities for Followers</w:t>
      </w:r>
    </w:p>
    <w:p w14:paraId="055F1430" w14:textId="77777777" w:rsidR="00214BA7" w:rsidRDefault="00816EA6">
      <w:pPr>
        <w:spacing w:before="240" w:after="240"/>
      </w:pPr>
      <w:r>
        <w:t>Followers gain when rules stabilise and public investment fills infrastructure gaps. Clear eligibility criteria, standardised connectors and published compliance pathways reduce uncertainty and support precise launch timing. In Europe, IONITY offers a poli</w:t>
      </w:r>
      <w:r>
        <w:t>cy-legible route to reliable highway charging without replicating a rival’s proprietary network, aligning with EU priorities for interoperable coverage (</w:t>
      </w:r>
      <w:proofErr w:type="spellStart"/>
      <w:r>
        <w:t>Győrffy</w:t>
      </w:r>
      <w:proofErr w:type="spellEnd"/>
      <w:r>
        <w:t>, 2024). Localisation incentives open windows to collocate assembly and pack integration near de</w:t>
      </w:r>
      <w:r>
        <w:t>mand and qualify for consumer credits without owning cell IP end-to-end. New European cell capacity (e.g., Hungary) offers multiple OEMs local supply aligned with origin expectations and lower logistics risk. In India, continuation of demand-side support a</w:t>
      </w:r>
      <w:r>
        <w:t>nd targeted charging rollouts enables rapid portfolio expansion once models are validated for local conditions.</w:t>
      </w:r>
    </w:p>
    <w:p w14:paraId="2B961D4D" w14:textId="77777777" w:rsidR="00214BA7" w:rsidRDefault="00816EA6">
      <w:pPr>
        <w:pStyle w:val="Heading3"/>
        <w:spacing w:before="240" w:after="240"/>
      </w:pPr>
      <w:bookmarkStart w:id="10" w:name="_heading=h.jqgxn8moqhyx" w:colFirst="0" w:colLast="0"/>
      <w:bookmarkEnd w:id="10"/>
      <w:r>
        <w:t>1.2.4 Threats for Followers</w:t>
      </w:r>
    </w:p>
    <w:p w14:paraId="38EEDEBA" w14:textId="77777777" w:rsidR="00214BA7" w:rsidRDefault="00816EA6">
      <w:pPr>
        <w:spacing w:before="240" w:after="240"/>
      </w:pPr>
      <w:r>
        <w:t>Late movers face compressed compliance timelines under tightening fleet targets and firm phase-out dates. Penalty ex</w:t>
      </w:r>
      <w:r>
        <w:t>posure rises as supplier bottlenecks persist in cells, inverters and silicon-carbide devices, with incumbents often prioritised for allocation. Origin thresholds and tariff schedules complicate cross-border platform sharing and add cost to architectures de</w:t>
      </w:r>
      <w:r>
        <w:t>signed for global sourcing, forcing redesigns that dilute the value story (</w:t>
      </w:r>
      <w:proofErr w:type="spellStart"/>
      <w:r>
        <w:t>Kampker</w:t>
      </w:r>
      <w:proofErr w:type="spellEnd"/>
      <w:r>
        <w:t xml:space="preserve"> et al., 2023). Higher capital costs raise hurdle rates for greenfield plants, making localisation difficult without anchor contracts and multi-year policy visibility.</w:t>
      </w:r>
    </w:p>
    <w:p w14:paraId="3EE3518C" w14:textId="77777777" w:rsidR="00214BA7" w:rsidRDefault="00816EA6">
      <w:pPr>
        <w:pStyle w:val="Heading2"/>
        <w:spacing w:before="240" w:after="240"/>
      </w:pPr>
      <w:bookmarkStart w:id="11" w:name="_heading=h.p79us2vtsg77" w:colFirst="0" w:colLast="0"/>
      <w:bookmarkEnd w:id="11"/>
      <w:r>
        <w:lastRenderedPageBreak/>
        <w:t>1.3 Cr</w:t>
      </w:r>
      <w:r>
        <w:t>oss-Actor Interplay and Competitiveness Implications</w:t>
      </w:r>
    </w:p>
    <w:p w14:paraId="31BC48BE" w14:textId="77777777" w:rsidR="00214BA7" w:rsidRDefault="00816EA6">
      <w:pPr>
        <w:spacing w:before="240" w:after="240"/>
      </w:pPr>
      <w:r>
        <w:t>Technology choices shape how firms experience policy, and policy design reshapes technology roadmaps. A Blade-style LFP path reduces exposure to cobalt and nickel and aligns with regulators’ push for tra</w:t>
      </w:r>
      <w:r>
        <w:t>ceable, lower-risk minerals; local-content incentives then steer siting of structural-pack lines, coating and recycling (</w:t>
      </w:r>
      <w:proofErr w:type="spellStart"/>
      <w:r>
        <w:t>Zaino</w:t>
      </w:r>
      <w:proofErr w:type="spellEnd"/>
      <w:r>
        <w:t xml:space="preserve"> et al., 2024). Charging standardisation completes the loop: opening Supercharger access and defining NACS meets public goals for </w:t>
      </w:r>
      <w:r>
        <w:t>interoperability while setting the benchmark for highway reliability that followers can adopt to close experience gaps. European cell localisation reduces tariff risk and enables faster, compliant model cadence.</w:t>
      </w:r>
    </w:p>
    <w:p w14:paraId="1F3F758B" w14:textId="77777777" w:rsidR="00214BA7" w:rsidRDefault="00816EA6">
      <w:pPr>
        <w:pStyle w:val="Heading2"/>
        <w:spacing w:before="240" w:after="240"/>
      </w:pPr>
      <w:bookmarkStart w:id="12" w:name="_heading=h.m2k726xdrced" w:colFirst="0" w:colLast="0"/>
      <w:bookmarkEnd w:id="12"/>
      <w:r>
        <w:t>1.4 Critical Evaluation</w:t>
      </w:r>
    </w:p>
    <w:p w14:paraId="608D2B23" w14:textId="77777777" w:rsidR="00214BA7" w:rsidRDefault="00816EA6">
      <w:pPr>
        <w:spacing w:before="240" w:after="240"/>
      </w:pPr>
      <w:r>
        <w:t>The technological ac</w:t>
      </w:r>
      <w:r>
        <w:t>tor rewards clear architecture and disciplined software because everyday value comes from thermal robustness, efficient charging and trustworthy updates, not only peak specs. BYD’s Blade demonstrates how a pioneer can reset safety and cost expectations and</w:t>
      </w:r>
      <w:r>
        <w:t xml:space="preserve"> force rivals to repricing; sustained advantage, however, requires optionality where alternative chemistries or voltages may win and rigorous quality management as software scope expands (Roy et al., 2024). The political actor converts readiness into reven</w:t>
      </w:r>
      <w:r>
        <w:t>ue only when origin, minerals and interoperability align; it can erase advantage quickly when tariffs rise or thresholds tighten. Pioneers enjoy compounding returns from early localisation, high-uptime charging and data-driven optimisation yet carry higher</w:t>
      </w:r>
      <w:r>
        <w:t xml:space="preserve"> exposure to policy whiplash and capital intensity (</w:t>
      </w:r>
      <w:proofErr w:type="spellStart"/>
      <w:r>
        <w:t>Polat</w:t>
      </w:r>
      <w:proofErr w:type="spellEnd"/>
      <w:r>
        <w:t xml:space="preserve"> et al., 2023). Followers improve rapidly when standards settle, supplier depth grows and public networks densify, but risk sameness and thin margins without control of key algorithms, integration qu</w:t>
      </w:r>
      <w:r>
        <w:t>ality and eligibility. Firms that treat policy and technology as one design problem, coordinating battery choices, software cadence, charging access and plant siting that create a resilient value story that survives subsidy sunsets, rate cycles and standar</w:t>
      </w:r>
      <w:r>
        <w:t>d shifts.</w:t>
      </w:r>
    </w:p>
    <w:p w14:paraId="22BCCF29" w14:textId="77777777" w:rsidR="00214BA7" w:rsidRDefault="00816EA6">
      <w:pPr>
        <w:pStyle w:val="Heading1"/>
        <w:spacing w:before="240" w:after="240"/>
      </w:pPr>
      <w:bookmarkStart w:id="13" w:name="_heading=h.drt2n8hthb6g" w:colFirst="0" w:colLast="0"/>
      <w:bookmarkEnd w:id="13"/>
      <w:r>
        <w:lastRenderedPageBreak/>
        <w:t>Task 2: Critical evaluation of strategic responses by pioneers and followers</w:t>
      </w:r>
    </w:p>
    <w:p w14:paraId="40640B85" w14:textId="77777777" w:rsidR="00214BA7" w:rsidRDefault="00816EA6">
      <w:pPr>
        <w:pStyle w:val="Heading2"/>
        <w:spacing w:before="240" w:after="240"/>
      </w:pPr>
      <w:bookmarkStart w:id="14" w:name="_heading=h.jthoawnuoxlt" w:colFirst="0" w:colLast="0"/>
      <w:bookmarkEnd w:id="14"/>
      <w:r>
        <w:t>2.1 Strategic Response to the Technological Actor</w:t>
      </w:r>
    </w:p>
    <w:p w14:paraId="591ACCEC" w14:textId="77777777" w:rsidR="00214BA7" w:rsidRDefault="00816EA6">
      <w:pPr>
        <w:pStyle w:val="Heading3"/>
        <w:spacing w:before="240" w:after="240"/>
      </w:pPr>
      <w:bookmarkStart w:id="15" w:name="_heading=h.954dlj83ghc3" w:colFirst="0" w:colLast="0"/>
      <w:bookmarkEnd w:id="15"/>
      <w:r>
        <w:t>2.1.1 Pioneers: Strategy Pattern and Implications</w:t>
      </w:r>
    </w:p>
    <w:p w14:paraId="7434713E" w14:textId="77777777" w:rsidR="00214BA7" w:rsidRDefault="00816EA6">
      <w:pPr>
        <w:spacing w:before="240" w:after="240"/>
      </w:pPr>
      <w:r>
        <w:t xml:space="preserve">Pioneers succeed when battery chemistry, pack architecture, software </w:t>
      </w:r>
      <w:r>
        <w:t>and charging are combined as one package customers perceive as being safer, easier and less expensive to possess. BYD Blade (module-less LFP) is characterised as having both thermal and packaging strength combined with reduced exposure to nickel and cobalt</w:t>
      </w:r>
      <w:r>
        <w:t xml:space="preserve"> allowing aggressive price cuts on high volume segments (Sheldon, 2022). Combined with set battery management software, effective thermal regulation and pre-conditioning of expedited charging, this design contributes to slower degradation and greater resid</w:t>
      </w:r>
      <w:r>
        <w:t>ual values and characteristics that plausibly transform marketing pronouncements in brochure range to aggregate expense of possession. To some extent, the same rationale is behind the coherent software platform of Tesla and its high-uptime access to fast-c</w:t>
      </w:r>
      <w:r>
        <w:t>harging: the frequent over-the-air updates and dependable route planning make the perceived risk lower and charging a convenience (</w:t>
      </w:r>
      <w:proofErr w:type="spellStart"/>
      <w:r>
        <w:t>Sieklucki</w:t>
      </w:r>
      <w:proofErr w:type="spellEnd"/>
      <w:r>
        <w:t>, 2021). Compounding advantage is its strategic implication: with every vehicle sold, there is more information to o</w:t>
      </w:r>
      <w:r>
        <w:t>ptimise, and the firm goes further down the cost-curve. The limitation is concentration risk: any one chemistry, autonomy path or connector choice may turn into a liability when the frontier changes, so resilient pioneers keep a limited optionality (e.g. a</w:t>
      </w:r>
      <w:r>
        <w:t xml:space="preserve"> long-range chemistry or dual sourcing of power electronics) and still enjoy integration benefits.</w:t>
      </w:r>
    </w:p>
    <w:p w14:paraId="1AE94CDD" w14:textId="77777777" w:rsidR="00214BA7" w:rsidRDefault="00816EA6">
      <w:pPr>
        <w:pStyle w:val="Heading3"/>
        <w:spacing w:before="240" w:after="240"/>
      </w:pPr>
      <w:bookmarkStart w:id="16" w:name="_heading=h.lkccgukw7g6n" w:colFirst="0" w:colLast="0"/>
      <w:bookmarkEnd w:id="16"/>
      <w:r>
        <w:t>2.1.2 Followers: Strategy Pattern and Implications</w:t>
      </w:r>
    </w:p>
    <w:p w14:paraId="03367F26" w14:textId="77777777" w:rsidR="00214BA7" w:rsidRDefault="00816EA6">
      <w:pPr>
        <w:spacing w:before="240" w:after="240"/>
      </w:pPr>
      <w:r>
        <w:t>Followers gain by adopting proven modules, then competing on integration quality, service and eligibility transparency. The pattern starts with validated LFP or cell-to-pack systems from leading suppliers, a simplified e-axle, and immediate adoption of the</w:t>
      </w:r>
      <w:r>
        <w:t xml:space="preserve"> dominant connector and payment experience in each region. GM’s move to NACS access is emblematic: long-distance credibility improved overnight while </w:t>
      </w:r>
      <w:proofErr w:type="spellStart"/>
      <w:r>
        <w:t>Ultium</w:t>
      </w:r>
      <w:proofErr w:type="spellEnd"/>
      <w:r>
        <w:t xml:space="preserve"> capacity scaled. In value-oriented markets, Tata Motors has leveraged LFP economics and local integ</w:t>
      </w:r>
      <w:r>
        <w:t xml:space="preserve">ration to deliver urban-range propositions at accessible prices, aligning </w:t>
      </w:r>
      <w:r>
        <w:lastRenderedPageBreak/>
        <w:t>with domestic charging density and incentive design (Li et al., 2024). Also, Tata Motors identified the importance to enhance its product portfolio by integrating more innovation, de</w:t>
      </w:r>
      <w:r>
        <w:t>sign, and technology. They aimed to develop vehicles that not only met customer expectations  but  also incorporated  sustainable  and environmentally  friendly features.</w:t>
      </w:r>
    </w:p>
    <w:p w14:paraId="5CB88582" w14:textId="77777777" w:rsidR="00214BA7" w:rsidRDefault="00816EA6">
      <w:pPr>
        <w:keepNext/>
        <w:pBdr>
          <w:top w:val="nil"/>
          <w:left w:val="nil"/>
          <w:bottom w:val="nil"/>
          <w:right w:val="nil"/>
          <w:between w:val="nil"/>
        </w:pBdr>
        <w:spacing w:before="240" w:after="240"/>
        <w:rPr>
          <w:i/>
          <w:iCs/>
          <w:color w:val="0E2841"/>
        </w:rPr>
      </w:pPr>
      <w:r>
        <w:rPr>
          <w:i/>
          <w:iCs/>
          <w:color w:val="0E2841"/>
        </w:rPr>
        <w:t>Table 1: Technology Actor: Strategy–Outcome Map</w:t>
      </w:r>
    </w:p>
    <w:p w14:paraId="2DE6A89E" w14:textId="77777777" w:rsidR="00214BA7" w:rsidRDefault="00816EA6">
      <w:pPr>
        <w:spacing w:before="240" w:after="240"/>
        <w:rPr>
          <w:b/>
          <w:bCs/>
        </w:rPr>
      </w:pPr>
      <w:r>
        <w:rPr>
          <w:noProof/>
        </w:rPr>
        <w:drawing>
          <wp:inline distT="0" distB="0" distL="0" distR="0" wp14:anchorId="26379F93" wp14:editId="3EF198A1">
            <wp:extent cx="5430008" cy="2924583"/>
            <wp:effectExtent l="0" t="0" r="0" b="0"/>
            <wp:docPr id="207406154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30008" cy="2924583"/>
                    </a:xfrm>
                    <a:prstGeom prst="rect">
                      <a:avLst/>
                    </a:prstGeom>
                    <a:ln/>
                  </pic:spPr>
                </pic:pic>
              </a:graphicData>
            </a:graphic>
          </wp:inline>
        </w:drawing>
      </w:r>
    </w:p>
    <w:p w14:paraId="04DF7E75" w14:textId="77777777" w:rsidR="00214BA7" w:rsidRDefault="00816EA6">
      <w:pPr>
        <w:pStyle w:val="Heading2"/>
        <w:spacing w:before="240" w:after="240"/>
      </w:pPr>
      <w:bookmarkStart w:id="17" w:name="_heading=h.15t3dureqd6q" w:colFirst="0" w:colLast="0"/>
      <w:bookmarkEnd w:id="17"/>
      <w:r>
        <w:t>2.2 Strategic Response to the Polit</w:t>
      </w:r>
      <w:r>
        <w:t>ical Actor</w:t>
      </w:r>
    </w:p>
    <w:p w14:paraId="0D0305CE" w14:textId="77777777" w:rsidR="00214BA7" w:rsidRDefault="00816EA6">
      <w:pPr>
        <w:pStyle w:val="Heading3"/>
        <w:spacing w:before="240" w:after="240"/>
      </w:pPr>
      <w:bookmarkStart w:id="18" w:name="_heading=h.jbk4dpl4iqs9" w:colFirst="0" w:colLast="0"/>
      <w:bookmarkEnd w:id="18"/>
      <w:r>
        <w:t>2.2.1 Pioneers: Strategy Pattern and Implications</w:t>
      </w:r>
    </w:p>
    <w:p w14:paraId="48026542" w14:textId="77777777" w:rsidR="00214BA7" w:rsidRDefault="00816EA6">
      <w:pPr>
        <w:spacing w:before="240" w:after="240"/>
      </w:pPr>
      <w:r>
        <w:t>Effective pioneers treat policy as a first-order design variable. The pattern is early localisation of cells, modules and packs in major demand regions; pre-qualification for consumer credits and</w:t>
      </w:r>
      <w:r>
        <w:t xml:space="preserve"> public procurement; and alignment of charging operations with interoperability funding. Tesla’s US and EU siting preserved eligibility as rules tightened, while opening Supercharger access secured a reputational lift as public programmes favoured reliable</w:t>
      </w:r>
      <w:r>
        <w:t>, open networks. BYD’s regionalisation- Thailand assembly, European battery plans which hides tariff exposure and helps create the rules of origin make policy conformity into pricing headspace and more model-smoothing cadence. The risk is policy whiplash a</w:t>
      </w:r>
      <w:r>
        <w:t xml:space="preserve">nd rates: fluctuations of rates of minerals, a sharp shift in tariffs or an increase in capital costs can reprice capacity plans of companies with the most fixed commitments. Secure pioneers hedge through </w:t>
      </w:r>
      <w:r>
        <w:lastRenderedPageBreak/>
        <w:t>diversified offtakes, recycling of pilots to enhanc</w:t>
      </w:r>
      <w:r>
        <w:t>e traceability and not restricted supply choices in each trade bloc.</w:t>
      </w:r>
    </w:p>
    <w:p w14:paraId="1EF38260" w14:textId="77777777" w:rsidR="00214BA7" w:rsidRDefault="00816EA6">
      <w:pPr>
        <w:pStyle w:val="Heading3"/>
        <w:spacing w:before="240" w:after="240"/>
      </w:pPr>
      <w:bookmarkStart w:id="19" w:name="_heading=h.6aktisr8ytaf" w:colFirst="0" w:colLast="0"/>
      <w:bookmarkEnd w:id="19"/>
      <w:r>
        <w:t>2.2.2 Followers: Strategy Pattern and Implications</w:t>
      </w:r>
    </w:p>
    <w:p w14:paraId="7EDD57D7" w14:textId="77777777" w:rsidR="00214BA7" w:rsidRDefault="00816EA6">
      <w:pPr>
        <w:spacing w:before="240" w:after="240"/>
      </w:pPr>
      <w:r>
        <w:t xml:space="preserve">The followers flourish when they schedule access to stable eligibility regulations and take advantage of state-provided infrastructure. </w:t>
      </w:r>
      <w:r>
        <w:t>Participation in IONITY provides a plausible highway-charging narrative in Europe without the need to recreate a proprietary network, in line with EU priorities of the interoperable coverage. Rapid standardisation on NACS and regional pack assembly in Nort</w:t>
      </w:r>
      <w:r>
        <w:t xml:space="preserve">h America reinstates the use of credits without constructing cell IP end-to-end. In India, the introduction of launches that have been coordinated with central and state incentives and the localization of major sub-systems has boosted the portfolio growth </w:t>
      </w:r>
      <w:r>
        <w:t>(</w:t>
      </w:r>
      <w:proofErr w:type="spellStart"/>
      <w:r>
        <w:t>Sieklucki</w:t>
      </w:r>
      <w:proofErr w:type="spellEnd"/>
      <w:r>
        <w:t>, 2021). The benefit is visible access gains and reduced compliance friction; the constraint is the clock. Ratcheting CO</w:t>
      </w:r>
      <w:r>
        <w:rPr>
          <w:rFonts w:ascii="Cambria Math" w:eastAsia="Cambria Math" w:hAnsi="Cambria Math" w:cs="Cambria Math"/>
        </w:rPr>
        <w:t>₂</w:t>
      </w:r>
      <w:r>
        <w:t xml:space="preserve"> targets and firm phase-out dates compress development windows, while suppliers often prioritise incumbents with long-dated c</w:t>
      </w:r>
      <w:r>
        <w:t>ontracts. Followers therefore require anchor cell agreements, simple platforms that certify quickly, and communications that tie eligibility and charging access to clear ownership value.</w:t>
      </w:r>
    </w:p>
    <w:p w14:paraId="0C7FD170" w14:textId="77777777" w:rsidR="00214BA7" w:rsidRDefault="00816EA6">
      <w:pPr>
        <w:keepNext/>
        <w:pBdr>
          <w:top w:val="nil"/>
          <w:left w:val="nil"/>
          <w:bottom w:val="nil"/>
          <w:right w:val="nil"/>
          <w:between w:val="nil"/>
        </w:pBdr>
        <w:spacing w:before="240" w:after="240"/>
        <w:rPr>
          <w:i/>
          <w:iCs/>
          <w:color w:val="0E2841"/>
        </w:rPr>
      </w:pPr>
      <w:r>
        <w:rPr>
          <w:i/>
          <w:iCs/>
          <w:color w:val="0E2841"/>
        </w:rPr>
        <w:t>Table 2: Policy Actor - Go-to-Market Alignment by Region</w:t>
      </w:r>
    </w:p>
    <w:p w14:paraId="1E9272C2" w14:textId="77777777" w:rsidR="00214BA7" w:rsidRDefault="00816EA6">
      <w:pPr>
        <w:spacing w:before="240" w:after="240"/>
      </w:pPr>
      <w:r>
        <w:rPr>
          <w:noProof/>
        </w:rPr>
        <w:drawing>
          <wp:inline distT="0" distB="0" distL="0" distR="0" wp14:anchorId="5579243D" wp14:editId="23702A81">
            <wp:extent cx="5615719" cy="3238695"/>
            <wp:effectExtent l="0" t="0" r="0" b="0"/>
            <wp:docPr id="207406154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615719" cy="3238695"/>
                    </a:xfrm>
                    <a:prstGeom prst="rect">
                      <a:avLst/>
                    </a:prstGeom>
                    <a:ln/>
                  </pic:spPr>
                </pic:pic>
              </a:graphicData>
            </a:graphic>
          </wp:inline>
        </w:drawing>
      </w:r>
    </w:p>
    <w:p w14:paraId="73493160" w14:textId="77777777" w:rsidR="00214BA7" w:rsidRDefault="00816EA6">
      <w:pPr>
        <w:pStyle w:val="Heading2"/>
        <w:spacing w:before="240" w:after="240"/>
      </w:pPr>
      <w:bookmarkStart w:id="20" w:name="_heading=h.d7ab9vn7c0pb" w:colFirst="0" w:colLast="0"/>
      <w:bookmarkEnd w:id="20"/>
      <w:r>
        <w:lastRenderedPageBreak/>
        <w:t>2.3 Cross-Factor Synthesis: When Strategies Win or Fail</w:t>
      </w:r>
    </w:p>
    <w:p w14:paraId="59F812DB" w14:textId="77777777" w:rsidR="00214BA7" w:rsidRDefault="00816EA6">
      <w:pPr>
        <w:spacing w:before="240" w:after="240"/>
      </w:pPr>
      <w:r>
        <w:t>Strategies win when technology and policy reinforce each other. An LFP, cell-to-pack path dovetails with traceability goals and cost discipli</w:t>
      </w:r>
      <w:r>
        <w:t>ne; regional pack assembly then converts that path into consumer eligibility and logistical resilience; access to dominant charging networks closes anxiety gaps and supports consistent messaging (Kukoc-</w:t>
      </w:r>
      <w:proofErr w:type="spellStart"/>
      <w:r>
        <w:t>Modun</w:t>
      </w:r>
      <w:proofErr w:type="spellEnd"/>
      <w:r>
        <w:t xml:space="preserve"> et al., 2024). The same configuration fails if i</w:t>
      </w:r>
      <w:r>
        <w:t>ntegration quality is weak, if a firm is locked out of credits by origin or mineral thresholds, or if charging reliability lags public claims. Pioneers stumble when hardwired bets (chemistry, autonomy, connector) become misaligned with new standards. Follo</w:t>
      </w:r>
      <w:r>
        <w:t>wers stumble when hardware parity lacks a software identity or when eligibility windows are missed and re-testing delays market entry.</w:t>
      </w:r>
    </w:p>
    <w:p w14:paraId="1CF83374" w14:textId="77777777" w:rsidR="00214BA7" w:rsidRDefault="00816EA6">
      <w:pPr>
        <w:keepNext/>
        <w:spacing w:before="240" w:after="240"/>
        <w:jc w:val="center"/>
      </w:pPr>
      <w:r>
        <w:rPr>
          <w:noProof/>
        </w:rPr>
        <w:drawing>
          <wp:inline distT="0" distB="0" distL="0" distR="0" wp14:anchorId="211B5162" wp14:editId="300DF11F">
            <wp:extent cx="4728967" cy="2825897"/>
            <wp:effectExtent l="0" t="0" r="0" b="0"/>
            <wp:docPr id="207406153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728967" cy="2825897"/>
                    </a:xfrm>
                    <a:prstGeom prst="rect">
                      <a:avLst/>
                    </a:prstGeom>
                    <a:ln/>
                  </pic:spPr>
                </pic:pic>
              </a:graphicData>
            </a:graphic>
          </wp:inline>
        </w:drawing>
      </w:r>
    </w:p>
    <w:p w14:paraId="78DA9F16" w14:textId="77777777" w:rsidR="00214BA7" w:rsidRDefault="00816EA6">
      <w:pPr>
        <w:pBdr>
          <w:top w:val="nil"/>
          <w:left w:val="nil"/>
          <w:bottom w:val="nil"/>
          <w:right w:val="nil"/>
          <w:between w:val="nil"/>
        </w:pBdr>
        <w:spacing w:after="200" w:line="240" w:lineRule="auto"/>
        <w:jc w:val="center"/>
        <w:rPr>
          <w:i/>
          <w:iCs/>
          <w:color w:val="0E2841"/>
          <w:sz w:val="18"/>
          <w:szCs w:val="18"/>
        </w:rPr>
      </w:pPr>
      <w:r>
        <w:rPr>
          <w:i/>
          <w:iCs/>
          <w:color w:val="0E2841"/>
          <w:sz w:val="18"/>
          <w:szCs w:val="18"/>
        </w:rPr>
        <w:t>Figure 3: Global market of EV industry</w:t>
      </w:r>
    </w:p>
    <w:p w14:paraId="761606CD" w14:textId="77777777" w:rsidR="00214BA7" w:rsidRDefault="00816EA6">
      <w:pPr>
        <w:jc w:val="center"/>
      </w:pPr>
      <w:r>
        <w:t>(Source: Grand View Research, 2024)</w:t>
      </w:r>
    </w:p>
    <w:p w14:paraId="460FD165" w14:textId="77777777" w:rsidR="00214BA7" w:rsidRDefault="00816EA6">
      <w:pPr>
        <w:pStyle w:val="Heading2"/>
        <w:spacing w:before="240" w:after="240"/>
      </w:pPr>
      <w:bookmarkStart w:id="21" w:name="_heading=h.tyibkwspf66n" w:colFirst="0" w:colLast="0"/>
      <w:bookmarkEnd w:id="21"/>
      <w:r>
        <w:t xml:space="preserve">2.4 Appropriateness of Marketing Strategies </w:t>
      </w:r>
    </w:p>
    <w:p w14:paraId="67E0F152" w14:textId="77777777" w:rsidR="00214BA7" w:rsidRDefault="00816EA6">
      <w:pPr>
        <w:spacing w:before="240" w:after="240"/>
      </w:pPr>
      <w:r>
        <w:t>They involve proper strategies which convert external restrictions into straightforward, verifiable assurances. In the case of pioneers, it is also relevant to focus on reliable fast charging, proven efficiency, and safety as these are the results of buil</w:t>
      </w:r>
      <w:r>
        <w:t xml:space="preserve">t-in stacks and locally-eligibility localisation. The excessive reliance on imaginary autonomy schedules or proprietary interfaces is less suitable where regulators and competitors </w:t>
      </w:r>
      <w:r>
        <w:lastRenderedPageBreak/>
        <w:t>have assumed control in other directions (Link et al., 2023). To followers,</w:t>
      </w:r>
      <w:r>
        <w:t xml:space="preserve"> requiring complete cost transparency, interoperability and reach to service is the right approach as it would overcome old obstacles to adoption and stand against incentive tapering. </w:t>
      </w:r>
    </w:p>
    <w:p w14:paraId="3B96CAA1" w14:textId="77777777" w:rsidR="00214BA7" w:rsidRDefault="00816EA6">
      <w:pPr>
        <w:pStyle w:val="Heading2"/>
        <w:spacing w:before="240" w:after="240"/>
      </w:pPr>
      <w:bookmarkStart w:id="22" w:name="_heading=h.9udf10tvr0f3" w:colFirst="0" w:colLast="0"/>
      <w:bookmarkEnd w:id="22"/>
      <w:r>
        <w:t>2.5 Risks, Leading Indicators, and Fallback Moves</w:t>
      </w:r>
    </w:p>
    <w:p w14:paraId="22E85549" w14:textId="77777777" w:rsidR="00214BA7" w:rsidRDefault="00816EA6">
      <w:pPr>
        <w:spacing w:before="240" w:after="240"/>
      </w:pPr>
      <w:r>
        <w:t>Material risks includ</w:t>
      </w:r>
      <w:r>
        <w:t>e chemistry pivots that strand pack investments, allocation shocks in cells and silicon-carbide devices, charging-network reliability dips that damage trust, and policy changes that alter credit eligibility or tariff exposure. Leading indicators worth moni</w:t>
      </w:r>
      <w:r>
        <w:t>toring are official eligibility lists and guidance updates, announced cell-plant ramps and offtake terms, charging-site uptime and queue times, and independent degradation studies (Roy et al., 2024). Pioneers’ fallback moves include dual-chemistry offering</w:t>
      </w:r>
      <w:r>
        <w:t>s in adjacent trims, transparent rollbacks and hotfixes when OTA issues arise, and cross-region capacity swaps to preserve eligibility. Followers’ fallback moves include rapid connector adoption per market, interim sourcing from validated third-party packs</w:t>
      </w:r>
      <w:r>
        <w:t xml:space="preserve"> to bridge allocation gaps, and simplified model mixes that achieve compliance with fewer variants until supply stabilises.</w:t>
      </w:r>
    </w:p>
    <w:p w14:paraId="461CA058" w14:textId="77777777" w:rsidR="00214BA7" w:rsidRDefault="00816EA6">
      <w:pPr>
        <w:pStyle w:val="Heading2"/>
        <w:spacing w:before="240" w:after="240"/>
      </w:pPr>
      <w:bookmarkStart w:id="23" w:name="_heading=h.oqlkwmetsmk" w:colFirst="0" w:colLast="0"/>
      <w:bookmarkEnd w:id="23"/>
      <w:r>
        <w:t>2.6 What Sustains Competitiveness</w:t>
      </w:r>
    </w:p>
    <w:p w14:paraId="53402D1B" w14:textId="77777777" w:rsidR="00214BA7" w:rsidRDefault="00816EA6">
      <w:pPr>
        <w:spacing w:before="240" w:after="240"/>
      </w:pPr>
      <w:r>
        <w:t>Constant competitiveness comes about when companies would view technology and policy as a single d</w:t>
      </w:r>
      <w:r>
        <w:t>esign issue and transform that integration into credible, repeatable customer value. Early adopters that maintain coherent software, dependable quick charging and regionalised battery provision adjusted learning inclinations into confidence and distance (W</w:t>
      </w:r>
      <w:r>
        <w:t>ang et al., 2023). The followers who time are converted to regular convergence, stable local supply and develop a unique software and service identity avoid commodity pricing. Benefit survives in both instances where assurances are based upon confirmed eff</w:t>
      </w:r>
      <w:r>
        <w:t>iciency, safety and power reliability and portfolios contain sufficient optionality to accommodate tariff alterations and rate cycles, which will mark the next stage of EV rivalry.</w:t>
      </w:r>
      <w:r>
        <w:br w:type="page"/>
      </w:r>
    </w:p>
    <w:p w14:paraId="600F362E" w14:textId="77777777" w:rsidR="00214BA7" w:rsidRDefault="00816EA6">
      <w:pPr>
        <w:pStyle w:val="Heading1"/>
        <w:spacing w:before="240" w:after="240"/>
      </w:pPr>
      <w:bookmarkStart w:id="24" w:name="_heading=h.lex6uyeat1y0" w:colFirst="0" w:colLast="0"/>
      <w:bookmarkEnd w:id="24"/>
      <w:r>
        <w:lastRenderedPageBreak/>
        <w:t>Reference List</w:t>
      </w:r>
    </w:p>
    <w:p w14:paraId="429E6697" w14:textId="77777777" w:rsidR="00214BA7" w:rsidRDefault="00816EA6">
      <w:pPr>
        <w:spacing w:before="240" w:after="240"/>
        <w:rPr>
          <w:b/>
          <w:bCs/>
          <w:u w:val="single"/>
        </w:rPr>
      </w:pPr>
      <w:r>
        <w:rPr>
          <w:b/>
          <w:bCs/>
          <w:u w:val="single"/>
        </w:rPr>
        <w:t>Journal Articles</w:t>
      </w:r>
    </w:p>
    <w:p w14:paraId="51D28D90" w14:textId="77777777" w:rsidR="00214BA7" w:rsidRDefault="00816EA6">
      <w:pPr>
        <w:spacing w:before="240" w:after="240"/>
      </w:pPr>
      <w:proofErr w:type="spellStart"/>
      <w:r>
        <w:t>Győrffy</w:t>
      </w:r>
      <w:proofErr w:type="spellEnd"/>
      <w:r>
        <w:t>, D., (2024). Liberal and illiberal industrial policy in the EU: the political economy of building the EV battery value chain in Sweden and Hungary. </w:t>
      </w:r>
      <w:r>
        <w:rPr>
          <w:i/>
          <w:iCs/>
        </w:rPr>
        <w:t>Comparative European Politics</w:t>
      </w:r>
      <w:r>
        <w:t>, </w:t>
      </w:r>
      <w:r>
        <w:rPr>
          <w:i/>
          <w:iCs/>
        </w:rPr>
        <w:t>22</w:t>
      </w:r>
      <w:r>
        <w:t xml:space="preserve">(5), pp.574-593. </w:t>
      </w:r>
      <w:hyperlink r:id="rId13">
        <w:r>
          <w:rPr>
            <w:color w:val="467886"/>
            <w:u w:val="single"/>
          </w:rPr>
          <w:t>https://link.springer.com/content/pdf/10.1057/s41295-023-00374-0.pdf</w:t>
        </w:r>
      </w:hyperlink>
    </w:p>
    <w:p w14:paraId="158DBDEF" w14:textId="77777777" w:rsidR="00214BA7" w:rsidRDefault="00816EA6">
      <w:pPr>
        <w:spacing w:before="240" w:after="240"/>
      </w:pPr>
      <w:proofErr w:type="spellStart"/>
      <w:r>
        <w:t>Kampker</w:t>
      </w:r>
      <w:proofErr w:type="spellEnd"/>
      <w:r>
        <w:t xml:space="preserve">, A., </w:t>
      </w:r>
      <w:proofErr w:type="spellStart"/>
      <w:r>
        <w:t>Heimes</w:t>
      </w:r>
      <w:proofErr w:type="spellEnd"/>
      <w:r>
        <w:t xml:space="preserve">, H.H., </w:t>
      </w:r>
      <w:proofErr w:type="spellStart"/>
      <w:r>
        <w:t>Offermanns</w:t>
      </w:r>
      <w:proofErr w:type="spellEnd"/>
      <w:r>
        <w:t xml:space="preserve">, C., </w:t>
      </w:r>
      <w:proofErr w:type="spellStart"/>
      <w:r>
        <w:t>Vienenkötter</w:t>
      </w:r>
      <w:proofErr w:type="spellEnd"/>
      <w:r>
        <w:t>, J. and Robben, T., (2023). Framework and classification of battery system architectures. </w:t>
      </w:r>
      <w:r>
        <w:rPr>
          <w:i/>
          <w:iCs/>
        </w:rPr>
        <w:t>Wor</w:t>
      </w:r>
      <w:r>
        <w:rPr>
          <w:i/>
          <w:iCs/>
        </w:rPr>
        <w:t>ld Electric Vehicle Journal</w:t>
      </w:r>
      <w:r>
        <w:t>, </w:t>
      </w:r>
      <w:r>
        <w:rPr>
          <w:i/>
          <w:iCs/>
        </w:rPr>
        <w:t>14</w:t>
      </w:r>
      <w:r>
        <w:t>(4), p.88.</w:t>
      </w:r>
      <w:r>
        <w:rPr>
          <w:color w:val="222222"/>
          <w:sz w:val="20"/>
          <w:szCs w:val="20"/>
          <w:highlight w:val="white"/>
        </w:rPr>
        <w:t xml:space="preserve"> </w:t>
      </w:r>
      <w:proofErr w:type="spellStart"/>
      <w:r>
        <w:t>Kampker</w:t>
      </w:r>
      <w:proofErr w:type="spellEnd"/>
      <w:r>
        <w:t xml:space="preserve">, A., </w:t>
      </w:r>
      <w:proofErr w:type="spellStart"/>
      <w:r>
        <w:t>Heimes</w:t>
      </w:r>
      <w:proofErr w:type="spellEnd"/>
      <w:r>
        <w:t xml:space="preserve">, H.H., </w:t>
      </w:r>
      <w:proofErr w:type="spellStart"/>
      <w:r>
        <w:t>Offermanns</w:t>
      </w:r>
      <w:proofErr w:type="spellEnd"/>
      <w:r>
        <w:t xml:space="preserve">, C., </w:t>
      </w:r>
      <w:proofErr w:type="spellStart"/>
      <w:r>
        <w:t>Vienenkötter</w:t>
      </w:r>
      <w:proofErr w:type="spellEnd"/>
      <w:r>
        <w:t xml:space="preserve">, J. and Robben, T., 2023. </w:t>
      </w:r>
      <w:hyperlink r:id="rId14">
        <w:r>
          <w:rPr>
            <w:color w:val="467886"/>
            <w:u w:val="single"/>
          </w:rPr>
          <w:t>https://www.mdpi.com/2032-6653/14/4/88</w:t>
        </w:r>
      </w:hyperlink>
      <w:r>
        <w:t xml:space="preserve"> </w:t>
      </w:r>
    </w:p>
    <w:p w14:paraId="79BC2D86" w14:textId="77777777" w:rsidR="00214BA7" w:rsidRDefault="00816EA6">
      <w:pPr>
        <w:spacing w:before="240" w:after="240"/>
      </w:pPr>
      <w:r>
        <w:t>Kukoc-</w:t>
      </w:r>
      <w:proofErr w:type="spellStart"/>
      <w:r>
        <w:t>Modun</w:t>
      </w:r>
      <w:proofErr w:type="spellEnd"/>
      <w:r>
        <w:t xml:space="preserve">, L., </w:t>
      </w:r>
      <w:proofErr w:type="spellStart"/>
      <w:r>
        <w:t>Kraljevic</w:t>
      </w:r>
      <w:proofErr w:type="spellEnd"/>
      <w:r>
        <w:t xml:space="preserve">, T., </w:t>
      </w:r>
      <w:proofErr w:type="spellStart"/>
      <w:r>
        <w:t>Ts</w:t>
      </w:r>
      <w:r>
        <w:t>ikas</w:t>
      </w:r>
      <w:proofErr w:type="spellEnd"/>
      <w:r>
        <w:t xml:space="preserve">, D., </w:t>
      </w:r>
      <w:proofErr w:type="spellStart"/>
      <w:r>
        <w:t>Spassov</w:t>
      </w:r>
      <w:proofErr w:type="spellEnd"/>
      <w:r>
        <w:t>, T.G. and Kolev, S.D., (2024). Determination of N-Acetyl-L-cysteine Ethyl Ester (NACET) by sequential injection analysis. </w:t>
      </w:r>
      <w:r>
        <w:rPr>
          <w:i/>
          <w:iCs/>
        </w:rPr>
        <w:t>Sensors</w:t>
      </w:r>
      <w:r>
        <w:t>, </w:t>
      </w:r>
      <w:r>
        <w:rPr>
          <w:i/>
          <w:iCs/>
        </w:rPr>
        <w:t>24</w:t>
      </w:r>
      <w:r>
        <w:t xml:space="preserve">(2), p.312. </w:t>
      </w:r>
      <w:hyperlink r:id="rId15">
        <w:r>
          <w:rPr>
            <w:color w:val="467886"/>
            <w:u w:val="single"/>
          </w:rPr>
          <w:t>https://www.mdpi.com/1424-8220/24/</w:t>
        </w:r>
        <w:r>
          <w:rPr>
            <w:color w:val="467886"/>
            <w:u w:val="single"/>
          </w:rPr>
          <w:t>2/312</w:t>
        </w:r>
      </w:hyperlink>
    </w:p>
    <w:p w14:paraId="432B5442" w14:textId="77777777" w:rsidR="00214BA7" w:rsidRDefault="00816EA6">
      <w:pPr>
        <w:spacing w:before="240" w:after="240"/>
      </w:pPr>
      <w:r>
        <w:t>Li, B., Hu, W., Da, L., Wu, Y., Wang, X., Li, Y. and Yuan, C., (2024). Over-the-air upgrading for enhancing security of intelligent connected vehicles: a survey. </w:t>
      </w:r>
      <w:r>
        <w:rPr>
          <w:i/>
          <w:iCs/>
        </w:rPr>
        <w:t>Artificial Intelligence Review</w:t>
      </w:r>
      <w:r>
        <w:t>, </w:t>
      </w:r>
      <w:r>
        <w:rPr>
          <w:i/>
          <w:iCs/>
        </w:rPr>
        <w:t>57</w:t>
      </w:r>
      <w:r>
        <w:t xml:space="preserve">(11), p.314. </w:t>
      </w:r>
      <w:hyperlink r:id="rId16">
        <w:r>
          <w:rPr>
            <w:color w:val="467886"/>
            <w:u w:val="single"/>
          </w:rPr>
          <w:t>https://link.springer.com/content/pdf/10.1007/s10462-024-10968-z.pdf</w:t>
        </w:r>
      </w:hyperlink>
    </w:p>
    <w:p w14:paraId="704C3513" w14:textId="77777777" w:rsidR="00214BA7" w:rsidRDefault="00816EA6">
      <w:pPr>
        <w:spacing w:before="240" w:after="240"/>
      </w:pPr>
      <w:r>
        <w:t xml:space="preserve">Link, S., </w:t>
      </w:r>
      <w:proofErr w:type="spellStart"/>
      <w:r>
        <w:t>Neef</w:t>
      </w:r>
      <w:proofErr w:type="spellEnd"/>
      <w:r>
        <w:t xml:space="preserve">, C. and </w:t>
      </w:r>
      <w:proofErr w:type="spellStart"/>
      <w:r>
        <w:t>Wicke</w:t>
      </w:r>
      <w:proofErr w:type="spellEnd"/>
      <w:r>
        <w:t>, T., (2023). Trends in automotive battery cell design: a statistical analysis of empirical data. </w:t>
      </w:r>
      <w:r>
        <w:rPr>
          <w:i/>
          <w:iCs/>
        </w:rPr>
        <w:t>Batteries</w:t>
      </w:r>
      <w:r>
        <w:t>, </w:t>
      </w:r>
      <w:r>
        <w:rPr>
          <w:i/>
          <w:iCs/>
        </w:rPr>
        <w:t>9</w:t>
      </w:r>
      <w:r>
        <w:t>(5</w:t>
      </w:r>
      <w:r>
        <w:t xml:space="preserve">), p.261. </w:t>
      </w:r>
      <w:hyperlink r:id="rId17">
        <w:r>
          <w:rPr>
            <w:color w:val="467886"/>
            <w:u w:val="single"/>
          </w:rPr>
          <w:t>https://www.mdpi.com/2313-0105/9/5/261</w:t>
        </w:r>
      </w:hyperlink>
    </w:p>
    <w:p w14:paraId="369D1695" w14:textId="77777777" w:rsidR="00214BA7" w:rsidRDefault="00816EA6">
      <w:pPr>
        <w:spacing w:before="240" w:after="240"/>
      </w:pPr>
      <w:proofErr w:type="spellStart"/>
      <w:r>
        <w:t>Polat</w:t>
      </w:r>
      <w:proofErr w:type="spellEnd"/>
      <w:r>
        <w:t xml:space="preserve">, H., </w:t>
      </w:r>
      <w:proofErr w:type="spellStart"/>
      <w:r>
        <w:t>Hosseinabadi</w:t>
      </w:r>
      <w:proofErr w:type="spellEnd"/>
      <w:r>
        <w:t xml:space="preserve">, F., Hasan, M.M., Chakraborty, S., </w:t>
      </w:r>
      <w:proofErr w:type="spellStart"/>
      <w:r>
        <w:t>Geury</w:t>
      </w:r>
      <w:proofErr w:type="spellEnd"/>
      <w:r>
        <w:t xml:space="preserve">, T., El Baghdadi, M., Wilkins, S. and </w:t>
      </w:r>
      <w:proofErr w:type="spellStart"/>
      <w:r>
        <w:t>Hegazy</w:t>
      </w:r>
      <w:proofErr w:type="spellEnd"/>
      <w:r>
        <w:t>, O., (2023). A review of DC fast charge</w:t>
      </w:r>
      <w:r>
        <w:t>rs with BESS for electric vehicles: Topology, battery, reliability-oriented control and cooling perspectives. </w:t>
      </w:r>
      <w:r>
        <w:rPr>
          <w:i/>
          <w:iCs/>
        </w:rPr>
        <w:t>Batteries</w:t>
      </w:r>
      <w:r>
        <w:t>, </w:t>
      </w:r>
      <w:r>
        <w:rPr>
          <w:i/>
          <w:iCs/>
        </w:rPr>
        <w:t>9</w:t>
      </w:r>
      <w:r>
        <w:t xml:space="preserve">(2), p.121. </w:t>
      </w:r>
      <w:hyperlink r:id="rId18">
        <w:r>
          <w:rPr>
            <w:color w:val="467886"/>
            <w:u w:val="single"/>
          </w:rPr>
          <w:t>https://www.mdpi.com/2313-0105/9/2/121</w:t>
        </w:r>
      </w:hyperlink>
    </w:p>
    <w:p w14:paraId="4378358F" w14:textId="77777777" w:rsidR="00214BA7" w:rsidRDefault="00816EA6">
      <w:pPr>
        <w:spacing w:before="240" w:after="240"/>
      </w:pPr>
      <w:r>
        <w:t xml:space="preserve">Roy, J.J., Phuong, D.M., </w:t>
      </w:r>
      <w:r>
        <w:t xml:space="preserve">Verma, V., Chaudhary, R., </w:t>
      </w:r>
      <w:proofErr w:type="spellStart"/>
      <w:r>
        <w:t>Carboni</w:t>
      </w:r>
      <w:proofErr w:type="spellEnd"/>
      <w:r>
        <w:t>, M., Meyer, D., Cao, B. and Srinivasan, M., (2024). Direct recycling of Li</w:t>
      </w:r>
      <w:r>
        <w:rPr>
          <w:rFonts w:ascii="Cambria Math" w:eastAsia="Cambria Math" w:hAnsi="Cambria Math" w:cs="Cambria Math"/>
        </w:rPr>
        <w:t>‐</w:t>
      </w:r>
      <w:r>
        <w:t>ion batteries from cell to pack level: Challenges and prospects on technology, scalability, sustainability, and economics. </w:t>
      </w:r>
      <w:r>
        <w:rPr>
          <w:i/>
          <w:iCs/>
        </w:rPr>
        <w:t>Carbon Energy</w:t>
      </w:r>
      <w:r>
        <w:t>, </w:t>
      </w:r>
      <w:r>
        <w:rPr>
          <w:i/>
          <w:iCs/>
        </w:rPr>
        <w:t>6</w:t>
      </w:r>
      <w:r>
        <w:t>(6), p.e</w:t>
      </w:r>
      <w:r>
        <w:t xml:space="preserve">492. </w:t>
      </w:r>
      <w:hyperlink r:id="rId19">
        <w:r>
          <w:rPr>
            <w:color w:val="467886"/>
            <w:u w:val="single"/>
          </w:rPr>
          <w:t>https://scholar.google.com/scholar?output=instlink&amp;q=info:Z2IlyNJGsZcJ:scholar.google.com/&amp;hl=en&amp;as_sdt=0,5&amp;as_ylo=2021&amp;scillfp=17829676737619042700&amp;oi=lle</w:t>
        </w:r>
      </w:hyperlink>
    </w:p>
    <w:p w14:paraId="75AB8A35" w14:textId="77777777" w:rsidR="00214BA7" w:rsidRDefault="00816EA6">
      <w:pPr>
        <w:spacing w:before="240" w:after="240"/>
      </w:pPr>
      <w:proofErr w:type="spellStart"/>
      <w:r>
        <w:t>Ryghaug</w:t>
      </w:r>
      <w:proofErr w:type="spellEnd"/>
      <w:r>
        <w:t xml:space="preserve">, M. and </w:t>
      </w:r>
      <w:proofErr w:type="spellStart"/>
      <w:r>
        <w:t>Skjølsvold</w:t>
      </w:r>
      <w:proofErr w:type="spellEnd"/>
      <w:r>
        <w:t xml:space="preserve">, T.M., (2023). How policies and actor strategies affect electric vehicle </w:t>
      </w:r>
      <w:r>
        <w:t>diffusion and wider sustainability transitions. </w:t>
      </w:r>
      <w:r>
        <w:rPr>
          <w:i/>
          <w:iCs/>
        </w:rPr>
        <w:t>Proceedings of the National Academy of Sciences</w:t>
      </w:r>
      <w:r>
        <w:t>, </w:t>
      </w:r>
      <w:r>
        <w:rPr>
          <w:i/>
          <w:iCs/>
        </w:rPr>
        <w:t>120</w:t>
      </w:r>
      <w:r>
        <w:t xml:space="preserve">(47), p.e2207888119. </w:t>
      </w:r>
      <w:hyperlink r:id="rId20">
        <w:r>
          <w:rPr>
            <w:color w:val="467886"/>
            <w:u w:val="single"/>
          </w:rPr>
          <w:t>https://scholar.google.com/scholar?output=instlink&amp;q=info:R2a-BIqkv7sJ:scholar.google.com/&amp;hl=en&amp;as_sdt=0,5&amp;scillfp=1195682535086915567&amp;oi=lle</w:t>
        </w:r>
      </w:hyperlink>
    </w:p>
    <w:p w14:paraId="50E21C99" w14:textId="77777777" w:rsidR="00214BA7" w:rsidRDefault="00816EA6">
      <w:pPr>
        <w:spacing w:before="240" w:after="240"/>
      </w:pPr>
      <w:r>
        <w:t>Sheldon, T.L., (2022). Evaluating electric vehicle policy effectiveness and equity. </w:t>
      </w:r>
      <w:r>
        <w:rPr>
          <w:i/>
          <w:iCs/>
        </w:rPr>
        <w:t>An</w:t>
      </w:r>
      <w:r>
        <w:rPr>
          <w:i/>
          <w:iCs/>
        </w:rPr>
        <w:t>nual Review of Resource Economics</w:t>
      </w:r>
      <w:r>
        <w:t>, </w:t>
      </w:r>
      <w:r>
        <w:rPr>
          <w:i/>
          <w:iCs/>
        </w:rPr>
        <w:t>14</w:t>
      </w:r>
      <w:r>
        <w:t>, pp.669-688.</w:t>
      </w:r>
      <w:r>
        <w:rPr>
          <w:color w:val="222222"/>
          <w:sz w:val="20"/>
          <w:szCs w:val="20"/>
          <w:highlight w:val="white"/>
        </w:rPr>
        <w:t xml:space="preserve"> </w:t>
      </w:r>
      <w:r>
        <w:t xml:space="preserve">Sheldon, T.L., 2022. </w:t>
      </w:r>
      <w:hyperlink r:id="rId21">
        <w:r>
          <w:rPr>
            <w:color w:val="467886"/>
            <w:u w:val="single"/>
          </w:rPr>
          <w:t>https://sc.edu/study/colleges_schools/moore/research_and_centers/centers/sc_epic/documents/environmental_policy_and_sustainability/evaluating_electric_vehicle_policy_effectiveness.pdf</w:t>
        </w:r>
      </w:hyperlink>
    </w:p>
    <w:p w14:paraId="0D6FF17A" w14:textId="77777777" w:rsidR="00214BA7" w:rsidRDefault="00816EA6">
      <w:pPr>
        <w:spacing w:before="240" w:after="240"/>
      </w:pPr>
      <w:proofErr w:type="spellStart"/>
      <w:r>
        <w:t>Sieklucki</w:t>
      </w:r>
      <w:proofErr w:type="spellEnd"/>
      <w:r>
        <w:t xml:space="preserve">, G., (2021). Optimization of Powertrain in </w:t>
      </w:r>
      <w:r>
        <w:t>EV. </w:t>
      </w:r>
      <w:r>
        <w:rPr>
          <w:i/>
          <w:iCs/>
        </w:rPr>
        <w:t>Energies</w:t>
      </w:r>
      <w:r>
        <w:t>, </w:t>
      </w:r>
      <w:r>
        <w:rPr>
          <w:i/>
          <w:iCs/>
        </w:rPr>
        <w:t>14</w:t>
      </w:r>
      <w:r>
        <w:t xml:space="preserve">(3), p.725. </w:t>
      </w:r>
      <w:hyperlink r:id="rId22">
        <w:r>
          <w:rPr>
            <w:color w:val="467886"/>
            <w:u w:val="single"/>
          </w:rPr>
          <w:t>https://www.mdpi.com/1996-1073/14/3/725</w:t>
        </w:r>
      </w:hyperlink>
    </w:p>
    <w:p w14:paraId="1A8F8B45" w14:textId="77777777" w:rsidR="00214BA7" w:rsidRDefault="00816EA6">
      <w:pPr>
        <w:spacing w:before="240" w:after="240"/>
      </w:pPr>
      <w:proofErr w:type="spellStart"/>
      <w:r>
        <w:t>Sieklucki</w:t>
      </w:r>
      <w:proofErr w:type="spellEnd"/>
      <w:r>
        <w:t>, G., (2021). Tesla as a Global Competitor: Strategic Control in the EV Transition. </w:t>
      </w:r>
      <w:r>
        <w:rPr>
          <w:i/>
          <w:iCs/>
        </w:rPr>
        <w:t xml:space="preserve">Institute for New Economic Thinking </w:t>
      </w:r>
      <w:r>
        <w:rPr>
          <w:i/>
          <w:iCs/>
        </w:rPr>
        <w:t>Working Paper Series</w:t>
      </w:r>
      <w:r>
        <w:t xml:space="preserve">, (225). </w:t>
      </w:r>
      <w:hyperlink r:id="rId23">
        <w:r>
          <w:rPr>
            <w:color w:val="467886"/>
            <w:u w:val="single"/>
          </w:rPr>
          <w:t>https://papers.ssrn.com/sol3/Delivery.cfm?abstractid=4973602</w:t>
        </w:r>
      </w:hyperlink>
    </w:p>
    <w:p w14:paraId="0FDEA784" w14:textId="77777777" w:rsidR="00214BA7" w:rsidRDefault="00816EA6">
      <w:pPr>
        <w:spacing w:before="240" w:after="240"/>
      </w:pPr>
      <w:r>
        <w:t xml:space="preserve">Wang, H., Wang, Q., Zhao, Z., </w:t>
      </w:r>
      <w:proofErr w:type="spellStart"/>
      <w:r>
        <w:t>Jin</w:t>
      </w:r>
      <w:proofErr w:type="spellEnd"/>
      <w:r>
        <w:t xml:space="preserve">, C., Xu, C., Huang, W., Yuan, Z., Wang, S., Li, Y., </w:t>
      </w:r>
      <w:r>
        <w:t xml:space="preserve">Zhao, Y. and Sun, J., (2023). Thermal runaway propagation </w:t>
      </w:r>
      <w:proofErr w:type="spellStart"/>
      <w:r>
        <w:t>behavior</w:t>
      </w:r>
      <w:proofErr w:type="spellEnd"/>
      <w:r>
        <w:t xml:space="preserve"> of the Cell-to-Pack battery system. </w:t>
      </w:r>
      <w:r>
        <w:rPr>
          <w:i/>
          <w:iCs/>
        </w:rPr>
        <w:t>Journal of Energy Chemistry</w:t>
      </w:r>
      <w:r>
        <w:t>, </w:t>
      </w:r>
      <w:r>
        <w:rPr>
          <w:i/>
          <w:iCs/>
        </w:rPr>
        <w:t>84</w:t>
      </w:r>
      <w:r>
        <w:t xml:space="preserve">, pp.162-172. </w:t>
      </w:r>
      <w:hyperlink r:id="rId24">
        <w:r>
          <w:rPr>
            <w:color w:val="467886"/>
            <w:u w:val="single"/>
          </w:rPr>
          <w:t>https://papers.ssrn.com/sol3</w:t>
        </w:r>
        <w:r>
          <w:rPr>
            <w:color w:val="467886"/>
            <w:u w:val="single"/>
          </w:rPr>
          <w:t>/Delivery.cfm?abstractid=4336582</w:t>
        </w:r>
      </w:hyperlink>
    </w:p>
    <w:p w14:paraId="6BCD376F" w14:textId="77777777" w:rsidR="00214BA7" w:rsidRDefault="00816EA6">
      <w:pPr>
        <w:spacing w:before="240" w:after="240"/>
      </w:pPr>
      <w:proofErr w:type="spellStart"/>
      <w:r>
        <w:t>Zaino</w:t>
      </w:r>
      <w:proofErr w:type="spellEnd"/>
      <w:r>
        <w:t xml:space="preserve">, R., Ahmed, V., </w:t>
      </w:r>
      <w:proofErr w:type="spellStart"/>
      <w:r>
        <w:t>Alhammadi</w:t>
      </w:r>
      <w:proofErr w:type="spellEnd"/>
      <w:r>
        <w:t xml:space="preserve">, A.M. and </w:t>
      </w:r>
      <w:proofErr w:type="spellStart"/>
      <w:r>
        <w:t>Alghoush</w:t>
      </w:r>
      <w:proofErr w:type="spellEnd"/>
      <w:r>
        <w:t>, M., (2024). Electric vehicle adoption: A comprehensive systematic review of technological, environmental, organizational and policy impacts. </w:t>
      </w:r>
      <w:r>
        <w:rPr>
          <w:i/>
          <w:iCs/>
        </w:rPr>
        <w:t>World electric vehicle journal</w:t>
      </w:r>
      <w:r>
        <w:t>, </w:t>
      </w:r>
      <w:r>
        <w:rPr>
          <w:i/>
          <w:iCs/>
        </w:rPr>
        <w:t>15</w:t>
      </w:r>
      <w:r>
        <w:t xml:space="preserve">(8), p.375. </w:t>
      </w:r>
      <w:hyperlink r:id="rId25">
        <w:r>
          <w:rPr>
            <w:color w:val="467886"/>
            <w:u w:val="single"/>
          </w:rPr>
          <w:t>https://www.mdpi.com/2032-6653/15/8/375</w:t>
        </w:r>
      </w:hyperlink>
    </w:p>
    <w:p w14:paraId="3AD49E47" w14:textId="77777777" w:rsidR="00214BA7" w:rsidRDefault="00816EA6">
      <w:pPr>
        <w:spacing w:before="240" w:after="240"/>
        <w:rPr>
          <w:b/>
          <w:bCs/>
          <w:u w:val="single"/>
        </w:rPr>
      </w:pPr>
      <w:r>
        <w:rPr>
          <w:b/>
          <w:bCs/>
          <w:u w:val="single"/>
        </w:rPr>
        <w:t>Website Reference</w:t>
      </w:r>
    </w:p>
    <w:p w14:paraId="09C8D480" w14:textId="77777777" w:rsidR="00214BA7" w:rsidRDefault="00816EA6">
      <w:pPr>
        <w:spacing w:before="240" w:after="240"/>
      </w:pPr>
      <w:r>
        <w:lastRenderedPageBreak/>
        <w:t xml:space="preserve">Grand View Research (2024). </w:t>
      </w:r>
      <w:r>
        <w:rPr>
          <w:i/>
          <w:iCs/>
        </w:rPr>
        <w:t>EV Market Size &amp; Share | Global Electric Vehicles Industry Report, 2020</w:t>
      </w:r>
      <w:r>
        <w:t>. [online] Grandviewrese</w:t>
      </w:r>
      <w:r>
        <w:t xml:space="preserve">arch.com. Available at: </w:t>
      </w:r>
      <w:hyperlink r:id="rId26">
        <w:r>
          <w:rPr>
            <w:color w:val="467886"/>
            <w:u w:val="single"/>
          </w:rPr>
          <w:t>https://www.grandviewresearch.com/industry-analysis/electric-vehicles-ev-market</w:t>
        </w:r>
      </w:hyperlink>
      <w:r>
        <w:t>.</w:t>
      </w:r>
      <w:r>
        <w:br w:type="page"/>
      </w:r>
    </w:p>
    <w:p w14:paraId="788CE9A5" w14:textId="77777777" w:rsidR="00214BA7" w:rsidRDefault="00816EA6">
      <w:pPr>
        <w:pStyle w:val="Heading1"/>
      </w:pPr>
      <w:bookmarkStart w:id="25" w:name="_heading=h.vfavy59zoe6a" w:colFirst="0" w:colLast="0"/>
      <w:bookmarkEnd w:id="25"/>
      <w:r>
        <w:lastRenderedPageBreak/>
        <w:t>Appendices</w:t>
      </w:r>
    </w:p>
    <w:p w14:paraId="50EC5328" w14:textId="77777777" w:rsidR="00214BA7" w:rsidRDefault="00816EA6">
      <w:pPr>
        <w:pStyle w:val="Heading2"/>
      </w:pPr>
      <w:bookmarkStart w:id="26" w:name="_heading=h.foot7yjwrw58" w:colFirst="0" w:colLast="0"/>
      <w:bookmarkEnd w:id="26"/>
      <w:r>
        <w:t>Appendix 1: PESTEL Analysis</w:t>
      </w:r>
    </w:p>
    <w:tbl>
      <w:tblPr>
        <w:tblStyle w:val="a"/>
        <w:tblW w:w="901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883"/>
        <w:gridCol w:w="3179"/>
        <w:gridCol w:w="2177"/>
        <w:gridCol w:w="1777"/>
      </w:tblGrid>
      <w:tr w:rsidR="00214BA7" w14:paraId="34EC3C99" w14:textId="77777777" w:rsidTr="00214B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153EF4E2" w14:textId="77777777" w:rsidR="00214BA7" w:rsidRDefault="00816EA6">
            <w:pPr>
              <w:spacing w:before="240" w:after="240"/>
            </w:pPr>
            <w:r>
              <w:t>Factor</w:t>
            </w:r>
          </w:p>
        </w:tc>
        <w:tc>
          <w:tcPr>
            <w:tcW w:w="3179" w:type="dxa"/>
          </w:tcPr>
          <w:p w14:paraId="2B45434A" w14:textId="77777777" w:rsidR="00214BA7" w:rsidRDefault="00816EA6">
            <w:pPr>
              <w:spacing w:before="240" w:after="240"/>
              <w:cnfStyle w:val="100000000000" w:firstRow="1" w:lastRow="0" w:firstColumn="0" w:lastColumn="0" w:oddVBand="0" w:evenVBand="0" w:oddHBand="0" w:evenHBand="0" w:firstRowFirstColumn="0" w:firstRowLastColumn="0" w:lastRowFirstColumn="0" w:lastRowLastColumn="0"/>
            </w:pPr>
            <w:r>
              <w:t>Key drivers &amp; trends</w:t>
            </w:r>
          </w:p>
        </w:tc>
        <w:tc>
          <w:tcPr>
            <w:tcW w:w="2177" w:type="dxa"/>
          </w:tcPr>
          <w:p w14:paraId="1B3348C6" w14:textId="77777777" w:rsidR="00214BA7" w:rsidRDefault="00816EA6">
            <w:pPr>
              <w:spacing w:before="240" w:after="240"/>
              <w:cnfStyle w:val="100000000000" w:firstRow="1" w:lastRow="0" w:firstColumn="0" w:lastColumn="0" w:oddVBand="0" w:evenVBand="0" w:oddHBand="0" w:evenHBand="0" w:firstRowFirstColumn="0" w:firstRowLastColumn="0" w:lastRowFirstColumn="0" w:lastRowLastColumn="0"/>
            </w:pPr>
            <w:r>
              <w:t>Opportunities</w:t>
            </w:r>
          </w:p>
        </w:tc>
        <w:tc>
          <w:tcPr>
            <w:tcW w:w="1777" w:type="dxa"/>
          </w:tcPr>
          <w:p w14:paraId="197B9412" w14:textId="77777777" w:rsidR="00214BA7" w:rsidRDefault="00816EA6">
            <w:pPr>
              <w:spacing w:before="240" w:after="240"/>
              <w:cnfStyle w:val="100000000000" w:firstRow="1" w:lastRow="0" w:firstColumn="0" w:lastColumn="0" w:oddVBand="0" w:evenVBand="0" w:oddHBand="0" w:evenHBand="0" w:firstRowFirstColumn="0" w:firstRowLastColumn="0" w:lastRowFirstColumn="0" w:lastRowLastColumn="0"/>
            </w:pPr>
            <w:r>
              <w:t>Threats / risks</w:t>
            </w:r>
          </w:p>
        </w:tc>
      </w:tr>
      <w:tr w:rsidR="00214BA7" w14:paraId="00A29B82" w14:textId="77777777" w:rsidTr="00214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65DD8D0D" w14:textId="77777777" w:rsidR="00214BA7" w:rsidRDefault="00816EA6">
            <w:pPr>
              <w:spacing w:before="240" w:after="240"/>
            </w:pPr>
            <w:r>
              <w:t>Political</w:t>
            </w:r>
          </w:p>
        </w:tc>
        <w:tc>
          <w:tcPr>
            <w:tcW w:w="3179" w:type="dxa"/>
          </w:tcPr>
          <w:p w14:paraId="7F7912E5"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National net-zero targets; industrial policy (localisation, content rules); public charging programmes</w:t>
            </w:r>
          </w:p>
        </w:tc>
        <w:tc>
          <w:tcPr>
            <w:tcW w:w="2177" w:type="dxa"/>
          </w:tcPr>
          <w:p w14:paraId="62D6DFF6"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Eligibility for incentives via local assembly; access to fleet procurement; partnerships with cities</w:t>
            </w:r>
          </w:p>
        </w:tc>
        <w:tc>
          <w:tcPr>
            <w:tcW w:w="1777" w:type="dxa"/>
          </w:tcPr>
          <w:p w14:paraId="685ADB79"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Policy whiplash, tariff barriers, shifting mineral-o</w:t>
            </w:r>
            <w:r>
              <w:t>rigin thresholds; geopolitics disrupting supply routes</w:t>
            </w:r>
          </w:p>
        </w:tc>
      </w:tr>
      <w:tr w:rsidR="00214BA7" w14:paraId="5BDF1F08" w14:textId="77777777" w:rsidTr="00214BA7">
        <w:tc>
          <w:tcPr>
            <w:cnfStyle w:val="001000000000" w:firstRow="0" w:lastRow="0" w:firstColumn="1" w:lastColumn="0" w:oddVBand="0" w:evenVBand="0" w:oddHBand="0" w:evenHBand="0" w:firstRowFirstColumn="0" w:firstRowLastColumn="0" w:lastRowFirstColumn="0" w:lastRowLastColumn="0"/>
            <w:tcW w:w="1883" w:type="dxa"/>
          </w:tcPr>
          <w:p w14:paraId="793488F0" w14:textId="77777777" w:rsidR="00214BA7" w:rsidRDefault="00816EA6">
            <w:pPr>
              <w:spacing w:before="240" w:after="240"/>
            </w:pPr>
            <w:r>
              <w:t>Economic</w:t>
            </w:r>
          </w:p>
        </w:tc>
        <w:tc>
          <w:tcPr>
            <w:tcW w:w="3179" w:type="dxa"/>
          </w:tcPr>
          <w:p w14:paraId="6F7660AA"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Battery cost curves; interest rates affecting capex; energy prices; scale economics</w:t>
            </w:r>
          </w:p>
        </w:tc>
        <w:tc>
          <w:tcPr>
            <w:tcW w:w="2177" w:type="dxa"/>
          </w:tcPr>
          <w:p w14:paraId="2B673A58"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Falling $/kWh improves affordability; scale lowers unit costs; new revenue from software and services</w:t>
            </w:r>
          </w:p>
        </w:tc>
        <w:tc>
          <w:tcPr>
            <w:tcW w:w="1777" w:type="dxa"/>
          </w:tcPr>
          <w:p w14:paraId="3235FAB1"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 xml:space="preserve">High </w:t>
            </w:r>
            <w:r>
              <w:t>capital intensity; financing constraints; price wars compress margins; currency volatility</w:t>
            </w:r>
          </w:p>
        </w:tc>
      </w:tr>
      <w:tr w:rsidR="00214BA7" w14:paraId="6E6B2B30" w14:textId="77777777" w:rsidTr="00214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19B661BB" w14:textId="77777777" w:rsidR="00214BA7" w:rsidRDefault="00816EA6">
            <w:pPr>
              <w:spacing w:before="240" w:after="240"/>
            </w:pPr>
            <w:r>
              <w:t>Social</w:t>
            </w:r>
          </w:p>
        </w:tc>
        <w:tc>
          <w:tcPr>
            <w:tcW w:w="3179" w:type="dxa"/>
          </w:tcPr>
          <w:p w14:paraId="04D00506"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Rising climate awareness; urban air-quality priorities; evolving mobility habits (ride-hailing, subscriptions)</w:t>
            </w:r>
          </w:p>
        </w:tc>
        <w:tc>
          <w:tcPr>
            <w:tcW w:w="2177" w:type="dxa"/>
          </w:tcPr>
          <w:p w14:paraId="3B5D7299"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Premium for “clean, quiet, connected” experien</w:t>
            </w:r>
            <w:r>
              <w:t>ce; corporate ESG procurement; new ownership models</w:t>
            </w:r>
          </w:p>
        </w:tc>
        <w:tc>
          <w:tcPr>
            <w:tcW w:w="1777" w:type="dxa"/>
          </w:tcPr>
          <w:p w14:paraId="0B023300"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Range anxiety in late-adopter segments; used-EV resale uncertainty; misinformation on battery safety</w:t>
            </w:r>
          </w:p>
        </w:tc>
      </w:tr>
      <w:tr w:rsidR="00214BA7" w14:paraId="6399FF71" w14:textId="77777777" w:rsidTr="00214BA7">
        <w:tc>
          <w:tcPr>
            <w:cnfStyle w:val="001000000000" w:firstRow="0" w:lastRow="0" w:firstColumn="1" w:lastColumn="0" w:oddVBand="0" w:evenVBand="0" w:oddHBand="0" w:evenHBand="0" w:firstRowFirstColumn="0" w:firstRowLastColumn="0" w:lastRowFirstColumn="0" w:lastRowLastColumn="0"/>
            <w:tcW w:w="1883" w:type="dxa"/>
          </w:tcPr>
          <w:p w14:paraId="2064C660" w14:textId="77777777" w:rsidR="00214BA7" w:rsidRDefault="00816EA6">
            <w:pPr>
              <w:spacing w:before="240" w:after="240"/>
            </w:pPr>
            <w:r>
              <w:t>Technological</w:t>
            </w:r>
          </w:p>
        </w:tc>
        <w:tc>
          <w:tcPr>
            <w:tcW w:w="3179" w:type="dxa"/>
          </w:tcPr>
          <w:p w14:paraId="551B271E"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LFP/LMFP, high-nickel, sodium-ion; cell-to-pack/structural packs; OTA, ADAS; 800V/fast c</w:t>
            </w:r>
            <w:r>
              <w:t>harging</w:t>
            </w:r>
          </w:p>
        </w:tc>
        <w:tc>
          <w:tcPr>
            <w:tcW w:w="2177" w:type="dxa"/>
          </w:tcPr>
          <w:p w14:paraId="0DB8865D"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 xml:space="preserve">Better safety, efficiency and TCO; platform sharing; </w:t>
            </w:r>
            <w:proofErr w:type="spellStart"/>
            <w:r>
              <w:t>monetisable</w:t>
            </w:r>
            <w:proofErr w:type="spellEnd"/>
            <w:r>
              <w:t xml:space="preserve"> software; faster charge times</w:t>
            </w:r>
          </w:p>
        </w:tc>
        <w:tc>
          <w:tcPr>
            <w:tcW w:w="1777" w:type="dxa"/>
          </w:tcPr>
          <w:p w14:paraId="7B0756CD"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 xml:space="preserve">Rapid obsolescence risk; cybersecurity; integration complexity; scarce power </w:t>
            </w:r>
            <w:r>
              <w:lastRenderedPageBreak/>
              <w:t>electronics (</w:t>
            </w:r>
            <w:proofErr w:type="spellStart"/>
            <w:r>
              <w:t>SiC</w:t>
            </w:r>
            <w:proofErr w:type="spellEnd"/>
            <w:r>
              <w:t>)</w:t>
            </w:r>
          </w:p>
        </w:tc>
      </w:tr>
      <w:tr w:rsidR="00214BA7" w14:paraId="515EF338" w14:textId="77777777" w:rsidTr="00214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3" w:type="dxa"/>
          </w:tcPr>
          <w:p w14:paraId="25E96D64" w14:textId="77777777" w:rsidR="00214BA7" w:rsidRDefault="00816EA6">
            <w:pPr>
              <w:spacing w:before="240" w:after="240"/>
            </w:pPr>
            <w:r>
              <w:lastRenderedPageBreak/>
              <w:t>Environmental</w:t>
            </w:r>
          </w:p>
        </w:tc>
        <w:tc>
          <w:tcPr>
            <w:tcW w:w="3179" w:type="dxa"/>
          </w:tcPr>
          <w:p w14:paraId="071658EB"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Lifecycle scrutiny (mining, recycling); grid decarbonisation; material circularity</w:t>
            </w:r>
          </w:p>
        </w:tc>
        <w:tc>
          <w:tcPr>
            <w:tcW w:w="2177" w:type="dxa"/>
          </w:tcPr>
          <w:p w14:paraId="7F5DDCB3"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Recycling/second-life unlocks cost and ESG benefits; green charging differentiates brands</w:t>
            </w:r>
          </w:p>
        </w:tc>
        <w:tc>
          <w:tcPr>
            <w:tcW w:w="1777" w:type="dxa"/>
          </w:tcPr>
          <w:p w14:paraId="4EE8BB1C" w14:textId="77777777" w:rsidR="00214BA7" w:rsidRDefault="00816EA6">
            <w:pPr>
              <w:spacing w:before="240" w:after="240"/>
              <w:cnfStyle w:val="000000100000" w:firstRow="0" w:lastRow="0" w:firstColumn="0" w:lastColumn="0" w:oddVBand="0" w:evenVBand="0" w:oddHBand="1" w:evenHBand="0" w:firstRowFirstColumn="0" w:firstRowLastColumn="0" w:lastRowFirstColumn="0" w:lastRowLastColumn="0"/>
            </w:pPr>
            <w:r>
              <w:t>Local impacts of mining/water use; grid congestion; end-of-life liabilities if recy</w:t>
            </w:r>
            <w:r>
              <w:t>cling lags</w:t>
            </w:r>
          </w:p>
        </w:tc>
      </w:tr>
      <w:tr w:rsidR="00214BA7" w14:paraId="681F5C83" w14:textId="77777777" w:rsidTr="00214BA7">
        <w:tc>
          <w:tcPr>
            <w:cnfStyle w:val="001000000000" w:firstRow="0" w:lastRow="0" w:firstColumn="1" w:lastColumn="0" w:oddVBand="0" w:evenVBand="0" w:oddHBand="0" w:evenHBand="0" w:firstRowFirstColumn="0" w:firstRowLastColumn="0" w:lastRowFirstColumn="0" w:lastRowLastColumn="0"/>
            <w:tcW w:w="1883" w:type="dxa"/>
          </w:tcPr>
          <w:p w14:paraId="42A58136" w14:textId="77777777" w:rsidR="00214BA7" w:rsidRDefault="00816EA6">
            <w:pPr>
              <w:spacing w:before="240" w:after="240"/>
            </w:pPr>
            <w:r>
              <w:t>Legal</w:t>
            </w:r>
          </w:p>
        </w:tc>
        <w:tc>
          <w:tcPr>
            <w:tcW w:w="3179" w:type="dxa"/>
          </w:tcPr>
          <w:p w14:paraId="625AD499"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CO</w:t>
            </w:r>
            <w:r>
              <w:rPr>
                <w:rFonts w:ascii="Cambria Math" w:eastAsia="Cambria Math" w:hAnsi="Cambria Math" w:cs="Cambria Math"/>
              </w:rPr>
              <w:t>₂</w:t>
            </w:r>
            <w:r>
              <w:t>/zero-emission mandates; battery stewardship laws; data privacy/cyber norms; right-to-repair</w:t>
            </w:r>
          </w:p>
        </w:tc>
        <w:tc>
          <w:tcPr>
            <w:tcW w:w="2177" w:type="dxa"/>
          </w:tcPr>
          <w:p w14:paraId="519AE592"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Clear compliance pathways; certification as trust signal; standardised interfaces</w:t>
            </w:r>
          </w:p>
        </w:tc>
        <w:tc>
          <w:tcPr>
            <w:tcW w:w="1777" w:type="dxa"/>
          </w:tcPr>
          <w:p w14:paraId="3E65F2C6" w14:textId="77777777" w:rsidR="00214BA7" w:rsidRDefault="00816EA6">
            <w:pPr>
              <w:spacing w:before="240" w:after="240"/>
              <w:cnfStyle w:val="000000000000" w:firstRow="0" w:lastRow="0" w:firstColumn="0" w:lastColumn="0" w:oddVBand="0" w:evenVBand="0" w:oddHBand="0" w:evenHBand="0" w:firstRowFirstColumn="0" w:firstRowLastColumn="0" w:lastRowFirstColumn="0" w:lastRowLastColumn="0"/>
            </w:pPr>
            <w:r>
              <w:t>Non-compliance penalties; data/security breaches; evolving r</w:t>
            </w:r>
            <w:r>
              <w:t>epair rules raising support costs</w:t>
            </w:r>
          </w:p>
        </w:tc>
      </w:tr>
    </w:tbl>
    <w:p w14:paraId="162CEB7A" w14:textId="77777777" w:rsidR="00214BA7" w:rsidRDefault="00214BA7">
      <w:pPr>
        <w:spacing w:before="240" w:after="240"/>
      </w:pPr>
    </w:p>
    <w:sectPr w:rsidR="00214BA7">
      <w:footerReference w:type="default" r:id="rId27"/>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C9A68C" w14:textId="77777777" w:rsidR="00816EA6" w:rsidRDefault="00816EA6">
      <w:pPr>
        <w:spacing w:after="0" w:line="240" w:lineRule="auto"/>
      </w:pPr>
      <w:r>
        <w:separator/>
      </w:r>
    </w:p>
  </w:endnote>
  <w:endnote w:type="continuationSeparator" w:id="0">
    <w:p w14:paraId="2306D988" w14:textId="77777777" w:rsidR="00816EA6" w:rsidRDefault="00816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embedRegular r:id="rId1" w:fontKey="{B1121551-912F-6642-B9B3-BCD70F166A30}"/>
    <w:embedBold r:id="rId2" w:fontKey="{BF9D96D8-840A-8247-8493-EF1A9A326D89}"/>
    <w:embedItalic r:id="rId3" w:fontKey="{C75CEEC3-3388-5D4B-B572-023A396F1F7C}"/>
    <w:embedBoldItalic r:id="rId4" w:fontKey="{A0FF66A8-7F57-8A4F-A2EF-C3DB9AC893A4}"/>
  </w:font>
  <w:font w:name="Times New Roman">
    <w:panose1 w:val="02020603050405020304"/>
    <w:charset w:val="00"/>
    <w:family w:val="roman"/>
    <w:pitch w:val="variable"/>
    <w:sig w:usb0="E0002EFF" w:usb1="C000785B" w:usb2="00000009" w:usb3="00000000" w:csb0="000001FF" w:csb1="00000000"/>
    <w:embedRegular r:id="rId5" w:fontKey="{B2DD28F0-BF27-684B-AB42-4DBCB8B0B3E2}"/>
    <w:embedBold r:id="rId6" w:fontKey="{226DB548-5350-B84A-A5E8-5A4804A4BE76}"/>
    <w:embedItalic r:id="rId7" w:fontKey="{751C0319-85C8-B544-AEE3-BB5A3877C3D3}"/>
    <w:embedBoldItalic r:id="rId8" w:fontKey="{1F02A610-2A74-424E-A6AF-3FD3C375A8F2}"/>
  </w:font>
  <w:font w:name="Play">
    <w:charset w:val="00"/>
    <w:family w:val="auto"/>
    <w:pitch w:val="default"/>
    <w:embedRegular r:id="rId9" w:fontKey="{B9D7DDAF-AA3C-F84C-B572-B9704B8B42BC}"/>
  </w:font>
  <w:font w:name="Aptos Display">
    <w:altName w:val="Calibri"/>
    <w:panose1 w:val="020B0604020202020204"/>
    <w:charset w:val="00"/>
    <w:family w:val="swiss"/>
    <w:pitch w:val="variable"/>
    <w:sig w:usb0="20000287" w:usb1="00000003" w:usb2="00000000" w:usb3="00000000" w:csb0="0000019F" w:csb1="00000000"/>
  </w:font>
  <w:font w:name="Aptos">
    <w:altName w:val="Calibri"/>
    <w:panose1 w:val="020B0604020202020204"/>
    <w:charset w:val="00"/>
    <w:family w:val="auto"/>
    <w:pitch w:val="default"/>
  </w:font>
  <w:font w:name="Cambria Math">
    <w:panose1 w:val="02040503050406030204"/>
    <w:charset w:val="00"/>
    <w:family w:val="roman"/>
    <w:pitch w:val="variable"/>
    <w:sig w:usb0="E00002FF" w:usb1="420024FF" w:usb2="00000000" w:usb3="00000000" w:csb0="0000019F" w:csb1="00000000"/>
    <w:embedRegular r:id="rId13" w:fontKey="{FABBA5E0-23B9-954A-B22F-94159D4DC7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E80C1A" w14:textId="71B0EEE3" w:rsidR="00214BA7" w:rsidRDefault="00816EA6">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sidR="00A42B36">
      <w:rPr>
        <w:color w:val="000000"/>
      </w:rPr>
      <w:fldChar w:fldCharType="separate"/>
    </w:r>
    <w:r w:rsidR="00A42B36">
      <w:rPr>
        <w:noProof/>
        <w:color w:val="000000"/>
      </w:rPr>
      <w:t>2</w:t>
    </w:r>
    <w:r>
      <w:rPr>
        <w:color w:val="000000"/>
      </w:rPr>
      <w:fldChar w:fldCharType="end"/>
    </w:r>
  </w:p>
  <w:p w14:paraId="0E24F2C0" w14:textId="77777777" w:rsidR="00214BA7" w:rsidRDefault="00214BA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3C0A0B" w14:textId="77777777" w:rsidR="00816EA6" w:rsidRDefault="00816EA6">
      <w:pPr>
        <w:spacing w:after="0" w:line="240" w:lineRule="auto"/>
      </w:pPr>
      <w:r>
        <w:separator/>
      </w:r>
    </w:p>
  </w:footnote>
  <w:footnote w:type="continuationSeparator" w:id="0">
    <w:p w14:paraId="51417DE6" w14:textId="77777777" w:rsidR="00816EA6" w:rsidRDefault="00816E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BA7"/>
    <w:rsid w:val="00214BA7"/>
    <w:rsid w:val="00816EA6"/>
    <w:rsid w:val="00A42B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E52D1AA"/>
  <w15:docId w15:val="{080D9F29-EE6D-CA45-AF71-6D9B46EEB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I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b/>
      <w:bCs/>
      <w:sz w:val="28"/>
      <w:szCs w:val="28"/>
    </w:rPr>
  </w:style>
  <w:style w:type="paragraph" w:styleId="Heading2">
    <w:name w:val="heading 2"/>
    <w:basedOn w:val="Normal"/>
    <w:next w:val="Normal"/>
    <w:link w:val="Heading2Char"/>
    <w:uiPriority w:val="9"/>
    <w:unhideWhenUsed/>
    <w:qFormat/>
    <w:pPr>
      <w:keepNext/>
      <w:keepLines/>
      <w:spacing w:before="160" w:after="80"/>
      <w:outlineLvl w:val="1"/>
    </w:pPr>
    <w:rPr>
      <w:b/>
      <w:bCs/>
      <w:sz w:val="26"/>
      <w:szCs w:val="26"/>
    </w:rPr>
  </w:style>
  <w:style w:type="paragraph" w:styleId="Heading3">
    <w:name w:val="heading 3"/>
    <w:basedOn w:val="Normal"/>
    <w:next w:val="Normal"/>
    <w:link w:val="Heading3Char"/>
    <w:uiPriority w:val="9"/>
    <w:unhideWhenUsed/>
    <w:qFormat/>
    <w:pPr>
      <w:keepNext/>
      <w:keepLines/>
      <w:spacing w:before="160" w:after="80"/>
      <w:outlineLvl w:val="2"/>
    </w:pPr>
    <w:rPr>
      <w:b/>
      <w:bCs/>
      <w:i/>
      <w:iCs/>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C020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20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20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460C26"/>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460C26"/>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156FAE"/>
    <w:rPr>
      <w:rFonts w:ascii="Arial" w:eastAsiaTheme="majorEastAsia" w:hAnsi="Arial" w:cstheme="majorBidi"/>
      <w:b/>
      <w:i/>
      <w:sz w:val="24"/>
      <w:szCs w:val="28"/>
    </w:rPr>
  </w:style>
  <w:style w:type="character" w:customStyle="1" w:styleId="Heading4Char">
    <w:name w:val="Heading 4 Char"/>
    <w:basedOn w:val="DefaultParagraphFont"/>
    <w:link w:val="Heading4"/>
    <w:uiPriority w:val="9"/>
    <w:semiHidden/>
    <w:rsid w:val="00C020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20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20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0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0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046"/>
    <w:rPr>
      <w:rFonts w:eastAsiaTheme="majorEastAsia" w:cstheme="majorBidi"/>
      <w:color w:val="272727" w:themeColor="text1" w:themeTint="D8"/>
    </w:rPr>
  </w:style>
  <w:style w:type="character" w:customStyle="1" w:styleId="TitleChar">
    <w:name w:val="Title Char"/>
    <w:basedOn w:val="DefaultParagraphFont"/>
    <w:link w:val="Title"/>
    <w:uiPriority w:val="10"/>
    <w:rsid w:val="00C02046"/>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C020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046"/>
    <w:pPr>
      <w:spacing w:before="160"/>
      <w:jc w:val="center"/>
    </w:pPr>
    <w:rPr>
      <w:i/>
      <w:iCs/>
      <w:color w:val="404040" w:themeColor="text1" w:themeTint="BF"/>
    </w:rPr>
  </w:style>
  <w:style w:type="character" w:customStyle="1" w:styleId="QuoteChar">
    <w:name w:val="Quote Char"/>
    <w:basedOn w:val="DefaultParagraphFont"/>
    <w:link w:val="Quote"/>
    <w:uiPriority w:val="29"/>
    <w:rsid w:val="00C02046"/>
    <w:rPr>
      <w:i/>
      <w:iCs/>
      <w:color w:val="404040" w:themeColor="text1" w:themeTint="BF"/>
    </w:rPr>
  </w:style>
  <w:style w:type="paragraph" w:styleId="ListParagraph">
    <w:name w:val="List Paragraph"/>
    <w:basedOn w:val="Normal"/>
    <w:uiPriority w:val="34"/>
    <w:qFormat/>
    <w:rsid w:val="00C02046"/>
    <w:pPr>
      <w:ind w:left="720"/>
      <w:contextualSpacing/>
    </w:pPr>
  </w:style>
  <w:style w:type="character" w:styleId="IntenseEmphasis">
    <w:name w:val="Intense Emphasis"/>
    <w:basedOn w:val="DefaultParagraphFont"/>
    <w:uiPriority w:val="21"/>
    <w:qFormat/>
    <w:rsid w:val="00C02046"/>
    <w:rPr>
      <w:i/>
      <w:iCs/>
      <w:color w:val="0F4761" w:themeColor="accent1" w:themeShade="BF"/>
    </w:rPr>
  </w:style>
  <w:style w:type="paragraph" w:styleId="IntenseQuote">
    <w:name w:val="Intense Quote"/>
    <w:basedOn w:val="Normal"/>
    <w:next w:val="Normal"/>
    <w:link w:val="IntenseQuoteChar"/>
    <w:uiPriority w:val="30"/>
    <w:qFormat/>
    <w:rsid w:val="00C020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2046"/>
    <w:rPr>
      <w:i/>
      <w:iCs/>
      <w:color w:val="0F4761" w:themeColor="accent1" w:themeShade="BF"/>
    </w:rPr>
  </w:style>
  <w:style w:type="character" w:styleId="IntenseReference">
    <w:name w:val="Intense Reference"/>
    <w:basedOn w:val="DefaultParagraphFont"/>
    <w:uiPriority w:val="32"/>
    <w:qFormat/>
    <w:rsid w:val="00C02046"/>
    <w:rPr>
      <w:b/>
      <w:bCs/>
      <w:smallCaps/>
      <w:color w:val="0F4761" w:themeColor="accent1" w:themeShade="BF"/>
      <w:spacing w:val="5"/>
    </w:rPr>
  </w:style>
  <w:style w:type="character" w:styleId="Hyperlink">
    <w:name w:val="Hyperlink"/>
    <w:basedOn w:val="DefaultParagraphFont"/>
    <w:uiPriority w:val="99"/>
    <w:unhideWhenUsed/>
    <w:rsid w:val="00C6688F"/>
    <w:rPr>
      <w:color w:val="467886" w:themeColor="hyperlink"/>
      <w:u w:val="single"/>
    </w:rPr>
  </w:style>
  <w:style w:type="character" w:styleId="UnresolvedMention">
    <w:name w:val="Unresolved Mention"/>
    <w:basedOn w:val="DefaultParagraphFont"/>
    <w:uiPriority w:val="99"/>
    <w:semiHidden/>
    <w:unhideWhenUsed/>
    <w:rsid w:val="00C6688F"/>
    <w:rPr>
      <w:color w:val="605E5C"/>
      <w:shd w:val="clear" w:color="auto" w:fill="E1DFDD"/>
    </w:rPr>
  </w:style>
  <w:style w:type="paragraph" w:styleId="NormalWeb">
    <w:name w:val="Normal (Web)"/>
    <w:basedOn w:val="Normal"/>
    <w:uiPriority w:val="99"/>
    <w:semiHidden/>
    <w:unhideWhenUsed/>
    <w:rsid w:val="00720A42"/>
    <w:rPr>
      <w:rFonts w:ascii="Times New Roman" w:hAnsi="Times New Roman" w:cs="Times New Roman"/>
    </w:rPr>
  </w:style>
  <w:style w:type="table" w:styleId="TableGrid">
    <w:name w:val="Table Grid"/>
    <w:basedOn w:val="TableNormal"/>
    <w:uiPriority w:val="39"/>
    <w:rsid w:val="00460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A20EA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A20EA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aption">
    <w:name w:val="caption"/>
    <w:basedOn w:val="Normal"/>
    <w:next w:val="Normal"/>
    <w:uiPriority w:val="35"/>
    <w:unhideWhenUsed/>
    <w:qFormat/>
    <w:rsid w:val="00647798"/>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56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FAE"/>
    <w:rPr>
      <w:rFonts w:ascii="Arial" w:hAnsi="Arial"/>
      <w:sz w:val="24"/>
    </w:rPr>
  </w:style>
  <w:style w:type="paragraph" w:styleId="Footer">
    <w:name w:val="footer"/>
    <w:basedOn w:val="Normal"/>
    <w:link w:val="FooterChar"/>
    <w:uiPriority w:val="99"/>
    <w:unhideWhenUsed/>
    <w:rsid w:val="00156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FAE"/>
    <w:rPr>
      <w:rFonts w:ascii="Arial" w:hAnsi="Arial"/>
      <w:sz w:val="24"/>
    </w:rPr>
  </w:style>
  <w:style w:type="paragraph" w:styleId="TOCHeading">
    <w:name w:val="TOC Heading"/>
    <w:basedOn w:val="Heading1"/>
    <w:next w:val="Normal"/>
    <w:uiPriority w:val="39"/>
    <w:unhideWhenUsed/>
    <w:qFormat/>
    <w:rsid w:val="00156FAE"/>
    <w:pPr>
      <w:spacing w:before="240" w:after="0" w:line="259" w:lineRule="auto"/>
      <w:jc w:val="left"/>
      <w:outlineLvl w:val="9"/>
    </w:pPr>
    <w:rPr>
      <w:rFonts w:asciiTheme="majorHAnsi" w:hAnsiTheme="majorHAnsi"/>
      <w:b w:val="0"/>
      <w:color w:val="0F4761" w:themeColor="accent1" w:themeShade="BF"/>
      <w:sz w:val="32"/>
      <w:szCs w:val="32"/>
      <w:lang w:val="en-US"/>
    </w:rPr>
  </w:style>
  <w:style w:type="paragraph" w:styleId="TOC2">
    <w:name w:val="toc 2"/>
    <w:basedOn w:val="Normal"/>
    <w:next w:val="Normal"/>
    <w:autoRedefine/>
    <w:uiPriority w:val="39"/>
    <w:unhideWhenUsed/>
    <w:rsid w:val="00156FAE"/>
    <w:pPr>
      <w:spacing w:after="100"/>
      <w:ind w:left="240"/>
    </w:pPr>
  </w:style>
  <w:style w:type="paragraph" w:styleId="TOC1">
    <w:name w:val="toc 1"/>
    <w:basedOn w:val="Normal"/>
    <w:next w:val="Normal"/>
    <w:autoRedefine/>
    <w:uiPriority w:val="39"/>
    <w:unhideWhenUsed/>
    <w:rsid w:val="00430221"/>
    <w:pPr>
      <w:tabs>
        <w:tab w:val="right" w:leader="dot" w:pos="9016"/>
      </w:tabs>
      <w:spacing w:after="100"/>
    </w:pPr>
    <w:rPr>
      <w:b/>
      <w:bCs/>
      <w:noProof/>
    </w:rPr>
  </w:style>
  <w:style w:type="paragraph" w:styleId="TOC3">
    <w:name w:val="toc 3"/>
    <w:basedOn w:val="Normal"/>
    <w:next w:val="Normal"/>
    <w:autoRedefine/>
    <w:uiPriority w:val="39"/>
    <w:unhideWhenUsed/>
    <w:rsid w:val="00156FAE"/>
    <w:pPr>
      <w:spacing w:after="100"/>
      <w:ind w:left="480"/>
    </w:pPr>
  </w:style>
  <w:style w:type="table" w:styleId="PlainTable1">
    <w:name w:val="Plain Table 1"/>
    <w:basedOn w:val="TableNormal"/>
    <w:uiPriority w:val="41"/>
    <w:rsid w:val="0053398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pPr>
      <w:spacing w:after="0" w:line="240" w:lineRule="auto"/>
    </w:pPr>
    <w:tblPr>
      <w:tblStyleRowBandSize w:val="1"/>
      <w:tblStyleColBandSize w:val="1"/>
    </w:tblPr>
    <w:tblStylePr w:type="firstRow">
      <w:rPr>
        <w:b/>
        <w:bCs/>
      </w:rPr>
    </w:tblStylePr>
    <w:tblStylePr w:type="lastRow">
      <w:rPr>
        <w:b/>
        <w:bCs/>
      </w:rPr>
      <w:tblPr/>
      <w:tcPr>
        <w:tcBorders>
          <w:top w:val="sing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nk.springer.com/content/pdf/10.1057/s41295-023-00374-0.pdf" TargetMode="External"/><Relationship Id="rId18" Type="http://schemas.openxmlformats.org/officeDocument/2006/relationships/hyperlink" Target="https://www.mdpi.com/2313-0105/9/2/121" TargetMode="External"/><Relationship Id="rId26" Type="http://schemas.openxmlformats.org/officeDocument/2006/relationships/hyperlink" Target="https://www.grandviewresearch.com/industry-analysis/electric-vehicles-ev-market" TargetMode="External"/><Relationship Id="rId3" Type="http://schemas.openxmlformats.org/officeDocument/2006/relationships/settings" Target="settings.xml"/><Relationship Id="rId21" Type="http://schemas.openxmlformats.org/officeDocument/2006/relationships/hyperlink" Target="https://sc.edu/study/colleges_schools/moore/research_and_centers/centers/sc_epic/documents/environmental_policy_and_sustainability/evaluating_electric_vehicle_policy_effectiveness.pdf"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mdpi.com/2313-0105/9/5/261" TargetMode="External"/><Relationship Id="rId25" Type="http://schemas.openxmlformats.org/officeDocument/2006/relationships/hyperlink" Target="https://www.mdpi.com/2032-6653/15/8/375" TargetMode="External"/><Relationship Id="rId2" Type="http://schemas.openxmlformats.org/officeDocument/2006/relationships/styles" Target="styles.xml"/><Relationship Id="rId16" Type="http://schemas.openxmlformats.org/officeDocument/2006/relationships/hyperlink" Target="https://link.springer.com/content/pdf/10.1007/s10462-024-10968-z.pdf" TargetMode="External"/><Relationship Id="rId20" Type="http://schemas.openxmlformats.org/officeDocument/2006/relationships/hyperlink" Target="https://scholar.google.com/scholar?output=instlink&amp;q=info:R2a-BIqkv7sJ:scholar.google.com/&amp;hl=en&amp;as_sdt=0,5&amp;scillfp=1195682535086915567&amp;oi=l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apers.ssrn.com/sol3/Delivery.cfm?abstractid=4336582" TargetMode="External"/><Relationship Id="rId5" Type="http://schemas.openxmlformats.org/officeDocument/2006/relationships/footnotes" Target="footnotes.xml"/><Relationship Id="rId15" Type="http://schemas.openxmlformats.org/officeDocument/2006/relationships/hyperlink" Target="https://www.mdpi.com/1424-8220/24/2/312" TargetMode="External"/><Relationship Id="rId23" Type="http://schemas.openxmlformats.org/officeDocument/2006/relationships/hyperlink" Target="https://papers.ssrn.com/sol3/Delivery.cfm?abstractid=4973602"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scholar.google.com/scholar?output=instlink&amp;q=info:Z2IlyNJGsZcJ:scholar.google.com/&amp;hl=en&amp;as_sdt=0,5&amp;as_ylo=2021&amp;scillfp=17829676737619042700&amp;oi=l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2032-6653/14/4/88" TargetMode="External"/><Relationship Id="rId22" Type="http://schemas.openxmlformats.org/officeDocument/2006/relationships/hyperlink" Target="https://www.mdpi.com/1996-1073/14/3/725"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0tClR0wvk8BfwFZwtf8dHJsv7A==">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4562</Words>
  <Characters>26010</Characters>
  <Application>Microsoft Office Word</Application>
  <DocSecurity>0</DocSecurity>
  <Lines>216</Lines>
  <Paragraphs>61</Paragraphs>
  <ScaleCrop>false</ScaleCrop>
  <Company/>
  <LinksUpToDate>false</LinksUpToDate>
  <CharactersWithSpaces>30511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Microsoft Office User</cp:lastModifiedBy>
  <cp:revision>2</cp:revision>
  <dcterms:created xsi:type="dcterms:W3CDTF">2025-11-04T07:05:00Z</dcterms:created>
  <dcterms:modified xsi:type="dcterms:W3CDTF">2025-11-20T14:26:00Z</dcterms:modified>
</cp:coreProperties>
</file>