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286671" w14:textId="7AD8B5E7" w:rsidR="00420101" w:rsidRDefault="00420101" w:rsidP="00420101">
      <w:r>
        <w:t>Ashley Mc Fee</w:t>
      </w:r>
    </w:p>
    <w:p w14:paraId="56047849" w14:textId="678012F7" w:rsidR="00420101" w:rsidRDefault="00420101" w:rsidP="00420101">
      <w:r>
        <w:t>The Book, the Body</w:t>
      </w:r>
    </w:p>
    <w:p w14:paraId="27D3D96E" w14:textId="6FBF51FB" w:rsidR="00420101" w:rsidRDefault="00420101" w:rsidP="00420101">
      <w:r>
        <w:t>HPEN6043</w:t>
      </w:r>
    </w:p>
    <w:p w14:paraId="66B9F8C9" w14:textId="7DDF4856" w:rsidR="00420101" w:rsidRDefault="00420101" w:rsidP="00420101">
      <w:r>
        <w:t>Dr, Peter Michell</w:t>
      </w:r>
    </w:p>
    <w:p w14:paraId="2F2D8C0F" w14:textId="23D31F63" w:rsidR="00420101" w:rsidRDefault="00420101" w:rsidP="00420101">
      <w:r>
        <w:t>11 February 2024</w:t>
      </w:r>
    </w:p>
    <w:p w14:paraId="2F030435" w14:textId="77777777" w:rsidR="00420101" w:rsidRDefault="00420101" w:rsidP="00420101"/>
    <w:p w14:paraId="3617EBD4" w14:textId="6BC30875" w:rsidR="00011396" w:rsidRDefault="00011396" w:rsidP="00D07D9D">
      <w:pPr>
        <w:ind w:firstLine="720"/>
      </w:pPr>
      <w:r>
        <w:t>A coin without its head or tail</w:t>
      </w:r>
      <w:r w:rsidR="00D07D9D">
        <w:t xml:space="preserve">, </w:t>
      </w:r>
      <w:r>
        <w:t xml:space="preserve">is a coin with no decision-making power. That is to say, an individual who goes about with no choices, lacks the foresight to decide what is beneficial to them in the grand scheme of things. They lack the </w:t>
      </w:r>
      <w:r w:rsidR="00D07D9D">
        <w:t>ability</w:t>
      </w:r>
      <w:r>
        <w:t xml:space="preserve"> to grow personally and intellectually without the knowledge of other options. Renaissance humanism highlights this</w:t>
      </w:r>
      <w:r w:rsidR="00D07D9D" w:rsidRPr="00D07D9D">
        <w:t xml:space="preserve"> </w:t>
      </w:r>
      <w:r w:rsidR="00D07D9D">
        <w:t>thinking</w:t>
      </w:r>
      <w:r>
        <w:t>, as it was a period of intellectual progress with its “many schools of thought,”</w:t>
      </w:r>
      <w:r>
        <w:rPr>
          <w:rStyle w:val="FootnoteReference"/>
        </w:rPr>
        <w:footnoteReference w:id="1"/>
      </w:r>
      <w:r>
        <w:t xml:space="preserve"> ranging from </w:t>
      </w:r>
      <w:r w:rsidR="00D07D9D">
        <w:t xml:space="preserve">different </w:t>
      </w:r>
      <w:r>
        <w:t>literary genres to the exploration of political theories</w:t>
      </w:r>
      <w:r w:rsidR="00D07D9D">
        <w:t xml:space="preserve">. The exploration of political theories is a highlight of Renaissance humanism, as it was important to the growth of society and what would become the landscape of modern political </w:t>
      </w:r>
      <w:r w:rsidR="005D1213">
        <w:t>science</w:t>
      </w:r>
      <w:r w:rsidR="00D07D9D">
        <w:t>. Niccolò Machiavelli and Desider</w:t>
      </w:r>
      <w:r w:rsidR="00E9279A">
        <w:t>i</w:t>
      </w:r>
      <w:r w:rsidR="00D07D9D">
        <w:t xml:space="preserve">us Erasmus examines the politics of the renaissance period by underscoring the characteristics of a potential leader in their own way, finding themselves on opposite sides of </w:t>
      </w:r>
      <w:r w:rsidR="000470BA">
        <w:t>the spectrum</w:t>
      </w:r>
      <w:r w:rsidR="00D07D9D">
        <w:t>.</w:t>
      </w:r>
      <w:r w:rsidR="000470BA">
        <w:t xml:space="preserve"> The discourse of politics and leadership is considered from the perspective of what makes a good prince</w:t>
      </w:r>
      <w:r w:rsidR="00AB645B">
        <w:t>,</w:t>
      </w:r>
      <w:r w:rsidR="00333ABC">
        <w:t xml:space="preserve"> since they have different theories on </w:t>
      </w:r>
      <w:r w:rsidR="00AB645B">
        <w:t>the matter</w:t>
      </w:r>
      <w:r w:rsidR="00333ABC">
        <w:t>. Erasmus is concerned with the prince’s morality, compassion and Christian values</w:t>
      </w:r>
      <w:r w:rsidR="00EE7E4B">
        <w:t>, which is then reflected in the way he governs his society. Contrastingly. Machiavelli’s aim is to create a strong leader who is willing to take the necessary risk for his subjects. Scholars are often drawn to Erasmus’s theory because it aligns with virtuosity and good ethics. However, there are flaws in his</w:t>
      </w:r>
      <w:r w:rsidR="00C679F1">
        <w:t xml:space="preserve"> theory often overlooked because the alternative is less ideal. Erasmus’s position on war </w:t>
      </w:r>
      <w:r w:rsidR="00C852E1">
        <w:t xml:space="preserve">lacks a clear consideration for the realities. In addition, his model for a Christian society through education </w:t>
      </w:r>
      <w:r w:rsidR="00CB7FA0">
        <w:t>does not show</w:t>
      </w:r>
      <w:r w:rsidR="00DC0910">
        <w:t xml:space="preserve"> the importance of</w:t>
      </w:r>
      <w:r w:rsidR="00C852E1">
        <w:t xml:space="preserve"> </w:t>
      </w:r>
      <w:r w:rsidR="00DC0910">
        <w:t>the collective rather than the people he believes more worthy.</w:t>
      </w:r>
      <w:r w:rsidR="00D4379C">
        <w:t xml:space="preserve"> </w:t>
      </w:r>
      <w:r w:rsidR="00D461E5">
        <w:t>Machiavelli’s views on leadership and the society significantly outweighs Erasmus’s views because he articulates it with the intention of highlighting the reality.</w:t>
      </w:r>
    </w:p>
    <w:p w14:paraId="2FD07C1F" w14:textId="77777777" w:rsidR="00EE7E4B" w:rsidRDefault="00EE7E4B" w:rsidP="00D07D9D">
      <w:pPr>
        <w:ind w:firstLine="720"/>
      </w:pPr>
    </w:p>
    <w:p w14:paraId="43815FFB" w14:textId="138610E5" w:rsidR="00326BDA" w:rsidRDefault="00C852E1" w:rsidP="00D07D9D">
      <w:pPr>
        <w:ind w:firstLine="720"/>
      </w:pPr>
      <w:r>
        <w:t xml:space="preserve">Erasmus’s position on war is heavily influenced by his childhood as he </w:t>
      </w:r>
      <w:r w:rsidR="00CB7FA0">
        <w:t>experienced</w:t>
      </w:r>
      <w:r>
        <w:t xml:space="preserve"> to a war as</w:t>
      </w:r>
      <w:r w:rsidR="00CB7FA0">
        <w:t xml:space="preserve"> a</w:t>
      </w:r>
      <w:r>
        <w:t xml:space="preserve"> child. Therefore, it is no surprise that he is staunchly against invoking a war; </w:t>
      </w:r>
      <w:r w:rsidR="00147CD1">
        <w:t>instead,</w:t>
      </w:r>
      <w:r>
        <w:t xml:space="preserve"> he prioritises </w:t>
      </w:r>
      <w:r w:rsidR="00147CD1">
        <w:t xml:space="preserve">peace. His advice for war to the prince is to simply avoid war. However, simply avoiding war is impossible because a leader cannot always prevent </w:t>
      </w:r>
      <w:r w:rsidR="00326BDA">
        <w:t>a</w:t>
      </w:r>
      <w:r w:rsidR="00147CD1">
        <w:t xml:space="preserve"> war from happening</w:t>
      </w:r>
      <w:r w:rsidR="00326BDA">
        <w:t xml:space="preserve"> especially when there are other parties involved</w:t>
      </w:r>
      <w:r w:rsidR="00147CD1">
        <w:t xml:space="preserve">. This is a factor that Erasmus does not fully elaborate on in </w:t>
      </w:r>
      <w:r w:rsidR="00147CD1">
        <w:rPr>
          <w:i/>
          <w:iCs/>
        </w:rPr>
        <w:t>“</w:t>
      </w:r>
      <w:r w:rsidR="00580370">
        <w:rPr>
          <w:i/>
          <w:iCs/>
        </w:rPr>
        <w:t>On t</w:t>
      </w:r>
      <w:r w:rsidR="00147CD1">
        <w:rPr>
          <w:i/>
          <w:iCs/>
        </w:rPr>
        <w:t>he Education of a Christian Prince”</w:t>
      </w:r>
      <w:r w:rsidR="00147CD1">
        <w:t>, instead he says</w:t>
      </w:r>
      <w:r w:rsidR="00326BDA">
        <w:t xml:space="preserve">: </w:t>
      </w:r>
    </w:p>
    <w:p w14:paraId="1020DFF0" w14:textId="77777777" w:rsidR="00326BDA" w:rsidRDefault="00326BDA" w:rsidP="00D07D9D">
      <w:pPr>
        <w:ind w:firstLine="720"/>
      </w:pPr>
    </w:p>
    <w:p w14:paraId="7F25086C" w14:textId="34453456" w:rsidR="00EE7E4B" w:rsidRDefault="00326BDA" w:rsidP="00326BDA">
      <w:pPr>
        <w:ind w:left="720"/>
      </w:pPr>
      <w:r>
        <w:t>The prince should not go to war, which always brings great harm especially to the common people, and if war is unavoidable, he should see that as little bloodshed results, and that it be brought to a swift conclusion</w:t>
      </w:r>
      <w:r w:rsidR="00147CD1">
        <w:t>.</w:t>
      </w:r>
      <w:r>
        <w:rPr>
          <w:rStyle w:val="FootnoteReference"/>
        </w:rPr>
        <w:footnoteReference w:id="2"/>
      </w:r>
    </w:p>
    <w:p w14:paraId="0FC75F92" w14:textId="77777777" w:rsidR="00326BDA" w:rsidRDefault="00326BDA" w:rsidP="00326BDA"/>
    <w:p w14:paraId="103C2119" w14:textId="1EB8C7DB" w:rsidR="00326BDA" w:rsidRDefault="00326BDA" w:rsidP="00326BDA">
      <w:r>
        <w:t xml:space="preserve">But even after saying this, he does not expand on how a prince should avoid a war. He instead prefers the prince apply reason in the form of rising above the </w:t>
      </w:r>
      <w:r w:rsidR="000726EC">
        <w:t>situation,</w:t>
      </w:r>
      <w:r>
        <w:t xml:space="preserve"> thinking from a moral standpoint, rather than looking at the circumstances objectively.</w:t>
      </w:r>
      <w:r w:rsidR="000726EC">
        <w:t xml:space="preserve"> He wants the prince, in a time of war to apply Christian values, however it is an unrealistic expectation especially since the prince’s response to a war is not dependent on his own thoughts. It opens the door for many questions, like, how can the prince decide the body count of the people he sends to </w:t>
      </w:r>
      <w:r w:rsidR="000726EC">
        <w:lastRenderedPageBreak/>
        <w:t xml:space="preserve">war? Or is it possible to be successful in a war if there are no sacrifices? And if he avoids a war coming to him, how does he expect the people in his society to survive? These are questions that Erasmus does not answer or did not even consider when educating the prince. In fact, Fritz </w:t>
      </w:r>
      <w:r w:rsidR="007F3459">
        <w:t>C</w:t>
      </w:r>
      <w:r w:rsidR="000726EC">
        <w:t>aspari argues that:</w:t>
      </w:r>
    </w:p>
    <w:p w14:paraId="714B4664" w14:textId="77777777" w:rsidR="007F3459" w:rsidRDefault="007F3459" w:rsidP="00326BDA"/>
    <w:p w14:paraId="3CF0964A" w14:textId="6FD85ED7" w:rsidR="000726EC" w:rsidRDefault="000726EC" w:rsidP="007F3459">
      <w:pPr>
        <w:ind w:left="720"/>
      </w:pPr>
      <w:r>
        <w:t>E</w:t>
      </w:r>
      <w:r>
        <w:t>rasmus was frequently vague and sometimes</w:t>
      </w:r>
      <w:r>
        <w:t xml:space="preserve"> </w:t>
      </w:r>
      <w:r>
        <w:t>contradictory when he came to positive suggestions about the organization of society and the state. It shows the distance at which</w:t>
      </w:r>
      <w:r>
        <w:t xml:space="preserve"> </w:t>
      </w:r>
      <w:r>
        <w:t>he</w:t>
      </w:r>
      <w:r>
        <w:t xml:space="preserve"> </w:t>
      </w:r>
      <w:r>
        <w:t>lived from the practical conditions of human life. Such abstraction is often necessary for the</w:t>
      </w:r>
      <w:r>
        <w:t xml:space="preserve"> </w:t>
      </w:r>
      <w:r>
        <w:t>philosopher, but its continued practice is dangerous for the social reformer. It meant, in the</w:t>
      </w:r>
      <w:r>
        <w:t xml:space="preserve"> </w:t>
      </w:r>
      <w:r>
        <w:t>case of</w:t>
      </w:r>
      <w:r>
        <w:t xml:space="preserve"> </w:t>
      </w:r>
      <w:r>
        <w:t>Erasmus, that his plan for a general improvement of mankind was</w:t>
      </w:r>
      <w:r w:rsidR="007F3459">
        <w:t xml:space="preserve"> </w:t>
      </w:r>
      <w:r>
        <w:t>too vague to be put into practice.</w:t>
      </w:r>
      <w:r w:rsidR="007F3459">
        <w:rPr>
          <w:rStyle w:val="FootnoteReference"/>
        </w:rPr>
        <w:footnoteReference w:id="3"/>
      </w:r>
    </w:p>
    <w:p w14:paraId="617E859E" w14:textId="77777777" w:rsidR="007F3459" w:rsidRDefault="007F3459" w:rsidP="007F3459"/>
    <w:p w14:paraId="1564D162" w14:textId="00FD55B3" w:rsidR="007F3459" w:rsidRDefault="007F3459" w:rsidP="007F3459">
      <w:r>
        <w:t>This summation of Erasmus’s vagueness is consistent throughout his thoughts on war. He spirals into a conclusion that he would perceive to be</w:t>
      </w:r>
      <w:r w:rsidR="00CB7FA0">
        <w:t xml:space="preserve"> an</w:t>
      </w:r>
      <w:r>
        <w:t xml:space="preserve"> explanation for how a prince should avoid war. Unfortunately, it does not begin to give a practical response, instead, he compares men who go to war as wild beasts. He says:</w:t>
      </w:r>
    </w:p>
    <w:p w14:paraId="0A1C0F02" w14:textId="7178688F" w:rsidR="007F3459" w:rsidRDefault="007F3459" w:rsidP="007F3459">
      <w:r>
        <w:tab/>
      </w:r>
    </w:p>
    <w:p w14:paraId="2731A83B" w14:textId="62496BB0" w:rsidR="007F3459" w:rsidRDefault="007F3459" w:rsidP="007F3459">
      <w:pPr>
        <w:ind w:left="720"/>
      </w:pPr>
      <w:r>
        <w:t>Firstly, the truly Christian prince should weigh how great is the distinction between man, an animal born to peace and kindliness, and wild beasts, born to hunt and fight. Then he should consider how great is the distinction between man and a Christian man.</w:t>
      </w:r>
      <w:r>
        <w:rPr>
          <w:rStyle w:val="FootnoteReference"/>
        </w:rPr>
        <w:footnoteReference w:id="4"/>
      </w:r>
    </w:p>
    <w:p w14:paraId="33B08283" w14:textId="77777777" w:rsidR="007F3459" w:rsidRDefault="007F3459" w:rsidP="007F3459"/>
    <w:p w14:paraId="28D0B042" w14:textId="61440BC2" w:rsidR="007F3459" w:rsidRDefault="007F3459" w:rsidP="007F3459">
      <w:r>
        <w:t xml:space="preserve">Rather than evolving the conversation </w:t>
      </w:r>
      <w:r w:rsidR="0089714B">
        <w:t>to one that articulates a practical solution to war, he takes a jab at the people who are willing to go to war to protect their subjects instead of taking a chance on an idealistic rhetoric. Erasmus adapts a “holier than thou” attitude in this instance because</w:t>
      </w:r>
      <w:r w:rsidR="00B175C6">
        <w:t xml:space="preserve"> he believes that Christian men are more superior to those who do not ascribe to Christian teachings as the end all be all. This position is a consequence of the distance the Caspari speaks about. His removal from human life does not allow him to understand how reality works</w:t>
      </w:r>
      <w:r w:rsidR="0005042A">
        <w:t>. While he sees it as clay ready to be moulded by Christian theology, that is not the case because there are aspects of human life that cannot be solved simply by ideas of pacifism. In this case, war is not something that is preventable by having Christian morals because there are situations that call for a war.</w:t>
      </w:r>
      <w:r w:rsidR="009459C5">
        <w:t xml:space="preserve"> </w:t>
      </w:r>
      <w:r w:rsidR="0038313D">
        <w:t>War is not an abomination</w:t>
      </w:r>
      <w:r w:rsidR="0038313D">
        <w:rPr>
          <w:rStyle w:val="FootnoteReference"/>
        </w:rPr>
        <w:footnoteReference w:id="5"/>
      </w:r>
      <w:r w:rsidR="0038313D">
        <w:t xml:space="preserve">, instead, it has been the solution for numerous social and political injustices outside of Erasmus’s era. </w:t>
      </w:r>
      <w:r w:rsidR="009459C5">
        <w:t>Erasmus’s goal is to create a Christian prince or a Christian leader, rather than a leader that reacts to the reality he is living</w:t>
      </w:r>
      <w:r w:rsidR="00CB7FA0">
        <w:t xml:space="preserve">, </w:t>
      </w:r>
      <w:r w:rsidR="009459C5">
        <w:t xml:space="preserve">instead </w:t>
      </w:r>
      <w:r w:rsidR="004F4A5B">
        <w:t xml:space="preserve">he </w:t>
      </w:r>
      <w:r w:rsidR="00DC0910">
        <w:t xml:space="preserve">hopes </w:t>
      </w:r>
      <w:r w:rsidR="009459C5">
        <w:t>of an ideal one.</w:t>
      </w:r>
      <w:r w:rsidR="00DC0910">
        <w:t xml:space="preserve"> Caspari articulates that:</w:t>
      </w:r>
    </w:p>
    <w:p w14:paraId="7714CB3F" w14:textId="3AAF8CE2" w:rsidR="00DC0910" w:rsidRDefault="00DC0910" w:rsidP="00DC0910">
      <w:r>
        <w:tab/>
        <w:t xml:space="preserve"> </w:t>
      </w:r>
    </w:p>
    <w:p w14:paraId="6DBFD380" w14:textId="639A1981" w:rsidR="00DC0910" w:rsidRDefault="00DC0910" w:rsidP="00DC0910">
      <w:pPr>
        <w:ind w:left="720"/>
      </w:pPr>
      <w:r>
        <w:t>The central position reason assumed in the work of Erasmus</w:t>
      </w:r>
      <w:r>
        <w:t xml:space="preserve"> </w:t>
      </w:r>
      <w:r>
        <w:t>reflects the preponderant role it played in his own life and thought.</w:t>
      </w:r>
      <w:r>
        <w:t xml:space="preserve"> </w:t>
      </w:r>
      <w:r>
        <w:t>His scholarly, detached, and noncommittal attitude restricted his</w:t>
      </w:r>
      <w:r>
        <w:t xml:space="preserve"> </w:t>
      </w:r>
      <w:r>
        <w:t>practical effectiveness: it is not an unfair criticism to say that his</w:t>
      </w:r>
      <w:r>
        <w:t xml:space="preserve"> </w:t>
      </w:r>
      <w:r>
        <w:t>conceptions of</w:t>
      </w:r>
      <w:r>
        <w:t xml:space="preserve"> </w:t>
      </w:r>
      <w:r>
        <w:t>man, society, and the state, admirable as they are</w:t>
      </w:r>
      <w:r>
        <w:t xml:space="preserve"> </w:t>
      </w:r>
      <w:r>
        <w:t>in their burning idealism, often seem lifeless because, while they</w:t>
      </w:r>
      <w:r>
        <w:t xml:space="preserve"> </w:t>
      </w:r>
      <w:r>
        <w:t>have much esprit, they lack body. Or, to put it differently, his good</w:t>
      </w:r>
      <w:r>
        <w:t xml:space="preserve"> </w:t>
      </w:r>
      <w:r>
        <w:t>wine spills because he provides no receptacle for it.</w:t>
      </w:r>
      <w:r>
        <w:rPr>
          <w:rStyle w:val="FootnoteReference"/>
        </w:rPr>
        <w:footnoteReference w:id="6"/>
      </w:r>
    </w:p>
    <w:p w14:paraId="15F5BC4E" w14:textId="77777777" w:rsidR="00DC0910" w:rsidRDefault="00DC0910" w:rsidP="007F3459"/>
    <w:p w14:paraId="016378DA" w14:textId="3EA4055E" w:rsidR="00DC0910" w:rsidRDefault="00DC0910" w:rsidP="00B85F73">
      <w:pPr>
        <w:ind w:firstLine="720"/>
      </w:pPr>
      <w:r>
        <w:t>Caspari’s thought is closely examined in the scope of Erasmus’s lack of consideration for the collective</w:t>
      </w:r>
      <w:r w:rsidR="00B85F73">
        <w:t>. Like</w:t>
      </w:r>
      <w:r w:rsidR="004F4A5B">
        <w:t xml:space="preserve"> </w:t>
      </w:r>
      <w:r w:rsidR="00B85F73">
        <w:t xml:space="preserve">his position on war based on his own experience, Erasmus wants to </w:t>
      </w:r>
      <w:r w:rsidR="00B85F73">
        <w:lastRenderedPageBreak/>
        <w:t>implement Christian values into society, especially, in the way that it</w:t>
      </w:r>
      <w:r w:rsidR="004F4A5B">
        <w:t xml:space="preserve"> is</w:t>
      </w:r>
      <w:r w:rsidR="00B85F73">
        <w:t xml:space="preserve"> governed</w:t>
      </w:r>
      <w:r w:rsidR="004F4A5B">
        <w:t xml:space="preserve"> </w:t>
      </w:r>
      <w:r w:rsidR="00B85F73">
        <w:t>based on his own belief system</w:t>
      </w:r>
      <w:r w:rsidR="005D1213">
        <w:t>; that education is a crucial factor and decides an individual’s position</w:t>
      </w:r>
      <w:r w:rsidR="00B85F73">
        <w:t xml:space="preserve">. </w:t>
      </w:r>
    </w:p>
    <w:p w14:paraId="68E79855" w14:textId="77777777" w:rsidR="00B85F73" w:rsidRDefault="00B85F73" w:rsidP="00B85F73">
      <w:pPr>
        <w:ind w:firstLine="720"/>
      </w:pPr>
    </w:p>
    <w:p w14:paraId="059D22C8" w14:textId="18A0ED6E" w:rsidR="00B85F73" w:rsidRDefault="00B85F73" w:rsidP="00EB7190">
      <w:pPr>
        <w:ind w:left="720"/>
      </w:pPr>
      <w:r>
        <w:t>Erasmus urges the prince to bestow rewards and honors on the law-abiding, and to discourage</w:t>
      </w:r>
      <w:r w:rsidR="00EB7190">
        <w:t xml:space="preserve"> those given to idleness: beggars, but also other who are employed mainly for ostentation or who, like soldiers, are between obligations.</w:t>
      </w:r>
      <w:r w:rsidR="00EB7190">
        <w:rPr>
          <w:rStyle w:val="FootnoteReference"/>
        </w:rPr>
        <w:footnoteReference w:id="7"/>
      </w:r>
    </w:p>
    <w:p w14:paraId="5D19E7B7" w14:textId="77777777" w:rsidR="00EB7190" w:rsidRDefault="00EB7190" w:rsidP="00EB7190"/>
    <w:p w14:paraId="0780EBA0" w14:textId="63CE4F86" w:rsidR="00EB7190" w:rsidRDefault="00EB7190" w:rsidP="00EB7190">
      <w:r>
        <w:t>With this framework, Erasmus tries to isolate the righteous or the morally good from the morally corrupt (as he seems to imply) as a consequence of their circumstances. It is unrealistic to expect perfection from a group of people, given that they have different things to contend with in their own lives. Erasmus’s position contradicts the very fabric of his argument because he easily criticises other</w:t>
      </w:r>
      <w:r w:rsidR="005D1213">
        <w:t>s</w:t>
      </w:r>
      <w:r>
        <w:t xml:space="preserve"> for their shortcomings, which in itself does not embody Christ. He poses that his methods are for the collective, however, his thoughts do not align. </w:t>
      </w:r>
      <w:r w:rsidR="008F10FB">
        <w:t>The laws in which the prince should create</w:t>
      </w:r>
      <w:r w:rsidR="005D1213">
        <w:t>,</w:t>
      </w:r>
      <w:r w:rsidR="008F10FB">
        <w:t xml:space="preserve"> according to Erasmus</w:t>
      </w:r>
      <w:r w:rsidR="005D1213">
        <w:t>,</w:t>
      </w:r>
      <w:r w:rsidR="008F10FB">
        <w:t xml:space="preserve"> only benefit those who are worthy</w:t>
      </w:r>
      <w:r w:rsidR="005D1213">
        <w:t xml:space="preserve"> by his standards</w:t>
      </w:r>
      <w:r w:rsidR="008F10FB">
        <w:t>. This cements Caspari’s point, that while his intentions are honourable, they are deficient in execution.</w:t>
      </w:r>
      <w:r w:rsidR="00580370">
        <w:t xml:space="preserve"> Lester K. Born, points out </w:t>
      </w:r>
      <w:r w:rsidR="00DA4D08">
        <w:t>another inconsistency</w:t>
      </w:r>
      <w:r w:rsidR="00580370">
        <w:t xml:space="preserve"> in Erasmus’s methods when he speaks on what makes a Christian prince. He makes reference to a chapter in </w:t>
      </w:r>
      <w:r w:rsidR="00580370">
        <w:rPr>
          <w:i/>
          <w:iCs/>
        </w:rPr>
        <w:t>“On the Education of a Christian prince</w:t>
      </w:r>
      <w:r w:rsidR="00207F68">
        <w:rPr>
          <w:i/>
          <w:iCs/>
        </w:rPr>
        <w:t xml:space="preserve">” </w:t>
      </w:r>
      <w:r w:rsidR="00207F68">
        <w:t>stating:</w:t>
      </w:r>
    </w:p>
    <w:p w14:paraId="1C145CCA" w14:textId="77777777" w:rsidR="00207F68" w:rsidRDefault="00207F68" w:rsidP="00EB7190"/>
    <w:p w14:paraId="157EBB32" w14:textId="318AF39D" w:rsidR="00207F68" w:rsidRDefault="00207F68" w:rsidP="00207F68">
      <w:pPr>
        <w:ind w:left="720"/>
      </w:pPr>
      <w:r>
        <w:t>U</w:t>
      </w:r>
      <w:r>
        <w:t>nder this</w:t>
      </w:r>
      <w:r>
        <w:t xml:space="preserve"> </w:t>
      </w:r>
      <w:r>
        <w:t>heading come</w:t>
      </w:r>
      <w:r w:rsidR="008A632D">
        <w:t>s</w:t>
      </w:r>
      <w:r>
        <w:t xml:space="preserve"> the love of a prince for his subjects, and the reciprocal fait</w:t>
      </w:r>
      <w:r>
        <w:t xml:space="preserve">h </w:t>
      </w:r>
      <w:r>
        <w:t>and loyalty that it engenders. The prince should</w:t>
      </w:r>
      <w:r>
        <w:t xml:space="preserve"> </w:t>
      </w:r>
      <w:r>
        <w:t>first know his own kingdom thoroughly by travel, and by the</w:t>
      </w:r>
      <w:r>
        <w:t xml:space="preserve"> </w:t>
      </w:r>
      <w:r>
        <w:t>study of history and geography, so that he can understand its</w:t>
      </w:r>
      <w:r>
        <w:t xml:space="preserve"> </w:t>
      </w:r>
      <w:r>
        <w:t>problems.</w:t>
      </w:r>
      <w:r>
        <w:rPr>
          <w:rStyle w:val="FootnoteReference"/>
        </w:rPr>
        <w:footnoteReference w:id="8"/>
      </w:r>
    </w:p>
    <w:p w14:paraId="73AB2D0B" w14:textId="77777777" w:rsidR="008A632D" w:rsidRDefault="008A632D" w:rsidP="008A632D"/>
    <w:p w14:paraId="7AF49714" w14:textId="305EF688" w:rsidR="00D46147" w:rsidRDefault="008A632D" w:rsidP="00D46147">
      <w:r>
        <w:t xml:space="preserve">While the prince must learn of his subjects’ problems, there are no viable solutions to them, unless it is in the framework of morality. A problem that requires a forceful hand cannot be solved because it goes against the nature of Erasmus’s theory. Therefore, it contradicts his teaching that the prince should know the problems of his subjects, especially when he cannot guarantee fixing the problems. Erasmus’s expression of reciprocal loyalty and faith once again points to his removal from humanity. In an ideal world, he expects the citizens to respond </w:t>
      </w:r>
      <w:r w:rsidR="004F4A5B">
        <w:t>by being</w:t>
      </w:r>
      <w:r>
        <w:t xml:space="preserve"> grateful for the prince’s </w:t>
      </w:r>
      <w:r w:rsidR="000F48FE">
        <w:t>leadership. Unfortunately, he does not deliberate the problems he has created by isolating those educated through his Christian values from those who do not follow them, as well as the upper echelon of society he has fallen out of favour with because of his laws. Instead, the citizens are less likely to be loyal to the prince. He believes that with good ethics and leading like Christ the prince has fulfilled the responsibilities assigned to him.</w:t>
      </w:r>
      <w:r w:rsidR="00D46147">
        <w:t xml:space="preserve"> Caspari emphasises that, “</w:t>
      </w:r>
      <w:r w:rsidR="00D46147">
        <w:t>In his philosophy, the degree of knowledge determines man's position: he who knows most approximates the divine most closely.</w:t>
      </w:r>
      <w:r w:rsidR="00D46147">
        <w:t>”</w:t>
      </w:r>
      <w:r w:rsidR="00D46147">
        <w:rPr>
          <w:rStyle w:val="FootnoteReference"/>
        </w:rPr>
        <w:footnoteReference w:id="9"/>
      </w:r>
      <w:r w:rsidR="00D46147">
        <w:t xml:space="preserve"> </w:t>
      </w:r>
      <w:r w:rsidR="00417EB5">
        <w:t>This furthers the point that Erasmus’s methods were only applicable to those that were Christ like</w:t>
      </w:r>
      <w:r w:rsidR="005D1213">
        <w:t xml:space="preserve"> and were just as educated as him</w:t>
      </w:r>
      <w:r w:rsidR="00417EB5">
        <w:t xml:space="preserve">, which meant </w:t>
      </w:r>
      <w:r w:rsidR="005D1213">
        <w:t xml:space="preserve">that </w:t>
      </w:r>
      <w:r w:rsidR="00417EB5">
        <w:t xml:space="preserve">the prince should cater to their needs specifically. </w:t>
      </w:r>
      <w:r w:rsidR="005D1213">
        <w:t>Caspari further affirms:</w:t>
      </w:r>
    </w:p>
    <w:p w14:paraId="7F9147F5" w14:textId="77777777" w:rsidR="005D1213" w:rsidRDefault="005D1213" w:rsidP="005D1213"/>
    <w:p w14:paraId="73202DFE" w14:textId="038280B6" w:rsidR="005D1213" w:rsidRDefault="005D1213" w:rsidP="005D1213">
      <w:pPr>
        <w:ind w:left="720"/>
      </w:pPr>
      <w:r>
        <w:t>A</w:t>
      </w:r>
      <w:r>
        <w:t>s an educational optimist, he fails</w:t>
      </w:r>
      <w:r>
        <w:t xml:space="preserve"> </w:t>
      </w:r>
      <w:r>
        <w:t>to see that there are very definite limitations to the effectiveness of</w:t>
      </w:r>
      <w:r>
        <w:t xml:space="preserve"> </w:t>
      </w:r>
      <w:r>
        <w:t>education; that it is, after all, unlikely that by it all men can be</w:t>
      </w:r>
      <w:r>
        <w:t xml:space="preserve"> </w:t>
      </w:r>
      <w:r>
        <w:t>made good and filled with love for each other as they would have</w:t>
      </w:r>
      <w:r>
        <w:t xml:space="preserve"> </w:t>
      </w:r>
      <w:r>
        <w:t>to be in his ideal state.</w:t>
      </w:r>
      <w:r>
        <w:rPr>
          <w:rStyle w:val="FootnoteReference"/>
        </w:rPr>
        <w:footnoteReference w:id="10"/>
      </w:r>
    </w:p>
    <w:p w14:paraId="1454CF75" w14:textId="77777777" w:rsidR="00D46147" w:rsidRDefault="00D46147" w:rsidP="00D46147"/>
    <w:p w14:paraId="14262B6F" w14:textId="2B229C3C" w:rsidR="005D1213" w:rsidRPr="00207F68" w:rsidRDefault="009328FA" w:rsidP="00D46147">
      <w:r>
        <w:lastRenderedPageBreak/>
        <w:t>This means that Erasmus’s pro-education stance, does not count that there are possibilities of it not working in the real world because people are not one-dimensional. It also provides a moment of discussion on whether someone is good because of their educational status or if an individual is bad because they lack the same educational background. These are things that Erasmus does not elaborate or even reflect on.</w:t>
      </w:r>
    </w:p>
    <w:p w14:paraId="0C6ADEDE" w14:textId="77777777" w:rsidR="00D46147" w:rsidRDefault="00D46147" w:rsidP="00D46147"/>
    <w:p w14:paraId="5B3039A0" w14:textId="3BA50667" w:rsidR="00015E13" w:rsidRDefault="00F16587" w:rsidP="00015E13">
      <w:pPr>
        <w:ind w:firstLine="720"/>
      </w:pPr>
      <w:r>
        <w:t xml:space="preserve"> Erasmus is limited by his idealism, </w:t>
      </w:r>
      <w:r w:rsidR="00015E13">
        <w:t xml:space="preserve">while </w:t>
      </w:r>
      <w:r>
        <w:t>Machiavelli explores the reality of each situation which may cause a prince to act immorally (based on Erasmus’s beliefs)</w:t>
      </w:r>
      <w:r w:rsidR="00015E13">
        <w:t xml:space="preserve"> and how it helps the totality of the prince’s subjects rather than a select few</w:t>
      </w:r>
      <w:r>
        <w:t xml:space="preserve">. </w:t>
      </w:r>
      <w:r w:rsidR="00015E13">
        <w:t>Caspari’s assertion is that:</w:t>
      </w:r>
    </w:p>
    <w:p w14:paraId="4B33DE17" w14:textId="77777777" w:rsidR="00015E13" w:rsidRDefault="00015E13" w:rsidP="00D46147"/>
    <w:p w14:paraId="52660B2A" w14:textId="058B72A9" w:rsidR="00015E13" w:rsidRDefault="00015E13" w:rsidP="00015E13">
      <w:pPr>
        <w:ind w:left="720"/>
      </w:pPr>
      <w:r>
        <w:t>Wh</w:t>
      </w:r>
      <w:r>
        <w:t>ereas Machiavelli assumed the a-moral</w:t>
      </w:r>
      <w:r>
        <w:t xml:space="preserve"> </w:t>
      </w:r>
      <w:r>
        <w:t>political practices prevailing at the time to be natural and inevitable and rationalized them into an eminently practical and realistic</w:t>
      </w:r>
      <w:r>
        <w:t xml:space="preserve"> </w:t>
      </w:r>
      <w:r>
        <w:t>political system, Erasmus opposed these same practices by</w:t>
      </w:r>
      <w:r>
        <w:t xml:space="preserve"> </w:t>
      </w:r>
      <w:r>
        <w:t>his humanistic idealism,</w:t>
      </w:r>
      <w:r>
        <w:t xml:space="preserve"> …</w:t>
      </w:r>
      <w:r>
        <w:rPr>
          <w:rStyle w:val="FootnoteReference"/>
        </w:rPr>
        <w:footnoteReference w:id="11"/>
      </w:r>
    </w:p>
    <w:p w14:paraId="20EEEABB" w14:textId="77777777" w:rsidR="00015E13" w:rsidRDefault="00015E13" w:rsidP="00D46147"/>
    <w:p w14:paraId="29F7FE59" w14:textId="1B413FFA" w:rsidR="009328FA" w:rsidRDefault="00015E13" w:rsidP="00D46147">
      <w:r>
        <w:t xml:space="preserve">Machiavelli’s </w:t>
      </w:r>
      <w:r>
        <w:rPr>
          <w:i/>
          <w:iCs/>
        </w:rPr>
        <w:t xml:space="preserve">“The Prince” </w:t>
      </w:r>
      <w:r>
        <w:t xml:space="preserve">explores these a-moral practices and divulges how the moral action is not the most suitable action in some situations. His words are strong, which seems to be the reason his position although known, is not the most liked. </w:t>
      </w:r>
      <w:r w:rsidR="00C9592A">
        <w:t>He explains in detail how morality can fail a society, which when looked at objectively is understood. He says:</w:t>
      </w:r>
    </w:p>
    <w:p w14:paraId="017BCC16" w14:textId="055121B1" w:rsidR="00C9592A" w:rsidRDefault="00C9592A" w:rsidP="00D46147">
      <w:r>
        <w:tab/>
      </w:r>
    </w:p>
    <w:p w14:paraId="7B271683" w14:textId="72E2A81E" w:rsidR="00C9592A" w:rsidRPr="00015E13" w:rsidRDefault="00C9592A" w:rsidP="00C9592A">
      <w:pPr>
        <w:ind w:left="720"/>
      </w:pPr>
      <w:r>
        <w:t xml:space="preserve">Cesare Borgia was thought of as cruel; but this supposed cruelty of his restored order to the Romagna, united it, rendered it peaceful and law-abiding. If you think about it, you will realize he was, in fact, much more compassionate than the people of Florence, who, </w:t>
      </w:r>
      <w:r w:rsidR="004F4A5B">
        <w:t xml:space="preserve">in </w:t>
      </w:r>
      <w:r>
        <w:t xml:space="preserve">order to avoid being thought cruel, allowed </w:t>
      </w:r>
      <w:proofErr w:type="spellStart"/>
      <w:r>
        <w:t>Pistioia</w:t>
      </w:r>
      <w:proofErr w:type="spellEnd"/>
      <w:r>
        <w:t xml:space="preserve"> to tear  itself apart, So as a ruler ought not to mind the disgrace of being called cruel, if he keeps his subjects peaceful and law-abiding…</w:t>
      </w:r>
      <w:r>
        <w:rPr>
          <w:rStyle w:val="FootnoteReference"/>
        </w:rPr>
        <w:footnoteReference w:id="12"/>
      </w:r>
    </w:p>
    <w:p w14:paraId="1DB23D5D" w14:textId="364F5D1A" w:rsidR="00D46147" w:rsidRDefault="00D46147" w:rsidP="00D46147"/>
    <w:p w14:paraId="0D4017FB" w14:textId="7F60CD68" w:rsidR="00E56B3E" w:rsidRDefault="00C9592A" w:rsidP="00D46147">
      <w:r>
        <w:t xml:space="preserve">Machiavelli clearly does not leave any guessing about what he means when he talks about morality or lack thereof. He understands how inaction because of an innate sense of morality can cause more harm than good. </w:t>
      </w:r>
      <w:r w:rsidR="00100C72">
        <w:t xml:space="preserve">For him, it is better to be called cruel over an event that had realistic outcomes, than catering to an idea that does not take into account the common struggles. Machiavelli does not claim that having morals is wrong, however, he contends that allowing these morals </w:t>
      </w:r>
      <w:r w:rsidR="004F4A5B">
        <w:t xml:space="preserve">has the potential to make a prince appear weak and </w:t>
      </w:r>
      <w:r w:rsidR="00100C72">
        <w:t>can cause him problems in his kingdom. It allows other kingdoms to view him as weak</w:t>
      </w:r>
      <w:r w:rsidR="000A5E6F">
        <w:t>, therefore, it is better to be feared than loved.</w:t>
      </w:r>
      <w:r w:rsidR="000A5E6F">
        <w:rPr>
          <w:rStyle w:val="FootnoteReference"/>
        </w:rPr>
        <w:footnoteReference w:id="13"/>
      </w:r>
      <w:r w:rsidR="00E56B3E">
        <w:t xml:space="preserve"> He explains in detail why he chooses these routes:</w:t>
      </w:r>
    </w:p>
    <w:p w14:paraId="598DAEB8" w14:textId="77777777" w:rsidR="00E56B3E" w:rsidRDefault="00E56B3E" w:rsidP="00D46147"/>
    <w:p w14:paraId="38073D6A" w14:textId="7B8B4F8F" w:rsidR="00E56B3E" w:rsidRDefault="00E56B3E" w:rsidP="00E56B3E">
      <w:pPr>
        <w:ind w:left="720"/>
      </w:pPr>
      <w:r>
        <w:t>It may be answered that one should wish to be both, but, because it</w:t>
      </w:r>
      <w:r w:rsidR="00420101">
        <w:t xml:space="preserve"> is</w:t>
      </w:r>
      <w:r>
        <w:t xml:space="preserve"> difficult to unite then in one person, it is much safer to be feared than loved, when, of the two, either must be dispensed with. Because this is to be asserted in general of men, that they are ungrateful, fickle, false, cowardly, covetous, and as long as you succeed, they are yours entirely…</w:t>
      </w:r>
      <w:r>
        <w:rPr>
          <w:rStyle w:val="FootnoteReference"/>
        </w:rPr>
        <w:footnoteReference w:id="14"/>
      </w:r>
    </w:p>
    <w:p w14:paraId="48BEA3A4" w14:textId="77777777" w:rsidR="00E56B3E" w:rsidRDefault="00E56B3E" w:rsidP="00E56B3E"/>
    <w:p w14:paraId="7E1977DA" w14:textId="02D81570" w:rsidR="00E56B3E" w:rsidRDefault="00E56B3E" w:rsidP="00E56B3E">
      <w:r>
        <w:t>Machiavelli respects that people are constantly changing, therefore it is difficult as a leader to satisfy all their desires.</w:t>
      </w:r>
      <w:r w:rsidR="000627C5">
        <w:t xml:space="preserve"> He is aware of the real world and does not see fear as synonymous to hatred, therefore being feared in necessary but being hated is not the goal.</w:t>
      </w:r>
      <w:r>
        <w:t xml:space="preserve"> On the other hand, Erasmus </w:t>
      </w:r>
      <w:r w:rsidR="000627C5">
        <w:t xml:space="preserve">only sees the flaws of people from their lack </w:t>
      </w:r>
      <w:r w:rsidR="00420101">
        <w:t xml:space="preserve">of </w:t>
      </w:r>
      <w:r w:rsidR="000627C5">
        <w:t xml:space="preserve">education and Christian beliefs. </w:t>
      </w:r>
    </w:p>
    <w:p w14:paraId="47CC2F86" w14:textId="77777777" w:rsidR="000627C5" w:rsidRDefault="000627C5" w:rsidP="00E56B3E"/>
    <w:p w14:paraId="07836799" w14:textId="74510035" w:rsidR="000627C5" w:rsidRDefault="000627C5" w:rsidP="00E56B3E">
      <w:r>
        <w:tab/>
        <w:t xml:space="preserve">Timothy J. Lukes highlights how critics often misconstrue Machiavelli’s work to fit their own narrative, especially in the case of the use of the lion and fox analogy. He says that people often overlook the lion in favour of the fox, which illuminates only part of what </w:t>
      </w:r>
      <w:r w:rsidR="007D4D7E">
        <w:t>Machiavelli</w:t>
      </w:r>
      <w:r>
        <w:t xml:space="preserve"> </w:t>
      </w:r>
      <w:r w:rsidR="007D4D7E">
        <w:t xml:space="preserve">means. Lukes states: </w:t>
      </w:r>
    </w:p>
    <w:p w14:paraId="2F665840" w14:textId="77777777" w:rsidR="007D4D7E" w:rsidRDefault="007D4D7E" w:rsidP="00E56B3E"/>
    <w:p w14:paraId="1A3A7A12" w14:textId="7A8465A9" w:rsidR="007D4D7E" w:rsidRDefault="007D4D7E" w:rsidP="007D4D7E">
      <w:r>
        <w:tab/>
        <w:t>M</w:t>
      </w:r>
      <w:r>
        <w:t>achiavelli advises his prince to</w:t>
      </w:r>
      <w:r>
        <w:t xml:space="preserve"> </w:t>
      </w:r>
      <w:r>
        <w:t>emulate the fox, the cleverest of animals. The fox</w:t>
      </w:r>
    </w:p>
    <w:p w14:paraId="247792D7" w14:textId="3A3F094C" w:rsidR="007D4D7E" w:rsidRDefault="007D4D7E" w:rsidP="007D4D7E">
      <w:pPr>
        <w:ind w:left="720"/>
      </w:pPr>
      <w:r>
        <w:t>ratifies the underlying consensus in Sasso's scholarly</w:t>
      </w:r>
      <w:r>
        <w:t xml:space="preserve"> </w:t>
      </w:r>
      <w:r>
        <w:t>dichotomy. The fox is sly, not above employing its</w:t>
      </w:r>
      <w:r>
        <w:t xml:space="preserve"> </w:t>
      </w:r>
      <w:r>
        <w:t>intelligence in service of the ignoble.</w:t>
      </w:r>
      <w:r>
        <w:t xml:space="preserve"> </w:t>
      </w:r>
      <w:r>
        <w:t>Machiavelli also asks his prince to</w:t>
      </w:r>
      <w:r>
        <w:t xml:space="preserve"> </w:t>
      </w:r>
      <w:r>
        <w:t>consider the</w:t>
      </w:r>
      <w:r>
        <w:t xml:space="preserve"> </w:t>
      </w:r>
      <w:proofErr w:type="spellStart"/>
      <w:r>
        <w:t>demeanor</w:t>
      </w:r>
      <w:proofErr w:type="spellEnd"/>
      <w:r>
        <w:t xml:space="preserve"> of the lion, but that is dismissed by his</w:t>
      </w:r>
      <w:r>
        <w:t xml:space="preserve"> </w:t>
      </w:r>
      <w:r>
        <w:t>analysts as an uninteresting or unimportant accessory,</w:t>
      </w:r>
      <w:r>
        <w:t xml:space="preserve"> </w:t>
      </w:r>
      <w:r>
        <w:t>even though Machiavelli grants equal proportions to</w:t>
      </w:r>
      <w:r>
        <w:t xml:space="preserve"> </w:t>
      </w:r>
      <w:r>
        <w:t>both of the animals in his hybrid.</w:t>
      </w:r>
      <w:r>
        <w:rPr>
          <w:rStyle w:val="FootnoteReference"/>
        </w:rPr>
        <w:footnoteReference w:id="15"/>
      </w:r>
    </w:p>
    <w:p w14:paraId="44A729BD" w14:textId="77777777" w:rsidR="007D4D7E" w:rsidRDefault="007D4D7E" w:rsidP="007D4D7E"/>
    <w:p w14:paraId="7BA89E1C" w14:textId="48D030FA" w:rsidR="007D4D7E" w:rsidRDefault="007D4D7E" w:rsidP="007D4D7E">
      <w:r>
        <w:t>For Machiavelli, it is important the prince has both traits in the hopes of being a successful leader. Again, he understands how the world works, that there are forces willing to work against a leader if he does not exhibit traits</w:t>
      </w:r>
      <w:r w:rsidR="00602904">
        <w:t xml:space="preserve"> to</w:t>
      </w:r>
      <w:r>
        <w:t xml:space="preserve"> </w:t>
      </w:r>
      <w:r w:rsidR="00602904">
        <w:t>sustains his kingdom. He does not just say the words, instead he elaborates on what he means.</w:t>
      </w:r>
    </w:p>
    <w:p w14:paraId="6C7BECE9" w14:textId="77777777" w:rsidR="00602904" w:rsidRDefault="00602904" w:rsidP="007D4D7E"/>
    <w:p w14:paraId="526757CB" w14:textId="1A3697F8" w:rsidR="00420101" w:rsidRDefault="00602904" w:rsidP="007D4D7E">
      <w:r>
        <w:tab/>
        <w:t xml:space="preserve">To conclude, Renaissance humanism was a period that highlighted many ideas and thinkers like Desiderius Erasmus and Niccolò Machiavelli. It was important that different humanist and philosophers highlighted their theories in the hopes of progressing their society. Erasmus focused heavily on the topic of Christian humanism and morality and its importance when choosing a leader. He discusses this topic at length in his work </w:t>
      </w:r>
      <w:r>
        <w:rPr>
          <w:i/>
          <w:iCs/>
        </w:rPr>
        <w:t xml:space="preserve">“On the Education of a Christian Prince.” </w:t>
      </w:r>
      <w:r>
        <w:t>He values idealism over the reality of the society he lives in. He does not elaborate on his ideas, on other hand, Machiavelli does not value the things that Erasmus does, instead he is more focused on a leader that is capable of withstanding the everchanging society</w:t>
      </w:r>
      <w:r w:rsidR="00CB7FA0">
        <w:t>.</w:t>
      </w:r>
      <w:r w:rsidR="00420101">
        <w:br/>
      </w:r>
      <w:r w:rsidR="00420101">
        <w:br/>
      </w:r>
    </w:p>
    <w:p w14:paraId="3B70D6C4" w14:textId="77777777" w:rsidR="00420101" w:rsidRDefault="00420101">
      <w:r>
        <w:br w:type="page"/>
      </w:r>
    </w:p>
    <w:p w14:paraId="0A167296" w14:textId="5506E123" w:rsidR="00602904" w:rsidRDefault="00420101" w:rsidP="007D4D7E">
      <w:pPr>
        <w:rPr>
          <w:b/>
          <w:bCs/>
          <w:u w:val="single"/>
        </w:rPr>
      </w:pPr>
      <w:r w:rsidRPr="00420101">
        <w:rPr>
          <w:b/>
          <w:bCs/>
          <w:u w:val="single"/>
        </w:rPr>
        <w:lastRenderedPageBreak/>
        <w:t>Bibliography</w:t>
      </w:r>
    </w:p>
    <w:p w14:paraId="562755FD" w14:textId="77777777" w:rsidR="00420101" w:rsidRDefault="00420101" w:rsidP="007D4D7E">
      <w:pPr>
        <w:rPr>
          <w:b/>
          <w:bCs/>
          <w:u w:val="single"/>
        </w:rPr>
      </w:pPr>
    </w:p>
    <w:p w14:paraId="00F359D5" w14:textId="77777777" w:rsidR="00420101" w:rsidRDefault="00420101" w:rsidP="00420101">
      <w:pPr>
        <w:pStyle w:val="NormalWeb"/>
        <w:spacing w:before="0" w:beforeAutospacing="0" w:after="240" w:afterAutospacing="0" w:line="360" w:lineRule="auto"/>
        <w:ind w:left="720" w:hanging="720"/>
      </w:pPr>
      <w:r>
        <w:t xml:space="preserve">Born, Lester K., ‘Erasmus on Political Ethics: The </w:t>
      </w:r>
      <w:proofErr w:type="spellStart"/>
      <w:r>
        <w:t>Institutio</w:t>
      </w:r>
      <w:proofErr w:type="spellEnd"/>
      <w:r>
        <w:t xml:space="preserve"> Principis Christiani’, </w:t>
      </w:r>
      <w:r>
        <w:rPr>
          <w:i/>
          <w:iCs/>
        </w:rPr>
        <w:t>Political Science Quarterly</w:t>
      </w:r>
      <w:r>
        <w:t>, 43.4 (1928), 520 &lt;https://doi.org/10.2307/2142728&gt;</w:t>
      </w:r>
    </w:p>
    <w:p w14:paraId="12C9F62E" w14:textId="77777777" w:rsidR="00420101" w:rsidRDefault="00420101" w:rsidP="00420101">
      <w:pPr>
        <w:pStyle w:val="NormalWeb"/>
        <w:spacing w:before="0" w:beforeAutospacing="0" w:after="240" w:afterAutospacing="0" w:line="360" w:lineRule="auto"/>
        <w:ind w:left="720" w:hanging="720"/>
      </w:pPr>
      <w:r>
        <w:t xml:space="preserve">Caspari, Fritz, ‘Erasmus on the Social Functions of Christian Humanism’, </w:t>
      </w:r>
      <w:r>
        <w:rPr>
          <w:i/>
          <w:iCs/>
        </w:rPr>
        <w:t>Journal of the History of Ideas</w:t>
      </w:r>
      <w:r>
        <w:t>, 8.1 (1947), 78 &lt;https://doi.org/10.2307/2707442&gt;</w:t>
      </w:r>
    </w:p>
    <w:p w14:paraId="68F60638" w14:textId="77777777" w:rsidR="00420101" w:rsidRDefault="00420101" w:rsidP="00420101">
      <w:pPr>
        <w:pStyle w:val="NormalWeb"/>
        <w:spacing w:before="0" w:beforeAutospacing="0" w:after="240" w:afterAutospacing="0" w:line="360" w:lineRule="auto"/>
        <w:ind w:left="720" w:hanging="720"/>
      </w:pPr>
      <w:r>
        <w:t xml:space="preserve">Gray, Hanna H., ‘Renaissance Humanism: The Pursuit of Eloquence’, </w:t>
      </w:r>
      <w:r>
        <w:rPr>
          <w:i/>
          <w:iCs/>
        </w:rPr>
        <w:t>Journal of the History of Ideas</w:t>
      </w:r>
      <w:r>
        <w:t>, 24.4 (1963), 497 &lt;https://doi.org/10.2307/2707980&gt;</w:t>
      </w:r>
    </w:p>
    <w:p w14:paraId="415990EF" w14:textId="77777777" w:rsidR="00420101" w:rsidRDefault="00420101" w:rsidP="00420101">
      <w:pPr>
        <w:pStyle w:val="NormalWeb"/>
        <w:spacing w:before="0" w:beforeAutospacing="0" w:after="240" w:afterAutospacing="0" w:line="360" w:lineRule="auto"/>
        <w:ind w:left="720" w:hanging="720"/>
      </w:pPr>
      <w:r>
        <w:t xml:space="preserve">King, Margaret L, </w:t>
      </w:r>
      <w:r>
        <w:rPr>
          <w:i/>
          <w:iCs/>
        </w:rPr>
        <w:t>Renaissance Humanism : An Anthology of Sources</w:t>
      </w:r>
      <w:r>
        <w:t xml:space="preserve"> (Indianapolis: Hackett Publishing Company, Inc, 2014)</w:t>
      </w:r>
    </w:p>
    <w:p w14:paraId="241A0947" w14:textId="77777777" w:rsidR="00420101" w:rsidRDefault="00420101" w:rsidP="00420101">
      <w:pPr>
        <w:pStyle w:val="NormalWeb"/>
        <w:spacing w:before="0" w:beforeAutospacing="0" w:after="240" w:afterAutospacing="0" w:line="360" w:lineRule="auto"/>
        <w:ind w:left="720" w:hanging="720"/>
      </w:pPr>
      <w:r>
        <w:t xml:space="preserve">Lukes, Timothy J., ‘Lionizing Machiavelli’, </w:t>
      </w:r>
      <w:r>
        <w:rPr>
          <w:i/>
          <w:iCs/>
        </w:rPr>
        <w:t>The American Political Science Review</w:t>
      </w:r>
      <w:r>
        <w:t>, 95.3 (2001), 561–75 &lt;https://www.jstor.org/stable/3118233&gt;</w:t>
      </w:r>
    </w:p>
    <w:p w14:paraId="21BBAE11" w14:textId="77777777" w:rsidR="00420101" w:rsidRPr="00420101" w:rsidRDefault="00420101" w:rsidP="007D4D7E">
      <w:pPr>
        <w:rPr>
          <w:b/>
          <w:bCs/>
          <w:u w:val="single"/>
        </w:rPr>
      </w:pPr>
    </w:p>
    <w:sectPr w:rsidR="00420101" w:rsidRPr="0042010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812BB3" w14:textId="77777777" w:rsidR="00D23F32" w:rsidRDefault="00D23F32" w:rsidP="00011396">
      <w:r>
        <w:separator/>
      </w:r>
    </w:p>
  </w:endnote>
  <w:endnote w:type="continuationSeparator" w:id="0">
    <w:p w14:paraId="4E01A410" w14:textId="77777777" w:rsidR="00D23F32" w:rsidRDefault="00D23F32" w:rsidP="000113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C3B54C" w14:textId="77777777" w:rsidR="00D23F32" w:rsidRDefault="00D23F32" w:rsidP="00011396">
      <w:r>
        <w:separator/>
      </w:r>
    </w:p>
  </w:footnote>
  <w:footnote w:type="continuationSeparator" w:id="0">
    <w:p w14:paraId="38613DAB" w14:textId="77777777" w:rsidR="00D23F32" w:rsidRDefault="00D23F32" w:rsidP="00011396">
      <w:r>
        <w:continuationSeparator/>
      </w:r>
    </w:p>
  </w:footnote>
  <w:footnote w:id="1">
    <w:p w14:paraId="686C9AA9" w14:textId="21B7C987" w:rsidR="00011396" w:rsidRDefault="00011396">
      <w:pPr>
        <w:pStyle w:val="FootnoteText"/>
      </w:pPr>
      <w:r>
        <w:rPr>
          <w:rStyle w:val="FootnoteReference"/>
        </w:rPr>
        <w:footnoteRef/>
      </w:r>
      <w:r>
        <w:t xml:space="preserve"> </w:t>
      </w:r>
      <w:r w:rsidR="00207F68">
        <w:t xml:space="preserve">Hanna H. Gray, ‘Renaissance Humanism: The Pursuit of Eloquence’, </w:t>
      </w:r>
      <w:r w:rsidR="00207F68">
        <w:rPr>
          <w:i/>
          <w:iCs/>
        </w:rPr>
        <w:t>Journal of the History of Ideas</w:t>
      </w:r>
      <w:r w:rsidR="00207F68">
        <w:t xml:space="preserve">, 24.4 (1963), </w:t>
      </w:r>
      <w:r w:rsidR="00F16587">
        <w:t>pp.</w:t>
      </w:r>
      <w:r w:rsidR="00207F68">
        <w:t>497</w:t>
      </w:r>
      <w:r w:rsidR="00015E13">
        <w:t>-541</w:t>
      </w:r>
      <w:r w:rsidR="00F16587">
        <w:t>-</w:t>
      </w:r>
      <w:r w:rsidR="00207F68">
        <w:t>&lt;</w:t>
      </w:r>
      <w:hyperlink r:id="rId1" w:history="1">
        <w:r w:rsidR="00207F68">
          <w:rPr>
            <w:rStyle w:val="Hyperlink"/>
          </w:rPr>
          <w:t>https://doi.org/10.2307/2707980</w:t>
        </w:r>
      </w:hyperlink>
      <w:r w:rsidR="00207F68">
        <w:t>&gt;.</w:t>
      </w:r>
    </w:p>
  </w:footnote>
  <w:footnote w:id="2">
    <w:p w14:paraId="5DF5A893" w14:textId="0BEC2A6A" w:rsidR="00326BDA" w:rsidRDefault="00326BDA">
      <w:pPr>
        <w:pStyle w:val="FootnoteText"/>
      </w:pPr>
      <w:r>
        <w:rPr>
          <w:rStyle w:val="FootnoteReference"/>
        </w:rPr>
        <w:footnoteRef/>
      </w:r>
      <w:r>
        <w:t xml:space="preserve"> </w:t>
      </w:r>
      <w:r w:rsidR="00207F68">
        <w:t xml:space="preserve">Margaret L King, </w:t>
      </w:r>
      <w:r w:rsidR="00207F68">
        <w:rPr>
          <w:i/>
          <w:iCs/>
        </w:rPr>
        <w:t xml:space="preserve">Renaissance </w:t>
      </w:r>
      <w:r w:rsidR="00207F68">
        <w:rPr>
          <w:i/>
          <w:iCs/>
        </w:rPr>
        <w:t>Humanism:</w:t>
      </w:r>
      <w:r w:rsidR="00207F68">
        <w:rPr>
          <w:i/>
          <w:iCs/>
        </w:rPr>
        <w:t xml:space="preserve"> An Anthology of Sources</w:t>
      </w:r>
      <w:r w:rsidR="00207F68">
        <w:t xml:space="preserve"> (Indianapolis: Hackett Publishing Company, Inc, 2014).</w:t>
      </w:r>
    </w:p>
  </w:footnote>
  <w:footnote w:id="3">
    <w:p w14:paraId="5ABB4954" w14:textId="63F35A9F" w:rsidR="007F3459" w:rsidRDefault="007F3459">
      <w:pPr>
        <w:pStyle w:val="FootnoteText"/>
      </w:pPr>
      <w:r>
        <w:rPr>
          <w:rStyle w:val="FootnoteReference"/>
        </w:rPr>
        <w:footnoteRef/>
      </w:r>
      <w:r>
        <w:t xml:space="preserve"> </w:t>
      </w:r>
      <w:r w:rsidR="00207F68">
        <w:t xml:space="preserve">Fritz Caspari, ‘Erasmus on the Social Functions of Christian Humanism’, </w:t>
      </w:r>
      <w:r w:rsidR="00207F68">
        <w:rPr>
          <w:i/>
          <w:iCs/>
        </w:rPr>
        <w:t>Journal of the History of Ideas</w:t>
      </w:r>
      <w:r w:rsidR="00207F68">
        <w:t xml:space="preserve">, 8.1 (1947), </w:t>
      </w:r>
      <w:r w:rsidR="00F16587">
        <w:t>pp.</w:t>
      </w:r>
      <w:r w:rsidR="00207F68">
        <w:t>78</w:t>
      </w:r>
      <w:r w:rsidR="00F16587">
        <w:t>-106</w:t>
      </w:r>
      <w:r w:rsidR="00207F68">
        <w:t xml:space="preserve"> &lt;</w:t>
      </w:r>
      <w:hyperlink r:id="rId2" w:history="1">
        <w:r w:rsidR="00207F68">
          <w:rPr>
            <w:rStyle w:val="Hyperlink"/>
          </w:rPr>
          <w:t>https://doi.org/10.2307/2707442</w:t>
        </w:r>
      </w:hyperlink>
      <w:r w:rsidR="00207F68">
        <w:t>&gt;.</w:t>
      </w:r>
    </w:p>
  </w:footnote>
  <w:footnote w:id="4">
    <w:p w14:paraId="35B53A1F" w14:textId="556182B7" w:rsidR="007F3459" w:rsidRPr="00D461E5" w:rsidRDefault="007F3459">
      <w:pPr>
        <w:pStyle w:val="FootnoteText"/>
        <w:rPr>
          <w:i/>
          <w:iCs/>
        </w:rPr>
      </w:pPr>
      <w:r>
        <w:rPr>
          <w:rStyle w:val="FootnoteReference"/>
        </w:rPr>
        <w:footnoteRef/>
      </w:r>
      <w:r>
        <w:t xml:space="preserve"> </w:t>
      </w:r>
      <w:r w:rsidR="00D461E5">
        <w:t xml:space="preserve">King, </w:t>
      </w:r>
      <w:r w:rsidR="00D461E5">
        <w:rPr>
          <w:i/>
          <w:iCs/>
        </w:rPr>
        <w:t>Renaissance Humanism: An Anthology of Sources</w:t>
      </w:r>
    </w:p>
  </w:footnote>
  <w:footnote w:id="5">
    <w:p w14:paraId="66770D36" w14:textId="12F1706C" w:rsidR="0038313D" w:rsidRPr="00602904" w:rsidRDefault="0038313D">
      <w:pPr>
        <w:pStyle w:val="FootnoteText"/>
      </w:pPr>
      <w:r>
        <w:rPr>
          <w:rStyle w:val="FootnoteReference"/>
        </w:rPr>
        <w:footnoteRef/>
      </w:r>
      <w:r>
        <w:t xml:space="preserve"> </w:t>
      </w:r>
      <w:r w:rsidR="00C33061">
        <w:t xml:space="preserve">King, </w:t>
      </w:r>
      <w:r w:rsidR="00C33061">
        <w:rPr>
          <w:i/>
          <w:iCs/>
        </w:rPr>
        <w:t>Renaissance Humanism: An Anthology of Sources</w:t>
      </w:r>
      <w:r w:rsidR="00602904">
        <w:rPr>
          <w:i/>
          <w:iCs/>
        </w:rPr>
        <w:t xml:space="preserve"> </w:t>
      </w:r>
      <w:r w:rsidR="00602904">
        <w:t>Erasmus believes that war is an abomination.</w:t>
      </w:r>
    </w:p>
  </w:footnote>
  <w:footnote w:id="6">
    <w:p w14:paraId="29D144E7" w14:textId="04F96966" w:rsidR="00DC0910" w:rsidRDefault="00DC0910">
      <w:pPr>
        <w:pStyle w:val="FootnoteText"/>
      </w:pPr>
      <w:r>
        <w:rPr>
          <w:rStyle w:val="FootnoteReference"/>
        </w:rPr>
        <w:footnoteRef/>
      </w:r>
      <w:r>
        <w:t xml:space="preserve"> </w:t>
      </w:r>
      <w:r w:rsidR="00C33061">
        <w:t xml:space="preserve">Caspari, </w:t>
      </w:r>
      <w:r w:rsidR="00F16587">
        <w:t>p.82</w:t>
      </w:r>
    </w:p>
  </w:footnote>
  <w:footnote w:id="7">
    <w:p w14:paraId="673AF0B2" w14:textId="2EB3AA9C" w:rsidR="00EB7190" w:rsidRDefault="00EB7190">
      <w:pPr>
        <w:pStyle w:val="FootnoteText"/>
      </w:pPr>
      <w:r>
        <w:rPr>
          <w:rStyle w:val="FootnoteReference"/>
        </w:rPr>
        <w:footnoteRef/>
      </w:r>
      <w:r>
        <w:t xml:space="preserve"> </w:t>
      </w:r>
      <w:r w:rsidR="00F16587">
        <w:t xml:space="preserve">King, </w:t>
      </w:r>
      <w:r w:rsidR="00F16587">
        <w:rPr>
          <w:i/>
          <w:iCs/>
        </w:rPr>
        <w:t>Renaissance Humanism: An Anthology of Sources</w:t>
      </w:r>
    </w:p>
  </w:footnote>
  <w:footnote w:id="8">
    <w:p w14:paraId="2203142A" w14:textId="3B671993" w:rsidR="00207F68" w:rsidRDefault="00207F68">
      <w:pPr>
        <w:pStyle w:val="FootnoteText"/>
      </w:pPr>
      <w:r>
        <w:rPr>
          <w:rStyle w:val="FootnoteReference"/>
        </w:rPr>
        <w:footnoteRef/>
      </w:r>
      <w:r>
        <w:t xml:space="preserve"> </w:t>
      </w:r>
      <w:r w:rsidR="00F16587">
        <w:t xml:space="preserve">Lester K. Born, ‘Erasmus on Political Ethics: The </w:t>
      </w:r>
      <w:proofErr w:type="spellStart"/>
      <w:r w:rsidR="00F16587">
        <w:t>Institutio</w:t>
      </w:r>
      <w:proofErr w:type="spellEnd"/>
      <w:r w:rsidR="00F16587">
        <w:t xml:space="preserve"> Principis Christiani’, </w:t>
      </w:r>
      <w:r w:rsidR="00F16587">
        <w:rPr>
          <w:i/>
          <w:iCs/>
        </w:rPr>
        <w:t>Political Science Quarterly</w:t>
      </w:r>
      <w:r w:rsidR="00F16587">
        <w:t xml:space="preserve">, 43.4 (1928), </w:t>
      </w:r>
      <w:r w:rsidR="00F16587">
        <w:t>pp.</w:t>
      </w:r>
      <w:r w:rsidR="00F16587">
        <w:t>520</w:t>
      </w:r>
      <w:r w:rsidR="00F16587">
        <w:t>-543</w:t>
      </w:r>
      <w:r w:rsidR="00F16587">
        <w:t>&lt;</w:t>
      </w:r>
      <w:hyperlink r:id="rId3" w:history="1">
        <w:r w:rsidR="00F16587">
          <w:rPr>
            <w:rStyle w:val="Hyperlink"/>
          </w:rPr>
          <w:t>https://doi.org/10.2307/2142728</w:t>
        </w:r>
      </w:hyperlink>
      <w:r w:rsidR="00F16587">
        <w:t>&gt;.</w:t>
      </w:r>
    </w:p>
  </w:footnote>
  <w:footnote w:id="9">
    <w:p w14:paraId="4775A687" w14:textId="4E9BEFC1" w:rsidR="00D46147" w:rsidRDefault="00D46147">
      <w:pPr>
        <w:pStyle w:val="FootnoteText"/>
      </w:pPr>
      <w:r>
        <w:rPr>
          <w:rStyle w:val="FootnoteReference"/>
        </w:rPr>
        <w:footnoteRef/>
      </w:r>
      <w:r>
        <w:t xml:space="preserve"> </w:t>
      </w:r>
      <w:r w:rsidR="00F16587">
        <w:t>Caspari, p. 85</w:t>
      </w:r>
    </w:p>
  </w:footnote>
  <w:footnote w:id="10">
    <w:p w14:paraId="40907F96" w14:textId="6B378742" w:rsidR="005D1213" w:rsidRDefault="005D1213">
      <w:pPr>
        <w:pStyle w:val="FootnoteText"/>
      </w:pPr>
      <w:r>
        <w:rPr>
          <w:rStyle w:val="FootnoteReference"/>
        </w:rPr>
        <w:footnoteRef/>
      </w:r>
      <w:r>
        <w:t xml:space="preserve"> </w:t>
      </w:r>
      <w:r w:rsidR="00F16587">
        <w:t>Caspari, p. 92</w:t>
      </w:r>
    </w:p>
  </w:footnote>
  <w:footnote w:id="11">
    <w:p w14:paraId="51BA69D4" w14:textId="38C7D11D" w:rsidR="00015E13" w:rsidRDefault="00015E13">
      <w:pPr>
        <w:pStyle w:val="FootnoteText"/>
      </w:pPr>
      <w:r>
        <w:rPr>
          <w:rStyle w:val="FootnoteReference"/>
        </w:rPr>
        <w:footnoteRef/>
      </w:r>
      <w:r>
        <w:t xml:space="preserve"> Caspari, p.94</w:t>
      </w:r>
    </w:p>
  </w:footnote>
  <w:footnote w:id="12">
    <w:p w14:paraId="74F3A93B" w14:textId="59467D2E" w:rsidR="00C9592A" w:rsidRDefault="00C9592A">
      <w:pPr>
        <w:pStyle w:val="FootnoteText"/>
      </w:pPr>
      <w:r>
        <w:rPr>
          <w:rStyle w:val="FootnoteReference"/>
        </w:rPr>
        <w:footnoteRef/>
      </w:r>
      <w:r>
        <w:t xml:space="preserve"> </w:t>
      </w:r>
      <w:r w:rsidR="00100C72">
        <w:t xml:space="preserve">King, </w:t>
      </w:r>
      <w:r w:rsidR="00100C72">
        <w:rPr>
          <w:i/>
          <w:iCs/>
        </w:rPr>
        <w:t>Renaissance Humanism: An Anthology of Sources</w:t>
      </w:r>
    </w:p>
  </w:footnote>
  <w:footnote w:id="13">
    <w:p w14:paraId="5489E39C" w14:textId="128FA1BB" w:rsidR="000A5E6F" w:rsidRDefault="000A5E6F">
      <w:pPr>
        <w:pStyle w:val="FootnoteText"/>
      </w:pPr>
      <w:r>
        <w:rPr>
          <w:rStyle w:val="FootnoteReference"/>
        </w:rPr>
        <w:footnoteRef/>
      </w:r>
      <w:r>
        <w:t xml:space="preserve"> </w:t>
      </w:r>
      <w:r w:rsidR="000627C5">
        <w:t xml:space="preserve">King, </w:t>
      </w:r>
      <w:r w:rsidR="000627C5">
        <w:rPr>
          <w:i/>
          <w:iCs/>
        </w:rPr>
        <w:t>Renaissance Humanism: An Anthology of Sources</w:t>
      </w:r>
    </w:p>
  </w:footnote>
  <w:footnote w:id="14">
    <w:p w14:paraId="0C1CA799" w14:textId="2B3C3F2D" w:rsidR="00E56B3E" w:rsidRDefault="00E56B3E">
      <w:pPr>
        <w:pStyle w:val="FootnoteText"/>
      </w:pPr>
      <w:r>
        <w:rPr>
          <w:rStyle w:val="FootnoteReference"/>
        </w:rPr>
        <w:footnoteRef/>
      </w:r>
      <w:r>
        <w:t xml:space="preserve"> </w:t>
      </w:r>
      <w:r w:rsidR="000627C5">
        <w:t xml:space="preserve">King, </w:t>
      </w:r>
      <w:r w:rsidR="000627C5">
        <w:rPr>
          <w:i/>
          <w:iCs/>
        </w:rPr>
        <w:t>Renaissance Humanism: An Anthology of Sources</w:t>
      </w:r>
    </w:p>
  </w:footnote>
  <w:footnote w:id="15">
    <w:p w14:paraId="1F547CC2" w14:textId="7F17C2BE" w:rsidR="007D4D7E" w:rsidRDefault="007D4D7E">
      <w:pPr>
        <w:pStyle w:val="FootnoteText"/>
      </w:pPr>
      <w:r>
        <w:rPr>
          <w:rStyle w:val="FootnoteReference"/>
        </w:rPr>
        <w:footnoteRef/>
      </w:r>
      <w:r>
        <w:t xml:space="preserve"> </w:t>
      </w:r>
      <w:r w:rsidR="00602904">
        <w:t xml:space="preserve">Timothy J. Lukes, ‘Lionizing Machiavelli’, </w:t>
      </w:r>
      <w:r w:rsidR="00602904">
        <w:rPr>
          <w:i/>
          <w:iCs/>
        </w:rPr>
        <w:t>The American Political Science Review</w:t>
      </w:r>
      <w:r w:rsidR="00602904">
        <w:t>, 95.3 (2001), 561–75 &lt;</w:t>
      </w:r>
      <w:hyperlink r:id="rId4" w:history="1">
        <w:r w:rsidR="00602904">
          <w:rPr>
            <w:rStyle w:val="Hyperlink"/>
          </w:rPr>
          <w:t>https://www.jstor.org/stable/3118233</w:t>
        </w:r>
      </w:hyperlink>
      <w:r w:rsidR="00602904">
        <w:t>&gt;.</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9"/>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1396"/>
    <w:rsid w:val="00011396"/>
    <w:rsid w:val="00015E13"/>
    <w:rsid w:val="000470BA"/>
    <w:rsid w:val="0005042A"/>
    <w:rsid w:val="000627C5"/>
    <w:rsid w:val="000726EC"/>
    <w:rsid w:val="000A5E6F"/>
    <w:rsid w:val="000B7497"/>
    <w:rsid w:val="000F48FE"/>
    <w:rsid w:val="000F5512"/>
    <w:rsid w:val="00100C72"/>
    <w:rsid w:val="00147CD1"/>
    <w:rsid w:val="001F0FF2"/>
    <w:rsid w:val="00207F68"/>
    <w:rsid w:val="00326BDA"/>
    <w:rsid w:val="00333ABC"/>
    <w:rsid w:val="0038313D"/>
    <w:rsid w:val="00417EB5"/>
    <w:rsid w:val="00420101"/>
    <w:rsid w:val="004F4A5B"/>
    <w:rsid w:val="00580370"/>
    <w:rsid w:val="005D1213"/>
    <w:rsid w:val="00602904"/>
    <w:rsid w:val="0070388A"/>
    <w:rsid w:val="00755D6C"/>
    <w:rsid w:val="007D4D7E"/>
    <w:rsid w:val="007F3459"/>
    <w:rsid w:val="0089714B"/>
    <w:rsid w:val="008A632D"/>
    <w:rsid w:val="008F10FB"/>
    <w:rsid w:val="009328FA"/>
    <w:rsid w:val="009459C5"/>
    <w:rsid w:val="00AA6D77"/>
    <w:rsid w:val="00AB645B"/>
    <w:rsid w:val="00B175C6"/>
    <w:rsid w:val="00B85F73"/>
    <w:rsid w:val="00C33061"/>
    <w:rsid w:val="00C679F1"/>
    <w:rsid w:val="00C852E1"/>
    <w:rsid w:val="00C9592A"/>
    <w:rsid w:val="00CB7FA0"/>
    <w:rsid w:val="00D07D9D"/>
    <w:rsid w:val="00D23F32"/>
    <w:rsid w:val="00D4379C"/>
    <w:rsid w:val="00D46147"/>
    <w:rsid w:val="00D461E5"/>
    <w:rsid w:val="00DA4D08"/>
    <w:rsid w:val="00DC0910"/>
    <w:rsid w:val="00E56B3E"/>
    <w:rsid w:val="00E9279A"/>
    <w:rsid w:val="00EB7190"/>
    <w:rsid w:val="00EE7E4B"/>
    <w:rsid w:val="00F165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5D86C2E"/>
  <w15:chartTrackingRefBased/>
  <w15:docId w15:val="{A72F5787-252C-4CE8-AD27-B0C1D879CB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38313D"/>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011396"/>
    <w:rPr>
      <w:sz w:val="20"/>
      <w:szCs w:val="20"/>
    </w:rPr>
  </w:style>
  <w:style w:type="character" w:customStyle="1" w:styleId="FootnoteTextChar">
    <w:name w:val="Footnote Text Char"/>
    <w:basedOn w:val="DefaultParagraphFont"/>
    <w:link w:val="FootnoteText"/>
    <w:uiPriority w:val="99"/>
    <w:semiHidden/>
    <w:rsid w:val="00011396"/>
    <w:rPr>
      <w:sz w:val="20"/>
      <w:szCs w:val="20"/>
    </w:rPr>
  </w:style>
  <w:style w:type="character" w:styleId="FootnoteReference">
    <w:name w:val="footnote reference"/>
    <w:basedOn w:val="DefaultParagraphFont"/>
    <w:uiPriority w:val="99"/>
    <w:semiHidden/>
    <w:unhideWhenUsed/>
    <w:rsid w:val="00011396"/>
    <w:rPr>
      <w:vertAlign w:val="superscript"/>
    </w:rPr>
  </w:style>
  <w:style w:type="character" w:customStyle="1" w:styleId="Heading2Char">
    <w:name w:val="Heading 2 Char"/>
    <w:basedOn w:val="DefaultParagraphFont"/>
    <w:link w:val="Heading2"/>
    <w:uiPriority w:val="9"/>
    <w:rsid w:val="0038313D"/>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semiHidden/>
    <w:unhideWhenUsed/>
    <w:rsid w:val="00207F68"/>
    <w:rPr>
      <w:color w:val="0000FF"/>
      <w:u w:val="single"/>
    </w:rPr>
  </w:style>
  <w:style w:type="paragraph" w:styleId="NormalWeb">
    <w:name w:val="Normal (Web)"/>
    <w:basedOn w:val="Normal"/>
    <w:uiPriority w:val="99"/>
    <w:semiHidden/>
    <w:unhideWhenUsed/>
    <w:rsid w:val="00420101"/>
    <w:pPr>
      <w:spacing w:before="100" w:beforeAutospacing="1" w:after="100" w:afterAutospacing="1"/>
    </w:pPr>
    <w:rPr>
      <w:rFonts w:eastAsia="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3836765">
      <w:bodyDiv w:val="1"/>
      <w:marLeft w:val="0"/>
      <w:marRight w:val="0"/>
      <w:marTop w:val="0"/>
      <w:marBottom w:val="0"/>
      <w:divBdr>
        <w:top w:val="none" w:sz="0" w:space="0" w:color="auto"/>
        <w:left w:val="none" w:sz="0" w:space="0" w:color="auto"/>
        <w:bottom w:val="none" w:sz="0" w:space="0" w:color="auto"/>
        <w:right w:val="none" w:sz="0" w:space="0" w:color="auto"/>
      </w:divBdr>
      <w:divsChild>
        <w:div w:id="1694259761">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footnotes.xml.rels><?xml version="1.0" encoding="UTF-8" standalone="yes"?>
<Relationships xmlns="http://schemas.openxmlformats.org/package/2006/relationships"><Relationship Id="rId3" Type="http://schemas.openxmlformats.org/officeDocument/2006/relationships/hyperlink" Target="https://doi.org/10.2307/2142728" TargetMode="External"/><Relationship Id="rId2" Type="http://schemas.openxmlformats.org/officeDocument/2006/relationships/hyperlink" Target="https://doi.org/10.2307/2707442" TargetMode="External"/><Relationship Id="rId1" Type="http://schemas.openxmlformats.org/officeDocument/2006/relationships/hyperlink" Target="https://doi.org/10.2307/2707980" TargetMode="External"/><Relationship Id="rId4" Type="http://schemas.openxmlformats.org/officeDocument/2006/relationships/hyperlink" Target="https://www.jstor.org/stable/311823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B3AAA7-A209-4949-AE2D-FFA7E8F66F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4292</TotalTime>
  <Pages>6</Pages>
  <Words>2665</Words>
  <Characters>13196</Characters>
  <Application>Microsoft Office Word</Application>
  <DocSecurity>0</DocSecurity>
  <Lines>212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Ashley Mc Fee</dc:creator>
  <cp:keywords/>
  <dc:description/>
  <cp:lastModifiedBy>Ashley Mc Fee</cp:lastModifiedBy>
  <cp:revision>12</cp:revision>
  <dcterms:created xsi:type="dcterms:W3CDTF">2024-02-08T19:51:00Z</dcterms:created>
  <dcterms:modified xsi:type="dcterms:W3CDTF">2024-02-11T19:35:00Z</dcterms:modified>
</cp:coreProperties>
</file>