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omments.xml" ContentType="application/vnd.openxmlformats-officedocument.wordprocessingml.comment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400" w:before="1200"/>
        <w:jc w:val="center"/>
      </w:pPr>
      <w:r>
        <w:rPr>
          <w:rFonts w:ascii="Arial" w:cs="Arial" w:eastAsia="Arial" w:hAnsi="Arial"/>
          <w:b/>
          <w:bCs/>
          <w:sz w:val="30"/>
          <w:szCs w:val="30"/>
        </w:rPr>
        <w:t xml:space="preserve">Critically Examining Global, National and Local Health, Wellbeing and Sustainable Development Policy: SDG 3, SDG 13 and the Well-being of Future Generations (Wales) Act 2015</w:t>
      </w:r>
    </w:p>
    <w:p>
      <w:pPr>
        <w:spacing w:after="800"/>
        <w:jc w:val="center"/>
      </w:pPr>
      <w:r>
        <w:rPr>
          <w:rFonts w:ascii="Arial" w:cs="Arial" w:eastAsia="Arial" w:hAnsi="Arial"/>
          <w:i/>
          <w:iCs/>
          <w:sz w:val="24"/>
          <w:szCs w:val="24"/>
        </w:rPr>
        <w:t xml:space="preserve">Component 2: Written Assignment (Report)</w:t>
      </w:r>
    </w:p>
    <w:tbl>
      <w:tblPr>
        <w:tblW w:type="dxa" w:w="9000"/>
        <w:tblBorders>
          <w:top w:val="single" w:color="auto" w:sz="4"/>
          <w:left w:val="single" w:color="auto" w:sz="4"/>
          <w:bottom w:val="single" w:color="auto" w:sz="4"/>
          <w:right w:val="single" w:color="auto" w:sz="4"/>
          <w:insideH w:val="single" w:color="auto" w:sz="4"/>
          <w:insideV w:val="single" w:color="auto" w:sz="4"/>
        </w:tblBorders>
      </w:tblPr>
      <w:tblGrid>
        <w:gridCol w:w="3000"/>
        <w:gridCol w:w="6000"/>
      </w:tblGrid>
      <w:tr>
        <w:tc>
          <w:tcPr>
            <w:tcW w:type="dxa" w:w="3000"/>
            <w:tcMar>
              <w:top w:type="dxa" w:w="100"/>
              <w:left w:type="dxa" w:w="100"/>
              <w:bottom w:type="dxa" w:w="100"/>
              <w:right w:type="dxa" w:w="100"/>
            </w:tcMar>
          </w:tcPr>
          <w:p>
            <w:r>
              <w:rPr>
                <w:rFonts w:ascii="Arial" w:cs="Arial" w:eastAsia="Arial" w:hAnsi="Arial"/>
                <w:b/>
                <w:bCs/>
                <w:sz w:val="22"/>
                <w:szCs w:val="22"/>
              </w:rPr>
              <w:t xml:space="preserve">Student name:</w:t>
            </w:r>
          </w:p>
          <w:p>
            <w:r>
              <w:rPr>
                <w:rFonts w:ascii="Arial" w:cs="Arial" w:eastAsia="Arial" w:hAnsi="Arial"/>
                <w:sz w:val="22"/>
                <w:szCs w:val="22"/>
              </w:rPr>
              <w:t xml:space="preserve">Stefan Burcea</w:t>
            </w:r>
          </w:p>
        </w:tc>
        <w:tc>
          <w:tcPr>
            <w:tcW w:type="dxa" w:w="6000"/>
            <w:tcMar>
              <w:top w:type="dxa" w:w="100"/>
              <w:left w:type="dxa" w:w="100"/>
              <w:bottom w:type="dxa" w:w="100"/>
              <w:right w:type="dxa" w:w="100"/>
            </w:tcMar>
          </w:tcPr>
          <w:p>
            <w:r>
              <w:rPr>
                <w:rFonts w:ascii="Arial" w:cs="Arial" w:eastAsia="Arial" w:hAnsi="Arial"/>
                <w:b/>
                <w:bCs/>
                <w:sz w:val="22"/>
                <w:szCs w:val="22"/>
              </w:rPr>
              <w:t xml:space="preserve">Student ID number:</w:t>
            </w:r>
          </w:p>
          <w:p>
            <w:r>
              <w:rPr>
                <w:rFonts w:ascii="Arial" w:cs="Arial" w:eastAsia="Arial" w:hAnsi="Arial"/>
                <w:sz w:val="22"/>
                <w:szCs w:val="22"/>
              </w:rPr>
              <w:t xml:space="preserve">2246403</w:t>
            </w:r>
          </w:p>
        </w:tc>
      </w:tr>
      <w:tr>
        <w:tc>
          <w:tcPr>
            <w:tcW w:type="dxa" w:w="3000"/>
            <w:tcMar>
              <w:top w:type="dxa" w:w="100"/>
              <w:left w:type="dxa" w:w="100"/>
              <w:bottom w:type="dxa" w:w="100"/>
              <w:right w:type="dxa" w:w="100"/>
            </w:tcMar>
          </w:tcPr>
          <w:p>
            <w:r>
              <w:rPr>
                <w:rFonts w:ascii="Arial" w:cs="Arial" w:eastAsia="Arial" w:hAnsi="Arial"/>
                <w:b/>
                <w:bCs/>
                <w:sz w:val="22"/>
                <w:szCs w:val="22"/>
              </w:rPr>
              <w:t xml:space="preserve">Programme:</w:t>
            </w:r>
          </w:p>
          <w:p>
            <w:r>
              <w:rPr>
                <w:rFonts w:ascii="Arial" w:cs="Arial" w:eastAsia="Arial" w:hAnsi="Arial"/>
                <w:sz w:val="22"/>
                <w:szCs w:val="22"/>
              </w:rPr>
              <w:t xml:space="preserve">BSc (Hons) Health and Social Care</w:t>
            </w:r>
          </w:p>
        </w:tc>
        <w:tc>
          <w:tcPr>
            <w:tcW w:type="dxa" w:w="6000"/>
            <w:tcMar>
              <w:top w:type="dxa" w:w="100"/>
              <w:left w:type="dxa" w:w="100"/>
              <w:bottom w:type="dxa" w:w="100"/>
              <w:right w:type="dxa" w:w="100"/>
            </w:tcMar>
          </w:tcPr>
          <w:p>
            <w:r>
              <w:rPr>
                <w:rFonts w:ascii="Arial" w:cs="Arial" w:eastAsia="Arial" w:hAnsi="Arial"/>
                <w:b/>
                <w:bCs/>
                <w:sz w:val="22"/>
                <w:szCs w:val="22"/>
              </w:rPr>
              <w:t xml:space="preserve"/>
            </w:r>
          </w:p>
          <w:p>
            <w:r>
              <w:rPr>
                <w:rFonts w:ascii="Arial" w:cs="Arial" w:eastAsia="Arial" w:hAnsi="Arial"/>
                <w:sz w:val="22"/>
                <w:szCs w:val="22"/>
              </w:rPr>
              <w:t xml:space="preserve"/>
            </w:r>
          </w:p>
        </w:tc>
      </w:tr>
      <w:tr>
        <w:tc>
          <w:tcPr>
            <w:tcW w:type="dxa" w:w="3000"/>
            <w:tcMar>
              <w:top w:type="dxa" w:w="100"/>
              <w:left w:type="dxa" w:w="100"/>
              <w:bottom w:type="dxa" w:w="100"/>
              <w:right w:type="dxa" w:w="100"/>
            </w:tcMar>
          </w:tcPr>
          <w:p>
            <w:r>
              <w:rPr>
                <w:rFonts w:ascii="Arial" w:cs="Arial" w:eastAsia="Arial" w:hAnsi="Arial"/>
                <w:b/>
                <w:bCs/>
                <w:sz w:val="22"/>
                <w:szCs w:val="22"/>
              </w:rPr>
              <w:t xml:space="preserve">Module:</w:t>
            </w:r>
          </w:p>
          <w:p>
            <w:r>
              <w:rPr>
                <w:rFonts w:ascii="Arial" w:cs="Arial" w:eastAsia="Arial" w:hAnsi="Arial"/>
                <w:sz w:val="22"/>
                <w:szCs w:val="22"/>
              </w:rPr>
              <w:t xml:space="preserve">Health, Wellbeing and Sustainable Development</w:t>
            </w:r>
          </w:p>
        </w:tc>
        <w:tc>
          <w:tcPr>
            <w:tcW w:type="dxa" w:w="6000"/>
            <w:tcMar>
              <w:top w:type="dxa" w:w="100"/>
              <w:left w:type="dxa" w:w="100"/>
              <w:bottom w:type="dxa" w:w="100"/>
              <w:right w:type="dxa" w:w="100"/>
            </w:tcMar>
          </w:tcPr>
          <w:p>
            <w:r>
              <w:rPr>
                <w:rFonts w:ascii="Arial" w:cs="Arial" w:eastAsia="Arial" w:hAnsi="Arial"/>
                <w:b/>
                <w:bCs/>
                <w:sz w:val="22"/>
                <w:szCs w:val="22"/>
              </w:rPr>
              <w:t xml:space="preserve">Module code:</w:t>
            </w:r>
          </w:p>
          <w:p>
            <w:r>
              <w:rPr>
                <w:rFonts w:ascii="Arial" w:cs="Arial" w:eastAsia="Arial" w:hAnsi="Arial"/>
                <w:sz w:val="22"/>
                <w:szCs w:val="22"/>
              </w:rPr>
              <w:t xml:space="preserve">BMHP6030</w:t>
            </w:r>
          </w:p>
        </w:tc>
      </w:tr>
      <w:tr>
        <w:tc>
          <w:tcPr>
            <w:tcW w:type="dxa" w:w="3000"/>
            <w:tcMar>
              <w:top w:type="dxa" w:w="100"/>
              <w:left w:type="dxa" w:w="100"/>
              <w:bottom w:type="dxa" w:w="100"/>
              <w:right w:type="dxa" w:w="100"/>
            </w:tcMar>
          </w:tcPr>
          <w:p>
            <w:r>
              <w:rPr>
                <w:rFonts w:ascii="Arial" w:cs="Arial" w:eastAsia="Arial" w:hAnsi="Arial"/>
                <w:b/>
                <w:bCs/>
                <w:sz w:val="22"/>
                <w:szCs w:val="22"/>
              </w:rPr>
              <w:t xml:space="preserve">Lecturer:</w:t>
            </w:r>
          </w:p>
          <w:p>
            <w:r>
              <w:rPr>
                <w:rFonts w:ascii="Arial" w:cs="Arial" w:eastAsia="Arial" w:hAnsi="Arial"/>
                <w:sz w:val="22"/>
                <w:szCs w:val="22"/>
              </w:rPr>
              <w:t xml:space="preserve">Dr Itse Olaoye (module leader)</w:t>
            </w:r>
          </w:p>
        </w:tc>
        <w:tc>
          <w:tcPr>
            <w:tcW w:type="dxa" w:w="6000"/>
            <w:tcMar>
              <w:top w:type="dxa" w:w="100"/>
              <w:left w:type="dxa" w:w="100"/>
              <w:bottom w:type="dxa" w:w="100"/>
              <w:right w:type="dxa" w:w="100"/>
            </w:tcMar>
          </w:tcPr>
          <w:p>
            <w:r>
              <w:rPr>
                <w:rFonts w:ascii="Arial" w:cs="Arial" w:eastAsia="Arial" w:hAnsi="Arial"/>
                <w:b/>
                <w:bCs/>
                <w:sz w:val="22"/>
                <w:szCs w:val="22"/>
              </w:rPr>
              <w:t xml:space="preserve"/>
            </w:r>
          </w:p>
          <w:p>
            <w:r>
              <w:rPr>
                <w:rFonts w:ascii="Arial" w:cs="Arial" w:eastAsia="Arial" w:hAnsi="Arial"/>
                <w:sz w:val="22"/>
                <w:szCs w:val="22"/>
              </w:rPr>
              <w:t xml:space="preserve"/>
            </w:r>
          </w:p>
        </w:tc>
      </w:tr>
      <w:tr>
        <w:tc>
          <w:tcPr>
            <w:tcW w:type="dxa" w:w="3000"/>
            <w:tcMar>
              <w:top w:type="dxa" w:w="100"/>
              <w:left w:type="dxa" w:w="100"/>
              <w:bottom w:type="dxa" w:w="100"/>
              <w:right w:type="dxa" w:w="100"/>
            </w:tcMar>
          </w:tcPr>
          <w:p>
            <w:r>
              <w:rPr>
                <w:rFonts w:ascii="Arial" w:cs="Arial" w:eastAsia="Arial" w:hAnsi="Arial"/>
                <w:b/>
                <w:bCs/>
                <w:sz w:val="22"/>
                <w:szCs w:val="22"/>
              </w:rPr>
              <w:t xml:space="preserve">Assignment title:</w:t>
            </w:r>
          </w:p>
          <w:p>
            <w:r>
              <w:rPr>
                <w:rFonts w:ascii="Arial" w:cs="Arial" w:eastAsia="Arial" w:hAnsi="Arial"/>
                <w:sz w:val="22"/>
                <w:szCs w:val="22"/>
              </w:rPr>
              <w:t xml:space="preserve">Component 2: Written Assignment (Report)</w:t>
            </w:r>
          </w:p>
        </w:tc>
        <w:tc>
          <w:tcPr>
            <w:tcW w:type="dxa" w:w="6000"/>
            <w:tcMar>
              <w:top w:type="dxa" w:w="100"/>
              <w:left w:type="dxa" w:w="100"/>
              <w:bottom w:type="dxa" w:w="100"/>
              <w:right w:type="dxa" w:w="100"/>
            </w:tcMar>
          </w:tcPr>
          <w:p>
            <w:r>
              <w:rPr>
                <w:rFonts w:ascii="Arial" w:cs="Arial" w:eastAsia="Arial" w:hAnsi="Arial"/>
                <w:b/>
                <w:bCs/>
                <w:sz w:val="22"/>
                <w:szCs w:val="22"/>
              </w:rPr>
              <w:t xml:space="preserve">Word count:</w:t>
            </w:r>
          </w:p>
          <w:p>
            <w:r>
              <w:rPr>
                <w:rFonts w:ascii="Arial" w:cs="Arial" w:eastAsia="Arial" w:hAnsi="Arial"/>
                <w:sz w:val="22"/>
                <w:szCs w:val="22"/>
              </w:rPr>
              <w:t xml:space="preserve">2,000 words (+/-10%)</w:t>
            </w:r>
          </w:p>
        </w:tc>
      </w:tr>
    </w:tbl>
    <w:p>
      <w:r>
        <w:br w:type="page"/>
      </w:r>
    </w:p>
    <w:p>
      <w:pPr>
        <w:spacing w:after="150" w:before="200" w:line="360" w:lineRule="auto"/>
      </w:pPr>
      <w:r>
        <w:rPr>
          <w:rFonts w:ascii="Arial" w:cs="Arial" w:eastAsia="Arial" w:hAnsi="Arial"/>
          <w:b/>
          <w:bCs/>
          <w:sz w:val="26"/>
          <w:szCs w:val="26"/>
        </w:rPr>
        <w:t xml:space="preserve">1.0 Introduction</w:t>
      </w:r>
    </w:p>
    <w:p>
      <w:pPr>
        <w:spacing w:after="200" w:line="360" w:lineRule="auto"/>
        <w:jc w:val="both"/>
      </w:pPr>
      <w:r>
        <w:rPr>
          <w:rFonts w:ascii="Arial" w:cs="Arial" w:eastAsia="Arial" w:hAnsi="Arial"/>
          <w:b w:val="false"/>
          <w:bCs w:val="false"/>
          <w:sz w:val="22"/>
          <w:szCs w:val="22"/>
        </w:rPr>
        <w:t>Health, wellbeing and sustainable development do not sit in separate silos; population health is shaped powerfully by the wider economic, social, environmental and political conditions in which people live (CSDH, 2008). When the United Nations adopted its 2030 Agenda in 2015, it set out 17 Sustainable Development Goals (SDGs), with SDG 3, Good Health and Well-being, positioned at the heart of a broader system of goals that together address the social and environmental determinants of health (United Nations, 2025). This report first considers how SDG 3 and SDG 13, Climate Action, jointly shape the health and wellbeing of citizens at a global level, before turning to a national and local case study: the Well-being of Future Generations (Wales) Act 2015. The Act is examined here because it is one of the few legally binding attempts anywhere to embed sustainable development duties directly into the operations of public bodies, including health boards, making it a particularly instructive example for a health and social care audience. The report closes with a set of evidence-based recommendations for strengthening policy and practice at both national and local level.</w:t>
      </w:r>
    </w:p>
    <w:p>
      <w:pPr>
        <w:spacing w:after="150" w:before="200" w:line="360" w:lineRule="auto"/>
      </w:pPr>
      <w:r>
        <w:rPr>
          <w:rFonts w:ascii="Arial" w:cs="Arial" w:eastAsia="Arial" w:hAnsi="Arial"/>
          <w:b/>
          <w:bCs/>
          <w:sz w:val="26"/>
          <w:szCs w:val="26"/>
        </w:rPr>
        <w:t xml:space="preserve">2.0 Global Perspective: SDG 3 and SDG 13</w:t>
      </w:r>
    </w:p>
    <w:p>
      <w:pPr>
        <w:spacing w:after="200" w:line="360" w:lineRule="auto"/>
        <w:jc w:val="both"/>
      </w:pPr>
      <w:r>
        <w:rPr>
          <w:rFonts w:ascii="Arial" w:cs="Arial" w:eastAsia="Arial" w:hAnsi="Arial"/>
          <w:b w:val="false"/>
          <w:bCs w:val="false"/>
          <w:sz w:val="22"/>
          <w:szCs w:val="22"/>
        </w:rPr>
        <w:t>Ten years into implementation, the SDGs have given the world a shared framework for improving health, yet progress on SDG 3 has been patchy, with some areas stalling and others slipping backwards (United Nations, 2025). Considerable headway has been made in reducing maternal and child deaths and in tackling communicable diseases such as HIV, tuberculosis and malaria, averting millions of deaths since the turn of the century (Joint SDG Fund, no date; ESCAP, 2025). Progress towards universal health coverage, however, has largely flatlined since 2019, and a growing share of the global population now faces catastrophic out-of-pocket health costs, a burden that falls disproportionately on low-income communities (United Nations, 2025). Non-communicable diseases have become the leading cause of death worldwide, and access to care remains deeply unequal both within and between countries. This underlines that health outcomes cannot be improved through the health sector alone, but demand integrated, whole-of-society approaches that also engage non-health goals (United Nations, 2025; WHO, no date). Because SDG 3 forms part of a wider system of 17 interconnected goals, progress on its 13 individual targets is also influenced, for better or worse, by what happens on poverty, education, gender equality and environmental sustainability, which is why a narrow focus on health services alone cannot secure lasting improvements in population health (United Nations, 2025).</w:t>
      </w:r>
    </w:p>
    <w:p>
      <w:pPr>
        <w:spacing w:after="200" w:line="360" w:lineRule="auto"/>
        <w:jc w:val="both"/>
      </w:pPr>
      <w:r>
        <w:rPr>
          <w:rFonts w:ascii="Arial" w:cs="Arial" w:eastAsia="Arial" w:hAnsi="Arial"/>
          <w:b w:val="false"/>
          <w:bCs w:val="false"/>
          <w:sz w:val="22"/>
          <w:szCs w:val="22"/>
        </w:rPr>
        <w:t>Nowhere is this interdependence clearer than in the relationship between SDG 3 and SDG 13. Climate change is now widely recognised as one of the single greatest threats to global health, eroding many of the gains that SDG 3 is meant to protect (Romanello et al., 2025). Drawing on the work of 128 experts across 57 indicators, the 2025 Lancet Countdown report found that global average temperatures passed 1.5 degrees Celsius above pre-industrial levels for the first time in 2024, and that twelve of the twenty health-related climate indicators it tracks reached record levels, with continued reliance on fossil fuels contributing to millions of avoidable deaths each year (Romanello et al., 2025; Lancet Countdown, 2025). Heat exposure illustrates the scale of the problem starkly: almost every region monitored across Europe recorded a rise in heat-attributable deaths between 2015 and 2024 compared with 1991 to 2000, with older adults, outdoor workers and people with existing health conditions bearing the brunt of this increase (Lancet Public Health, 2026). Beyond direct heat-related mortality, rising temperatures are also associated with poorer maternal outcomes, including higher rates of preterm birth and stillbirth during hot pregnancies, alongside mounting evidence of climate-related psychological harm, such as anxiety and trauma following extreme weather events (Romanello et al., 2025).</w:t>
      </w:r>
    </w:p>
    <w:p>
      <w:pPr>
        <w:spacing w:after="200" w:line="360" w:lineRule="auto"/>
        <w:jc w:val="both"/>
      </w:pPr>
      <w:r>
        <w:rPr>
          <w:rFonts w:ascii="Arial" w:cs="Arial" w:eastAsia="Arial" w:hAnsi="Arial"/>
          <w:b w:val="false"/>
          <w:bCs w:val="false"/>
          <w:sz w:val="22"/>
          <w:szCs w:val="22"/>
        </w:rPr>
        <w:t>These impacts fall unevenly across the population. Low-income groups, and regions already carrying a heavy disease burden, are hit hardest by both health inequities and the health consequences of a warming planet, compounding disadvantage that already exists (United Nations, 2025; Romanello et al., 2025). This echoes a well-established finding within the social determinants of health literature: it is the conditions in which people are born, grow, live, work and age, rather than healthcare provision alone, that primarily drive health outcomes and inequalities between and within nations (CSDH, 2008; Marmot, 2010). There is, however, cause for optimism. The Lancet Countdown (2025) notes that many of the measures needed to slow climate change also bring direct benefits for health, from cleaner air to healthier diets and more walkable, liveable cities, suggesting that ambitious climate action is among the greatest opportunities available for improving global health this century. Achieving SDG 3 therefore cannot be treated as a stand-alone endeavour: it depends on parallel and accelerated progress on SDG 13, and on embedding health considerations within climate policy at every level of governance (Lancet Countdown, 2025).</w:t>
      </w:r>
    </w:p>
    <w:p>
      <w:pPr>
        <w:spacing w:after="150" w:before="200" w:line="360" w:lineRule="auto"/>
      </w:pPr>
      <w:r>
        <w:rPr>
          <w:rFonts w:ascii="Arial" w:cs="Arial" w:eastAsia="Arial" w:hAnsi="Arial"/>
          <w:b/>
          <w:bCs/>
          <w:sz w:val="26"/>
          <w:szCs w:val="26"/>
        </w:rPr>
        <w:t xml:space="preserve">3.0 National and Local Evaluation: The Well-being of Future Generations (Wales) Act 2015</w:t>
      </w:r>
    </w:p>
    <w:p>
      <w:pPr>
        <w:spacing w:after="200" w:line="360" w:lineRule="auto"/>
        <w:jc w:val="both"/>
      </w:pPr>
      <w:r>
        <w:rPr>
          <w:rFonts w:ascii="Arial" w:cs="Arial" w:eastAsia="Arial" w:hAnsi="Arial"/>
          <w:b w:val="false"/>
          <w:bCs w:val="false"/>
          <w:sz w:val="22"/>
          <w:szCs w:val="22"/>
        </w:rPr>
        <w:t>At national level, Wales has turned the ambitions of the SDGs into domestic law through the Well-being of Future Generations (Wales) Act 2015, widely described as a pioneering piece of rights-based sustainability legislation (Legislation.gov.uk, 2026; WCVA, 2024). The Act places a statutory duty on 44 public bodies, including local authorities and health boards, to pursue seven well-being goals, among them a healthier Wales and a globally responsible Wales, through five statutory "ways of working": long-term thinking, prevention, integration, collaboration and involvement (Welsh Government, 2025; WCVA, 2024). It also established a Future Generations Commissioner to hold public bodies to account, and created statutory Public Services Boards in every local authority area, each required to publish a Local Well-being Plan informed by a local well-being assessment (WCVA, 2024). Randall (2020) situates the Act's origins in a combination of policy entrepreneurship, sustained political commitment and a growing evidence base on climate change and the social determinants of health, arguing that Wales' willingness to legislate for the long term offers a model of interest to other legislatures internationally.</w:t>
      </w:r>
    </w:p>
    <w:p>
      <w:pPr>
        <w:spacing w:after="200" w:line="360" w:lineRule="auto"/>
        <w:jc w:val="both"/>
      </w:pPr>
      <w:r>
        <w:rPr>
          <w:rFonts w:ascii="Arial" w:cs="Arial" w:eastAsia="Arial" w:hAnsi="Arial"/>
          <w:b w:val="false"/>
          <w:bCs w:val="false"/>
          <w:sz w:val="22"/>
          <w:szCs w:val="22"/>
        </w:rPr>
        <w:t>A decade on, evaluating the Act's impact reveals a mixed picture. On the positive side, it has clearly raised the profile of sustainable development and long-term thinking across Welsh public services, and provided the legal foundation for subsequent national strategies, including A Healthier Wales (2018), which commits NHS Wales to a whole-system, prevention-focused model of health and social care (Welsh Government, 2018; Public Health Wales, 2019). Public Health Wales' Long-Term Strategy 2023-2035 explicitly names the Act, alongside the UN's 2030 Agenda, as a foundational driver of its priorities, and adopts a One Health approach that recognises the interdependence of human, animal and ecosystem health (Public Health Wales, 2023). Most recently, in June 2026, the Welsh Government committed to becoming the world's first "Marmot nation", applying Michael Marmot's eight principles for reducing health inequalities across government, building directly on the foundations laid by the Act (Welsh Government, 2026). This step responds to health inequalities that remain stark and, in places, are widening: healthy life expectancy in the most deprived areas of Wales is around seventeen years lower for women and twelve years lower for men than in the least deprived areas, and the gap in premature deaths from non-communicable diseases between these areas continues to grow rather than close (Public Health Wales, 2023).</w:t>
      </w:r>
    </w:p>
    <w:p>
      <w:pPr>
        <w:spacing w:after="200" w:line="360" w:lineRule="auto"/>
        <w:jc w:val="both"/>
      </w:pPr>
      <w:r>
        <w:rPr>
          <w:rFonts w:ascii="Arial" w:cs="Arial" w:eastAsia="Arial" w:hAnsi="Arial"/>
          <w:b w:val="false"/>
          <w:bCs w:val="false"/>
          <w:sz w:val="22"/>
          <w:szCs w:val="22"/>
        </w:rPr>
        <w:t>A critical evaluation, however, must also acknowledge serious limitations. Audit Wales' ten-year review concluded that although the Act has raised the visibility of well-being and sustainability within public bodies, it has not driven the system-wide change originally envisaged, pointing to funding uncertainty, weak central government scrutiny of the Act's own impact, and insufficient investment in prevention (Audit Wales, 2025). A recommendation made by Audit Wales as early as 2020, calling for a formal review of implementation barriers, had still not been acted upon by 2025, pointing to a persistent gap between legislative ambition and delivery capacity (Audit Wales, 2025). This mirrors a broader pattern seen in the ten-year update to the Marmot Review in England, where legislative and policy commitments to reducing health inequalities stalled without sustained funding and political prioritisation, with inequalities widening even where strong policy frameworks were already in place (Institute of Health Equity, 2020).</w:t>
      </w:r>
    </w:p>
    <w:p>
      <w:pPr>
        <w:spacing w:after="200" w:line="360" w:lineRule="auto"/>
        <w:jc w:val="both"/>
      </w:pPr>
      <w:r>
        <w:rPr>
          <w:rFonts w:ascii="Arial" w:cs="Arial" w:eastAsia="Arial" w:hAnsi="Arial"/>
          <w:b w:val="false"/>
          <w:bCs w:val="false"/>
          <w:sz w:val="22"/>
          <w:szCs w:val="22"/>
        </w:rPr>
        <w:t>At local level, Swansea's Public Services Board demonstrates both the strengths and the limits of the Act in practice. Made up of Swansea Council, Swansea Bay University Health Board, Natural Resources Wales and the Mid and West Wales Fire and Rescue Service, the Board carried out an Assessment of Local Well-being in 2022 and published its second Local Well-being Plan for 2023 to 2028, setting objectives such as giving children the best possible start in life through joined-up early intervention services (Swansea Council, 2023). Its 2025 to 2026 annual report shows continued use of shared well-being data and indicators to monitor progress, but also concedes that closing the gap in healthy life expectancy and addressing entrenched local inequalities remains unfinished business, echoing the national pattern of partial, incremental rather than transformational change (Swansea Council, 2026). While the Act has clearly embedded collaborative structures and longer-term thinking at local level, converting these structures into measurable improvements in health outcomes for the most disadvantaged remains its central, unresolved challenge.</w:t>
      </w:r>
    </w:p>
    <w:p>
      <w:pPr>
        <w:spacing w:after="150" w:before="200" w:line="360" w:lineRule="auto"/>
      </w:pPr>
      <w:r>
        <w:rPr>
          <w:rFonts w:ascii="Arial" w:cs="Arial" w:eastAsia="Arial" w:hAnsi="Arial"/>
          <w:b/>
          <w:bCs/>
          <w:sz w:val="26"/>
          <w:szCs w:val="26"/>
        </w:rPr>
        <w:t xml:space="preserve">4.0 Recommendations</w:t>
      </w:r>
    </w:p>
    <w:p>
      <w:pPr>
        <w:spacing w:after="200" w:line="360" w:lineRule="auto"/>
        <w:jc w:val="both"/>
      </w:pPr>
      <w:r>
        <w:rPr>
          <w:rFonts w:ascii="Arial" w:cs="Arial" w:eastAsia="Arial" w:hAnsi="Arial"/>
          <w:b w:val="false"/>
          <w:bCs w:val="false"/>
          <w:sz w:val="22"/>
          <w:szCs w:val="22"/>
        </w:rPr>
        <w:t>This analysis points to several evidence-based recommendations for strengthening health, wellbeing and sustainable development policy in Wales. First, echoing Audit Wales' (2025) own call, the Welsh Government should commission the overdue independent review of the Act's implementation, with a clear timetable for assessing its impact and addressing structural barriers such as short-term public sector funding cycles, which discourage investment in preventative, long-term interventions. Second, the new Marmot nation commitment (Welsh Government, 2026) should be backed by ring-fenced, multi-year funding and clear accountability mechanisms, given that the original 2010 Marmot Review for England lost momentum once political priority and funding fell away (Institute of Health Equity, 2020). Third, in light of the escalating health impacts of climate change documented by the Lancet Countdown (2025), Welsh public bodies should build climate adaptation, particularly heat-health early-warning systems and targeted support for vulnerable groups, more explicitly into local well-being plans, treating a healthier Wales and a globally responsible Wales as mutually reinforcing goals rather than separate work programmes. Fourth, at local level, Public Services Boards such as Swansea's should make greater use of disaggregated well-being data to target the neighbourhoods and population groups facing the widest healthy life expectancy gaps, rather than relying solely on area-wide indicators, so that collaborative structures translate into measurable reductions in inequality (Swansea Council, 2026; Public Health Wales, 2023). Finally, national and local bodies should ensure that progress against the seven well-being goals is reported using consistent, comparable indicators over time, so that future evaluations can distinguish genuine improvements in health and wellbeing from changes in reporting practice alone. Taken together, these steps would help close the gap between the Act's ambitious legislative framework and its practical delivery, strengthening the link between global sustainable development commitments and tangible improvements in citizens' health and wellbeing at national and local level.</w:t>
      </w:r>
    </w:p>
    <w:p>
      <w:pPr>
        <w:spacing w:after="150" w:before="200" w:line="360" w:lineRule="auto"/>
      </w:pPr>
      <w:r>
        <w:rPr>
          <w:rFonts w:ascii="Arial" w:cs="Arial" w:eastAsia="Arial" w:hAnsi="Arial"/>
          <w:b/>
          <w:bCs/>
          <w:sz w:val="26"/>
          <w:szCs w:val="26"/>
        </w:rPr>
        <w:t xml:space="preserve">5.0 Conclusion</w:t>
      </w:r>
    </w:p>
    <w:p>
      <w:pPr>
        <w:spacing w:after="200" w:line="360" w:lineRule="auto"/>
        <w:jc w:val="both"/>
      </w:pPr>
      <w:r>
        <w:rPr>
          <w:rFonts w:ascii="Arial" w:cs="Arial" w:eastAsia="Arial" w:hAnsi="Arial"/>
          <w:b w:val="false"/>
          <w:bCs w:val="false"/>
          <w:sz w:val="22"/>
          <w:szCs w:val="22"/>
        </w:rPr>
        <w:t>This report has critically examined the relationship between global, national and local health, wellbeing and sustainable development policy. At a global level, SDG 3 and SDG 13 are shown to be tightly interconnected, with climate change increasingly undermining progress on health and wellbeing, particularly for the most vulnerable populations. Nationally and locally, Wales' Well-being of Future Generations Act 2015 represents an internationally significant legislative commitment to long-term, integrated policymaking, and has meaningfully shaped later strategies such as A Healthier Wales and the 2026 Marmot nation commitment. Yet persistent health inequalities, together with Audit Wales' critical ten-year evaluation, demonstrate that legislative ambition alone is not sufficient. Sustained funding, stronger accountability and a sharper local focus on the most disadvantaged citizens are all required if Wales is to translate its pioneering policy framework into genuinely improved health and wellbeing outcomes for all.</w:t>
      </w:r>
    </w:p>
    <w:p>
      <w:r>
        <w:br w:type="page"/>
      </w:r>
    </w:p>
    <w:p>
      <w:pPr>
        <w:spacing w:after="150" w:before="200" w:line="360" w:lineRule="auto"/>
      </w:pPr>
      <w:r>
        <w:rPr>
          <w:rFonts w:ascii="Arial" w:cs="Arial" w:eastAsia="Arial" w:hAnsi="Arial"/>
          <w:b/>
          <w:bCs/>
          <w:sz w:val="26"/>
          <w:szCs w:val="26"/>
        </w:rPr>
        <w:t xml:space="preserve">Reference List (Harvard - UWTSD Style)</w:t>
      </w:r>
    </w:p>
    <w:p>
      <w:pPr>
        <w:spacing w:after="150" w:line="360" w:lineRule="auto"/>
        <w:ind w:left="720" w:hanging="720"/>
      </w:pPr>
      <w:r>
        <w:rPr>
          <w:rFonts w:ascii="Arial" w:cs="Arial" w:eastAsia="Arial" w:hAnsi="Arial"/>
          <w:sz w:val="22"/>
          <w:szCs w:val="22"/>
        </w:rPr>
        <w:t xml:space="preserve">Audit Wales (2025) Ten years on, the Well-being of Future Generations Act has increased prominence but is not driving the system-wide change that was intended. Available at: https://www.audit.wales/news/ten-years-well-being-future-generations-act-has-increased-prominence-not-driving-system-wide (Accessed: 30 July 2026).</w:t>
      </w:r>
    </w:p>
    <w:p>
      <w:pPr>
        <w:spacing w:after="150" w:line="360" w:lineRule="auto"/>
        <w:ind w:left="720" w:hanging="720"/>
      </w:pPr>
      <w:r>
        <w:rPr>
          <w:rFonts w:ascii="Arial" w:cs="Arial" w:eastAsia="Arial" w:hAnsi="Arial"/>
          <w:sz w:val="22"/>
          <w:szCs w:val="22"/>
        </w:rPr>
        <w:t xml:space="preserve">CSDH (2008) Closing the Gap in a Generation: Health Equity through Action on the Social Determinants of Health. Final Report of the Commission on Social Determinants of Health. Geneva: World Health Organization.</w:t>
      </w:r>
    </w:p>
    <w:p>
      <w:pPr>
        <w:spacing w:after="150" w:line="360" w:lineRule="auto"/>
        <w:ind w:left="720" w:hanging="720"/>
      </w:pPr>
      <w:r>
        <w:rPr>
          <w:rFonts w:ascii="Arial" w:cs="Arial" w:eastAsia="Arial" w:hAnsi="Arial"/>
          <w:sz w:val="22"/>
          <w:szCs w:val="22"/>
        </w:rPr>
        <w:t xml:space="preserve">ESCAP (2025) SDG 3: Good Health and Well-being (2025 Update). Available at: https://www.unescap.org/kp/2025/sdg-3-good-health-and-well-being-2025-update (Accessed: 30 July 2026).</w:t>
      </w:r>
    </w:p>
    <w:p>
      <w:pPr>
        <w:spacing w:after="150" w:line="360" w:lineRule="auto"/>
        <w:ind w:left="720" w:hanging="720"/>
      </w:pPr>
      <w:r>
        <w:rPr>
          <w:rFonts w:ascii="Arial" w:cs="Arial" w:eastAsia="Arial" w:hAnsi="Arial"/>
          <w:sz w:val="22"/>
          <w:szCs w:val="22"/>
        </w:rPr>
        <w:t xml:space="preserve">Institute of Health Equity (2020) Health Equity in England: The Marmot Review 10 Years On. London: Institute of Health Equity / The Health Foundation.</w:t>
      </w:r>
    </w:p>
    <w:p>
      <w:pPr>
        <w:spacing w:after="150" w:line="360" w:lineRule="auto"/>
        <w:ind w:left="720" w:hanging="720"/>
      </w:pPr>
      <w:r>
        <w:rPr>
          <w:rFonts w:ascii="Arial" w:cs="Arial" w:eastAsia="Arial" w:hAnsi="Arial"/>
          <w:sz w:val="22"/>
          <w:szCs w:val="22"/>
        </w:rPr>
        <w:t xml:space="preserve">Joint SDG Fund (no date) Goal 3: Good Health and Well-being. Available at: https://jointsdgfund.org/sustainable-development-goals/goal-3-good-health-and-well-being (Accessed: 30 July 2026).</w:t>
      </w:r>
    </w:p>
    <w:p>
      <w:pPr>
        <w:spacing w:after="150" w:line="360" w:lineRule="auto"/>
        <w:ind w:left="720" w:hanging="720"/>
      </w:pPr>
      <w:r>
        <w:rPr>
          <w:rFonts w:ascii="Arial" w:cs="Arial" w:eastAsia="Arial" w:hAnsi="Arial"/>
          <w:sz w:val="22"/>
          <w:szCs w:val="22"/>
        </w:rPr>
        <w:t xml:space="preserve">Lancet Countdown (2025) The 2025 Report of the Lancet Countdown on Health and Climate Change: Summary for Policymakers. Available at: https://lancetcountdown.org/wp-content/uploads/2025/11/Policy-summary_final.pdf (Accessed: 30 July 2026).</w:t>
      </w:r>
    </w:p>
    <w:p>
      <w:pPr>
        <w:spacing w:after="150" w:line="360" w:lineRule="auto"/>
        <w:ind w:left="720" w:hanging="720"/>
      </w:pPr>
      <w:r>
        <w:rPr>
          <w:rFonts w:ascii="Arial" w:cs="Arial" w:eastAsia="Arial" w:hAnsi="Arial"/>
          <w:sz w:val="22"/>
          <w:szCs w:val="22"/>
        </w:rPr>
        <w:t xml:space="preserve">Lancet Public Health (2026) 'The 2026 Europe report of the Lancet Countdown on health and climate change: narrowing window for decisive health action', The Lancet Public Health. Available at: https://www.thelancet.com/journals/lanpub/article/PIIS2468-2667(26)00025-3/fulltext (Accessed: 30 July 2026).</w:t>
      </w:r>
    </w:p>
    <w:p>
      <w:pPr>
        <w:spacing w:after="150" w:line="360" w:lineRule="auto"/>
        <w:ind w:left="720" w:hanging="720"/>
      </w:pPr>
      <w:r>
        <w:rPr>
          <w:rFonts w:ascii="Arial" w:cs="Arial" w:eastAsia="Arial" w:hAnsi="Arial"/>
          <w:sz w:val="22"/>
          <w:szCs w:val="22"/>
        </w:rPr>
        <w:t xml:space="preserve">Legislation.gov.uk (2026) Well-being of Future Generations (Wales) Act 2015. Available at: https://www.legislation.gov.uk/anaw/2015/2/contents (Accessed: 30 July 2026).</w:t>
      </w:r>
    </w:p>
    <w:p>
      <w:pPr>
        <w:spacing w:after="150" w:line="360" w:lineRule="auto"/>
        <w:ind w:left="720" w:hanging="720"/>
      </w:pPr>
      <w:r>
        <w:rPr>
          <w:rFonts w:ascii="Arial" w:cs="Arial" w:eastAsia="Arial" w:hAnsi="Arial"/>
          <w:sz w:val="22"/>
          <w:szCs w:val="22"/>
        </w:rPr>
        <w:t xml:space="preserve">Marmot, M. (2010) Fair Society, Healthy Lives: The Marmot Review. London: Institute of Health Equity.</w:t>
      </w:r>
    </w:p>
    <w:p>
      <w:pPr>
        <w:spacing w:after="150" w:line="360" w:lineRule="auto"/>
        <w:ind w:left="720" w:hanging="720"/>
      </w:pPr>
      <w:r>
        <w:rPr>
          <w:rFonts w:ascii="Arial" w:cs="Arial" w:eastAsia="Arial" w:hAnsi="Arial"/>
          <w:sz w:val="22"/>
          <w:szCs w:val="22"/>
        </w:rPr>
        <w:t xml:space="preserve">Public Health Wales (2019) Integrated Medium Term Plan 2019-2022. Available at: https://phw.nhs.wales/about-us/our-priorities/long-term-strategy-documents/public-health-wales-strategic-plan-2019-22/ (Accessed: 30 July 2026).</w:t>
      </w:r>
    </w:p>
    <w:p>
      <w:pPr>
        <w:spacing w:after="150" w:line="360" w:lineRule="auto"/>
        <w:ind w:left="720" w:hanging="720"/>
      </w:pPr>
      <w:r>
        <w:rPr>
          <w:rFonts w:ascii="Arial" w:cs="Arial" w:eastAsia="Arial" w:hAnsi="Arial"/>
          <w:sz w:val="22"/>
          <w:szCs w:val="22"/>
        </w:rPr>
        <w:t xml:space="preserve">Public Health Wales (2023) Working Together for a Healthier Wales: Our Long-Term Strategy 2023-2035. Available at: https://phw.nhs.wales/about-us/working-together-for-a-healthier-wales/phw-long-term-strategy-pdf/ (Accessed: 30 July 2026).</w:t>
      </w:r>
    </w:p>
    <w:p>
      <w:pPr>
        <w:spacing w:after="150" w:line="360" w:lineRule="auto"/>
        <w:ind w:left="720" w:hanging="720"/>
      </w:pPr>
      <w:r>
        <w:rPr>
          <w:rFonts w:ascii="Arial" w:cs="Arial" w:eastAsia="Arial" w:hAnsi="Arial"/>
          <w:sz w:val="22"/>
          <w:szCs w:val="22"/>
        </w:rPr>
        <w:t xml:space="preserve">Randall, S. (2020) 'Taking the long view: the development of the Well-being of Future Generations (Wales) Act', Journal of Public Health. Available at: https://pubmed.ncbi.nlm.nih.gov/32216793/ (Accessed: 30 July 2026).</w:t>
      </w:r>
    </w:p>
    <w:p>
      <w:pPr>
        <w:spacing w:after="150" w:line="360" w:lineRule="auto"/>
        <w:ind w:left="720" w:hanging="720"/>
      </w:pPr>
      <w:r>
        <w:rPr>
          <w:rFonts w:ascii="Arial" w:cs="Arial" w:eastAsia="Arial" w:hAnsi="Arial"/>
          <w:sz w:val="22"/>
          <w:szCs w:val="22"/>
        </w:rPr>
        <w:t xml:space="preserve">Romanello, M. et al. (2025) 'The 2025 report of the Lancet Countdown on health and climate change: climate change action offers a lifeline', The Lancet, 406(10521), pp. 2804-2857.</w:t>
      </w:r>
    </w:p>
    <w:p>
      <w:pPr>
        <w:spacing w:after="150" w:line="360" w:lineRule="auto"/>
        <w:ind w:left="720" w:hanging="720"/>
      </w:pPr>
      <w:r>
        <w:rPr>
          <w:rFonts w:ascii="Arial" w:cs="Arial" w:eastAsia="Arial" w:hAnsi="Arial"/>
          <w:sz w:val="22"/>
          <w:szCs w:val="22"/>
        </w:rPr>
        <w:t xml:space="preserve">Swansea Council (2023) Swansea Public Services Board Local Well-being Plan 2023-2028. Available at: https://sbuhb.nhs.wales/about-us/swansea-bay-uhb/key-documents/board-meetings-and-papers/board-papers-march-2023/35-appendix-a-swansea-local-wellbeing-planpdf/ (Accessed: 30 July 2026).</w:t>
      </w:r>
    </w:p>
    <w:p>
      <w:pPr>
        <w:spacing w:after="150" w:line="360" w:lineRule="auto"/>
        <w:ind w:left="720" w:hanging="720"/>
      </w:pPr>
      <w:r>
        <w:rPr>
          <w:rFonts w:ascii="Arial" w:cs="Arial" w:eastAsia="Arial" w:hAnsi="Arial"/>
          <w:sz w:val="22"/>
          <w:szCs w:val="22"/>
        </w:rPr>
        <w:t xml:space="preserve">Swansea Council (2026) Swansea Public Services Board Annual Report 2025-26. Available at: https://www.swansea.gov.uk/article/12064/Swansea-Public-Services-Board-Annual-Report-2025-26 (Accessed: 30 July 2026).</w:t>
      </w:r>
    </w:p>
    <w:p>
      <w:pPr>
        <w:spacing w:after="150" w:line="360" w:lineRule="auto"/>
        <w:ind w:left="720" w:hanging="720"/>
      </w:pPr>
      <w:r>
        <w:rPr>
          <w:rFonts w:ascii="Arial" w:cs="Arial" w:eastAsia="Arial" w:hAnsi="Arial"/>
          <w:sz w:val="22"/>
          <w:szCs w:val="22"/>
        </w:rPr>
        <w:t xml:space="preserve">United Nations (2025) SDG 3: Ensure Healthy Lives and Promote Well-being for All at All Ages. SDG Knowledge Hub. Available at: https://sdg.iisd.org/news/sdg-3-ensure-healthy-lives-and-promote-well-being-for-all-at-all-ages/ (Accessed: 30 July 2026).</w:t>
      </w:r>
    </w:p>
    <w:p>
      <w:pPr>
        <w:spacing w:after="150" w:line="360" w:lineRule="auto"/>
        <w:ind w:left="720" w:hanging="720"/>
      </w:pPr>
      <w:r>
        <w:rPr>
          <w:rFonts w:ascii="Arial" w:cs="Arial" w:eastAsia="Arial" w:hAnsi="Arial"/>
          <w:sz w:val="22"/>
          <w:szCs w:val="22"/>
        </w:rPr>
        <w:t xml:space="preserve">WCVA (2024) The Wellbeing of Future Generations Act. Available at: https://wcva.cymru/influencing/legislation/the-wellbeing-of-future-generations-act/ (Accessed: 30 July 2026).</w:t>
      </w:r>
    </w:p>
    <w:p>
      <w:pPr>
        <w:spacing w:after="150" w:line="360" w:lineRule="auto"/>
        <w:ind w:left="720" w:hanging="720"/>
      </w:pPr>
      <w:r>
        <w:rPr>
          <w:rFonts w:ascii="Arial" w:cs="Arial" w:eastAsia="Arial" w:hAnsi="Arial"/>
          <w:sz w:val="22"/>
          <w:szCs w:val="22"/>
        </w:rPr>
        <w:t xml:space="preserve">Welsh Government (2018) A Healthier Wales: Our Plan for Health and Social Care. Cardiff: Welsh Government.</w:t>
      </w:r>
    </w:p>
    <w:p>
      <w:pPr>
        <w:spacing w:after="150" w:line="360" w:lineRule="auto"/>
        <w:ind w:left="720" w:hanging="720"/>
      </w:pPr>
      <w:r>
        <w:rPr>
          <w:rFonts w:ascii="Arial" w:cs="Arial" w:eastAsia="Arial" w:hAnsi="Arial"/>
          <w:sz w:val="22"/>
          <w:szCs w:val="22"/>
        </w:rPr>
        <w:t xml:space="preserve">Welsh Government (2025) Well-being of Future Generations (Wales) Act 2015: The Essentials. Available at: https://www.gov.wales/well-being-future-generations-act-essentials-html (Accessed: 30 July 2026).</w:t>
      </w:r>
    </w:p>
    <w:p>
      <w:pPr>
        <w:spacing w:after="150" w:line="360" w:lineRule="auto"/>
        <w:ind w:left="720" w:hanging="720"/>
      </w:pPr>
      <w:r>
        <w:rPr>
          <w:rFonts w:ascii="Arial" w:cs="Arial" w:eastAsia="Arial" w:hAnsi="Arial"/>
          <w:sz w:val="22"/>
          <w:szCs w:val="22"/>
        </w:rPr>
        <w:t xml:space="preserve">Welsh Government (2026) Wales to Become World's First 'Marmot Nation' to Tackle Health Inequalities. Available at: https://www.gov.wales/wales-become-worlds-first-marmot-nation-tackle-health-inequalities (Accessed: 30 July 2026).</w:t>
      </w:r>
    </w:p>
    <w:p>
      <w:pPr>
        <w:spacing w:after="150" w:line="360" w:lineRule="auto"/>
        <w:ind w:left="720" w:hanging="720"/>
      </w:pPr>
      <w:r>
        <w:rPr>
          <w:rFonts w:ascii="Arial" w:cs="Arial" w:eastAsia="Arial" w:hAnsi="Arial"/>
          <w:sz w:val="22"/>
          <w:szCs w:val="22"/>
        </w:rPr>
        <w:t xml:space="preserve">WHO (no date) World Health Statistics. Available at: https://www.who.int/data/gho/data/themes/world-health-statistics (Accessed: 30 July 2026).</w:t>
      </w:r>
    </w:p>
    <w:sectPr>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2026-07-30T21:11:32.610Z</dcterms:created>
  <dcterms:modified xsi:type="dcterms:W3CDTF">2026-07-30T21:11:32.626Z</dcterms:modified>
</cp:coreProperties>
</file>

<file path=docProps/custom.xml><?xml version="1.0" encoding="utf-8"?>
<Properties xmlns="http://schemas.openxmlformats.org/officeDocument/2006/custom-properties" xmlns:vt="http://schemas.openxmlformats.org/officeDocument/2006/docPropsVTypes"/>
</file>