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B4F1B" w14:textId="75A9A024" w:rsidR="00DE5912" w:rsidRPr="00DE5912" w:rsidRDefault="00DE5912" w:rsidP="00CA0B5A">
      <w:pPr>
        <w:spacing w:line="360" w:lineRule="auto"/>
        <w:rPr>
          <w:rFonts w:ascii="Arial" w:hAnsi="Arial" w:cs="Arial"/>
        </w:rPr>
      </w:pPr>
      <w:r w:rsidRPr="00DE5912">
        <w:rPr>
          <w:rFonts w:ascii="Arial" w:hAnsi="Arial" w:cs="Arial"/>
          <w:b/>
          <w:bCs/>
        </w:rPr>
        <w:t>Student Name</w:t>
      </w:r>
      <w:r w:rsidRPr="00DE5912">
        <w:rPr>
          <w:rFonts w:ascii="Arial" w:hAnsi="Arial" w:cs="Arial"/>
        </w:rPr>
        <w:t>: Leticia</w:t>
      </w:r>
      <w:r w:rsidR="00CA0B5A" w:rsidRPr="00CA0B5A">
        <w:rPr>
          <w:rFonts w:ascii="Arial" w:hAnsi="Arial" w:cs="Arial"/>
        </w:rPr>
        <w:t xml:space="preserve"> Maison </w:t>
      </w:r>
      <w:r w:rsidRPr="00DE5912">
        <w:rPr>
          <w:rFonts w:ascii="Arial" w:hAnsi="Arial" w:cs="Arial"/>
        </w:rPr>
        <w:br/>
      </w:r>
      <w:r w:rsidRPr="00DE5912">
        <w:rPr>
          <w:rFonts w:ascii="Arial" w:hAnsi="Arial" w:cs="Arial"/>
          <w:b/>
          <w:bCs/>
        </w:rPr>
        <w:t>Student Number</w:t>
      </w:r>
      <w:r w:rsidRPr="00DE5912">
        <w:rPr>
          <w:rFonts w:ascii="Arial" w:hAnsi="Arial" w:cs="Arial"/>
        </w:rPr>
        <w:t xml:space="preserve">: </w:t>
      </w:r>
      <w:r w:rsidRPr="00CA0B5A">
        <w:rPr>
          <w:rFonts w:ascii="Arial" w:hAnsi="Arial" w:cs="Arial"/>
        </w:rPr>
        <w:t>2328708</w:t>
      </w:r>
      <w:r w:rsidRPr="00DE5912">
        <w:rPr>
          <w:rFonts w:ascii="Arial" w:hAnsi="Arial" w:cs="Arial"/>
        </w:rPr>
        <w:br/>
      </w:r>
      <w:r w:rsidRPr="00DE5912">
        <w:rPr>
          <w:rFonts w:ascii="Arial" w:hAnsi="Arial" w:cs="Arial"/>
          <w:b/>
          <w:bCs/>
        </w:rPr>
        <w:t>Module Code</w:t>
      </w:r>
      <w:r w:rsidRPr="00DE5912">
        <w:rPr>
          <w:rFonts w:ascii="Arial" w:hAnsi="Arial" w:cs="Arial"/>
        </w:rPr>
        <w:t>: BMHP5016 – Principles of Health and Social Care Practice</w:t>
      </w:r>
      <w:r w:rsidRPr="00DE5912">
        <w:rPr>
          <w:rFonts w:ascii="Arial" w:hAnsi="Arial" w:cs="Arial"/>
        </w:rPr>
        <w:br/>
      </w:r>
      <w:r w:rsidRPr="00DE5912">
        <w:rPr>
          <w:rFonts w:ascii="Arial" w:hAnsi="Arial" w:cs="Arial"/>
          <w:b/>
          <w:bCs/>
        </w:rPr>
        <w:t>Assignment Title</w:t>
      </w:r>
      <w:r w:rsidRPr="00DE5912">
        <w:rPr>
          <w:rFonts w:ascii="Arial" w:hAnsi="Arial" w:cs="Arial"/>
        </w:rPr>
        <w:t>: Evaluation of Person-Centred Care and Partnership Working</w:t>
      </w:r>
    </w:p>
    <w:p w14:paraId="5DA67BAB" w14:textId="77777777" w:rsidR="00DE5912" w:rsidRDefault="00DE5912" w:rsidP="00CA0B5A">
      <w:pPr>
        <w:spacing w:line="360" w:lineRule="auto"/>
      </w:pPr>
    </w:p>
    <w:p w14:paraId="56C2046A" w14:textId="77777777" w:rsidR="00103BB2" w:rsidRDefault="00103BB2" w:rsidP="00CA0B5A">
      <w:pPr>
        <w:spacing w:line="360" w:lineRule="auto"/>
        <w:rPr>
          <w:b/>
          <w:bCs/>
          <w:u w:val="single"/>
        </w:rPr>
      </w:pPr>
    </w:p>
    <w:p w14:paraId="0F489D2E" w14:textId="77777777" w:rsidR="00103BB2" w:rsidRDefault="00103BB2" w:rsidP="00CA0B5A">
      <w:pPr>
        <w:spacing w:line="360" w:lineRule="auto"/>
        <w:rPr>
          <w:b/>
          <w:bCs/>
          <w:u w:val="single"/>
        </w:rPr>
      </w:pPr>
    </w:p>
    <w:p w14:paraId="1A57ECF9" w14:textId="77777777" w:rsidR="00103BB2" w:rsidRDefault="00103BB2" w:rsidP="00CA0B5A">
      <w:pPr>
        <w:spacing w:line="360" w:lineRule="auto"/>
        <w:rPr>
          <w:b/>
          <w:bCs/>
          <w:u w:val="single"/>
        </w:rPr>
      </w:pPr>
    </w:p>
    <w:p w14:paraId="159BFF4B" w14:textId="77777777" w:rsidR="00103BB2" w:rsidRDefault="00103BB2" w:rsidP="00CA0B5A">
      <w:pPr>
        <w:spacing w:line="360" w:lineRule="auto"/>
        <w:rPr>
          <w:b/>
          <w:bCs/>
          <w:u w:val="single"/>
        </w:rPr>
      </w:pPr>
    </w:p>
    <w:p w14:paraId="6341BD00" w14:textId="77777777" w:rsidR="00103BB2" w:rsidRDefault="00103BB2" w:rsidP="00CA0B5A">
      <w:pPr>
        <w:spacing w:line="360" w:lineRule="auto"/>
        <w:rPr>
          <w:b/>
          <w:bCs/>
          <w:u w:val="single"/>
        </w:rPr>
      </w:pPr>
    </w:p>
    <w:p w14:paraId="5281B4C6" w14:textId="77777777" w:rsidR="00103BB2" w:rsidRDefault="00103BB2" w:rsidP="00CA0B5A">
      <w:pPr>
        <w:spacing w:line="360" w:lineRule="auto"/>
        <w:rPr>
          <w:b/>
          <w:bCs/>
          <w:u w:val="single"/>
        </w:rPr>
      </w:pPr>
    </w:p>
    <w:p w14:paraId="2222D910" w14:textId="77777777" w:rsidR="00103BB2" w:rsidRDefault="00103BB2" w:rsidP="00CA0B5A">
      <w:pPr>
        <w:spacing w:line="360" w:lineRule="auto"/>
        <w:rPr>
          <w:b/>
          <w:bCs/>
          <w:u w:val="single"/>
        </w:rPr>
      </w:pPr>
    </w:p>
    <w:p w14:paraId="2047EB9A" w14:textId="77777777" w:rsidR="00103BB2" w:rsidRDefault="00103BB2" w:rsidP="00CA0B5A">
      <w:pPr>
        <w:spacing w:line="360" w:lineRule="auto"/>
        <w:rPr>
          <w:b/>
          <w:bCs/>
          <w:u w:val="single"/>
        </w:rPr>
      </w:pPr>
    </w:p>
    <w:p w14:paraId="106E22F0" w14:textId="77777777" w:rsidR="00103BB2" w:rsidRDefault="00103BB2" w:rsidP="00CA0B5A">
      <w:pPr>
        <w:spacing w:line="360" w:lineRule="auto"/>
        <w:rPr>
          <w:b/>
          <w:bCs/>
          <w:u w:val="single"/>
        </w:rPr>
      </w:pPr>
    </w:p>
    <w:p w14:paraId="4B4EF7A7" w14:textId="77777777" w:rsidR="00103BB2" w:rsidRDefault="00103BB2" w:rsidP="00CA0B5A">
      <w:pPr>
        <w:spacing w:line="360" w:lineRule="auto"/>
        <w:rPr>
          <w:b/>
          <w:bCs/>
          <w:u w:val="single"/>
        </w:rPr>
      </w:pPr>
    </w:p>
    <w:p w14:paraId="4E918F7C" w14:textId="77777777" w:rsidR="00103BB2" w:rsidRDefault="00103BB2" w:rsidP="00CA0B5A">
      <w:pPr>
        <w:spacing w:line="360" w:lineRule="auto"/>
        <w:rPr>
          <w:b/>
          <w:bCs/>
          <w:u w:val="single"/>
        </w:rPr>
      </w:pPr>
    </w:p>
    <w:p w14:paraId="75ECE89A" w14:textId="77777777" w:rsidR="00103BB2" w:rsidRDefault="00103BB2" w:rsidP="00CA0B5A">
      <w:pPr>
        <w:spacing w:line="360" w:lineRule="auto"/>
        <w:rPr>
          <w:b/>
          <w:bCs/>
          <w:u w:val="single"/>
        </w:rPr>
      </w:pPr>
    </w:p>
    <w:p w14:paraId="67677B73" w14:textId="77777777" w:rsidR="00103BB2" w:rsidRDefault="00103BB2" w:rsidP="00CA0B5A">
      <w:pPr>
        <w:spacing w:line="360" w:lineRule="auto"/>
        <w:rPr>
          <w:b/>
          <w:bCs/>
          <w:u w:val="single"/>
        </w:rPr>
      </w:pPr>
    </w:p>
    <w:p w14:paraId="478C4F94" w14:textId="77777777" w:rsidR="00103BB2" w:rsidRDefault="00103BB2" w:rsidP="00CA0B5A">
      <w:pPr>
        <w:spacing w:line="360" w:lineRule="auto"/>
        <w:rPr>
          <w:b/>
          <w:bCs/>
          <w:u w:val="single"/>
        </w:rPr>
      </w:pPr>
    </w:p>
    <w:p w14:paraId="5EE5F829" w14:textId="77777777" w:rsidR="00103BB2" w:rsidRDefault="00103BB2" w:rsidP="00CA0B5A">
      <w:pPr>
        <w:spacing w:line="360" w:lineRule="auto"/>
        <w:rPr>
          <w:b/>
          <w:bCs/>
          <w:u w:val="single"/>
        </w:rPr>
      </w:pPr>
    </w:p>
    <w:p w14:paraId="1650F1A0" w14:textId="77777777" w:rsidR="00103BB2" w:rsidRDefault="00103BB2" w:rsidP="00CA0B5A">
      <w:pPr>
        <w:spacing w:line="360" w:lineRule="auto"/>
        <w:rPr>
          <w:b/>
          <w:bCs/>
          <w:u w:val="single"/>
        </w:rPr>
      </w:pPr>
    </w:p>
    <w:p w14:paraId="01E39D7F" w14:textId="77777777" w:rsidR="00103BB2" w:rsidRDefault="00103BB2" w:rsidP="00CA0B5A">
      <w:pPr>
        <w:spacing w:line="360" w:lineRule="auto"/>
        <w:rPr>
          <w:b/>
          <w:bCs/>
          <w:u w:val="single"/>
        </w:rPr>
      </w:pPr>
    </w:p>
    <w:p w14:paraId="56B5F991" w14:textId="77777777" w:rsidR="00103BB2" w:rsidRDefault="00103BB2" w:rsidP="00CA0B5A">
      <w:pPr>
        <w:spacing w:line="360" w:lineRule="auto"/>
        <w:rPr>
          <w:b/>
          <w:bCs/>
          <w:u w:val="single"/>
        </w:rPr>
      </w:pPr>
    </w:p>
    <w:p w14:paraId="515490F9" w14:textId="77777777" w:rsidR="00103BB2" w:rsidRDefault="00103BB2" w:rsidP="00CA0B5A">
      <w:pPr>
        <w:spacing w:line="360" w:lineRule="auto"/>
        <w:rPr>
          <w:b/>
          <w:bCs/>
          <w:u w:val="single"/>
        </w:rPr>
      </w:pPr>
    </w:p>
    <w:p w14:paraId="7E08AB24" w14:textId="77777777" w:rsidR="00DE5912" w:rsidRPr="00CA0B5A" w:rsidRDefault="00DE5912" w:rsidP="00CA0B5A">
      <w:pPr>
        <w:spacing w:line="360" w:lineRule="auto"/>
        <w:rPr>
          <w:rFonts w:ascii="Arial" w:hAnsi="Arial" w:cs="Arial"/>
          <w:sz w:val="22"/>
          <w:szCs w:val="22"/>
        </w:rPr>
      </w:pPr>
    </w:p>
    <w:p w14:paraId="387D18B3" w14:textId="2834D147" w:rsidR="00DF1543" w:rsidRPr="00CA0B5A" w:rsidRDefault="00DF1543" w:rsidP="00CA0B5A">
      <w:pPr>
        <w:spacing w:line="360" w:lineRule="auto"/>
        <w:rPr>
          <w:rFonts w:ascii="Arial" w:hAnsi="Arial" w:cs="Arial"/>
          <w:b/>
          <w:bCs/>
          <w:sz w:val="22"/>
          <w:szCs w:val="22"/>
          <w:u w:val="single"/>
        </w:rPr>
      </w:pPr>
      <w:r w:rsidRPr="00CA0B5A">
        <w:rPr>
          <w:rFonts w:ascii="Arial" w:hAnsi="Arial" w:cs="Arial"/>
          <w:b/>
          <w:bCs/>
          <w:sz w:val="22"/>
          <w:szCs w:val="22"/>
          <w:u w:val="single"/>
        </w:rPr>
        <w:t>Introduction</w:t>
      </w:r>
    </w:p>
    <w:p w14:paraId="00BC4BAB" w14:textId="14237110" w:rsidR="00DF1543" w:rsidRPr="00DF1543" w:rsidRDefault="00DF1543" w:rsidP="00CA0B5A">
      <w:pPr>
        <w:spacing w:line="360" w:lineRule="auto"/>
        <w:rPr>
          <w:rFonts w:ascii="Arial" w:hAnsi="Arial" w:cs="Arial"/>
          <w:sz w:val="22"/>
          <w:szCs w:val="22"/>
        </w:rPr>
      </w:pPr>
      <w:r w:rsidRPr="00DF1543">
        <w:rPr>
          <w:rFonts w:ascii="Arial" w:hAnsi="Arial" w:cs="Arial"/>
          <w:sz w:val="22"/>
          <w:szCs w:val="22"/>
        </w:rPr>
        <w:t>This report will explore the principles and practical applications of person-centred care and partnership working (aka PCC, PW) within a residential care home setting</w:t>
      </w:r>
      <w:r w:rsidR="00321AFF">
        <w:rPr>
          <w:rFonts w:ascii="Arial" w:hAnsi="Arial" w:cs="Arial"/>
          <w:sz w:val="22"/>
          <w:szCs w:val="22"/>
        </w:rPr>
        <w:t>. This centre</w:t>
      </w:r>
      <w:r w:rsidRPr="00DF1543">
        <w:rPr>
          <w:rFonts w:ascii="Arial" w:hAnsi="Arial" w:cs="Arial"/>
          <w:sz w:val="22"/>
          <w:szCs w:val="22"/>
        </w:rPr>
        <w:t xml:space="preserve"> support</w:t>
      </w:r>
      <w:r w:rsidR="00321AFF">
        <w:rPr>
          <w:rFonts w:ascii="Arial" w:hAnsi="Arial" w:cs="Arial"/>
          <w:sz w:val="22"/>
          <w:szCs w:val="22"/>
        </w:rPr>
        <w:t>s and provides care for</w:t>
      </w:r>
      <w:r w:rsidRPr="00DF1543">
        <w:rPr>
          <w:rFonts w:ascii="Arial" w:hAnsi="Arial" w:cs="Arial"/>
          <w:sz w:val="22"/>
          <w:szCs w:val="22"/>
        </w:rPr>
        <w:t xml:space="preserve"> individuals with dementia. These approaches are central to modern health and social care, especially when supporting people with complex needs, communication barriers, and fluctuating capacity.</w:t>
      </w:r>
    </w:p>
    <w:p w14:paraId="52AF899B" w14:textId="7E6DCBB2" w:rsidR="00DF1543" w:rsidRPr="00DF1543" w:rsidRDefault="00DF1543" w:rsidP="00CA0B5A">
      <w:pPr>
        <w:spacing w:line="360" w:lineRule="auto"/>
        <w:rPr>
          <w:rFonts w:ascii="Arial" w:hAnsi="Arial" w:cs="Arial"/>
          <w:sz w:val="22"/>
          <w:szCs w:val="22"/>
        </w:rPr>
      </w:pPr>
      <w:r w:rsidRPr="00DF1543">
        <w:rPr>
          <w:rFonts w:ascii="Arial" w:hAnsi="Arial" w:cs="Arial"/>
          <w:sz w:val="22"/>
          <w:szCs w:val="22"/>
        </w:rPr>
        <w:t>Person-centred care focuses on tailoring support to the individual</w:t>
      </w:r>
      <w:r w:rsidR="00321AFF">
        <w:rPr>
          <w:rFonts w:ascii="Arial" w:hAnsi="Arial" w:cs="Arial"/>
          <w:sz w:val="22"/>
          <w:szCs w:val="22"/>
        </w:rPr>
        <w:t>s’</w:t>
      </w:r>
      <w:r w:rsidRPr="00DF1543">
        <w:rPr>
          <w:rFonts w:ascii="Arial" w:hAnsi="Arial" w:cs="Arial"/>
          <w:sz w:val="22"/>
          <w:szCs w:val="22"/>
        </w:rPr>
        <w:t xml:space="preserve"> preferences, values, and lived experience. Partnership working involves collaboration between professionals, families, and services to ensure joined-up, effective care. Together, these approaches aim to promote dignity, autonomy, and wellbeing while improving outcomes and service delivery.</w:t>
      </w:r>
    </w:p>
    <w:p w14:paraId="333ED8C6" w14:textId="77777777" w:rsidR="00DF1543" w:rsidRPr="00DF1543" w:rsidRDefault="00DF1543" w:rsidP="00CA0B5A">
      <w:pPr>
        <w:spacing w:line="360" w:lineRule="auto"/>
        <w:rPr>
          <w:rFonts w:ascii="Arial" w:hAnsi="Arial" w:cs="Arial"/>
          <w:sz w:val="22"/>
          <w:szCs w:val="22"/>
        </w:rPr>
      </w:pPr>
      <w:r w:rsidRPr="00DF1543">
        <w:rPr>
          <w:rFonts w:ascii="Arial" w:hAnsi="Arial" w:cs="Arial"/>
          <w:sz w:val="22"/>
          <w:szCs w:val="22"/>
        </w:rPr>
        <w:t>The report begins by defining PCC and evaluating its benefits and limitations. It then examines key theories that underpin personalised care, followed by an analysis of ethical principles such as autonomy, beneficence, non-maleficence, and justice. Partnership working is evaluated in terms of its practical application and impact, with examples drawn from residential care. Relevant legislation—including the Care Act 2014, Equality Act 2010, and Health and Care Act 2022—is discussed to show how policy supports or challenges PCC and PW. Finally, the report offers recommendations for improving practice across the UK.</w:t>
      </w:r>
    </w:p>
    <w:p w14:paraId="182C3CD5" w14:textId="77777777" w:rsidR="00FA6CE2" w:rsidRPr="00FA6CE2" w:rsidRDefault="00FA6CE2" w:rsidP="00CA0B5A">
      <w:pPr>
        <w:spacing w:line="360" w:lineRule="auto"/>
        <w:rPr>
          <w:rFonts w:ascii="Arial" w:hAnsi="Arial" w:cs="Arial"/>
          <w:b/>
          <w:bCs/>
          <w:sz w:val="22"/>
          <w:szCs w:val="22"/>
          <w:u w:val="single"/>
        </w:rPr>
      </w:pPr>
      <w:r w:rsidRPr="00FA6CE2">
        <w:rPr>
          <w:rFonts w:ascii="Arial" w:hAnsi="Arial" w:cs="Arial"/>
          <w:b/>
          <w:bCs/>
          <w:sz w:val="22"/>
          <w:szCs w:val="22"/>
          <w:u w:val="single"/>
        </w:rPr>
        <w:t>Definition of Person-Centred Care</w:t>
      </w:r>
    </w:p>
    <w:p w14:paraId="742665D5" w14:textId="23629758" w:rsidR="00FA6CE2" w:rsidRPr="00FA6CE2" w:rsidRDefault="00FA6CE2" w:rsidP="00CA0B5A">
      <w:pPr>
        <w:spacing w:line="360" w:lineRule="auto"/>
        <w:rPr>
          <w:rFonts w:ascii="Arial" w:hAnsi="Arial" w:cs="Arial"/>
          <w:sz w:val="22"/>
          <w:szCs w:val="22"/>
        </w:rPr>
      </w:pPr>
      <w:r w:rsidRPr="00FA6CE2">
        <w:rPr>
          <w:rFonts w:ascii="Arial" w:hAnsi="Arial" w:cs="Arial"/>
          <w:sz w:val="22"/>
          <w:szCs w:val="22"/>
        </w:rPr>
        <w:t>Person-centred care is about seeing the person before t</w:t>
      </w:r>
      <w:r w:rsidR="00321AFF">
        <w:rPr>
          <w:rFonts w:ascii="Arial" w:hAnsi="Arial" w:cs="Arial"/>
          <w:sz w:val="22"/>
          <w:szCs w:val="22"/>
        </w:rPr>
        <w:t>he care is administered</w:t>
      </w:r>
      <w:r w:rsidRPr="00FA6CE2">
        <w:rPr>
          <w:rFonts w:ascii="Arial" w:hAnsi="Arial" w:cs="Arial"/>
          <w:sz w:val="22"/>
          <w:szCs w:val="22"/>
        </w:rPr>
        <w:t xml:space="preserve">. It means shaping support around what matters to them — not just what’s clinically necessary. The Health Foundation (2016) describes it as care that helps people build the confidence and skills to manage their health in ways that feel right for them. In a care home, this might mean knowing someone prefers a quiet breakfast, or that they feel calmer when their favourite song </w:t>
      </w:r>
      <w:r w:rsidR="00321AFF">
        <w:rPr>
          <w:rFonts w:ascii="Arial" w:hAnsi="Arial" w:cs="Arial"/>
          <w:sz w:val="22"/>
          <w:szCs w:val="22"/>
        </w:rPr>
        <w:t xml:space="preserve">is </w:t>
      </w:r>
      <w:r w:rsidRPr="00FA6CE2">
        <w:rPr>
          <w:rFonts w:ascii="Arial" w:hAnsi="Arial" w:cs="Arial"/>
          <w:sz w:val="22"/>
          <w:szCs w:val="22"/>
        </w:rPr>
        <w:t>play</w:t>
      </w:r>
      <w:r w:rsidR="00321AFF">
        <w:rPr>
          <w:rFonts w:ascii="Arial" w:hAnsi="Arial" w:cs="Arial"/>
          <w:sz w:val="22"/>
          <w:szCs w:val="22"/>
        </w:rPr>
        <w:t>ing</w:t>
      </w:r>
      <w:r w:rsidRPr="00FA6CE2">
        <w:rPr>
          <w:rFonts w:ascii="Arial" w:hAnsi="Arial" w:cs="Arial"/>
          <w:sz w:val="22"/>
          <w:szCs w:val="22"/>
        </w:rPr>
        <w:t xml:space="preserve"> during personal care.</w:t>
      </w:r>
    </w:p>
    <w:p w14:paraId="001D8DE6" w14:textId="77777777" w:rsidR="00FA6CE2" w:rsidRPr="00FA6CE2" w:rsidRDefault="00FA6CE2" w:rsidP="00CA0B5A">
      <w:pPr>
        <w:spacing w:line="360" w:lineRule="auto"/>
        <w:rPr>
          <w:rFonts w:ascii="Arial" w:hAnsi="Arial" w:cs="Arial"/>
          <w:sz w:val="22"/>
          <w:szCs w:val="22"/>
        </w:rPr>
      </w:pPr>
      <w:r w:rsidRPr="00FA6CE2">
        <w:rPr>
          <w:rFonts w:ascii="Arial" w:hAnsi="Arial" w:cs="Arial"/>
          <w:sz w:val="22"/>
          <w:szCs w:val="22"/>
        </w:rPr>
        <w:t>The benefits are clear. People feel more respected, more involved, and often more settled. Studies show that person-centred approaches can lead to better outcomes, stronger relationships, and improved wellbeing (Coulter et al., 2013). For residents with dementia, it can reduce distress and help preserve identity (Brooker, 2007).</w:t>
      </w:r>
    </w:p>
    <w:p w14:paraId="08D96B3A" w14:textId="341A0CDD" w:rsidR="00FA6CE2" w:rsidRDefault="00321AFF" w:rsidP="00CA0B5A">
      <w:pPr>
        <w:spacing w:line="360" w:lineRule="auto"/>
        <w:rPr>
          <w:rFonts w:ascii="Arial" w:hAnsi="Arial" w:cs="Arial"/>
          <w:sz w:val="22"/>
          <w:szCs w:val="22"/>
        </w:rPr>
      </w:pPr>
      <w:proofErr w:type="gramStart"/>
      <w:r w:rsidRPr="03A4E022">
        <w:rPr>
          <w:rFonts w:ascii="Arial" w:hAnsi="Arial" w:cs="Arial"/>
          <w:sz w:val="22"/>
          <w:szCs w:val="22"/>
        </w:rPr>
        <w:t xml:space="preserve">However, </w:t>
      </w:r>
      <w:r w:rsidR="00FA6CE2" w:rsidRPr="03A4E022">
        <w:rPr>
          <w:rFonts w:ascii="Arial" w:hAnsi="Arial" w:cs="Arial"/>
          <w:sz w:val="22"/>
          <w:szCs w:val="22"/>
        </w:rPr>
        <w:t xml:space="preserve"> it</w:t>
      </w:r>
      <w:proofErr w:type="gramEnd"/>
      <w:r w:rsidRPr="03A4E022">
        <w:rPr>
          <w:rFonts w:ascii="Arial" w:hAnsi="Arial" w:cs="Arial"/>
          <w:sz w:val="22"/>
          <w:szCs w:val="22"/>
        </w:rPr>
        <w:t xml:space="preserve"> is</w:t>
      </w:r>
      <w:r w:rsidR="00FA6CE2" w:rsidRPr="03A4E022">
        <w:rPr>
          <w:rFonts w:ascii="Arial" w:hAnsi="Arial" w:cs="Arial"/>
          <w:sz w:val="22"/>
          <w:szCs w:val="22"/>
        </w:rPr>
        <w:t xml:space="preserve"> not always easy. Staff shortages, time pressures, and rigid routines can make it hard to personalise care every day (Goodwin et al., 2014). Some residents may struggle to express their preferences, especially if communication is limited. Even so, person-centred </w:t>
      </w:r>
      <w:r w:rsidR="00FA6CE2" w:rsidRPr="03A4E022">
        <w:rPr>
          <w:rFonts w:ascii="Arial" w:hAnsi="Arial" w:cs="Arial"/>
          <w:sz w:val="22"/>
          <w:szCs w:val="22"/>
        </w:rPr>
        <w:lastRenderedPageBreak/>
        <w:t>care remains a core principle — supported by the Care Act 2014, which places wellbeing and choice at the centre of adult social care.</w:t>
      </w:r>
    </w:p>
    <w:p w14:paraId="441A8AFA" w14:textId="77777777" w:rsidR="006947EA" w:rsidRPr="006947EA" w:rsidRDefault="006947EA" w:rsidP="006947EA">
      <w:pPr>
        <w:spacing w:line="360" w:lineRule="auto"/>
        <w:rPr>
          <w:rFonts w:ascii="Arial" w:hAnsi="Arial" w:cs="Arial"/>
          <w:sz w:val="22"/>
          <w:szCs w:val="22"/>
        </w:rPr>
      </w:pPr>
      <w:r w:rsidRPr="006947EA">
        <w:rPr>
          <w:rFonts w:ascii="Arial" w:hAnsi="Arial" w:cs="Arial"/>
          <w:sz w:val="22"/>
          <w:szCs w:val="22"/>
        </w:rPr>
        <w:t>However, person-centred care cannot be fully effective without acknowledging its practical constraints. Although policy emphasises autonomy and choice, real delivery is shaped by staffing levels, organisational culture, and the quality of interprofessional communication. Research shows that even well-designed care plans often fail in practice when information is not consistently shared across services, creating gaps that undermine continuity and safety (NICE, 2018). This highlights that PCC and partnership working are interdependent: meaningful personalisation is only achievable when collaborative systems function reliably across agencies.</w:t>
      </w:r>
    </w:p>
    <w:p w14:paraId="3F9F66FE" w14:textId="77777777" w:rsidR="006947EA" w:rsidRPr="00FA6CE2" w:rsidRDefault="006947EA" w:rsidP="00CA0B5A">
      <w:pPr>
        <w:spacing w:line="360" w:lineRule="auto"/>
        <w:rPr>
          <w:rFonts w:ascii="Arial" w:hAnsi="Arial" w:cs="Arial"/>
          <w:sz w:val="22"/>
          <w:szCs w:val="22"/>
        </w:rPr>
      </w:pPr>
    </w:p>
    <w:p w14:paraId="2F49364A" w14:textId="77777777" w:rsidR="00FA6CE2" w:rsidRPr="00CA0B5A" w:rsidRDefault="00FA6CE2" w:rsidP="00CA0B5A">
      <w:pPr>
        <w:spacing w:line="360" w:lineRule="auto"/>
        <w:rPr>
          <w:rFonts w:ascii="Arial" w:hAnsi="Arial" w:cs="Arial"/>
          <w:sz w:val="22"/>
          <w:szCs w:val="22"/>
        </w:rPr>
      </w:pPr>
    </w:p>
    <w:p w14:paraId="44296522" w14:textId="77777777" w:rsidR="00FA6CE2" w:rsidRPr="00CA0B5A" w:rsidRDefault="00FA6CE2" w:rsidP="00CA0B5A">
      <w:pPr>
        <w:spacing w:line="360" w:lineRule="auto"/>
        <w:rPr>
          <w:rFonts w:ascii="Arial" w:hAnsi="Arial" w:cs="Arial"/>
          <w:b/>
          <w:bCs/>
          <w:sz w:val="22"/>
          <w:szCs w:val="22"/>
          <w:u w:val="single"/>
        </w:rPr>
      </w:pPr>
      <w:r w:rsidRPr="00CA0B5A">
        <w:rPr>
          <w:rFonts w:ascii="Arial" w:hAnsi="Arial" w:cs="Arial"/>
          <w:b/>
          <w:bCs/>
          <w:sz w:val="22"/>
          <w:szCs w:val="22"/>
          <w:u w:val="single"/>
        </w:rPr>
        <w:t xml:space="preserve">Relevant Theories </w:t>
      </w:r>
    </w:p>
    <w:p w14:paraId="3FC93DEC" w14:textId="03199C73" w:rsidR="00FA6CE2" w:rsidRPr="00FA6CE2" w:rsidRDefault="00FA6CE2" w:rsidP="00CA0B5A">
      <w:pPr>
        <w:spacing w:line="360" w:lineRule="auto"/>
        <w:rPr>
          <w:rFonts w:ascii="Arial" w:hAnsi="Arial" w:cs="Arial"/>
          <w:sz w:val="22"/>
          <w:szCs w:val="22"/>
        </w:rPr>
      </w:pPr>
      <w:r w:rsidRPr="00FA6CE2">
        <w:rPr>
          <w:rFonts w:ascii="Arial" w:hAnsi="Arial" w:cs="Arial"/>
          <w:sz w:val="22"/>
          <w:szCs w:val="22"/>
        </w:rPr>
        <w:t>Person-centred care is supported by several key theories that help explain why individualised support matters. Maslow’s Hierarchy of Needs is one of the most widely used. It suggests that people have layered needs — starting with basics like food and safety, and moving up to emotional connection, self-esteem, and personal growth (Maslow, 1943). In a care home, this means recognising that a resident’s comfort and security are essential, but so is their sense of belonging and identity.</w:t>
      </w:r>
    </w:p>
    <w:p w14:paraId="26596CDD" w14:textId="129429EA" w:rsidR="00FA6CE2" w:rsidRPr="00FA6CE2" w:rsidRDefault="00FA6CE2" w:rsidP="00CA0B5A">
      <w:pPr>
        <w:spacing w:line="360" w:lineRule="auto"/>
        <w:rPr>
          <w:rFonts w:ascii="Arial" w:hAnsi="Arial" w:cs="Arial"/>
          <w:sz w:val="22"/>
          <w:szCs w:val="22"/>
        </w:rPr>
      </w:pPr>
      <w:r w:rsidRPr="00FA6CE2">
        <w:rPr>
          <w:rFonts w:ascii="Arial" w:hAnsi="Arial" w:cs="Arial"/>
          <w:sz w:val="22"/>
          <w:szCs w:val="22"/>
        </w:rPr>
        <w:t xml:space="preserve">Bradshaw’s Taxonomy of Social Need adds another layer. It highlights that needs can be felt, expressed, or professionally defined — and that sometimes what a person says they need might differ from what staff observe (Bradshaw, 1972). This is especially relevant in dementia care, where verbal communication may be limited. Staff must interpret non-verbal cues and work closely with families to understand what </w:t>
      </w:r>
      <w:r w:rsidR="00C32EC8">
        <w:rPr>
          <w:rFonts w:ascii="Arial" w:hAnsi="Arial" w:cs="Arial"/>
          <w:sz w:val="22"/>
          <w:szCs w:val="22"/>
        </w:rPr>
        <w:t>‘</w:t>
      </w:r>
      <w:r w:rsidRPr="00FA6CE2">
        <w:rPr>
          <w:rFonts w:ascii="Arial" w:hAnsi="Arial" w:cs="Arial"/>
          <w:sz w:val="22"/>
          <w:szCs w:val="22"/>
        </w:rPr>
        <w:t>person-centred</w:t>
      </w:r>
      <w:r w:rsidR="00C32EC8">
        <w:rPr>
          <w:rFonts w:ascii="Arial" w:hAnsi="Arial" w:cs="Arial"/>
          <w:sz w:val="22"/>
          <w:szCs w:val="22"/>
        </w:rPr>
        <w:t>’</w:t>
      </w:r>
      <w:r w:rsidRPr="00FA6CE2">
        <w:rPr>
          <w:rFonts w:ascii="Arial" w:hAnsi="Arial" w:cs="Arial"/>
          <w:sz w:val="22"/>
          <w:szCs w:val="22"/>
        </w:rPr>
        <w:t xml:space="preserve"> really looks like for each resident.</w:t>
      </w:r>
    </w:p>
    <w:p w14:paraId="4FB223DD" w14:textId="77777777" w:rsidR="00FA6CE2" w:rsidRPr="00FA6CE2" w:rsidRDefault="00FA6CE2" w:rsidP="00CA0B5A">
      <w:pPr>
        <w:spacing w:line="360" w:lineRule="auto"/>
        <w:rPr>
          <w:rFonts w:ascii="Arial" w:hAnsi="Arial" w:cs="Arial"/>
          <w:sz w:val="22"/>
          <w:szCs w:val="22"/>
        </w:rPr>
      </w:pPr>
      <w:r w:rsidRPr="00FA6CE2">
        <w:rPr>
          <w:rFonts w:ascii="Arial" w:hAnsi="Arial" w:cs="Arial"/>
          <w:sz w:val="22"/>
          <w:szCs w:val="22"/>
        </w:rPr>
        <w:t>Bronfenbrenner’s Ecological Systems Theory also helps. It shows how people are shaped by different layers of influence — from their immediate environment to wider systems like healthcare and policy (Bronfenbrenner, 1979). This theory supports partnership working, reminding us that good care depends on relationships between staff, families, professionals, and the wider system.</w:t>
      </w:r>
    </w:p>
    <w:p w14:paraId="0016BD5D" w14:textId="6020BA2E" w:rsidR="00FA6CE2" w:rsidRPr="00FA6CE2" w:rsidRDefault="00FA6CE2" w:rsidP="00CA0B5A">
      <w:pPr>
        <w:spacing w:line="360" w:lineRule="auto"/>
        <w:rPr>
          <w:rFonts w:ascii="Arial" w:hAnsi="Arial" w:cs="Arial"/>
          <w:sz w:val="22"/>
          <w:szCs w:val="22"/>
        </w:rPr>
      </w:pPr>
      <w:r w:rsidRPr="03A4E022">
        <w:rPr>
          <w:rFonts w:ascii="Arial" w:hAnsi="Arial" w:cs="Arial"/>
          <w:sz w:val="22"/>
          <w:szCs w:val="22"/>
        </w:rPr>
        <w:t>These theories are not just academic — they guide real decisions. For example, using Maslow’s model, staff might prioritise emotional safety during personal care routines. Bradshaw’s framework</w:t>
      </w:r>
      <w:r w:rsidR="64D9511D" w:rsidRPr="03A4E022">
        <w:rPr>
          <w:rFonts w:ascii="Arial" w:hAnsi="Arial" w:cs="Arial"/>
          <w:sz w:val="22"/>
          <w:szCs w:val="22"/>
        </w:rPr>
        <w:t xml:space="preserve"> (1972)</w:t>
      </w:r>
      <w:r w:rsidR="00C32EC8" w:rsidRPr="03A4E022">
        <w:rPr>
          <w:rFonts w:ascii="Arial" w:hAnsi="Arial" w:cs="Arial"/>
          <w:sz w:val="22"/>
          <w:szCs w:val="22"/>
        </w:rPr>
        <w:t xml:space="preserve"> </w:t>
      </w:r>
      <w:r w:rsidRPr="03A4E022">
        <w:rPr>
          <w:rFonts w:ascii="Arial" w:hAnsi="Arial" w:cs="Arial"/>
          <w:sz w:val="22"/>
          <w:szCs w:val="22"/>
        </w:rPr>
        <w:t xml:space="preserve">might prompt a team to re-evaluate a care plan based on a </w:t>
      </w:r>
      <w:r w:rsidRPr="03A4E022">
        <w:rPr>
          <w:rFonts w:ascii="Arial" w:hAnsi="Arial" w:cs="Arial"/>
          <w:sz w:val="22"/>
          <w:szCs w:val="22"/>
        </w:rPr>
        <w:lastRenderedPageBreak/>
        <w:t>resident’s changing behaviour. Bronfenbrenner’s model</w:t>
      </w:r>
      <w:r w:rsidR="00C32EC8" w:rsidRPr="03A4E022">
        <w:rPr>
          <w:rFonts w:ascii="Arial" w:hAnsi="Arial" w:cs="Arial"/>
          <w:sz w:val="22"/>
          <w:szCs w:val="22"/>
        </w:rPr>
        <w:t xml:space="preserve"> </w:t>
      </w:r>
      <w:r w:rsidR="0909560C" w:rsidRPr="03A4E022">
        <w:rPr>
          <w:rFonts w:ascii="Arial" w:hAnsi="Arial" w:cs="Arial"/>
          <w:sz w:val="22"/>
          <w:szCs w:val="22"/>
        </w:rPr>
        <w:t>(</w:t>
      </w:r>
      <w:proofErr w:type="gramStart"/>
      <w:r w:rsidR="0909560C" w:rsidRPr="03A4E022">
        <w:rPr>
          <w:rFonts w:ascii="Arial" w:hAnsi="Arial" w:cs="Arial"/>
          <w:sz w:val="22"/>
          <w:szCs w:val="22"/>
        </w:rPr>
        <w:t>1979)</w:t>
      </w:r>
      <w:r w:rsidRPr="03A4E022">
        <w:rPr>
          <w:rFonts w:ascii="Arial" w:hAnsi="Arial" w:cs="Arial"/>
          <w:sz w:val="22"/>
          <w:szCs w:val="22"/>
        </w:rPr>
        <w:t>encourages</w:t>
      </w:r>
      <w:proofErr w:type="gramEnd"/>
      <w:r w:rsidRPr="03A4E022">
        <w:rPr>
          <w:rFonts w:ascii="Arial" w:hAnsi="Arial" w:cs="Arial"/>
          <w:sz w:val="22"/>
          <w:szCs w:val="22"/>
        </w:rPr>
        <w:t xml:space="preserve"> joined-up thinking, especially when coordinating with external services.</w:t>
      </w:r>
    </w:p>
    <w:p w14:paraId="67333B2C" w14:textId="4E6AC339" w:rsidR="009500D3" w:rsidRPr="009500D3" w:rsidRDefault="00FA6CE2" w:rsidP="00CA0B5A">
      <w:pPr>
        <w:spacing w:line="360" w:lineRule="auto"/>
        <w:rPr>
          <w:rFonts w:ascii="Arial" w:hAnsi="Arial" w:cs="Arial"/>
          <w:sz w:val="22"/>
          <w:szCs w:val="22"/>
        </w:rPr>
      </w:pPr>
      <w:r w:rsidRPr="00FA6CE2">
        <w:rPr>
          <w:rFonts w:ascii="Arial" w:hAnsi="Arial" w:cs="Arial"/>
          <w:sz w:val="22"/>
          <w:szCs w:val="22"/>
        </w:rPr>
        <w:t>Together, these theories reinforce the idea that person-centred care is not just about kindness — it’s about structure, insight, and collaboration.</w:t>
      </w:r>
    </w:p>
    <w:p w14:paraId="3371EBB1" w14:textId="7FC6548C" w:rsidR="009500D3" w:rsidRPr="009500D3" w:rsidRDefault="009500D3" w:rsidP="00CA0B5A">
      <w:pPr>
        <w:spacing w:line="360" w:lineRule="auto"/>
        <w:rPr>
          <w:rFonts w:ascii="Arial" w:hAnsi="Arial" w:cs="Arial"/>
          <w:b/>
          <w:bCs/>
          <w:sz w:val="22"/>
          <w:szCs w:val="22"/>
          <w:u w:val="single"/>
        </w:rPr>
      </w:pPr>
      <w:r w:rsidRPr="009500D3">
        <w:rPr>
          <w:rFonts w:ascii="Arial" w:hAnsi="Arial" w:cs="Arial"/>
          <w:b/>
          <w:bCs/>
          <w:sz w:val="22"/>
          <w:szCs w:val="22"/>
          <w:u w:val="single"/>
        </w:rPr>
        <w:t xml:space="preserve"> Ethical Fundamentals of Health and Social Care</w:t>
      </w:r>
    </w:p>
    <w:p w14:paraId="346BA909" w14:textId="692D0902"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Ethics in health and social care is not just about rules — it</w:t>
      </w:r>
      <w:r w:rsidR="00C32EC8">
        <w:rPr>
          <w:rFonts w:ascii="Arial" w:hAnsi="Arial" w:cs="Arial"/>
          <w:sz w:val="22"/>
          <w:szCs w:val="22"/>
        </w:rPr>
        <w:t xml:space="preserve"> i</w:t>
      </w:r>
      <w:r w:rsidRPr="009500D3">
        <w:rPr>
          <w:rFonts w:ascii="Arial" w:hAnsi="Arial" w:cs="Arial"/>
          <w:sz w:val="22"/>
          <w:szCs w:val="22"/>
        </w:rPr>
        <w:t>s about how decisions affect real people. Four key principles often guide practice: autonomy, beneficence, non-maleficence, and justice (Beauchamp and Childress, 2013). These are not abstract ideas. They shape everyday choices, especially in dementia care where capacity, consent, and dignity are constantly in focus.</w:t>
      </w:r>
    </w:p>
    <w:p w14:paraId="21409FE7"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Autonomy means respecting a person’s right to make decisions about their own life. In a care home, this might involve offering choices around meals, clothing, or daily routines. Even when someone’s capacity is limited, staff can still support autonomy by using non-verbal cues, familiar objects, or life history work (SCIE, 2022).</w:t>
      </w:r>
    </w:p>
    <w:p w14:paraId="47432E65"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Beneficence and non-maleficence go hand in hand — doing good and avoiding harm. For example, encouraging a resident to walk independently may promote wellbeing, but only if the environment is safe and the risk of falling is low. These decisions require careful judgement and often involve input from families and professionals.</w:t>
      </w:r>
    </w:p>
    <w:p w14:paraId="7757AB7C"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Justice is about fairness. It means making sure resources are shared appropriately and that no one is overlooked because of age, disability, or diagnosis. The Equality Act 2010 reinforces this by protecting individuals from discrimination and promoting inclusive care (Legislation.gov.uk, 2010).</w:t>
      </w:r>
    </w:p>
    <w:p w14:paraId="795AA93B"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Ethical practice also involves transparency, confidentiality, and respect. Staff must balance duty of care with the resident’s right to privacy — especially when sharing information across services. The General Data Protection Regulation (GDPR) supports this by setting clear rules around consent and data handling (ICO, 2023).</w:t>
      </w:r>
    </w:p>
    <w:p w14:paraId="2B1CAF5A" w14:textId="25BB4A26" w:rsidR="009500D3" w:rsidRPr="00CA0B5A" w:rsidRDefault="009500D3" w:rsidP="00CA0B5A">
      <w:pPr>
        <w:spacing w:line="360" w:lineRule="auto"/>
        <w:rPr>
          <w:rFonts w:ascii="Arial" w:hAnsi="Arial" w:cs="Arial"/>
          <w:sz w:val="22"/>
          <w:szCs w:val="22"/>
        </w:rPr>
      </w:pPr>
      <w:r w:rsidRPr="009500D3">
        <w:rPr>
          <w:rFonts w:ascii="Arial" w:hAnsi="Arial" w:cs="Arial"/>
          <w:sz w:val="22"/>
          <w:szCs w:val="22"/>
        </w:rPr>
        <w:t xml:space="preserve">In practice, ethical care is about empathy, reflection, and teamwork. It means </w:t>
      </w:r>
      <w:r w:rsidR="00C32EC8">
        <w:rPr>
          <w:rFonts w:ascii="Arial" w:hAnsi="Arial" w:cs="Arial"/>
          <w:sz w:val="22"/>
          <w:szCs w:val="22"/>
        </w:rPr>
        <w:t>questioning ourselves as a provider of care</w:t>
      </w:r>
      <w:r w:rsidRPr="009500D3">
        <w:rPr>
          <w:rFonts w:ascii="Arial" w:hAnsi="Arial" w:cs="Arial"/>
          <w:sz w:val="22"/>
          <w:szCs w:val="22"/>
        </w:rPr>
        <w:t xml:space="preserve"> </w:t>
      </w:r>
      <w:r w:rsidR="00C32EC8">
        <w:rPr>
          <w:rFonts w:ascii="Arial" w:hAnsi="Arial" w:cs="Arial"/>
          <w:sz w:val="22"/>
          <w:szCs w:val="22"/>
        </w:rPr>
        <w:t>of</w:t>
      </w:r>
      <w:r w:rsidRPr="009500D3">
        <w:rPr>
          <w:rFonts w:ascii="Arial" w:hAnsi="Arial" w:cs="Arial"/>
          <w:sz w:val="22"/>
          <w:szCs w:val="22"/>
        </w:rPr>
        <w:t xml:space="preserve"> </w:t>
      </w:r>
      <w:r w:rsidR="00C32EC8">
        <w:rPr>
          <w:rFonts w:ascii="Arial" w:hAnsi="Arial" w:cs="Arial"/>
          <w:sz w:val="22"/>
          <w:szCs w:val="22"/>
        </w:rPr>
        <w:t>w</w:t>
      </w:r>
      <w:r w:rsidRPr="009500D3">
        <w:rPr>
          <w:rFonts w:ascii="Arial" w:hAnsi="Arial" w:cs="Arial"/>
          <w:sz w:val="22"/>
          <w:szCs w:val="22"/>
        </w:rPr>
        <w:t xml:space="preserve">hat </w:t>
      </w:r>
      <w:r w:rsidR="002C3AAD" w:rsidRPr="009500D3">
        <w:rPr>
          <w:rFonts w:ascii="Arial" w:hAnsi="Arial" w:cs="Arial"/>
          <w:sz w:val="22"/>
          <w:szCs w:val="22"/>
        </w:rPr>
        <w:t>we can</w:t>
      </w:r>
      <w:r w:rsidRPr="009500D3">
        <w:rPr>
          <w:rFonts w:ascii="Arial" w:hAnsi="Arial" w:cs="Arial"/>
          <w:sz w:val="22"/>
          <w:szCs w:val="22"/>
        </w:rPr>
        <w:t xml:space="preserve"> do </w:t>
      </w:r>
      <w:r w:rsidR="00C32EC8">
        <w:rPr>
          <w:rFonts w:ascii="Arial" w:hAnsi="Arial" w:cs="Arial"/>
          <w:sz w:val="22"/>
          <w:szCs w:val="22"/>
        </w:rPr>
        <w:t>or, w</w:t>
      </w:r>
      <w:r w:rsidRPr="009500D3">
        <w:rPr>
          <w:rFonts w:ascii="Arial" w:hAnsi="Arial" w:cs="Arial"/>
          <w:sz w:val="22"/>
          <w:szCs w:val="22"/>
        </w:rPr>
        <w:t>hat should we do — and making sure every decision upholds the person’s dignity.</w:t>
      </w:r>
    </w:p>
    <w:p w14:paraId="6161E824" w14:textId="77777777" w:rsidR="009500D3" w:rsidRPr="009500D3" w:rsidRDefault="009500D3" w:rsidP="00CA0B5A">
      <w:pPr>
        <w:spacing w:line="360" w:lineRule="auto"/>
        <w:rPr>
          <w:rFonts w:ascii="Arial" w:hAnsi="Arial" w:cs="Arial"/>
          <w:sz w:val="22"/>
          <w:szCs w:val="22"/>
        </w:rPr>
      </w:pPr>
    </w:p>
    <w:p w14:paraId="067FE93D" w14:textId="73B1758B" w:rsidR="009500D3" w:rsidRPr="009500D3" w:rsidRDefault="009500D3" w:rsidP="00CA0B5A">
      <w:pPr>
        <w:spacing w:line="360" w:lineRule="auto"/>
        <w:rPr>
          <w:rFonts w:ascii="Arial" w:hAnsi="Arial" w:cs="Arial"/>
          <w:b/>
          <w:bCs/>
          <w:sz w:val="22"/>
          <w:szCs w:val="22"/>
          <w:u w:val="single"/>
        </w:rPr>
      </w:pPr>
      <w:r w:rsidRPr="009500D3">
        <w:rPr>
          <w:rFonts w:ascii="Arial" w:hAnsi="Arial" w:cs="Arial"/>
          <w:b/>
          <w:bCs/>
          <w:sz w:val="22"/>
          <w:szCs w:val="22"/>
          <w:u w:val="single"/>
        </w:rPr>
        <w:t xml:space="preserve"> Evaluation of Partnership Working in Health and Social Care</w:t>
      </w:r>
    </w:p>
    <w:p w14:paraId="74237EF5"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lastRenderedPageBreak/>
        <w:t>Partnership working is about people and services coming together to support someone in a joined-up way. In health and social care, this means professionals from different backgrounds — nurses, social workers, GPs, care staff — sharing information, planning together, and working towards a common goal. For residents with dementia, this kind of collaboration can make a real difference. It helps avoid duplication, reduces delays, and ensures that care is consistent and respectful.</w:t>
      </w:r>
    </w:p>
    <w:p w14:paraId="10CA66E1"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The benefits of partnership working are well recognised. It improves communication, builds trust, and allows for more holistic support (Glasby and Dickinson, 2014). When teams work together, they can respond more quickly to changes in a person’s condition, and families often feel more involved and reassured. In care homes, partnership working might involve joint reviews, shared care plans, or regular meetings with district nurses and mental health teams.</w:t>
      </w:r>
    </w:p>
    <w:p w14:paraId="3FD9928A" w14:textId="5203450F"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 xml:space="preserve">However, </w:t>
      </w:r>
      <w:r w:rsidR="002C3AAD">
        <w:rPr>
          <w:rFonts w:ascii="Arial" w:hAnsi="Arial" w:cs="Arial"/>
          <w:sz w:val="22"/>
          <w:szCs w:val="22"/>
        </w:rPr>
        <w:t>the collaboration i</w:t>
      </w:r>
      <w:r w:rsidRPr="009500D3">
        <w:rPr>
          <w:rFonts w:ascii="Arial" w:hAnsi="Arial" w:cs="Arial"/>
          <w:sz w:val="22"/>
          <w:szCs w:val="22"/>
        </w:rPr>
        <w:t xml:space="preserve">s not always smooth. Differences in priorities, language, or organisational culture can lead to misunderstandings or delays (SCIE, 2022). Time pressures and unclear roles may also affect how well professionals collaborate. The Health and Care Act 2022 </w:t>
      </w:r>
      <w:r w:rsidRPr="00CA0B5A">
        <w:rPr>
          <w:rFonts w:ascii="Arial" w:hAnsi="Arial" w:cs="Arial"/>
          <w:sz w:val="22"/>
          <w:szCs w:val="22"/>
        </w:rPr>
        <w:t>aim</w:t>
      </w:r>
      <w:r w:rsidRPr="009500D3">
        <w:rPr>
          <w:rFonts w:ascii="Arial" w:hAnsi="Arial" w:cs="Arial"/>
          <w:sz w:val="22"/>
          <w:szCs w:val="22"/>
        </w:rPr>
        <w:t xml:space="preserve"> to address this by promoting Integrated Care Systems (ICS), which encourage services to work together more closely across regions (NHS England, 2023).</w:t>
      </w:r>
    </w:p>
    <w:p w14:paraId="18D798F1" w14:textId="77777777" w:rsidR="009500D3" w:rsidRPr="00CA0B5A" w:rsidRDefault="009500D3" w:rsidP="00CA0B5A">
      <w:pPr>
        <w:spacing w:line="360" w:lineRule="auto"/>
        <w:rPr>
          <w:rFonts w:ascii="Arial" w:hAnsi="Arial" w:cs="Arial"/>
          <w:sz w:val="22"/>
          <w:szCs w:val="22"/>
        </w:rPr>
      </w:pPr>
      <w:r w:rsidRPr="009500D3">
        <w:rPr>
          <w:rFonts w:ascii="Arial" w:hAnsi="Arial" w:cs="Arial"/>
          <w:sz w:val="22"/>
          <w:szCs w:val="22"/>
        </w:rPr>
        <w:t>Effective partnership working depends on communication, respect, and shared values. It also requires systems that support collaboration — such as shared records, joint training, and clear referral pathways. When these elements are in place, partnership working becomes more than a policy goal. It becomes part of everyday care.</w:t>
      </w:r>
    </w:p>
    <w:p w14:paraId="0A8F759D" w14:textId="550D631A" w:rsidR="009500D3" w:rsidRPr="009500D3" w:rsidRDefault="009500D3" w:rsidP="00CA0B5A">
      <w:pPr>
        <w:spacing w:line="360" w:lineRule="auto"/>
        <w:rPr>
          <w:rFonts w:ascii="Arial" w:hAnsi="Arial" w:cs="Arial"/>
          <w:sz w:val="22"/>
          <w:szCs w:val="22"/>
        </w:rPr>
      </w:pPr>
    </w:p>
    <w:p w14:paraId="3C9FC494" w14:textId="7D9FC5F1" w:rsidR="009500D3" w:rsidRPr="009500D3" w:rsidRDefault="009500D3" w:rsidP="00CA0B5A">
      <w:pPr>
        <w:spacing w:line="360" w:lineRule="auto"/>
        <w:rPr>
          <w:rFonts w:ascii="Arial" w:hAnsi="Arial" w:cs="Arial"/>
          <w:b/>
          <w:bCs/>
          <w:sz w:val="22"/>
          <w:szCs w:val="22"/>
          <w:u w:val="single"/>
        </w:rPr>
      </w:pPr>
      <w:r w:rsidRPr="009500D3">
        <w:rPr>
          <w:rFonts w:ascii="Arial" w:hAnsi="Arial" w:cs="Arial"/>
          <w:b/>
          <w:bCs/>
          <w:sz w:val="22"/>
          <w:szCs w:val="22"/>
          <w:u w:val="single"/>
        </w:rPr>
        <w:t xml:space="preserve"> Application of Partnership Working in a Practical Setting</w:t>
      </w:r>
    </w:p>
    <w:p w14:paraId="5845329D"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In a residential care home supporting individuals with dementia, partnership working is not just a policy ideal — it is essential to daily practice. Residents often have complex needs that require input from multiple professionals, including GPs, district nurses, social workers, mental health teams, and family members. When these parties work together, care becomes more consistent, responsive, and person-centred.</w:t>
      </w:r>
    </w:p>
    <w:p w14:paraId="71B38A7F"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 xml:space="preserve">For example, if a resident begins showing signs of increased confusion or distress, care staff may raise concerns during a handover or team meeting. This can trigger a joint review involving the GP, a community psychiatric nurse, and the resident’s family. Together, they can explore possible causes — such as infection, medication side effects, or environmental triggers — and agree on a plan that reflects the resident’s preferences and history. This kind </w:t>
      </w:r>
      <w:r w:rsidRPr="009500D3">
        <w:rPr>
          <w:rFonts w:ascii="Arial" w:hAnsi="Arial" w:cs="Arial"/>
          <w:sz w:val="22"/>
          <w:szCs w:val="22"/>
        </w:rPr>
        <w:lastRenderedPageBreak/>
        <w:t>of joined-up response helps avoid unnecessary hospital admissions and supports the resident to remain in familiar surroundings.</w:t>
      </w:r>
    </w:p>
    <w:p w14:paraId="0FD525B2"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Partnership working also supports smoother transitions. When a new resident moves in, information from hospital discharge teams, social workers, and family members helps staff build a care plan that is both clinically informed and emotionally attuned. This reduces anxiety and promotes continuity (NICE, 2018).</w:t>
      </w:r>
    </w:p>
    <w:p w14:paraId="7F13E55E"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However, effective partnership working depends on communication and trust. In some cases, delays in information sharing or unclear roles can lead to frustration. Digital care records and regular multidisciplinary meetings can help address this, but only if all parties are committed to collaboration (SCIE, 2022).</w:t>
      </w:r>
    </w:p>
    <w:p w14:paraId="395340D5" w14:textId="77777777" w:rsidR="009500D3" w:rsidRPr="009500D3" w:rsidRDefault="009500D3" w:rsidP="00CA0B5A">
      <w:pPr>
        <w:spacing w:line="360" w:lineRule="auto"/>
        <w:rPr>
          <w:rFonts w:ascii="Arial" w:hAnsi="Arial" w:cs="Arial"/>
          <w:sz w:val="22"/>
          <w:szCs w:val="22"/>
        </w:rPr>
      </w:pPr>
      <w:r w:rsidRPr="009500D3">
        <w:rPr>
          <w:rFonts w:ascii="Arial" w:hAnsi="Arial" w:cs="Arial"/>
          <w:sz w:val="22"/>
          <w:szCs w:val="22"/>
        </w:rPr>
        <w:t>In practice, partnership working means recognising that no single professional holds all the answers. It is about listening, sharing responsibility, and keeping the person at the centre of every decision.</w:t>
      </w:r>
    </w:p>
    <w:p w14:paraId="166C2E9D" w14:textId="2BBD7510" w:rsidR="00103BB2" w:rsidRPr="00103BB2" w:rsidRDefault="00103BB2" w:rsidP="00CA0B5A">
      <w:pPr>
        <w:spacing w:line="360" w:lineRule="auto"/>
        <w:rPr>
          <w:rFonts w:ascii="Arial" w:hAnsi="Arial" w:cs="Arial"/>
          <w:b/>
          <w:bCs/>
          <w:sz w:val="22"/>
          <w:szCs w:val="22"/>
          <w:u w:val="single"/>
        </w:rPr>
      </w:pPr>
      <w:r w:rsidRPr="00103BB2">
        <w:rPr>
          <w:rFonts w:ascii="Arial" w:hAnsi="Arial" w:cs="Arial"/>
          <w:b/>
          <w:bCs/>
          <w:sz w:val="22"/>
          <w:szCs w:val="22"/>
          <w:u w:val="single"/>
        </w:rPr>
        <w:t>Policy and Legislation</w:t>
      </w:r>
    </w:p>
    <w:p w14:paraId="26049E26"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t>The Care Act 2014 is central. It places wellbeing, choice, and control at the heart of adult social care. Local authorities must consider what matters to the individual, not just what is clinically necessary. This supports person-centred planning and encourages professionals to involve residents and families in decisions (Legislation.gov.uk, 2014).</w:t>
      </w:r>
    </w:p>
    <w:p w14:paraId="1A33D15A"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t>The Equality Act 2010 protects individuals from discrimination based on age, disability, race, gender, and other characteristics. In care homes, this means making reasonable adjustments — such as adapting communication methods or routines — to ensure everyone receives fair and respectful support (Equality and Human Rights Commission, 2023).</w:t>
      </w:r>
    </w:p>
    <w:p w14:paraId="50F3305A" w14:textId="3CC38A6D" w:rsidR="00103BB2" w:rsidRDefault="00103BB2" w:rsidP="00CA0B5A">
      <w:pPr>
        <w:spacing w:line="360" w:lineRule="auto"/>
        <w:rPr>
          <w:rFonts w:ascii="Arial" w:hAnsi="Arial" w:cs="Arial"/>
          <w:sz w:val="22"/>
          <w:szCs w:val="22"/>
        </w:rPr>
      </w:pPr>
      <w:r w:rsidRPr="00103BB2">
        <w:rPr>
          <w:rFonts w:ascii="Arial" w:hAnsi="Arial" w:cs="Arial"/>
          <w:sz w:val="22"/>
          <w:szCs w:val="22"/>
        </w:rPr>
        <w:t xml:space="preserve">The Health and Care Act 2022 </w:t>
      </w:r>
      <w:r w:rsidR="00CA0B5A" w:rsidRPr="00CA0B5A">
        <w:rPr>
          <w:rFonts w:ascii="Arial" w:hAnsi="Arial" w:cs="Arial"/>
          <w:sz w:val="22"/>
          <w:szCs w:val="22"/>
        </w:rPr>
        <w:t>promote</w:t>
      </w:r>
      <w:r w:rsidRPr="00103BB2">
        <w:rPr>
          <w:rFonts w:ascii="Arial" w:hAnsi="Arial" w:cs="Arial"/>
          <w:sz w:val="22"/>
          <w:szCs w:val="22"/>
        </w:rPr>
        <w:t xml:space="preserve"> </w:t>
      </w:r>
      <w:r w:rsidRPr="00CA0B5A">
        <w:rPr>
          <w:rFonts w:ascii="Arial" w:hAnsi="Arial" w:cs="Arial"/>
          <w:sz w:val="22"/>
          <w:szCs w:val="22"/>
        </w:rPr>
        <w:t>joined up</w:t>
      </w:r>
      <w:r w:rsidRPr="00103BB2">
        <w:rPr>
          <w:rFonts w:ascii="Arial" w:hAnsi="Arial" w:cs="Arial"/>
          <w:sz w:val="22"/>
          <w:szCs w:val="22"/>
        </w:rPr>
        <w:t xml:space="preserve"> working across health and social care. It introduced Integrated Care Systems (ICS), which aim to improve collaboration between services and reduce fragmentation (NHS England, 2023). This supports partnership working by encouraging shared goals, pooled resources, and better communication.</w:t>
      </w:r>
    </w:p>
    <w:p w14:paraId="3AE90D98" w14:textId="3848127B" w:rsidR="006947EA" w:rsidRPr="00103BB2" w:rsidRDefault="006947EA" w:rsidP="00CA0B5A">
      <w:pPr>
        <w:spacing w:line="360" w:lineRule="auto"/>
        <w:rPr>
          <w:rFonts w:ascii="Arial" w:hAnsi="Arial" w:cs="Arial"/>
          <w:sz w:val="22"/>
          <w:szCs w:val="22"/>
        </w:rPr>
      </w:pPr>
      <w:r w:rsidRPr="006947EA">
        <w:rPr>
          <w:rFonts w:ascii="Arial" w:hAnsi="Arial" w:cs="Arial"/>
          <w:sz w:val="22"/>
          <w:szCs w:val="22"/>
        </w:rPr>
        <w:t>Another problem is that these laws expect every service to have the same level of staff, funding and resources, but this is not true in real life. Even though the Care Act 2014 says local authorities must support wellbeing and work together, some areas do not have enough workers or money to make this happen properly, especially in dementia care. This can cause delays, repeated assessments and poor communication between services. It shows that PCC and partnership working depend not just on good practice, but also on fair resources across the system.</w:t>
      </w:r>
    </w:p>
    <w:p w14:paraId="1C92D18D"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lastRenderedPageBreak/>
        <w:t>Other policies also matter. The Mental Capacity Act 2005 guides decisions when a person cannot give consent, ensuring that choices are made in their best interests. The GDPR sets rules around confidentiality and data sharing, helping staff balance transparency with privacy (ICO, 2023).</w:t>
      </w:r>
    </w:p>
    <w:p w14:paraId="477DD46E"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t>Together, these laws create a framework that supports ethical, inclusive, and joined-up care. But legislation alone is not enough. It must be understood, applied, and reflected in everyday practice — from care planning to handovers to how staff speak to residents.</w:t>
      </w:r>
    </w:p>
    <w:p w14:paraId="2DDA9904"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t>To strengthen person-centred care and partnership working in residential settings, several improvements can be made. First, staff training should go beyond basic induction. It should include dementia-specific communication techniques, cultural sensitivity, and ethical decision-making. This helps staff respond more confidently to complex needs and non-verbal cues.</w:t>
      </w:r>
    </w:p>
    <w:p w14:paraId="362D0658"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t>Second, digital tools can support better collaboration. Shared care records, secure messaging systems, and real-time updates allow professionals to coordinate more effectively. This reduces delays and ensures that everyone involved has access to the same information (NHS England, 2023).</w:t>
      </w:r>
    </w:p>
    <w:p w14:paraId="78593A47" w14:textId="77777777" w:rsidR="00103BB2" w:rsidRPr="00103BB2" w:rsidRDefault="00103BB2" w:rsidP="00CA0B5A">
      <w:pPr>
        <w:spacing w:line="360" w:lineRule="auto"/>
        <w:rPr>
          <w:rFonts w:ascii="Arial" w:hAnsi="Arial" w:cs="Arial"/>
          <w:sz w:val="22"/>
          <w:szCs w:val="22"/>
        </w:rPr>
      </w:pPr>
      <w:r w:rsidRPr="00103BB2">
        <w:rPr>
          <w:rFonts w:ascii="Arial" w:hAnsi="Arial" w:cs="Arial"/>
          <w:sz w:val="22"/>
          <w:szCs w:val="22"/>
        </w:rPr>
        <w:t>Third, care homes should build stronger links with external services. Regular multidisciplinary meetings, joint reviews, and clear referral pathways help embed partnership working into everyday practice. Families should also be seen as partners, not just visitors — their insights are vital.</w:t>
      </w:r>
    </w:p>
    <w:p w14:paraId="121DAD9B" w14:textId="77777777" w:rsidR="00103BB2" w:rsidRPr="00CA0B5A" w:rsidRDefault="00103BB2" w:rsidP="00CA0B5A">
      <w:pPr>
        <w:spacing w:line="360" w:lineRule="auto"/>
        <w:rPr>
          <w:rFonts w:ascii="Arial" w:hAnsi="Arial" w:cs="Arial"/>
          <w:sz w:val="22"/>
          <w:szCs w:val="22"/>
        </w:rPr>
      </w:pPr>
      <w:r w:rsidRPr="00103BB2">
        <w:rPr>
          <w:rFonts w:ascii="Arial" w:hAnsi="Arial" w:cs="Arial"/>
          <w:sz w:val="22"/>
          <w:szCs w:val="22"/>
        </w:rPr>
        <w:t>Finally, reflective practice should be encouraged. Staff need space to think, discuss, and learn from experience. This supports ethical care and helps teams stay focused on what matters most: the person.</w:t>
      </w:r>
    </w:p>
    <w:p w14:paraId="342EA3B9" w14:textId="027BAEAB" w:rsidR="00103BB2" w:rsidRPr="00CA0B5A" w:rsidRDefault="00103BB2" w:rsidP="00CA0B5A">
      <w:pPr>
        <w:spacing w:line="360" w:lineRule="auto"/>
        <w:rPr>
          <w:rFonts w:ascii="Arial" w:hAnsi="Arial" w:cs="Arial"/>
          <w:b/>
          <w:bCs/>
          <w:sz w:val="22"/>
          <w:szCs w:val="22"/>
          <w:u w:val="single"/>
        </w:rPr>
      </w:pPr>
      <w:r w:rsidRPr="00CA0B5A">
        <w:rPr>
          <w:rFonts w:ascii="Arial" w:hAnsi="Arial" w:cs="Arial"/>
          <w:b/>
          <w:bCs/>
          <w:sz w:val="22"/>
          <w:szCs w:val="22"/>
          <w:u w:val="single"/>
        </w:rPr>
        <w:t xml:space="preserve">Conclusion </w:t>
      </w:r>
    </w:p>
    <w:p w14:paraId="3C7509F2" w14:textId="33D3B9DF" w:rsidR="00103BB2" w:rsidRDefault="00103BB2" w:rsidP="00CA0B5A">
      <w:pPr>
        <w:spacing w:line="360" w:lineRule="auto"/>
        <w:rPr>
          <w:rFonts w:ascii="Arial" w:hAnsi="Arial" w:cs="Arial"/>
          <w:sz w:val="22"/>
          <w:szCs w:val="22"/>
        </w:rPr>
      </w:pPr>
      <w:r w:rsidRPr="00CA0B5A">
        <w:rPr>
          <w:rFonts w:ascii="Arial" w:hAnsi="Arial" w:cs="Arial"/>
          <w:sz w:val="22"/>
          <w:szCs w:val="22"/>
        </w:rPr>
        <w:t>Person-centred care and partnership working are essential in residential settings supporting individuals with dementia. They promote dignity, autonomy, and joined-up support, especially when needs are complex and communication is limited. Theories, ethics, and legislation all reinforce their value, but real impact depends on how they</w:t>
      </w:r>
      <w:r w:rsidR="0028610C">
        <w:rPr>
          <w:rFonts w:ascii="Arial" w:hAnsi="Arial" w:cs="Arial"/>
          <w:sz w:val="22"/>
          <w:szCs w:val="22"/>
        </w:rPr>
        <w:t xml:space="preserve"> a</w:t>
      </w:r>
      <w:r w:rsidRPr="00CA0B5A">
        <w:rPr>
          <w:rFonts w:ascii="Arial" w:hAnsi="Arial" w:cs="Arial"/>
          <w:sz w:val="22"/>
          <w:szCs w:val="22"/>
        </w:rPr>
        <w:t>re applied in practice. When professionals collaborate and care is tailored to the person, outcomes improve</w:t>
      </w:r>
      <w:r w:rsidR="0028610C">
        <w:rPr>
          <w:rFonts w:ascii="Arial" w:hAnsi="Arial" w:cs="Arial"/>
          <w:sz w:val="22"/>
          <w:szCs w:val="22"/>
        </w:rPr>
        <w:t>,</w:t>
      </w:r>
      <w:r w:rsidRPr="00CA0B5A">
        <w:rPr>
          <w:rFonts w:ascii="Arial" w:hAnsi="Arial" w:cs="Arial"/>
          <w:sz w:val="22"/>
          <w:szCs w:val="22"/>
        </w:rPr>
        <w:t xml:space="preserve"> and distress is reduced. Continued investment in training, communication, and integrated systems will help embed these approaches more deeply. Ultimately, good care is not just about doing tasks — it</w:t>
      </w:r>
      <w:r w:rsidR="0028610C">
        <w:rPr>
          <w:rFonts w:ascii="Arial" w:hAnsi="Arial" w:cs="Arial"/>
          <w:sz w:val="22"/>
          <w:szCs w:val="22"/>
        </w:rPr>
        <w:t xml:space="preserve"> i</w:t>
      </w:r>
      <w:r w:rsidRPr="00CA0B5A">
        <w:rPr>
          <w:rFonts w:ascii="Arial" w:hAnsi="Arial" w:cs="Arial"/>
          <w:sz w:val="22"/>
          <w:szCs w:val="22"/>
        </w:rPr>
        <w:t>s about knowing the person and working together to support what matters most.</w:t>
      </w:r>
    </w:p>
    <w:p w14:paraId="7D483EF5" w14:textId="091248D3" w:rsidR="00514499" w:rsidRPr="00CA0B5A" w:rsidRDefault="00514499" w:rsidP="00CA0B5A">
      <w:pPr>
        <w:spacing w:line="360" w:lineRule="auto"/>
        <w:rPr>
          <w:rFonts w:ascii="Arial" w:hAnsi="Arial" w:cs="Arial"/>
          <w:sz w:val="22"/>
          <w:szCs w:val="22"/>
        </w:rPr>
      </w:pPr>
      <w:r w:rsidRPr="00514499">
        <w:rPr>
          <w:rFonts w:ascii="Arial" w:hAnsi="Arial" w:cs="Arial"/>
          <w:sz w:val="22"/>
          <w:szCs w:val="22"/>
        </w:rPr>
        <w:lastRenderedPageBreak/>
        <w:t>Person</w:t>
      </w:r>
      <w:r w:rsidRPr="00514499">
        <w:rPr>
          <w:rFonts w:ascii="Arial" w:hAnsi="Arial" w:cs="Arial"/>
          <w:sz w:val="22"/>
          <w:szCs w:val="22"/>
        </w:rPr>
        <w:noBreakHyphen/>
        <w:t>centred care and partnership working sound good in policy, but they are hard to deliver. Problems like not enough staff, money, or shared records mean care is uneven. To make PCC and PW real, services need fair resources, better training, and stronger systems that support joined</w:t>
      </w:r>
      <w:r w:rsidRPr="00514499">
        <w:rPr>
          <w:rFonts w:ascii="Arial" w:hAnsi="Arial" w:cs="Arial"/>
          <w:sz w:val="22"/>
          <w:szCs w:val="22"/>
        </w:rPr>
        <w:noBreakHyphen/>
        <w:t>up working every day.</w:t>
      </w:r>
    </w:p>
    <w:p w14:paraId="5109F3A5" w14:textId="77777777" w:rsidR="00CA0B5A" w:rsidRPr="00CA0B5A" w:rsidRDefault="00CA0B5A" w:rsidP="00CA0B5A">
      <w:pPr>
        <w:spacing w:line="360" w:lineRule="auto"/>
        <w:rPr>
          <w:rFonts w:ascii="Arial" w:hAnsi="Arial" w:cs="Arial"/>
          <w:sz w:val="22"/>
          <w:szCs w:val="22"/>
        </w:rPr>
      </w:pPr>
    </w:p>
    <w:p w14:paraId="52F68F86" w14:textId="7EBB97E7" w:rsidR="00CA0B5A" w:rsidRPr="00103BB2" w:rsidRDefault="00CA0B5A" w:rsidP="00CA0B5A">
      <w:pPr>
        <w:spacing w:line="360" w:lineRule="auto"/>
        <w:rPr>
          <w:rFonts w:ascii="Arial" w:hAnsi="Arial" w:cs="Arial"/>
          <w:b/>
          <w:bCs/>
          <w:sz w:val="22"/>
          <w:szCs w:val="22"/>
          <w:u w:val="single"/>
        </w:rPr>
      </w:pPr>
      <w:r w:rsidRPr="00CA0B5A">
        <w:rPr>
          <w:rFonts w:ascii="Arial" w:hAnsi="Arial" w:cs="Arial"/>
          <w:b/>
          <w:bCs/>
          <w:sz w:val="22"/>
          <w:szCs w:val="22"/>
          <w:u w:val="single"/>
        </w:rPr>
        <w:t xml:space="preserve">References </w:t>
      </w:r>
    </w:p>
    <w:p w14:paraId="096BCA64"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Beauchamp, T.L. and Childress, J.F. (2013) </w:t>
      </w:r>
      <w:r w:rsidRPr="00CA0B5A">
        <w:rPr>
          <w:rFonts w:ascii="Arial" w:hAnsi="Arial" w:cs="Arial"/>
          <w:i/>
          <w:iCs/>
          <w:sz w:val="22"/>
          <w:szCs w:val="22"/>
        </w:rPr>
        <w:t>Principles of Biomedical Ethics</w:t>
      </w:r>
      <w:r w:rsidRPr="00CA0B5A">
        <w:rPr>
          <w:rFonts w:ascii="Arial" w:hAnsi="Arial" w:cs="Arial"/>
          <w:sz w:val="22"/>
          <w:szCs w:val="22"/>
        </w:rPr>
        <w:t>. 7th edn. Oxford: Oxford University Press.</w:t>
      </w:r>
    </w:p>
    <w:p w14:paraId="07402297"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Bradshaw, J. (1972) ‘A taxonomy of social need’, in </w:t>
      </w:r>
      <w:r w:rsidRPr="00CA0B5A">
        <w:rPr>
          <w:rFonts w:ascii="Arial" w:hAnsi="Arial" w:cs="Arial"/>
          <w:i/>
          <w:iCs/>
          <w:sz w:val="22"/>
          <w:szCs w:val="22"/>
        </w:rPr>
        <w:t>Problems and Progress in Medical Care</w:t>
      </w:r>
      <w:r w:rsidRPr="00CA0B5A">
        <w:rPr>
          <w:rFonts w:ascii="Arial" w:hAnsi="Arial" w:cs="Arial"/>
          <w:sz w:val="22"/>
          <w:szCs w:val="22"/>
        </w:rPr>
        <w:t>. 7th edn. London: Oxford University Press, pp. 71–82.</w:t>
      </w:r>
    </w:p>
    <w:p w14:paraId="427BC08A"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Brooker, D. (2007) </w:t>
      </w:r>
      <w:r w:rsidRPr="00CA0B5A">
        <w:rPr>
          <w:rFonts w:ascii="Arial" w:hAnsi="Arial" w:cs="Arial"/>
          <w:i/>
          <w:iCs/>
          <w:sz w:val="22"/>
          <w:szCs w:val="22"/>
        </w:rPr>
        <w:t>Person-Centred Dementia Care: Making Services Better</w:t>
      </w:r>
      <w:r w:rsidRPr="00CA0B5A">
        <w:rPr>
          <w:rFonts w:ascii="Arial" w:hAnsi="Arial" w:cs="Arial"/>
          <w:sz w:val="22"/>
          <w:szCs w:val="22"/>
        </w:rPr>
        <w:t>. London: Jessica Kingsley Publishers.</w:t>
      </w:r>
    </w:p>
    <w:p w14:paraId="20964520" w14:textId="37592D0E"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Coulter, A., Parsons, S. and Askham, J. (2013) </w:t>
      </w:r>
      <w:r w:rsidRPr="00CA0B5A">
        <w:rPr>
          <w:rFonts w:ascii="Arial" w:hAnsi="Arial" w:cs="Arial"/>
          <w:i/>
          <w:iCs/>
          <w:sz w:val="22"/>
          <w:szCs w:val="22"/>
        </w:rPr>
        <w:t>Where are the patients in decision-making about their own care?</w:t>
      </w:r>
      <w:r w:rsidRPr="00CA0B5A">
        <w:rPr>
          <w:rFonts w:ascii="Arial" w:hAnsi="Arial" w:cs="Arial"/>
          <w:sz w:val="22"/>
          <w:szCs w:val="22"/>
        </w:rPr>
        <w:t xml:space="preserve"> [Online]. London: The King’s Fund. Available at: </w:t>
      </w:r>
      <w:hyperlink r:id="rId7" w:history="1">
        <w:r w:rsidRPr="00CA0B5A">
          <w:rPr>
            <w:rStyle w:val="Hyperlink"/>
            <w:rFonts w:ascii="Arial" w:hAnsi="Arial" w:cs="Arial"/>
            <w:sz w:val="22"/>
            <w:szCs w:val="22"/>
          </w:rPr>
          <w:t>https://www.kingsfund.org.uk/publications/where-are-patients-decision-making</w:t>
        </w:r>
      </w:hyperlink>
      <w:r w:rsidRPr="00CA0B5A">
        <w:rPr>
          <w:rFonts w:ascii="Arial" w:hAnsi="Arial" w:cs="Arial"/>
          <w:sz w:val="22"/>
          <w:szCs w:val="22"/>
        </w:rPr>
        <w:t xml:space="preserve"> (Accessed: 31 October 2025).</w:t>
      </w:r>
    </w:p>
    <w:p w14:paraId="3FE6B20B"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Equality and Human Rights Commission (2023) </w:t>
      </w:r>
      <w:r w:rsidRPr="00CA0B5A">
        <w:rPr>
          <w:rFonts w:ascii="Arial" w:hAnsi="Arial" w:cs="Arial"/>
          <w:i/>
          <w:iCs/>
          <w:sz w:val="22"/>
          <w:szCs w:val="22"/>
        </w:rPr>
        <w:t>Protected characteristics</w:t>
      </w:r>
      <w:r w:rsidRPr="00CA0B5A">
        <w:rPr>
          <w:rFonts w:ascii="Arial" w:hAnsi="Arial" w:cs="Arial"/>
          <w:sz w:val="22"/>
          <w:szCs w:val="22"/>
        </w:rPr>
        <w:t xml:space="preserve">. [Online]. Available at: </w:t>
      </w:r>
      <w:hyperlink r:id="rId8" w:history="1">
        <w:r w:rsidRPr="00CA0B5A">
          <w:rPr>
            <w:rStyle w:val="Hyperlink"/>
            <w:rFonts w:ascii="Arial" w:hAnsi="Arial" w:cs="Arial"/>
            <w:sz w:val="22"/>
            <w:szCs w:val="22"/>
          </w:rPr>
          <w:t>https://www.equalityhumanrights.com/en/equality-act/protected-characteristics</w:t>
        </w:r>
      </w:hyperlink>
      <w:r w:rsidRPr="00CA0B5A">
        <w:rPr>
          <w:rFonts w:ascii="Arial" w:hAnsi="Arial" w:cs="Arial"/>
          <w:sz w:val="22"/>
          <w:szCs w:val="22"/>
        </w:rPr>
        <w:t xml:space="preserve"> (Accessed: 3 November 2025).</w:t>
      </w:r>
    </w:p>
    <w:p w14:paraId="10492C89"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Glasby, J. and Dickinson, H. (2014) </w:t>
      </w:r>
      <w:r w:rsidRPr="00CA0B5A">
        <w:rPr>
          <w:rFonts w:ascii="Arial" w:hAnsi="Arial" w:cs="Arial"/>
          <w:i/>
          <w:iCs/>
          <w:sz w:val="22"/>
          <w:szCs w:val="22"/>
        </w:rPr>
        <w:t>Partnership Working in Health and Social Care: What is Integrated Care and How Can We Deliver It?</w:t>
      </w:r>
      <w:r w:rsidRPr="00CA0B5A">
        <w:rPr>
          <w:rFonts w:ascii="Arial" w:hAnsi="Arial" w:cs="Arial"/>
          <w:sz w:val="22"/>
          <w:szCs w:val="22"/>
        </w:rPr>
        <w:t xml:space="preserve"> 2nd edn. Bristol: Policy Press.</w:t>
      </w:r>
    </w:p>
    <w:p w14:paraId="623E43C2" w14:textId="1A96FC64"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Health Foundation (2016) </w:t>
      </w:r>
      <w:r w:rsidRPr="00CA0B5A">
        <w:rPr>
          <w:rFonts w:ascii="Arial" w:hAnsi="Arial" w:cs="Arial"/>
          <w:i/>
          <w:iCs/>
          <w:sz w:val="22"/>
          <w:szCs w:val="22"/>
        </w:rPr>
        <w:t>Person-centred care made simple</w:t>
      </w:r>
      <w:r w:rsidRPr="00CA0B5A">
        <w:rPr>
          <w:rFonts w:ascii="Arial" w:hAnsi="Arial" w:cs="Arial"/>
          <w:sz w:val="22"/>
          <w:szCs w:val="22"/>
        </w:rPr>
        <w:t xml:space="preserve">. [Online]. Available at: </w:t>
      </w:r>
      <w:hyperlink r:id="rId9" w:history="1">
        <w:r w:rsidRPr="00CA0B5A">
          <w:rPr>
            <w:rStyle w:val="Hyperlink"/>
            <w:rFonts w:ascii="Arial" w:hAnsi="Arial" w:cs="Arial"/>
            <w:sz w:val="22"/>
            <w:szCs w:val="22"/>
          </w:rPr>
          <w:t>https://www.health.org.uk/publications/person-centred-care-made-simple</w:t>
        </w:r>
      </w:hyperlink>
      <w:r w:rsidRPr="00CA0B5A">
        <w:rPr>
          <w:rFonts w:ascii="Arial" w:hAnsi="Arial" w:cs="Arial"/>
          <w:sz w:val="22"/>
          <w:szCs w:val="22"/>
        </w:rPr>
        <w:t xml:space="preserve"> (Accessed: 28 October 2025).</w:t>
      </w:r>
    </w:p>
    <w:p w14:paraId="09BA47F7" w14:textId="45CA2F7B"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Information Commissioner’s Office (ICO) (2023) </w:t>
      </w:r>
      <w:r w:rsidRPr="00CA0B5A">
        <w:rPr>
          <w:rFonts w:ascii="Arial" w:hAnsi="Arial" w:cs="Arial"/>
          <w:i/>
          <w:iCs/>
          <w:sz w:val="22"/>
          <w:szCs w:val="22"/>
        </w:rPr>
        <w:t>Guide to the UK General Data Protection Regulation (UK GDPR)</w:t>
      </w:r>
      <w:r w:rsidRPr="00CA0B5A">
        <w:rPr>
          <w:rFonts w:ascii="Arial" w:hAnsi="Arial" w:cs="Arial"/>
          <w:sz w:val="22"/>
          <w:szCs w:val="22"/>
        </w:rPr>
        <w:t xml:space="preserve">. [Online]. Available at: </w:t>
      </w:r>
      <w:hyperlink r:id="rId10" w:history="1">
        <w:r w:rsidRPr="00CA0B5A">
          <w:rPr>
            <w:rStyle w:val="Hyperlink"/>
            <w:rFonts w:ascii="Arial" w:hAnsi="Arial" w:cs="Arial"/>
            <w:sz w:val="22"/>
            <w:szCs w:val="22"/>
          </w:rPr>
          <w:t>https://ico.org.uk/for-organisations/uk-gdpr-guidance-and-resources/</w:t>
        </w:r>
      </w:hyperlink>
      <w:r w:rsidRPr="00CA0B5A">
        <w:rPr>
          <w:rFonts w:ascii="Arial" w:hAnsi="Arial" w:cs="Arial"/>
          <w:sz w:val="22"/>
          <w:szCs w:val="22"/>
        </w:rPr>
        <w:t xml:space="preserve"> (Accessed: 3 November 2025).</w:t>
      </w:r>
    </w:p>
    <w:p w14:paraId="4A678414"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Legislation.gov.uk (2010) </w:t>
      </w:r>
      <w:r w:rsidRPr="00CA0B5A">
        <w:rPr>
          <w:rFonts w:ascii="Arial" w:hAnsi="Arial" w:cs="Arial"/>
          <w:i/>
          <w:iCs/>
          <w:sz w:val="22"/>
          <w:szCs w:val="22"/>
        </w:rPr>
        <w:t>Equality Act 2010</w:t>
      </w:r>
      <w:r w:rsidRPr="00CA0B5A">
        <w:rPr>
          <w:rFonts w:ascii="Arial" w:hAnsi="Arial" w:cs="Arial"/>
          <w:sz w:val="22"/>
          <w:szCs w:val="22"/>
        </w:rPr>
        <w:t xml:space="preserve">. [Online]. Available at: </w:t>
      </w:r>
      <w:hyperlink r:id="rId11" w:history="1">
        <w:r w:rsidRPr="00CA0B5A">
          <w:rPr>
            <w:rStyle w:val="Hyperlink"/>
            <w:rFonts w:ascii="Arial" w:hAnsi="Arial" w:cs="Arial"/>
            <w:sz w:val="22"/>
            <w:szCs w:val="22"/>
          </w:rPr>
          <w:t>https://www.legislation.gov.uk/ukpga/2010/15/contents</w:t>
        </w:r>
      </w:hyperlink>
      <w:r w:rsidRPr="00CA0B5A">
        <w:rPr>
          <w:rFonts w:ascii="Arial" w:hAnsi="Arial" w:cs="Arial"/>
          <w:sz w:val="22"/>
          <w:szCs w:val="22"/>
        </w:rPr>
        <w:t xml:space="preserve"> (Accessed: 3 November 2025).</w:t>
      </w:r>
    </w:p>
    <w:p w14:paraId="0042D9B2"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Legislation.gov.uk (2014) </w:t>
      </w:r>
      <w:r w:rsidRPr="00CA0B5A">
        <w:rPr>
          <w:rFonts w:ascii="Arial" w:hAnsi="Arial" w:cs="Arial"/>
          <w:i/>
          <w:iCs/>
          <w:sz w:val="22"/>
          <w:szCs w:val="22"/>
        </w:rPr>
        <w:t>Care Act 2014</w:t>
      </w:r>
      <w:r w:rsidRPr="00CA0B5A">
        <w:rPr>
          <w:rFonts w:ascii="Arial" w:hAnsi="Arial" w:cs="Arial"/>
          <w:sz w:val="22"/>
          <w:szCs w:val="22"/>
        </w:rPr>
        <w:t xml:space="preserve">. [Online]. Available at: </w:t>
      </w:r>
      <w:hyperlink r:id="rId12" w:history="1">
        <w:r w:rsidRPr="00CA0B5A">
          <w:rPr>
            <w:rStyle w:val="Hyperlink"/>
            <w:rFonts w:ascii="Arial" w:hAnsi="Arial" w:cs="Arial"/>
            <w:sz w:val="22"/>
            <w:szCs w:val="22"/>
          </w:rPr>
          <w:t>https://www.legislation.gov.uk/ukpga/2014/23/contents/enacted</w:t>
        </w:r>
      </w:hyperlink>
      <w:r w:rsidRPr="00CA0B5A">
        <w:rPr>
          <w:rFonts w:ascii="Arial" w:hAnsi="Arial" w:cs="Arial"/>
          <w:sz w:val="22"/>
          <w:szCs w:val="22"/>
        </w:rPr>
        <w:t xml:space="preserve"> (Accessed: 3 November 2025).</w:t>
      </w:r>
    </w:p>
    <w:p w14:paraId="1FA640C2"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lastRenderedPageBreak/>
        <w:t xml:space="preserve">Maslow, A.H. (1943) ‘A theory of human motivation’, </w:t>
      </w:r>
      <w:r w:rsidRPr="00CA0B5A">
        <w:rPr>
          <w:rFonts w:ascii="Arial" w:hAnsi="Arial" w:cs="Arial"/>
          <w:i/>
          <w:iCs/>
          <w:sz w:val="22"/>
          <w:szCs w:val="22"/>
        </w:rPr>
        <w:t>Psychological Review</w:t>
      </w:r>
      <w:r w:rsidRPr="00CA0B5A">
        <w:rPr>
          <w:rFonts w:ascii="Arial" w:hAnsi="Arial" w:cs="Arial"/>
          <w:sz w:val="22"/>
          <w:szCs w:val="22"/>
        </w:rPr>
        <w:t>, 50(4), pp. 370–396.</w:t>
      </w:r>
    </w:p>
    <w:p w14:paraId="480F03B5" w14:textId="6FF99AE8"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NHS England (2023) </w:t>
      </w:r>
      <w:r w:rsidRPr="00CA0B5A">
        <w:rPr>
          <w:rFonts w:ascii="Arial" w:hAnsi="Arial" w:cs="Arial"/>
          <w:i/>
          <w:iCs/>
          <w:sz w:val="22"/>
          <w:szCs w:val="22"/>
        </w:rPr>
        <w:t>Integrated care systems (ICSs)</w:t>
      </w:r>
      <w:r w:rsidRPr="00CA0B5A">
        <w:rPr>
          <w:rFonts w:ascii="Arial" w:hAnsi="Arial" w:cs="Arial"/>
          <w:sz w:val="22"/>
          <w:szCs w:val="22"/>
        </w:rPr>
        <w:t xml:space="preserve">. [Online]. Available at: </w:t>
      </w:r>
      <w:hyperlink r:id="rId13" w:history="1">
        <w:r w:rsidRPr="00CA0B5A">
          <w:rPr>
            <w:rStyle w:val="Hyperlink"/>
            <w:rFonts w:ascii="Arial" w:hAnsi="Arial" w:cs="Arial"/>
            <w:sz w:val="22"/>
            <w:szCs w:val="22"/>
          </w:rPr>
          <w:t>https://www.england.nhs.uk/integratedcare/what-is-integrated-care/</w:t>
        </w:r>
      </w:hyperlink>
      <w:r w:rsidRPr="00CA0B5A">
        <w:rPr>
          <w:rFonts w:ascii="Arial" w:hAnsi="Arial" w:cs="Arial"/>
          <w:sz w:val="22"/>
          <w:szCs w:val="22"/>
        </w:rPr>
        <w:t xml:space="preserve"> (Accessed: 1 November 2025).</w:t>
      </w:r>
    </w:p>
    <w:p w14:paraId="030E0595" w14:textId="77777777"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NICE (2018) </w:t>
      </w:r>
      <w:r w:rsidRPr="00CA0B5A">
        <w:rPr>
          <w:rFonts w:ascii="Arial" w:hAnsi="Arial" w:cs="Arial"/>
          <w:i/>
          <w:iCs/>
          <w:sz w:val="22"/>
          <w:szCs w:val="22"/>
        </w:rPr>
        <w:t>Transition between inpatient hospital settings and community or care home settings for adults with social care needs</w:t>
      </w:r>
      <w:r w:rsidRPr="00CA0B5A">
        <w:rPr>
          <w:rFonts w:ascii="Arial" w:hAnsi="Arial" w:cs="Arial"/>
          <w:sz w:val="22"/>
          <w:szCs w:val="22"/>
        </w:rPr>
        <w:t xml:space="preserve">. [Online]. Available at: </w:t>
      </w:r>
      <w:hyperlink r:id="rId14" w:history="1">
        <w:r w:rsidRPr="00CA0B5A">
          <w:rPr>
            <w:rStyle w:val="Hyperlink"/>
            <w:rFonts w:ascii="Arial" w:hAnsi="Arial" w:cs="Arial"/>
            <w:sz w:val="22"/>
            <w:szCs w:val="22"/>
          </w:rPr>
          <w:t>https://www.nice.org.uk/guidance/ng27</w:t>
        </w:r>
      </w:hyperlink>
      <w:r w:rsidRPr="00CA0B5A">
        <w:rPr>
          <w:rFonts w:ascii="Arial" w:hAnsi="Arial" w:cs="Arial"/>
          <w:sz w:val="22"/>
          <w:szCs w:val="22"/>
        </w:rPr>
        <w:t xml:space="preserve"> (Accessed: 3 November 2025).</w:t>
      </w:r>
    </w:p>
    <w:p w14:paraId="4BF8DBE7" w14:textId="320A979C" w:rsidR="00CA0B5A" w:rsidRPr="00CA0B5A" w:rsidRDefault="00CA0B5A" w:rsidP="00CA0B5A">
      <w:pPr>
        <w:spacing w:line="360" w:lineRule="auto"/>
        <w:rPr>
          <w:rFonts w:ascii="Arial" w:hAnsi="Arial" w:cs="Arial"/>
          <w:sz w:val="22"/>
          <w:szCs w:val="22"/>
        </w:rPr>
      </w:pPr>
      <w:r w:rsidRPr="00CA0B5A">
        <w:rPr>
          <w:rFonts w:ascii="Arial" w:hAnsi="Arial" w:cs="Arial"/>
          <w:sz w:val="22"/>
          <w:szCs w:val="22"/>
        </w:rPr>
        <w:t xml:space="preserve">SCIE (2022) </w:t>
      </w:r>
      <w:r w:rsidRPr="00CA0B5A">
        <w:rPr>
          <w:rFonts w:ascii="Arial" w:hAnsi="Arial" w:cs="Arial"/>
          <w:i/>
          <w:iCs/>
          <w:sz w:val="22"/>
          <w:szCs w:val="22"/>
        </w:rPr>
        <w:t xml:space="preserve">Dementia: Supporting people with dementia and their </w:t>
      </w:r>
      <w:proofErr w:type="spellStart"/>
      <w:r w:rsidRPr="00CA0B5A">
        <w:rPr>
          <w:rFonts w:ascii="Arial" w:hAnsi="Arial" w:cs="Arial"/>
          <w:i/>
          <w:iCs/>
          <w:sz w:val="22"/>
          <w:szCs w:val="22"/>
        </w:rPr>
        <w:t>carers</w:t>
      </w:r>
      <w:proofErr w:type="spellEnd"/>
      <w:r w:rsidRPr="00CA0B5A">
        <w:rPr>
          <w:rFonts w:ascii="Arial" w:hAnsi="Arial" w:cs="Arial"/>
          <w:i/>
          <w:iCs/>
          <w:sz w:val="22"/>
          <w:szCs w:val="22"/>
        </w:rPr>
        <w:t xml:space="preserve"> in health and social care</w:t>
      </w:r>
      <w:r w:rsidRPr="00CA0B5A">
        <w:rPr>
          <w:rFonts w:ascii="Arial" w:hAnsi="Arial" w:cs="Arial"/>
          <w:sz w:val="22"/>
          <w:szCs w:val="22"/>
        </w:rPr>
        <w:t xml:space="preserve">. [Online]. Available at: </w:t>
      </w:r>
      <w:hyperlink r:id="rId15" w:history="1">
        <w:r w:rsidRPr="00CA0B5A">
          <w:rPr>
            <w:rStyle w:val="Hyperlink"/>
            <w:rFonts w:ascii="Arial" w:hAnsi="Arial" w:cs="Arial"/>
            <w:sz w:val="22"/>
            <w:szCs w:val="22"/>
          </w:rPr>
          <w:t>https://www.scie.org.uk/dementia/support</w:t>
        </w:r>
      </w:hyperlink>
      <w:r w:rsidRPr="00CA0B5A">
        <w:rPr>
          <w:rFonts w:ascii="Arial" w:hAnsi="Arial" w:cs="Arial"/>
          <w:sz w:val="22"/>
          <w:szCs w:val="22"/>
        </w:rPr>
        <w:t xml:space="preserve"> (Accessed: 16 October 2025).</w:t>
      </w:r>
    </w:p>
    <w:p w14:paraId="2518FE4B" w14:textId="52E07CD6" w:rsidR="00CA0B5A" w:rsidRPr="00CA0B5A" w:rsidRDefault="00CA0B5A" w:rsidP="00CA0B5A">
      <w:pPr>
        <w:spacing w:line="360" w:lineRule="auto"/>
        <w:rPr>
          <w:rFonts w:ascii="Arial" w:hAnsi="Arial" w:cs="Arial"/>
          <w:sz w:val="22"/>
          <w:szCs w:val="22"/>
        </w:rPr>
      </w:pPr>
    </w:p>
    <w:p w14:paraId="2213231B" w14:textId="438580F8" w:rsidR="009500D3" w:rsidRPr="009500D3" w:rsidRDefault="009500D3" w:rsidP="00CA0B5A">
      <w:pPr>
        <w:spacing w:line="360" w:lineRule="auto"/>
        <w:rPr>
          <w:rFonts w:ascii="Arial" w:hAnsi="Arial" w:cs="Arial"/>
          <w:sz w:val="22"/>
          <w:szCs w:val="22"/>
        </w:rPr>
      </w:pPr>
    </w:p>
    <w:p w14:paraId="3DADD98E" w14:textId="77777777" w:rsidR="009500D3" w:rsidRPr="00FA6CE2" w:rsidRDefault="009500D3" w:rsidP="00CA0B5A">
      <w:pPr>
        <w:spacing w:line="360" w:lineRule="auto"/>
        <w:rPr>
          <w:rFonts w:ascii="Arial" w:hAnsi="Arial" w:cs="Arial"/>
          <w:sz w:val="22"/>
          <w:szCs w:val="22"/>
        </w:rPr>
      </w:pPr>
    </w:p>
    <w:p w14:paraId="0D0F0497" w14:textId="371C7A0A" w:rsidR="00DF1543" w:rsidRPr="00DF1543" w:rsidRDefault="00DF1543" w:rsidP="00CA0B5A">
      <w:pPr>
        <w:spacing w:line="360" w:lineRule="auto"/>
        <w:rPr>
          <w:rFonts w:ascii="Arial" w:hAnsi="Arial" w:cs="Arial"/>
          <w:sz w:val="22"/>
          <w:szCs w:val="22"/>
        </w:rPr>
      </w:pPr>
    </w:p>
    <w:p w14:paraId="18DAB20C" w14:textId="77777777" w:rsidR="00DE5912" w:rsidRPr="00CA0B5A" w:rsidRDefault="00DE5912" w:rsidP="00CA0B5A">
      <w:pPr>
        <w:spacing w:line="360" w:lineRule="auto"/>
        <w:rPr>
          <w:rFonts w:ascii="Arial" w:hAnsi="Arial" w:cs="Arial"/>
          <w:sz w:val="22"/>
          <w:szCs w:val="22"/>
        </w:rPr>
      </w:pPr>
    </w:p>
    <w:p w14:paraId="6075C55D" w14:textId="77777777" w:rsidR="00DE5912" w:rsidRPr="00CA0B5A" w:rsidRDefault="00DE5912" w:rsidP="00CA0B5A">
      <w:pPr>
        <w:spacing w:line="360" w:lineRule="auto"/>
        <w:rPr>
          <w:rFonts w:ascii="Arial" w:hAnsi="Arial" w:cs="Arial"/>
          <w:sz w:val="22"/>
          <w:szCs w:val="22"/>
        </w:rPr>
      </w:pPr>
    </w:p>
    <w:p w14:paraId="1CA923BB" w14:textId="77777777" w:rsidR="00DE5912" w:rsidRPr="00CA0B5A" w:rsidRDefault="00DE5912" w:rsidP="00CA0B5A">
      <w:pPr>
        <w:spacing w:line="360" w:lineRule="auto"/>
        <w:rPr>
          <w:rFonts w:ascii="Arial" w:hAnsi="Arial" w:cs="Arial"/>
          <w:sz w:val="22"/>
          <w:szCs w:val="22"/>
        </w:rPr>
      </w:pPr>
    </w:p>
    <w:p w14:paraId="0559ABC5" w14:textId="77777777" w:rsidR="00DE5912" w:rsidRPr="00CA0B5A" w:rsidRDefault="00DE5912" w:rsidP="00CA0B5A">
      <w:pPr>
        <w:spacing w:line="360" w:lineRule="auto"/>
        <w:rPr>
          <w:rFonts w:ascii="Arial" w:hAnsi="Arial" w:cs="Arial"/>
          <w:sz w:val="22"/>
          <w:szCs w:val="22"/>
        </w:rPr>
      </w:pPr>
    </w:p>
    <w:p w14:paraId="3BE5B41F" w14:textId="77777777" w:rsidR="00DE5912" w:rsidRPr="00CA0B5A" w:rsidRDefault="00DE5912" w:rsidP="00CA0B5A">
      <w:pPr>
        <w:spacing w:line="360" w:lineRule="auto"/>
        <w:rPr>
          <w:rFonts w:ascii="Arial" w:hAnsi="Arial" w:cs="Arial"/>
          <w:sz w:val="22"/>
          <w:szCs w:val="22"/>
        </w:rPr>
      </w:pPr>
    </w:p>
    <w:p w14:paraId="73224700" w14:textId="77777777" w:rsidR="00DE5912" w:rsidRPr="00CA0B5A" w:rsidRDefault="00DE5912" w:rsidP="00CA0B5A">
      <w:pPr>
        <w:spacing w:line="360" w:lineRule="auto"/>
        <w:rPr>
          <w:rFonts w:ascii="Arial" w:hAnsi="Arial" w:cs="Arial"/>
          <w:sz w:val="22"/>
          <w:szCs w:val="22"/>
        </w:rPr>
      </w:pPr>
    </w:p>
    <w:p w14:paraId="0A9B1636" w14:textId="77777777" w:rsidR="00DE5912" w:rsidRPr="00CA0B5A" w:rsidRDefault="00DE5912" w:rsidP="00CA0B5A">
      <w:pPr>
        <w:spacing w:line="360" w:lineRule="auto"/>
        <w:rPr>
          <w:rFonts w:ascii="Arial" w:hAnsi="Arial" w:cs="Arial"/>
          <w:sz w:val="22"/>
          <w:szCs w:val="22"/>
        </w:rPr>
      </w:pPr>
    </w:p>
    <w:p w14:paraId="42CB6606" w14:textId="77777777" w:rsidR="00DE5912" w:rsidRPr="00CA0B5A" w:rsidRDefault="00DE5912" w:rsidP="00CA0B5A">
      <w:pPr>
        <w:spacing w:line="360" w:lineRule="auto"/>
        <w:rPr>
          <w:rFonts w:ascii="Arial" w:hAnsi="Arial" w:cs="Arial"/>
          <w:sz w:val="22"/>
          <w:szCs w:val="22"/>
        </w:rPr>
      </w:pPr>
    </w:p>
    <w:p w14:paraId="2E56F575" w14:textId="77777777" w:rsidR="00DE5912" w:rsidRPr="00CA0B5A" w:rsidRDefault="00DE5912" w:rsidP="00CA0B5A">
      <w:pPr>
        <w:spacing w:line="360" w:lineRule="auto"/>
        <w:rPr>
          <w:rFonts w:ascii="Arial" w:hAnsi="Arial" w:cs="Arial"/>
          <w:sz w:val="22"/>
          <w:szCs w:val="22"/>
        </w:rPr>
      </w:pPr>
    </w:p>
    <w:p w14:paraId="557B53CC" w14:textId="77777777" w:rsidR="00DE5912" w:rsidRPr="00CA0B5A" w:rsidRDefault="00DE5912" w:rsidP="00CA0B5A">
      <w:pPr>
        <w:spacing w:line="360" w:lineRule="auto"/>
        <w:rPr>
          <w:rFonts w:ascii="Arial" w:hAnsi="Arial" w:cs="Arial"/>
          <w:sz w:val="22"/>
          <w:szCs w:val="22"/>
        </w:rPr>
      </w:pPr>
    </w:p>
    <w:p w14:paraId="061921BE" w14:textId="77777777" w:rsidR="00DE5912" w:rsidRPr="00CA0B5A" w:rsidRDefault="00DE5912" w:rsidP="00CA0B5A">
      <w:pPr>
        <w:spacing w:line="360" w:lineRule="auto"/>
        <w:rPr>
          <w:rFonts w:ascii="Arial" w:hAnsi="Arial" w:cs="Arial"/>
          <w:sz w:val="22"/>
          <w:szCs w:val="22"/>
        </w:rPr>
      </w:pPr>
    </w:p>
    <w:p w14:paraId="0B366ADE" w14:textId="77777777" w:rsidR="00DE5912" w:rsidRPr="00CA0B5A" w:rsidRDefault="00DE5912" w:rsidP="00CA0B5A">
      <w:pPr>
        <w:spacing w:line="360" w:lineRule="auto"/>
        <w:rPr>
          <w:rFonts w:ascii="Arial" w:hAnsi="Arial" w:cs="Arial"/>
          <w:sz w:val="22"/>
          <w:szCs w:val="22"/>
        </w:rPr>
      </w:pPr>
    </w:p>
    <w:p w14:paraId="5BEC422D" w14:textId="77777777" w:rsidR="00DE5912" w:rsidRPr="00CA0B5A" w:rsidRDefault="00DE5912" w:rsidP="00CA0B5A">
      <w:pPr>
        <w:spacing w:line="360" w:lineRule="auto"/>
        <w:rPr>
          <w:rFonts w:ascii="Arial" w:hAnsi="Arial" w:cs="Arial"/>
          <w:sz w:val="22"/>
          <w:szCs w:val="22"/>
        </w:rPr>
      </w:pPr>
    </w:p>
    <w:p w14:paraId="34D8E09F" w14:textId="77777777" w:rsidR="00DE5912" w:rsidRPr="00CA0B5A" w:rsidRDefault="00DE5912" w:rsidP="00CA0B5A">
      <w:pPr>
        <w:spacing w:line="360" w:lineRule="auto"/>
        <w:rPr>
          <w:rFonts w:ascii="Arial" w:hAnsi="Arial" w:cs="Arial"/>
          <w:sz w:val="22"/>
          <w:szCs w:val="22"/>
        </w:rPr>
      </w:pPr>
    </w:p>
    <w:p w14:paraId="25005C4B" w14:textId="77777777" w:rsidR="00DE5912" w:rsidRPr="00CA0B5A" w:rsidRDefault="00DE5912" w:rsidP="00CA0B5A">
      <w:pPr>
        <w:spacing w:line="360" w:lineRule="auto"/>
        <w:rPr>
          <w:rFonts w:ascii="Arial" w:hAnsi="Arial" w:cs="Arial"/>
          <w:sz w:val="22"/>
          <w:szCs w:val="22"/>
        </w:rPr>
      </w:pPr>
    </w:p>
    <w:p w14:paraId="75FF7341" w14:textId="77777777" w:rsidR="00DE5912" w:rsidRPr="00CA0B5A" w:rsidRDefault="00DE5912" w:rsidP="00CA0B5A">
      <w:pPr>
        <w:spacing w:line="360" w:lineRule="auto"/>
        <w:rPr>
          <w:rFonts w:ascii="Arial" w:hAnsi="Arial" w:cs="Arial"/>
          <w:sz w:val="22"/>
          <w:szCs w:val="22"/>
        </w:rPr>
      </w:pPr>
    </w:p>
    <w:p w14:paraId="5CD858F7" w14:textId="77777777" w:rsidR="00DE5912" w:rsidRPr="00CA0B5A" w:rsidRDefault="00DE5912" w:rsidP="00CA0B5A">
      <w:pPr>
        <w:spacing w:line="360" w:lineRule="auto"/>
        <w:rPr>
          <w:rFonts w:ascii="Arial" w:hAnsi="Arial" w:cs="Arial"/>
          <w:sz w:val="22"/>
          <w:szCs w:val="22"/>
        </w:rPr>
      </w:pPr>
    </w:p>
    <w:p w14:paraId="4254E0AD" w14:textId="77777777" w:rsidR="00DE5912" w:rsidRPr="00CA0B5A" w:rsidRDefault="00DE5912" w:rsidP="00CA0B5A">
      <w:pPr>
        <w:spacing w:line="360" w:lineRule="auto"/>
        <w:rPr>
          <w:rFonts w:ascii="Arial" w:hAnsi="Arial" w:cs="Arial"/>
          <w:sz w:val="22"/>
          <w:szCs w:val="22"/>
        </w:rPr>
      </w:pPr>
    </w:p>
    <w:p w14:paraId="7C1408F3" w14:textId="77777777" w:rsidR="00DE5912" w:rsidRPr="00CA0B5A" w:rsidRDefault="00DE5912" w:rsidP="00CA0B5A">
      <w:pPr>
        <w:spacing w:line="360" w:lineRule="auto"/>
        <w:rPr>
          <w:rFonts w:ascii="Arial" w:hAnsi="Arial" w:cs="Arial"/>
          <w:b/>
          <w:bCs/>
          <w:sz w:val="22"/>
          <w:szCs w:val="22"/>
        </w:rPr>
      </w:pPr>
    </w:p>
    <w:p w14:paraId="4178B746" w14:textId="0EA01762" w:rsidR="00DE5912" w:rsidRPr="00CA0B5A" w:rsidRDefault="00DE5912" w:rsidP="00CA0B5A">
      <w:pPr>
        <w:spacing w:line="360" w:lineRule="auto"/>
        <w:rPr>
          <w:rFonts w:ascii="Arial" w:hAnsi="Arial" w:cs="Arial"/>
          <w:sz w:val="22"/>
          <w:szCs w:val="22"/>
        </w:rPr>
      </w:pPr>
    </w:p>
    <w:sectPr w:rsidR="00DE5912" w:rsidRPr="00CA0B5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D9FD4" w14:textId="77777777" w:rsidR="005B388D" w:rsidRDefault="005B388D" w:rsidP="00CA0B5A">
      <w:pPr>
        <w:spacing w:after="0" w:line="240" w:lineRule="auto"/>
      </w:pPr>
      <w:r>
        <w:separator/>
      </w:r>
    </w:p>
  </w:endnote>
  <w:endnote w:type="continuationSeparator" w:id="0">
    <w:p w14:paraId="7C7142CC" w14:textId="77777777" w:rsidR="005B388D" w:rsidRDefault="005B388D" w:rsidP="00CA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825558"/>
      <w:docPartObj>
        <w:docPartGallery w:val="Page Numbers (Bottom of Page)"/>
        <w:docPartUnique/>
      </w:docPartObj>
    </w:sdtPr>
    <w:sdtEndPr>
      <w:rPr>
        <w:color w:val="7F7F7F" w:themeColor="background1" w:themeShade="7F"/>
        <w:spacing w:val="60"/>
      </w:rPr>
    </w:sdtEndPr>
    <w:sdtContent>
      <w:p w14:paraId="0D42DE0B" w14:textId="00A531F0" w:rsidR="00CA0B5A" w:rsidRDefault="00CA0B5A">
        <w:pPr>
          <w:pStyle w:val="Footer"/>
          <w:pBdr>
            <w:top w:val="single" w:sz="4" w:space="1" w:color="D9D9D9" w:themeColor="background1" w:themeShade="D9"/>
          </w:pBdr>
          <w:rPr>
            <w:b/>
            <w:bCs/>
          </w:rPr>
        </w:pPr>
        <w:r>
          <w:t>`</w:t>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6A890B6" w14:textId="77777777" w:rsidR="00CA0B5A" w:rsidRDefault="00CA0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71E18" w14:textId="77777777" w:rsidR="005B388D" w:rsidRDefault="005B388D" w:rsidP="00CA0B5A">
      <w:pPr>
        <w:spacing w:after="0" w:line="240" w:lineRule="auto"/>
      </w:pPr>
      <w:r>
        <w:separator/>
      </w:r>
    </w:p>
  </w:footnote>
  <w:footnote w:type="continuationSeparator" w:id="0">
    <w:p w14:paraId="793F155D" w14:textId="77777777" w:rsidR="005B388D" w:rsidRDefault="005B388D" w:rsidP="00CA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8072249"/>
      <w:docPartObj>
        <w:docPartGallery w:val="Page Numbers (Top of Page)"/>
        <w:docPartUnique/>
      </w:docPartObj>
    </w:sdtPr>
    <w:sdtEndPr>
      <w:rPr>
        <w:color w:val="7F7F7F" w:themeColor="background1" w:themeShade="7F"/>
        <w:spacing w:val="60"/>
      </w:rPr>
    </w:sdtEndPr>
    <w:sdtContent>
      <w:p w14:paraId="1C3544C1" w14:textId="5E36A768" w:rsidR="00CA0B5A" w:rsidRDefault="00CA0B5A">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C039B9" w14:textId="77777777" w:rsidR="00CA0B5A" w:rsidRDefault="00CA0B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B73812"/>
    <w:multiLevelType w:val="multilevel"/>
    <w:tmpl w:val="8FFE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358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912"/>
    <w:rsid w:val="00103BB2"/>
    <w:rsid w:val="001A3471"/>
    <w:rsid w:val="0028610C"/>
    <w:rsid w:val="002C3AAD"/>
    <w:rsid w:val="00321AFF"/>
    <w:rsid w:val="00354EAE"/>
    <w:rsid w:val="00514499"/>
    <w:rsid w:val="0051476E"/>
    <w:rsid w:val="005B388D"/>
    <w:rsid w:val="006947EA"/>
    <w:rsid w:val="00787486"/>
    <w:rsid w:val="00934E38"/>
    <w:rsid w:val="009500D3"/>
    <w:rsid w:val="00C32EC8"/>
    <w:rsid w:val="00CA0B5A"/>
    <w:rsid w:val="00D13AC5"/>
    <w:rsid w:val="00D55B97"/>
    <w:rsid w:val="00DA66E6"/>
    <w:rsid w:val="00DB7EE4"/>
    <w:rsid w:val="00DE5912"/>
    <w:rsid w:val="00DF1543"/>
    <w:rsid w:val="00FA6CE2"/>
    <w:rsid w:val="03A4E022"/>
    <w:rsid w:val="0909560C"/>
    <w:rsid w:val="64D9511D"/>
    <w:rsid w:val="694E8BAD"/>
    <w:rsid w:val="7DFDE5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D409"/>
  <w15:chartTrackingRefBased/>
  <w15:docId w15:val="{07C8423E-CA85-42BC-B4B9-31787CC3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9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9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9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9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9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9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9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9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9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9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912"/>
    <w:rPr>
      <w:rFonts w:eastAsiaTheme="majorEastAsia" w:cstheme="majorBidi"/>
      <w:color w:val="272727" w:themeColor="text1" w:themeTint="D8"/>
    </w:rPr>
  </w:style>
  <w:style w:type="paragraph" w:styleId="Title">
    <w:name w:val="Title"/>
    <w:basedOn w:val="Normal"/>
    <w:next w:val="Normal"/>
    <w:link w:val="TitleChar"/>
    <w:uiPriority w:val="10"/>
    <w:qFormat/>
    <w:rsid w:val="00DE5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912"/>
    <w:pPr>
      <w:spacing w:before="160"/>
      <w:jc w:val="center"/>
    </w:pPr>
    <w:rPr>
      <w:i/>
      <w:iCs/>
      <w:color w:val="404040" w:themeColor="text1" w:themeTint="BF"/>
    </w:rPr>
  </w:style>
  <w:style w:type="character" w:customStyle="1" w:styleId="QuoteChar">
    <w:name w:val="Quote Char"/>
    <w:basedOn w:val="DefaultParagraphFont"/>
    <w:link w:val="Quote"/>
    <w:uiPriority w:val="29"/>
    <w:rsid w:val="00DE5912"/>
    <w:rPr>
      <w:i/>
      <w:iCs/>
      <w:color w:val="404040" w:themeColor="text1" w:themeTint="BF"/>
    </w:rPr>
  </w:style>
  <w:style w:type="paragraph" w:styleId="ListParagraph">
    <w:name w:val="List Paragraph"/>
    <w:basedOn w:val="Normal"/>
    <w:uiPriority w:val="34"/>
    <w:qFormat/>
    <w:rsid w:val="00DE5912"/>
    <w:pPr>
      <w:ind w:left="720"/>
      <w:contextualSpacing/>
    </w:pPr>
  </w:style>
  <w:style w:type="character" w:styleId="IntenseEmphasis">
    <w:name w:val="Intense Emphasis"/>
    <w:basedOn w:val="DefaultParagraphFont"/>
    <w:uiPriority w:val="21"/>
    <w:qFormat/>
    <w:rsid w:val="00DE5912"/>
    <w:rPr>
      <w:i/>
      <w:iCs/>
      <w:color w:val="0F4761" w:themeColor="accent1" w:themeShade="BF"/>
    </w:rPr>
  </w:style>
  <w:style w:type="paragraph" w:styleId="IntenseQuote">
    <w:name w:val="Intense Quote"/>
    <w:basedOn w:val="Normal"/>
    <w:next w:val="Normal"/>
    <w:link w:val="IntenseQuoteChar"/>
    <w:uiPriority w:val="30"/>
    <w:qFormat/>
    <w:rsid w:val="00DE59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912"/>
    <w:rPr>
      <w:i/>
      <w:iCs/>
      <w:color w:val="0F4761" w:themeColor="accent1" w:themeShade="BF"/>
    </w:rPr>
  </w:style>
  <w:style w:type="character" w:styleId="IntenseReference">
    <w:name w:val="Intense Reference"/>
    <w:basedOn w:val="DefaultParagraphFont"/>
    <w:uiPriority w:val="32"/>
    <w:qFormat/>
    <w:rsid w:val="00DE5912"/>
    <w:rPr>
      <w:b/>
      <w:bCs/>
      <w:smallCaps/>
      <w:color w:val="0F4761" w:themeColor="accent1" w:themeShade="BF"/>
      <w:spacing w:val="5"/>
    </w:rPr>
  </w:style>
  <w:style w:type="character" w:styleId="Hyperlink">
    <w:name w:val="Hyperlink"/>
    <w:basedOn w:val="DefaultParagraphFont"/>
    <w:uiPriority w:val="99"/>
    <w:unhideWhenUsed/>
    <w:rsid w:val="00CA0B5A"/>
    <w:rPr>
      <w:color w:val="467886" w:themeColor="hyperlink"/>
      <w:u w:val="single"/>
    </w:rPr>
  </w:style>
  <w:style w:type="character" w:styleId="UnresolvedMention">
    <w:name w:val="Unresolved Mention"/>
    <w:basedOn w:val="DefaultParagraphFont"/>
    <w:uiPriority w:val="99"/>
    <w:semiHidden/>
    <w:unhideWhenUsed/>
    <w:rsid w:val="00CA0B5A"/>
    <w:rPr>
      <w:color w:val="605E5C"/>
      <w:shd w:val="clear" w:color="auto" w:fill="E1DFDD"/>
    </w:rPr>
  </w:style>
  <w:style w:type="paragraph" w:styleId="Header">
    <w:name w:val="header"/>
    <w:basedOn w:val="Normal"/>
    <w:link w:val="HeaderChar"/>
    <w:uiPriority w:val="99"/>
    <w:unhideWhenUsed/>
    <w:rsid w:val="00CA0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B5A"/>
  </w:style>
  <w:style w:type="paragraph" w:styleId="Footer">
    <w:name w:val="footer"/>
    <w:basedOn w:val="Normal"/>
    <w:link w:val="FooterChar"/>
    <w:uiPriority w:val="99"/>
    <w:unhideWhenUsed/>
    <w:rsid w:val="00CA0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protected-characteristics" TargetMode="External"/><Relationship Id="rId13" Type="http://schemas.openxmlformats.org/officeDocument/2006/relationships/hyperlink" Target="https://www.england.nhs.uk/integratedcare/what-is-integrated-ca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ingsfund.org.uk/publications/where-are-patients-decision-making" TargetMode="External"/><Relationship Id="rId12" Type="http://schemas.openxmlformats.org/officeDocument/2006/relationships/hyperlink" Target="https://www.legislation.gov.uk/ukpga/2014/23/contents/enacte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www.scie.org.uk/dementia/support" TargetMode="External"/><Relationship Id="rId10" Type="http://schemas.openxmlformats.org/officeDocument/2006/relationships/hyperlink" Target="https://ico.org.uk/for-organisations/uk-gdpr-guidance-and-resourc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alth.org.uk/publications/person-centred-care-made-simple" TargetMode="External"/><Relationship Id="rId14" Type="http://schemas.openxmlformats.org/officeDocument/2006/relationships/hyperlink" Target="https://www.nice.org.uk/guidance/ng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2764</Words>
  <Characters>15761</Characters>
  <Application>Microsoft Office Word</Application>
  <DocSecurity>0</DocSecurity>
  <Lines>131</Lines>
  <Paragraphs>36</Paragraphs>
  <ScaleCrop>false</ScaleCrop>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Leticia Maison</dc:creator>
  <cp:keywords/>
  <dc:description/>
  <cp:lastModifiedBy>Leticia Maison</cp:lastModifiedBy>
  <cp:revision>2</cp:revision>
  <dcterms:created xsi:type="dcterms:W3CDTF">2025-11-15T11:31:00Z</dcterms:created>
  <dcterms:modified xsi:type="dcterms:W3CDTF">2025-11-15T11:31:00Z</dcterms:modified>
</cp:coreProperties>
</file>