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B9289" w14:textId="1B4DBAB2" w:rsidR="007453A3" w:rsidRPr="007453A3" w:rsidRDefault="007453A3" w:rsidP="007453A3">
      <w:pPr>
        <w:jc w:val="center"/>
        <w:rPr>
          <w:rFonts w:ascii="Arial" w:hAnsi="Arial" w:cs="Arial"/>
          <w:b/>
          <w:bCs/>
          <w:sz w:val="36"/>
          <w:szCs w:val="36"/>
          <w:lang w:val="en-US"/>
        </w:rPr>
      </w:pPr>
      <w:r w:rsidRPr="007453A3">
        <w:rPr>
          <w:rFonts w:ascii="Arial" w:hAnsi="Arial" w:cs="Arial"/>
          <w:b/>
          <w:bCs/>
          <w:sz w:val="36"/>
          <w:szCs w:val="36"/>
          <w:lang w:val="en-US"/>
        </w:rPr>
        <w:t>UNIVERSITY OF WALES</w:t>
      </w:r>
    </w:p>
    <w:p w14:paraId="1000016E" w14:textId="68A68E3F" w:rsidR="007453A3" w:rsidRPr="007453A3" w:rsidRDefault="007453A3" w:rsidP="007453A3">
      <w:pPr>
        <w:jc w:val="center"/>
        <w:rPr>
          <w:rFonts w:ascii="Arial" w:hAnsi="Arial" w:cs="Arial"/>
          <w:b/>
          <w:bCs/>
          <w:sz w:val="36"/>
          <w:szCs w:val="36"/>
          <w:lang w:val="en-US"/>
        </w:rPr>
      </w:pPr>
      <w:r w:rsidRPr="007453A3">
        <w:rPr>
          <w:rFonts w:ascii="Arial" w:hAnsi="Arial" w:cs="Arial"/>
          <w:b/>
          <w:bCs/>
          <w:sz w:val="36"/>
          <w:szCs w:val="36"/>
          <w:lang w:val="en-US"/>
        </w:rPr>
        <w:t>Trinity Saint David</w:t>
      </w:r>
    </w:p>
    <w:p w14:paraId="58ABF0D6" w14:textId="57431570" w:rsidR="007453A3" w:rsidRDefault="007453A3" w:rsidP="007453A3">
      <w:pPr>
        <w:jc w:val="center"/>
        <w:rPr>
          <w:rFonts w:ascii="Arial" w:hAnsi="Arial" w:cs="Arial"/>
          <w:b/>
          <w:bCs/>
          <w:sz w:val="32"/>
          <w:szCs w:val="32"/>
          <w:lang w:val="en-US"/>
        </w:rPr>
      </w:pPr>
    </w:p>
    <w:p w14:paraId="439A3F68" w14:textId="7BB6B340" w:rsidR="007453A3" w:rsidRDefault="007453A3" w:rsidP="007453A3">
      <w:pPr>
        <w:jc w:val="center"/>
        <w:rPr>
          <w:rFonts w:ascii="Arial" w:hAnsi="Arial" w:cs="Arial"/>
          <w:b/>
          <w:bCs/>
          <w:sz w:val="32"/>
          <w:szCs w:val="32"/>
          <w:lang w:val="en-US"/>
        </w:rPr>
      </w:pPr>
    </w:p>
    <w:p w14:paraId="2B0794DD" w14:textId="77777777" w:rsidR="007453A3" w:rsidRDefault="007453A3" w:rsidP="007453A3">
      <w:pPr>
        <w:jc w:val="center"/>
        <w:rPr>
          <w:rFonts w:ascii="Arial" w:hAnsi="Arial" w:cs="Arial"/>
          <w:b/>
          <w:bCs/>
          <w:sz w:val="32"/>
          <w:szCs w:val="32"/>
          <w:lang w:val="en-US"/>
        </w:rPr>
      </w:pPr>
    </w:p>
    <w:p w14:paraId="33DD4103" w14:textId="18B8ED57" w:rsidR="007453A3" w:rsidRDefault="007453A3" w:rsidP="007453A3">
      <w:pPr>
        <w:jc w:val="center"/>
        <w:rPr>
          <w:rFonts w:ascii="Arial" w:hAnsi="Arial" w:cs="Arial"/>
          <w:b/>
          <w:bCs/>
          <w:sz w:val="32"/>
          <w:szCs w:val="32"/>
          <w:lang w:val="en-US"/>
        </w:rPr>
      </w:pPr>
    </w:p>
    <w:p w14:paraId="0975EBF4" w14:textId="77777777" w:rsidR="00B20899" w:rsidRDefault="00B20899" w:rsidP="007453A3">
      <w:pPr>
        <w:jc w:val="center"/>
        <w:rPr>
          <w:rFonts w:ascii="Arial" w:hAnsi="Arial" w:cs="Arial"/>
          <w:b/>
          <w:bCs/>
          <w:sz w:val="32"/>
          <w:szCs w:val="32"/>
          <w:lang w:val="en-US"/>
        </w:rPr>
      </w:pPr>
    </w:p>
    <w:p w14:paraId="1DF2EFCC" w14:textId="5DF37760" w:rsidR="00C77D1C" w:rsidRPr="00B20899" w:rsidRDefault="00C77D1C" w:rsidP="007453A3">
      <w:pPr>
        <w:jc w:val="center"/>
        <w:rPr>
          <w:rFonts w:ascii="Arial" w:hAnsi="Arial" w:cs="Arial"/>
          <w:b/>
          <w:bCs/>
          <w:sz w:val="32"/>
          <w:szCs w:val="32"/>
          <w:lang w:val="en-US"/>
        </w:rPr>
      </w:pPr>
      <w:r w:rsidRPr="00B20899">
        <w:rPr>
          <w:rFonts w:ascii="Arial" w:hAnsi="Arial" w:cs="Arial"/>
          <w:b/>
          <w:bCs/>
          <w:sz w:val="32"/>
          <w:szCs w:val="32"/>
          <w:lang w:val="en-US"/>
        </w:rPr>
        <w:t>Community firefighter in East Yorkshire recognised by Queen – BBC News</w:t>
      </w:r>
    </w:p>
    <w:p w14:paraId="2CC41055" w14:textId="44A074F5" w:rsidR="007453A3" w:rsidRDefault="007453A3" w:rsidP="007453A3">
      <w:pPr>
        <w:jc w:val="center"/>
        <w:rPr>
          <w:rFonts w:ascii="Arial" w:hAnsi="Arial" w:cs="Arial"/>
          <w:sz w:val="24"/>
          <w:szCs w:val="24"/>
          <w:lang w:val="en-US"/>
        </w:rPr>
      </w:pPr>
      <w:r>
        <w:rPr>
          <w:rFonts w:ascii="Arial" w:hAnsi="Arial" w:cs="Arial"/>
          <w:sz w:val="24"/>
          <w:szCs w:val="24"/>
          <w:lang w:val="en-US"/>
        </w:rPr>
        <w:t>(essay)</w:t>
      </w:r>
    </w:p>
    <w:p w14:paraId="6B64EA6A" w14:textId="1981C9AA" w:rsidR="007453A3" w:rsidRDefault="007453A3" w:rsidP="007453A3">
      <w:pPr>
        <w:jc w:val="center"/>
        <w:rPr>
          <w:rFonts w:ascii="Arial" w:hAnsi="Arial" w:cs="Arial"/>
          <w:sz w:val="24"/>
          <w:szCs w:val="24"/>
          <w:lang w:val="en-US"/>
        </w:rPr>
      </w:pPr>
    </w:p>
    <w:p w14:paraId="23223AA1" w14:textId="732FEAFB" w:rsidR="007453A3" w:rsidRDefault="007453A3" w:rsidP="007453A3">
      <w:pPr>
        <w:jc w:val="center"/>
        <w:rPr>
          <w:rFonts w:ascii="Arial" w:hAnsi="Arial" w:cs="Arial"/>
          <w:sz w:val="24"/>
          <w:szCs w:val="24"/>
          <w:lang w:val="en-US"/>
        </w:rPr>
      </w:pPr>
    </w:p>
    <w:p w14:paraId="10569DBE" w14:textId="5CE6AA71" w:rsidR="007453A3" w:rsidRDefault="007453A3" w:rsidP="007453A3">
      <w:pPr>
        <w:jc w:val="center"/>
        <w:rPr>
          <w:rFonts w:ascii="Arial" w:hAnsi="Arial" w:cs="Arial"/>
          <w:sz w:val="24"/>
          <w:szCs w:val="24"/>
          <w:lang w:val="en-US"/>
        </w:rPr>
      </w:pPr>
    </w:p>
    <w:p w14:paraId="182587D2" w14:textId="77777777" w:rsidR="007453A3" w:rsidRDefault="007453A3" w:rsidP="007453A3">
      <w:pPr>
        <w:jc w:val="center"/>
        <w:rPr>
          <w:rFonts w:ascii="Arial" w:hAnsi="Arial" w:cs="Arial"/>
          <w:sz w:val="24"/>
          <w:szCs w:val="24"/>
          <w:lang w:val="en-US"/>
        </w:rPr>
      </w:pPr>
    </w:p>
    <w:p w14:paraId="6F632BE6" w14:textId="77777777" w:rsidR="007453A3" w:rsidRDefault="007453A3" w:rsidP="007453A3">
      <w:pPr>
        <w:jc w:val="center"/>
        <w:rPr>
          <w:rFonts w:ascii="Arial" w:hAnsi="Arial" w:cs="Arial"/>
          <w:sz w:val="24"/>
          <w:szCs w:val="24"/>
          <w:lang w:val="en-US"/>
        </w:rPr>
      </w:pPr>
    </w:p>
    <w:p w14:paraId="7D568EE1" w14:textId="7E1F68ED"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Elena Rumenova Sotirova</w:t>
      </w:r>
    </w:p>
    <w:p w14:paraId="16093753" w14:textId="324A9432"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2028225</w:t>
      </w:r>
    </w:p>
    <w:p w14:paraId="72240F6A" w14:textId="254FA022" w:rsidR="007453A3" w:rsidRPr="007453A3" w:rsidRDefault="00C77D1C" w:rsidP="007453A3">
      <w:pPr>
        <w:jc w:val="center"/>
        <w:rPr>
          <w:rFonts w:ascii="Arial" w:hAnsi="Arial" w:cs="Arial"/>
          <w:b/>
          <w:bCs/>
          <w:sz w:val="28"/>
          <w:szCs w:val="28"/>
          <w:lang w:val="en-US"/>
        </w:rPr>
      </w:pPr>
      <w:r>
        <w:rPr>
          <w:rFonts w:ascii="Arial" w:hAnsi="Arial" w:cs="Arial"/>
          <w:b/>
          <w:bCs/>
          <w:sz w:val="28"/>
          <w:szCs w:val="28"/>
          <w:lang w:val="en-US"/>
        </w:rPr>
        <w:t>Community Engagement</w:t>
      </w:r>
      <w:r w:rsidR="007453A3" w:rsidRPr="007453A3">
        <w:rPr>
          <w:rFonts w:ascii="Arial" w:hAnsi="Arial" w:cs="Arial"/>
          <w:b/>
          <w:bCs/>
          <w:sz w:val="28"/>
          <w:szCs w:val="28"/>
          <w:lang w:val="en-US"/>
        </w:rPr>
        <w:t xml:space="preserve"> LCBB400</w:t>
      </w:r>
      <w:r>
        <w:rPr>
          <w:rFonts w:ascii="Arial" w:hAnsi="Arial" w:cs="Arial"/>
          <w:b/>
          <w:bCs/>
          <w:sz w:val="28"/>
          <w:szCs w:val="28"/>
          <w:lang w:val="en-US"/>
        </w:rPr>
        <w:t>2</w:t>
      </w:r>
    </w:p>
    <w:p w14:paraId="6E3C9C2F" w14:textId="2A666A1A" w:rsidR="007453A3" w:rsidRPr="007453A3" w:rsidRDefault="00C77D1C" w:rsidP="007453A3">
      <w:pPr>
        <w:jc w:val="center"/>
        <w:rPr>
          <w:rFonts w:ascii="Arial" w:hAnsi="Arial" w:cs="Arial"/>
          <w:b/>
          <w:bCs/>
          <w:sz w:val="28"/>
          <w:szCs w:val="28"/>
          <w:lang w:val="en-US"/>
        </w:rPr>
      </w:pPr>
      <w:r>
        <w:rPr>
          <w:rFonts w:ascii="Arial" w:hAnsi="Arial" w:cs="Arial"/>
          <w:b/>
          <w:bCs/>
          <w:sz w:val="28"/>
          <w:szCs w:val="28"/>
          <w:lang w:val="en-US"/>
        </w:rPr>
        <w:t>Dr Olu Adegbite</w:t>
      </w:r>
    </w:p>
    <w:p w14:paraId="450B48C2" w14:textId="41760BC7" w:rsidR="007453A3" w:rsidRDefault="00C77D1C" w:rsidP="007453A3">
      <w:pPr>
        <w:jc w:val="center"/>
        <w:rPr>
          <w:rFonts w:ascii="Arial" w:hAnsi="Arial" w:cs="Arial"/>
          <w:b/>
          <w:bCs/>
          <w:sz w:val="28"/>
          <w:szCs w:val="28"/>
          <w:lang w:val="en-US"/>
        </w:rPr>
      </w:pPr>
      <w:r>
        <w:rPr>
          <w:rFonts w:ascii="Arial" w:hAnsi="Arial" w:cs="Arial"/>
          <w:b/>
          <w:bCs/>
          <w:sz w:val="28"/>
          <w:szCs w:val="28"/>
          <w:lang w:val="en-US"/>
        </w:rPr>
        <w:t>18</w:t>
      </w:r>
      <w:r>
        <w:rPr>
          <w:rFonts w:ascii="Arial" w:hAnsi="Arial" w:cs="Arial"/>
          <w:b/>
          <w:bCs/>
          <w:sz w:val="28"/>
          <w:szCs w:val="28"/>
          <w:vertAlign w:val="superscript"/>
          <w:lang w:val="en-US"/>
        </w:rPr>
        <w:t>th</w:t>
      </w:r>
      <w:r w:rsidR="007453A3" w:rsidRPr="007453A3">
        <w:rPr>
          <w:rFonts w:ascii="Arial" w:hAnsi="Arial" w:cs="Arial"/>
          <w:b/>
          <w:bCs/>
          <w:sz w:val="28"/>
          <w:szCs w:val="28"/>
          <w:lang w:val="en-US"/>
        </w:rPr>
        <w:t xml:space="preserve"> October 2021</w:t>
      </w:r>
    </w:p>
    <w:p w14:paraId="6DADF85F" w14:textId="461E39BD" w:rsidR="007453A3" w:rsidRDefault="007453A3" w:rsidP="007453A3">
      <w:pPr>
        <w:jc w:val="center"/>
        <w:rPr>
          <w:rFonts w:ascii="Arial" w:hAnsi="Arial" w:cs="Arial"/>
          <w:b/>
          <w:bCs/>
          <w:sz w:val="28"/>
          <w:szCs w:val="28"/>
          <w:lang w:val="en-US"/>
        </w:rPr>
      </w:pPr>
    </w:p>
    <w:p w14:paraId="1099F0CA" w14:textId="7CB722C9" w:rsidR="007453A3" w:rsidRDefault="007453A3" w:rsidP="007453A3">
      <w:pPr>
        <w:jc w:val="center"/>
        <w:rPr>
          <w:rFonts w:ascii="Arial" w:hAnsi="Arial" w:cs="Arial"/>
          <w:b/>
          <w:bCs/>
          <w:sz w:val="28"/>
          <w:szCs w:val="28"/>
          <w:lang w:val="en-US"/>
        </w:rPr>
      </w:pPr>
    </w:p>
    <w:p w14:paraId="18BE7C12" w14:textId="5EAA8C8A" w:rsidR="007453A3" w:rsidRDefault="007453A3" w:rsidP="007453A3">
      <w:pPr>
        <w:jc w:val="center"/>
        <w:rPr>
          <w:rFonts w:ascii="Arial" w:hAnsi="Arial" w:cs="Arial"/>
          <w:b/>
          <w:bCs/>
          <w:sz w:val="28"/>
          <w:szCs w:val="28"/>
          <w:lang w:val="en-US"/>
        </w:rPr>
      </w:pPr>
    </w:p>
    <w:p w14:paraId="4FDE6758" w14:textId="222F7350" w:rsidR="007453A3" w:rsidRDefault="007453A3" w:rsidP="007453A3">
      <w:pPr>
        <w:jc w:val="center"/>
        <w:rPr>
          <w:rFonts w:ascii="Arial" w:hAnsi="Arial" w:cs="Arial"/>
          <w:b/>
          <w:bCs/>
          <w:sz w:val="28"/>
          <w:szCs w:val="28"/>
          <w:lang w:val="en-US"/>
        </w:rPr>
      </w:pPr>
    </w:p>
    <w:p w14:paraId="11677D76" w14:textId="4A44D096" w:rsidR="007453A3" w:rsidRDefault="007453A3" w:rsidP="007453A3">
      <w:pPr>
        <w:jc w:val="center"/>
        <w:rPr>
          <w:rFonts w:ascii="Arial" w:hAnsi="Arial" w:cs="Arial"/>
          <w:b/>
          <w:bCs/>
          <w:sz w:val="28"/>
          <w:szCs w:val="28"/>
          <w:lang w:val="en-US"/>
        </w:rPr>
      </w:pPr>
    </w:p>
    <w:p w14:paraId="4D02F796" w14:textId="05E12151" w:rsidR="007453A3" w:rsidRDefault="007453A3" w:rsidP="007453A3">
      <w:pPr>
        <w:jc w:val="center"/>
        <w:rPr>
          <w:rFonts w:ascii="Arial" w:hAnsi="Arial" w:cs="Arial"/>
          <w:b/>
          <w:bCs/>
          <w:sz w:val="28"/>
          <w:szCs w:val="28"/>
          <w:lang w:val="en-US"/>
        </w:rPr>
      </w:pPr>
    </w:p>
    <w:p w14:paraId="28C7E284" w14:textId="17499D60" w:rsidR="007453A3" w:rsidRDefault="007453A3" w:rsidP="007453A3">
      <w:pPr>
        <w:jc w:val="center"/>
        <w:rPr>
          <w:rFonts w:ascii="Arial" w:hAnsi="Arial" w:cs="Arial"/>
          <w:b/>
          <w:bCs/>
          <w:sz w:val="28"/>
          <w:szCs w:val="28"/>
          <w:lang w:val="en-US"/>
        </w:rPr>
      </w:pPr>
    </w:p>
    <w:p w14:paraId="7E2720EC" w14:textId="3E26EEA7" w:rsidR="007453A3" w:rsidRDefault="007453A3" w:rsidP="007453A3">
      <w:pPr>
        <w:jc w:val="center"/>
        <w:rPr>
          <w:rFonts w:ascii="Arial" w:hAnsi="Arial" w:cs="Arial"/>
          <w:b/>
          <w:bCs/>
          <w:sz w:val="28"/>
          <w:szCs w:val="28"/>
          <w:lang w:val="en-US"/>
        </w:rPr>
      </w:pPr>
    </w:p>
    <w:p w14:paraId="769E4C50" w14:textId="31E29C7D" w:rsidR="007453A3" w:rsidRDefault="007453A3" w:rsidP="007453A3">
      <w:pPr>
        <w:jc w:val="center"/>
        <w:rPr>
          <w:rFonts w:ascii="Arial" w:hAnsi="Arial" w:cs="Arial"/>
          <w:b/>
          <w:bCs/>
          <w:sz w:val="28"/>
          <w:szCs w:val="28"/>
          <w:lang w:val="en-US"/>
        </w:rPr>
      </w:pPr>
    </w:p>
    <w:p w14:paraId="6EE631AC" w14:textId="77777777" w:rsidR="00D56812" w:rsidRDefault="00D56812" w:rsidP="00D56812">
      <w:pPr>
        <w:spacing w:line="360" w:lineRule="auto"/>
        <w:rPr>
          <w:rFonts w:ascii="Arial" w:hAnsi="Arial" w:cs="Arial"/>
          <w:b/>
          <w:bCs/>
          <w:lang w:val="en-US"/>
        </w:rPr>
      </w:pPr>
    </w:p>
    <w:p w14:paraId="4B4312DD" w14:textId="77777777" w:rsidR="00D56812" w:rsidRDefault="00D56812" w:rsidP="00D56812">
      <w:pPr>
        <w:spacing w:line="360" w:lineRule="auto"/>
        <w:rPr>
          <w:rFonts w:ascii="Arial" w:hAnsi="Arial" w:cs="Arial"/>
          <w:b/>
          <w:bCs/>
          <w:lang w:val="en-US"/>
        </w:rPr>
      </w:pPr>
    </w:p>
    <w:p w14:paraId="1DFEE0F0" w14:textId="77777777" w:rsidR="00D56812" w:rsidRDefault="00D56812" w:rsidP="00D56812">
      <w:pPr>
        <w:spacing w:line="360" w:lineRule="auto"/>
        <w:rPr>
          <w:rFonts w:ascii="Arial" w:hAnsi="Arial" w:cs="Arial"/>
          <w:b/>
          <w:bCs/>
          <w:sz w:val="24"/>
          <w:szCs w:val="24"/>
          <w:lang w:val="en-US"/>
        </w:rPr>
      </w:pPr>
    </w:p>
    <w:p w14:paraId="5D9A31F6" w14:textId="5679E97A" w:rsidR="007453A3" w:rsidRPr="00D56812" w:rsidRDefault="00A12F95" w:rsidP="00D56812">
      <w:pPr>
        <w:spacing w:line="360" w:lineRule="auto"/>
        <w:rPr>
          <w:rFonts w:ascii="Arial" w:hAnsi="Arial" w:cs="Arial"/>
          <w:b/>
          <w:bCs/>
          <w:sz w:val="24"/>
          <w:szCs w:val="24"/>
          <w:lang w:val="en-US"/>
        </w:rPr>
      </w:pPr>
      <w:r w:rsidRPr="00D56812">
        <w:rPr>
          <w:rFonts w:ascii="Arial" w:hAnsi="Arial" w:cs="Arial"/>
          <w:b/>
          <w:bCs/>
          <w:sz w:val="24"/>
          <w:szCs w:val="24"/>
          <w:lang w:val="en-US"/>
        </w:rPr>
        <w:t>Table of Contents:</w:t>
      </w:r>
    </w:p>
    <w:p w14:paraId="65E07A39" w14:textId="5032C456" w:rsidR="00A12F95" w:rsidRDefault="00A12F95" w:rsidP="00D56812">
      <w:pPr>
        <w:spacing w:line="360" w:lineRule="auto"/>
        <w:rPr>
          <w:rFonts w:ascii="Arial" w:hAnsi="Arial" w:cs="Arial"/>
          <w:b/>
          <w:bCs/>
          <w:lang w:val="en-US"/>
        </w:rPr>
      </w:pPr>
      <w:r>
        <w:rPr>
          <w:rFonts w:ascii="Arial" w:hAnsi="Arial" w:cs="Arial"/>
          <w:b/>
          <w:bCs/>
          <w:lang w:val="en-US"/>
        </w:rPr>
        <w:t>Introduction………………………………………………………………………………………...p.3</w:t>
      </w:r>
    </w:p>
    <w:p w14:paraId="46A2E6E4" w14:textId="087853F2" w:rsidR="00932A8A" w:rsidRDefault="005E2B9B" w:rsidP="00D56812">
      <w:pPr>
        <w:spacing w:line="360" w:lineRule="auto"/>
        <w:rPr>
          <w:rFonts w:ascii="Arial" w:hAnsi="Arial" w:cs="Arial"/>
          <w:b/>
          <w:bCs/>
          <w:lang w:val="en-US"/>
        </w:rPr>
      </w:pPr>
      <w:r>
        <w:rPr>
          <w:rFonts w:ascii="Arial" w:hAnsi="Arial" w:cs="Arial"/>
          <w:b/>
          <w:bCs/>
          <w:lang w:val="en-US"/>
        </w:rPr>
        <w:t>Why the community engagement is important</w:t>
      </w:r>
      <w:r w:rsidR="00932A8A">
        <w:rPr>
          <w:rFonts w:ascii="Arial" w:hAnsi="Arial" w:cs="Arial"/>
          <w:b/>
          <w:bCs/>
          <w:lang w:val="en-US"/>
        </w:rPr>
        <w:t>…………………………………………...…p.3</w:t>
      </w:r>
    </w:p>
    <w:p w14:paraId="43FE738E" w14:textId="608A2681" w:rsidR="00932A8A" w:rsidRDefault="005E2B9B" w:rsidP="00D56812">
      <w:pPr>
        <w:spacing w:line="360" w:lineRule="auto"/>
        <w:rPr>
          <w:rFonts w:ascii="Arial" w:hAnsi="Arial" w:cs="Arial"/>
          <w:b/>
          <w:bCs/>
          <w:lang w:val="en-US"/>
        </w:rPr>
      </w:pPr>
      <w:r w:rsidRPr="005E2B9B">
        <w:rPr>
          <w:rFonts w:ascii="Arial" w:hAnsi="Arial" w:cs="Arial"/>
          <w:b/>
          <w:bCs/>
          <w:lang w:val="en-US"/>
        </w:rPr>
        <w:t>Transferable skills</w:t>
      </w:r>
      <w:r w:rsidR="00932A8A">
        <w:rPr>
          <w:rFonts w:ascii="Arial" w:hAnsi="Arial" w:cs="Arial"/>
          <w:b/>
          <w:bCs/>
          <w:lang w:val="en-US"/>
        </w:rPr>
        <w:t>……………</w:t>
      </w:r>
      <w:r>
        <w:rPr>
          <w:rFonts w:ascii="Arial" w:hAnsi="Arial" w:cs="Arial"/>
          <w:b/>
          <w:bCs/>
          <w:lang w:val="en-US"/>
        </w:rPr>
        <w:t>………………..</w:t>
      </w:r>
      <w:r w:rsidR="00932A8A">
        <w:rPr>
          <w:rFonts w:ascii="Arial" w:hAnsi="Arial" w:cs="Arial"/>
          <w:b/>
          <w:bCs/>
          <w:lang w:val="en-US"/>
        </w:rPr>
        <w:t>…………………………………..……………..p.</w:t>
      </w:r>
      <w:r>
        <w:rPr>
          <w:rFonts w:ascii="Arial" w:hAnsi="Arial" w:cs="Arial"/>
          <w:b/>
          <w:bCs/>
          <w:lang w:val="en-US"/>
        </w:rPr>
        <w:t>4</w:t>
      </w:r>
    </w:p>
    <w:p w14:paraId="33B341F8" w14:textId="1F4B1A0A" w:rsidR="00A12F95" w:rsidRDefault="005E2B9B" w:rsidP="00D56812">
      <w:pPr>
        <w:spacing w:line="360" w:lineRule="auto"/>
        <w:rPr>
          <w:rFonts w:ascii="Arial" w:hAnsi="Arial" w:cs="Arial"/>
          <w:b/>
          <w:bCs/>
          <w:lang w:val="en-US"/>
        </w:rPr>
      </w:pPr>
      <w:r>
        <w:rPr>
          <w:rFonts w:ascii="Arial" w:hAnsi="Arial" w:cs="Arial"/>
          <w:b/>
          <w:bCs/>
          <w:lang w:val="en-US"/>
        </w:rPr>
        <w:t>Transferable skills in the Community Firefighting East Yorkshire……………………...p.</w:t>
      </w:r>
      <w:r w:rsidR="00DE2F47">
        <w:rPr>
          <w:rFonts w:ascii="Arial" w:hAnsi="Arial" w:cs="Arial"/>
          <w:b/>
          <w:bCs/>
          <w:lang w:val="en-US"/>
        </w:rPr>
        <w:t>5</w:t>
      </w:r>
    </w:p>
    <w:p w14:paraId="7F2929E1" w14:textId="77EEB292" w:rsidR="005E2B9B" w:rsidRDefault="005E2B9B" w:rsidP="00D56812">
      <w:pPr>
        <w:spacing w:line="360" w:lineRule="auto"/>
        <w:rPr>
          <w:rFonts w:ascii="Arial" w:hAnsi="Arial" w:cs="Arial"/>
          <w:b/>
          <w:bCs/>
          <w:lang w:val="en-US"/>
        </w:rPr>
      </w:pPr>
      <w:r>
        <w:rPr>
          <w:rFonts w:ascii="Arial" w:hAnsi="Arial" w:cs="Arial"/>
          <w:b/>
          <w:bCs/>
          <w:lang w:val="en-US"/>
        </w:rPr>
        <w:t>Suggestions how to develop Tony Clark community……………………………………...p.</w:t>
      </w:r>
      <w:r w:rsidR="00DE2F47">
        <w:rPr>
          <w:rFonts w:ascii="Arial" w:hAnsi="Arial" w:cs="Arial"/>
          <w:b/>
          <w:bCs/>
          <w:lang w:val="en-US"/>
        </w:rPr>
        <w:t>6</w:t>
      </w:r>
    </w:p>
    <w:p w14:paraId="4921336D" w14:textId="533B5B07" w:rsidR="00D56812" w:rsidRDefault="00D56812" w:rsidP="00D56812">
      <w:pPr>
        <w:spacing w:line="360" w:lineRule="auto"/>
        <w:rPr>
          <w:rFonts w:ascii="Arial" w:hAnsi="Arial" w:cs="Arial"/>
          <w:b/>
          <w:bCs/>
          <w:lang w:val="en-US"/>
        </w:rPr>
      </w:pPr>
      <w:r>
        <w:rPr>
          <w:rFonts w:ascii="Arial" w:hAnsi="Arial" w:cs="Arial"/>
          <w:b/>
          <w:bCs/>
          <w:lang w:val="en-US"/>
        </w:rPr>
        <w:t>Conclusion…………………………………………………………………………………………p.</w:t>
      </w:r>
      <w:r w:rsidR="00DE2F47">
        <w:rPr>
          <w:rFonts w:ascii="Arial" w:hAnsi="Arial" w:cs="Arial"/>
          <w:b/>
          <w:bCs/>
          <w:lang w:val="en-US"/>
        </w:rPr>
        <w:t>7</w:t>
      </w:r>
    </w:p>
    <w:p w14:paraId="58B070A3" w14:textId="13EF75EB" w:rsidR="00D56812" w:rsidRDefault="00D56812" w:rsidP="00D56812">
      <w:pPr>
        <w:spacing w:line="360" w:lineRule="auto"/>
        <w:rPr>
          <w:rFonts w:ascii="Arial" w:hAnsi="Arial" w:cs="Arial"/>
          <w:b/>
          <w:bCs/>
          <w:lang w:val="en-US"/>
        </w:rPr>
      </w:pPr>
      <w:r>
        <w:rPr>
          <w:rFonts w:ascii="Arial" w:hAnsi="Arial" w:cs="Arial"/>
          <w:b/>
          <w:bCs/>
          <w:lang w:val="en-US"/>
        </w:rPr>
        <w:t>References………………………………………………………………………………………...p.</w:t>
      </w:r>
      <w:r w:rsidR="00DE2F47">
        <w:rPr>
          <w:rFonts w:ascii="Arial" w:hAnsi="Arial" w:cs="Arial"/>
          <w:b/>
          <w:bCs/>
          <w:lang w:val="en-US"/>
        </w:rPr>
        <w:t>8</w:t>
      </w:r>
    </w:p>
    <w:p w14:paraId="54D995E5" w14:textId="3A584FED" w:rsidR="00A12F95" w:rsidRDefault="00A12F95" w:rsidP="00A12F95">
      <w:pPr>
        <w:rPr>
          <w:rFonts w:ascii="Arial" w:hAnsi="Arial" w:cs="Arial"/>
          <w:b/>
          <w:bCs/>
          <w:lang w:val="en-US"/>
        </w:rPr>
      </w:pPr>
    </w:p>
    <w:p w14:paraId="68FF19DA" w14:textId="1D8FA979" w:rsidR="00A12F95" w:rsidRDefault="00A12F95" w:rsidP="00A12F95">
      <w:pPr>
        <w:rPr>
          <w:rFonts w:ascii="Arial" w:hAnsi="Arial" w:cs="Arial"/>
          <w:b/>
          <w:bCs/>
          <w:lang w:val="en-US"/>
        </w:rPr>
      </w:pPr>
    </w:p>
    <w:p w14:paraId="2B65424D" w14:textId="66AD586A" w:rsidR="00A12F95" w:rsidRDefault="00A12F95" w:rsidP="00A12F95">
      <w:pPr>
        <w:rPr>
          <w:rFonts w:ascii="Arial" w:hAnsi="Arial" w:cs="Arial"/>
          <w:b/>
          <w:bCs/>
          <w:lang w:val="en-US"/>
        </w:rPr>
      </w:pPr>
    </w:p>
    <w:p w14:paraId="2325CF8C" w14:textId="7C97FD0E" w:rsidR="00A12F95" w:rsidRDefault="00A12F95" w:rsidP="00A12F95">
      <w:pPr>
        <w:rPr>
          <w:rFonts w:ascii="Arial" w:hAnsi="Arial" w:cs="Arial"/>
          <w:b/>
          <w:bCs/>
          <w:lang w:val="en-US"/>
        </w:rPr>
      </w:pPr>
    </w:p>
    <w:p w14:paraId="6DD40210" w14:textId="796002F1" w:rsidR="00A12F95" w:rsidRDefault="00A12F95" w:rsidP="00A12F95">
      <w:pPr>
        <w:rPr>
          <w:rFonts w:ascii="Arial" w:hAnsi="Arial" w:cs="Arial"/>
          <w:b/>
          <w:bCs/>
          <w:lang w:val="en-US"/>
        </w:rPr>
      </w:pPr>
    </w:p>
    <w:p w14:paraId="735DBD60" w14:textId="6E370661" w:rsidR="00A12F95" w:rsidRDefault="00A12F95" w:rsidP="00A12F95">
      <w:pPr>
        <w:rPr>
          <w:rFonts w:ascii="Arial" w:hAnsi="Arial" w:cs="Arial"/>
          <w:b/>
          <w:bCs/>
          <w:lang w:val="en-US"/>
        </w:rPr>
      </w:pPr>
    </w:p>
    <w:p w14:paraId="4FFCB6D7" w14:textId="2CFF3CD5" w:rsidR="00A12F95" w:rsidRDefault="00A12F95" w:rsidP="00A12F95">
      <w:pPr>
        <w:rPr>
          <w:rFonts w:ascii="Arial" w:hAnsi="Arial" w:cs="Arial"/>
          <w:b/>
          <w:bCs/>
          <w:lang w:val="en-US"/>
        </w:rPr>
      </w:pPr>
    </w:p>
    <w:p w14:paraId="56CD9257" w14:textId="27740114" w:rsidR="00A12F95" w:rsidRDefault="00A12F95" w:rsidP="00A12F95">
      <w:pPr>
        <w:rPr>
          <w:rFonts w:ascii="Arial" w:hAnsi="Arial" w:cs="Arial"/>
          <w:b/>
          <w:bCs/>
          <w:lang w:val="en-US"/>
        </w:rPr>
      </w:pPr>
    </w:p>
    <w:p w14:paraId="285A1E34" w14:textId="244584BD" w:rsidR="00A12F95" w:rsidRDefault="00A12F95" w:rsidP="00A12F95">
      <w:pPr>
        <w:rPr>
          <w:rFonts w:ascii="Arial" w:hAnsi="Arial" w:cs="Arial"/>
          <w:b/>
          <w:bCs/>
          <w:lang w:val="en-US"/>
        </w:rPr>
      </w:pPr>
    </w:p>
    <w:p w14:paraId="1A0203F4" w14:textId="5A5E7172" w:rsidR="00A12F95" w:rsidRDefault="00A12F95" w:rsidP="00A12F95">
      <w:pPr>
        <w:rPr>
          <w:rFonts w:ascii="Arial" w:hAnsi="Arial" w:cs="Arial"/>
          <w:b/>
          <w:bCs/>
          <w:lang w:val="en-US"/>
        </w:rPr>
      </w:pPr>
    </w:p>
    <w:p w14:paraId="7432F907" w14:textId="628880D8" w:rsidR="00A12F95" w:rsidRDefault="00A12F95" w:rsidP="00A12F95">
      <w:pPr>
        <w:rPr>
          <w:rFonts w:ascii="Arial" w:hAnsi="Arial" w:cs="Arial"/>
          <w:b/>
          <w:bCs/>
          <w:lang w:val="en-US"/>
        </w:rPr>
      </w:pPr>
    </w:p>
    <w:p w14:paraId="29C3CFB0" w14:textId="58035805" w:rsidR="00A12F95" w:rsidRDefault="00A12F95" w:rsidP="00A12F95">
      <w:pPr>
        <w:rPr>
          <w:rFonts w:ascii="Arial" w:hAnsi="Arial" w:cs="Arial"/>
          <w:b/>
          <w:bCs/>
          <w:lang w:val="en-US"/>
        </w:rPr>
      </w:pPr>
    </w:p>
    <w:p w14:paraId="1354A3CB" w14:textId="311C4C68" w:rsidR="00A12F95" w:rsidRDefault="00A12F95" w:rsidP="00A12F95">
      <w:pPr>
        <w:rPr>
          <w:rFonts w:ascii="Arial" w:hAnsi="Arial" w:cs="Arial"/>
          <w:b/>
          <w:bCs/>
          <w:lang w:val="en-US"/>
        </w:rPr>
      </w:pPr>
    </w:p>
    <w:p w14:paraId="25AC0B53" w14:textId="543B24F3" w:rsidR="00A12F95" w:rsidRDefault="00A12F95" w:rsidP="00A12F95">
      <w:pPr>
        <w:rPr>
          <w:rFonts w:ascii="Arial" w:hAnsi="Arial" w:cs="Arial"/>
          <w:b/>
          <w:bCs/>
          <w:lang w:val="en-US"/>
        </w:rPr>
      </w:pPr>
    </w:p>
    <w:p w14:paraId="0CA546B2" w14:textId="56081514" w:rsidR="00A12F95" w:rsidRDefault="00A12F95" w:rsidP="00A12F95">
      <w:pPr>
        <w:rPr>
          <w:rFonts w:ascii="Arial" w:hAnsi="Arial" w:cs="Arial"/>
          <w:b/>
          <w:bCs/>
          <w:lang w:val="en-US"/>
        </w:rPr>
      </w:pPr>
    </w:p>
    <w:p w14:paraId="08845DBF" w14:textId="77777777" w:rsidR="00B20899" w:rsidRDefault="00B20899" w:rsidP="00A12F95">
      <w:pPr>
        <w:rPr>
          <w:rFonts w:ascii="Arial" w:hAnsi="Arial" w:cs="Arial"/>
          <w:b/>
          <w:bCs/>
          <w:lang w:val="en-US"/>
        </w:rPr>
      </w:pPr>
    </w:p>
    <w:p w14:paraId="6CECAC89" w14:textId="4C5C35AF" w:rsidR="00A12F95" w:rsidRDefault="00A12F95" w:rsidP="00A12F95">
      <w:pPr>
        <w:rPr>
          <w:rFonts w:ascii="Arial" w:hAnsi="Arial" w:cs="Arial"/>
          <w:b/>
          <w:bCs/>
          <w:lang w:val="en-US"/>
        </w:rPr>
      </w:pPr>
      <w:r>
        <w:rPr>
          <w:rFonts w:ascii="Arial" w:hAnsi="Arial" w:cs="Arial"/>
          <w:b/>
          <w:bCs/>
          <w:lang w:val="en-US"/>
        </w:rPr>
        <w:lastRenderedPageBreak/>
        <w:t>Introduction</w:t>
      </w:r>
    </w:p>
    <w:p w14:paraId="0FCBB861" w14:textId="55790BD2" w:rsidR="00B20899" w:rsidRDefault="005A49E3" w:rsidP="00B20899">
      <w:pPr>
        <w:spacing w:line="360" w:lineRule="auto"/>
        <w:jc w:val="both"/>
        <w:rPr>
          <w:rFonts w:ascii="Arial" w:hAnsi="Arial" w:cs="Arial"/>
          <w:lang w:val="en-US"/>
        </w:rPr>
      </w:pPr>
      <w:r>
        <w:rPr>
          <w:rFonts w:ascii="Arial" w:hAnsi="Arial" w:cs="Arial"/>
          <w:lang w:val="en-US"/>
        </w:rPr>
        <w:t xml:space="preserve">Community engagement refers to addressing community issues collaboratively by the group of people living in the geographic proximity that affect the well-being of that certain community where everyone who is affected by participating in decision making (Pedersen, 2019). </w:t>
      </w:r>
      <w:r w:rsidR="0056573B">
        <w:rPr>
          <w:rFonts w:ascii="Arial" w:hAnsi="Arial" w:cs="Arial"/>
          <w:lang w:val="en-US"/>
        </w:rPr>
        <w:t>Furthermore, it carries the potential that public engagement may impact decisions affecting the provision of service, future vision, and community sustainability. Mutual decision-making reflect the essence of community engagement. People, government, and organisations work together to develop – and then implement – long-term goals for their community’s future. People, organisations and governments, etc. collaborate to establish – and implement – long-term vision for the future of their communities. The importance of community engagement, transferrable community engagement skills, and the skills that are seen in the case of Community Firefighter in East Yorkshire have been discussed throughout the essay. The ways Mr.Clark’s employer can take their community engagement to the next level has also been discussed through the perspective of the writer view.</w:t>
      </w:r>
    </w:p>
    <w:p w14:paraId="76D56BFD" w14:textId="7FA7E5DD" w:rsidR="001543C0" w:rsidRPr="001543C0" w:rsidRDefault="001543C0" w:rsidP="00B20899">
      <w:pPr>
        <w:spacing w:line="360" w:lineRule="auto"/>
        <w:jc w:val="both"/>
        <w:rPr>
          <w:rFonts w:ascii="Arial" w:hAnsi="Arial" w:cs="Arial"/>
          <w:b/>
          <w:bCs/>
          <w:lang w:val="en-US"/>
        </w:rPr>
      </w:pPr>
      <w:r w:rsidRPr="001543C0">
        <w:rPr>
          <w:rFonts w:ascii="Arial" w:hAnsi="Arial" w:cs="Arial"/>
          <w:b/>
          <w:bCs/>
          <w:lang w:val="en-US"/>
        </w:rPr>
        <w:t>Why community engagement is important?</w:t>
      </w:r>
    </w:p>
    <w:p w14:paraId="48A44C17" w14:textId="327B52D3" w:rsidR="002238F9" w:rsidRDefault="001543C0" w:rsidP="00B20899">
      <w:pPr>
        <w:spacing w:line="360" w:lineRule="auto"/>
        <w:jc w:val="both"/>
        <w:rPr>
          <w:rFonts w:ascii="Arial" w:hAnsi="Arial" w:cs="Arial"/>
          <w:lang w:val="en-US"/>
        </w:rPr>
      </w:pPr>
      <w:r>
        <w:rPr>
          <w:rFonts w:ascii="Arial" w:hAnsi="Arial" w:cs="Arial"/>
          <w:lang w:val="en-US"/>
        </w:rPr>
        <w:t>Community engagement is important and may result in greater outcomes for communities when government organisations and public decision-making bodies seek out and share the goals, concerns, and values of communities. By creating a common platform for individuals to strive towards shared objectives, community engagement empowers and connects people from all walks of life (</w:t>
      </w:r>
      <w:r w:rsidR="00BB0954">
        <w:rPr>
          <w:rFonts w:ascii="Arial" w:hAnsi="Arial" w:cs="Arial"/>
          <w:lang w:val="en-US"/>
        </w:rPr>
        <w:t>Hussey/</w:t>
      </w:r>
      <w:r>
        <w:rPr>
          <w:rFonts w:ascii="Arial" w:hAnsi="Arial" w:cs="Arial"/>
          <w:lang w:val="en-US"/>
        </w:rPr>
        <w:t>Ban</w:t>
      </w:r>
      <w:r w:rsidR="00B20899">
        <w:rPr>
          <w:rFonts w:ascii="Arial" w:hAnsi="Arial" w:cs="Arial"/>
          <w:lang w:val="en-US"/>
        </w:rPr>
        <w:t>g</w:t>
      </w:r>
      <w:r>
        <w:rPr>
          <w:rFonts w:ascii="Arial" w:hAnsi="Arial" w:cs="Arial"/>
          <w:lang w:val="en-US"/>
        </w:rPr>
        <w:t xml:space="preserve"> The Table, 2021). Other additional benefits of community engagement </w:t>
      </w:r>
      <w:r w:rsidR="00B20899">
        <w:rPr>
          <w:rFonts w:ascii="Arial" w:hAnsi="Arial" w:cs="Arial"/>
          <w:lang w:val="en-US"/>
        </w:rPr>
        <w:t>include</w:t>
      </w:r>
      <w:r>
        <w:rPr>
          <w:rFonts w:ascii="Arial" w:hAnsi="Arial" w:cs="Arial"/>
          <w:lang w:val="en-US"/>
        </w:rPr>
        <w:t>:</w:t>
      </w:r>
      <w:r w:rsidR="0056573B">
        <w:rPr>
          <w:rFonts w:ascii="Arial" w:hAnsi="Arial" w:cs="Arial"/>
          <w:lang w:val="en-US"/>
        </w:rPr>
        <w:t xml:space="preserve"> </w:t>
      </w:r>
    </w:p>
    <w:p w14:paraId="3ED0BC5F" w14:textId="4F612C56" w:rsidR="00346A27" w:rsidRDefault="00346A27" w:rsidP="00B20899">
      <w:pPr>
        <w:spacing w:line="360" w:lineRule="auto"/>
        <w:jc w:val="both"/>
        <w:rPr>
          <w:rFonts w:ascii="Arial" w:hAnsi="Arial" w:cs="Arial"/>
          <w:lang w:val="en-US"/>
        </w:rPr>
      </w:pPr>
      <w:r>
        <w:rPr>
          <w:rFonts w:ascii="Arial" w:hAnsi="Arial" w:cs="Arial"/>
          <w:lang w:val="en-US"/>
        </w:rPr>
        <w:t xml:space="preserve">- Incorporating local expertise from a wide range of individual results in solutions that work because they are practical, efficient, and suited to the needs of a particular community. The solutions that </w:t>
      </w:r>
      <w:r w:rsidR="004A702D">
        <w:rPr>
          <w:rFonts w:ascii="Arial" w:hAnsi="Arial" w:cs="Arial"/>
          <w:lang w:val="en-US"/>
        </w:rPr>
        <w:t>come from the ideas of a group of individuals have greater chances to be succeeded.</w:t>
      </w:r>
    </w:p>
    <w:p w14:paraId="5DEECCA3" w14:textId="5BA78D03" w:rsidR="004A702D" w:rsidRDefault="004A702D" w:rsidP="00B20899">
      <w:pPr>
        <w:spacing w:line="360" w:lineRule="auto"/>
        <w:jc w:val="both"/>
        <w:rPr>
          <w:rFonts w:ascii="Arial" w:hAnsi="Arial" w:cs="Arial"/>
          <w:lang w:val="en-US"/>
        </w:rPr>
      </w:pPr>
      <w:r>
        <w:rPr>
          <w:rFonts w:ascii="Arial" w:hAnsi="Arial" w:cs="Arial"/>
          <w:lang w:val="en-US"/>
        </w:rPr>
        <w:t xml:space="preserve">- Locals may make a significant contribution to participation and have the power to shape such activities when understood via the ideals of access and inclusion where community members are updated and educated on the problems at hand. People’s well-being require them to take an active role in all parts of their lives, which builds on the concepts of empowerment and participation. When </w:t>
      </w:r>
      <w:r w:rsidR="00202E5C">
        <w:rPr>
          <w:rFonts w:ascii="Arial" w:hAnsi="Arial" w:cs="Arial"/>
          <w:lang w:val="en-US"/>
        </w:rPr>
        <w:t>people engage in their communities, they have access to meaningful social settings and activities, feel capable of making a significant contribution to those activities, and acquire functional abilities that allow them to take part fully in all of them (</w:t>
      </w:r>
      <w:r w:rsidR="00154E67">
        <w:rPr>
          <w:rFonts w:ascii="Arial" w:hAnsi="Arial" w:cs="Arial"/>
          <w:lang w:val="en-US"/>
        </w:rPr>
        <w:t>Hussey/</w:t>
      </w:r>
      <w:r w:rsidR="00202E5C">
        <w:rPr>
          <w:rFonts w:ascii="Arial" w:hAnsi="Arial" w:cs="Arial"/>
          <w:lang w:val="en-US"/>
        </w:rPr>
        <w:t>Bang The Table, 2021).</w:t>
      </w:r>
    </w:p>
    <w:p w14:paraId="172C0976" w14:textId="14A3982F" w:rsidR="00202E5C" w:rsidRDefault="00202E5C" w:rsidP="00B20899">
      <w:pPr>
        <w:spacing w:line="360" w:lineRule="auto"/>
        <w:jc w:val="both"/>
        <w:rPr>
          <w:rFonts w:ascii="Arial" w:hAnsi="Arial" w:cs="Arial"/>
          <w:lang w:val="en-US"/>
        </w:rPr>
      </w:pPr>
      <w:r>
        <w:rPr>
          <w:rFonts w:ascii="Arial" w:hAnsi="Arial" w:cs="Arial"/>
          <w:lang w:val="en-US"/>
        </w:rPr>
        <w:lastRenderedPageBreak/>
        <w:t>- Getting citizens involved in the decision-making process helps authorities become more efficient, legitimate, and transparent. Participation allows policymakers to make better judgments by interacting with and thoroughly mapping out local communities ‘needs, opinions, and</w:t>
      </w:r>
      <w:r w:rsidR="00B20899">
        <w:rPr>
          <w:rFonts w:ascii="Arial" w:hAnsi="Arial" w:cs="Arial"/>
          <w:lang w:val="en-US"/>
        </w:rPr>
        <w:t xml:space="preserve"> </w:t>
      </w:r>
      <w:r w:rsidR="0055589F">
        <w:rPr>
          <w:rFonts w:ascii="Arial" w:hAnsi="Arial" w:cs="Arial"/>
          <w:lang w:val="en-US"/>
        </w:rPr>
        <w:t>ideas on important topics. Sustainable decisions are promoted by recognizing and expressing the needs and interests of all participants, including decision-makers, in the process (Forde and Lynch,20</w:t>
      </w:r>
      <w:r w:rsidR="00B672FC">
        <w:rPr>
          <w:rFonts w:ascii="Arial" w:hAnsi="Arial" w:cs="Arial"/>
          <w:lang w:val="en-US"/>
        </w:rPr>
        <w:t>15</w:t>
      </w:r>
      <w:r w:rsidR="0055589F">
        <w:rPr>
          <w:rFonts w:ascii="Arial" w:hAnsi="Arial" w:cs="Arial"/>
          <w:lang w:val="en-US"/>
        </w:rPr>
        <w:t>).</w:t>
      </w:r>
    </w:p>
    <w:p w14:paraId="2E0AB5C2" w14:textId="7C96EA4F" w:rsidR="0055589F" w:rsidRDefault="0055589F" w:rsidP="00B20899">
      <w:pPr>
        <w:spacing w:line="360" w:lineRule="auto"/>
        <w:jc w:val="both"/>
        <w:rPr>
          <w:rFonts w:ascii="Arial" w:hAnsi="Arial" w:cs="Arial"/>
          <w:lang w:val="en-US"/>
        </w:rPr>
      </w:pPr>
      <w:r>
        <w:rPr>
          <w:rFonts w:ascii="Arial" w:hAnsi="Arial" w:cs="Arial"/>
          <w:lang w:val="en-US"/>
        </w:rPr>
        <w:t xml:space="preserve">- </w:t>
      </w:r>
      <w:r w:rsidR="00017FEE">
        <w:rPr>
          <w:rFonts w:ascii="Arial" w:hAnsi="Arial" w:cs="Arial"/>
          <w:lang w:val="en-US"/>
        </w:rPr>
        <w:t xml:space="preserve"> With an emphasis on cooperation and the promise of influence over decision-making, the critical role of community involvement in driving social transformation is evident. It encourages activism that not only raises awareness but also ensure that passionate, locally educated voices are heard (Esmaeilpoorarabi, Yigitcanlar, Kamruzzaman and Guaralda, 2020).</w:t>
      </w:r>
    </w:p>
    <w:p w14:paraId="44BEBECA" w14:textId="6E1810BD" w:rsidR="00B20899" w:rsidRDefault="00017FEE" w:rsidP="00B20899">
      <w:pPr>
        <w:spacing w:line="360" w:lineRule="auto"/>
        <w:jc w:val="both"/>
        <w:rPr>
          <w:rFonts w:ascii="Arial" w:hAnsi="Arial" w:cs="Arial"/>
          <w:lang w:val="en-US"/>
        </w:rPr>
      </w:pPr>
      <w:r>
        <w:rPr>
          <w:rFonts w:ascii="Arial" w:hAnsi="Arial" w:cs="Arial"/>
          <w:lang w:val="en-US"/>
        </w:rPr>
        <w:t xml:space="preserve">- When governments go from top-down to more horizontally organised, there is a corresponding loss of trust in government and in information on the public </w:t>
      </w:r>
      <w:r w:rsidR="00954BFC">
        <w:rPr>
          <w:rFonts w:ascii="Arial" w:hAnsi="Arial" w:cs="Arial"/>
          <w:lang w:val="en-US"/>
        </w:rPr>
        <w:t>policy provided through traditional and social news sources.</w:t>
      </w:r>
      <w:r w:rsidR="00CF305C">
        <w:rPr>
          <w:rFonts w:ascii="Arial" w:hAnsi="Arial" w:cs="Arial"/>
          <w:lang w:val="en-US"/>
        </w:rPr>
        <w:t xml:space="preserve"> This fosters the democratic notion of community engagement that people should have a say in choices that affect their day-to-day lives, bringing together all stakeholders in public policy issues, including local government and organisations, companies, citizens, and communities.</w:t>
      </w:r>
    </w:p>
    <w:p w14:paraId="54F65A19" w14:textId="6761E4F2" w:rsidR="00CF305C" w:rsidRPr="009C5CA6" w:rsidRDefault="00CF305C" w:rsidP="00DE2F47">
      <w:pPr>
        <w:spacing w:line="360" w:lineRule="auto"/>
        <w:jc w:val="both"/>
        <w:rPr>
          <w:rFonts w:ascii="Arial" w:hAnsi="Arial" w:cs="Arial"/>
          <w:b/>
          <w:bCs/>
          <w:lang w:val="en-US"/>
        </w:rPr>
      </w:pPr>
      <w:r w:rsidRPr="009C5CA6">
        <w:rPr>
          <w:rFonts w:ascii="Arial" w:hAnsi="Arial" w:cs="Arial"/>
          <w:b/>
          <w:bCs/>
          <w:lang w:val="en-US"/>
        </w:rPr>
        <w:t>Transferable skills</w:t>
      </w:r>
    </w:p>
    <w:p w14:paraId="3198F99F" w14:textId="560C5A4B" w:rsidR="00CF305C" w:rsidRDefault="00893003" w:rsidP="00DE2F47">
      <w:pPr>
        <w:spacing w:line="360" w:lineRule="auto"/>
        <w:jc w:val="both"/>
        <w:rPr>
          <w:rFonts w:ascii="Arial" w:hAnsi="Arial" w:cs="Arial"/>
          <w:lang w:val="en-US"/>
        </w:rPr>
      </w:pPr>
      <w:r>
        <w:rPr>
          <w:rFonts w:ascii="Arial" w:hAnsi="Arial" w:cs="Arial"/>
          <w:lang w:val="en-US"/>
        </w:rPr>
        <w:t xml:space="preserve">Throughout the course of </w:t>
      </w:r>
      <w:r w:rsidR="00B672FC">
        <w:rPr>
          <w:rFonts w:ascii="Arial" w:hAnsi="Arial" w:cs="Arial"/>
          <w:lang w:val="en-US"/>
        </w:rPr>
        <w:t>our</w:t>
      </w:r>
      <w:r>
        <w:rPr>
          <w:rFonts w:ascii="Arial" w:hAnsi="Arial" w:cs="Arial"/>
          <w:lang w:val="en-US"/>
        </w:rPr>
        <w:t xml:space="preserve"> professional and personal life, someone has acquired habits, talents, and skills that have shaped him into the employee </w:t>
      </w:r>
      <w:r w:rsidR="00B672FC">
        <w:rPr>
          <w:rFonts w:ascii="Arial" w:hAnsi="Arial" w:cs="Arial"/>
          <w:lang w:val="en-US"/>
        </w:rPr>
        <w:t>and</w:t>
      </w:r>
      <w:r>
        <w:rPr>
          <w:rFonts w:ascii="Arial" w:hAnsi="Arial" w:cs="Arial"/>
          <w:lang w:val="en-US"/>
        </w:rPr>
        <w:t xml:space="preserve"> now is called transferable skills. This is a collection of skills that are not exclusive to a specialty, industry, or position; they are generic skills that may be shared throughout jobs, departments, and industries. Things that a person learns throughout his life are considered transferable talents. People can acquire these transferable skills while attending social events, playing sports, attending classes, and doing jobs. The advantage of these kills is that people already have them through social experiences (Milos, 2019). The reasons why transferable skills hold importance in community engagement is discussed below:</w:t>
      </w:r>
    </w:p>
    <w:p w14:paraId="778229E9" w14:textId="6FFC084D" w:rsidR="00893003" w:rsidRDefault="00893003" w:rsidP="00DE2F47">
      <w:pPr>
        <w:spacing w:line="360" w:lineRule="auto"/>
        <w:jc w:val="both"/>
        <w:rPr>
          <w:rFonts w:ascii="Arial" w:hAnsi="Arial" w:cs="Arial"/>
          <w:lang w:val="en-US"/>
        </w:rPr>
      </w:pPr>
      <w:r>
        <w:rPr>
          <w:rFonts w:ascii="Arial" w:hAnsi="Arial" w:cs="Arial"/>
          <w:lang w:val="en-US"/>
        </w:rPr>
        <w:t xml:space="preserve">- Transferable skills make people adaptable and versatile. It helps people become efficient in doing </w:t>
      </w:r>
      <w:r w:rsidR="00E21838">
        <w:rPr>
          <w:rFonts w:ascii="Arial" w:hAnsi="Arial" w:cs="Arial"/>
          <w:lang w:val="en-US"/>
        </w:rPr>
        <w:t>different roles and hence while doing a community engagement job, people with versatile skills are preferred.</w:t>
      </w:r>
    </w:p>
    <w:p w14:paraId="32D75B8C" w14:textId="41515C01" w:rsidR="00E21838" w:rsidRDefault="00E21838" w:rsidP="00DE2F47">
      <w:pPr>
        <w:spacing w:line="360" w:lineRule="auto"/>
        <w:jc w:val="both"/>
        <w:rPr>
          <w:rFonts w:ascii="Arial" w:hAnsi="Arial" w:cs="Arial"/>
          <w:lang w:val="en-US"/>
        </w:rPr>
      </w:pPr>
      <w:r>
        <w:rPr>
          <w:rFonts w:ascii="Arial" w:hAnsi="Arial" w:cs="Arial"/>
          <w:lang w:val="en-US"/>
        </w:rPr>
        <w:t xml:space="preserve"> - Another reason why transferable skill is important in community engagement because people already possess them which they achieve through doing different jobs throughout their lifetime. So it only requires them to recognize those skills and use them while working with other communities (Kennedy and Loeb, </w:t>
      </w:r>
      <w:r w:rsidR="00B672FC">
        <w:rPr>
          <w:rFonts w:ascii="Arial" w:hAnsi="Arial" w:cs="Arial"/>
          <w:lang w:val="en-US"/>
        </w:rPr>
        <w:t>1998</w:t>
      </w:r>
      <w:r>
        <w:rPr>
          <w:rFonts w:ascii="Arial" w:hAnsi="Arial" w:cs="Arial"/>
          <w:lang w:val="en-US"/>
        </w:rPr>
        <w:t>).</w:t>
      </w:r>
    </w:p>
    <w:p w14:paraId="431BA3D8" w14:textId="6AB211AB" w:rsidR="00E21838" w:rsidRDefault="000D0D01" w:rsidP="00DE2F47">
      <w:pPr>
        <w:spacing w:line="360" w:lineRule="auto"/>
        <w:jc w:val="both"/>
        <w:rPr>
          <w:rFonts w:ascii="Arial" w:hAnsi="Arial" w:cs="Arial"/>
          <w:lang w:val="en-US"/>
        </w:rPr>
      </w:pPr>
      <w:r>
        <w:rPr>
          <w:rFonts w:ascii="Arial" w:hAnsi="Arial" w:cs="Arial"/>
          <w:lang w:val="en-US"/>
        </w:rPr>
        <w:lastRenderedPageBreak/>
        <w:t xml:space="preserve">- </w:t>
      </w:r>
      <w:r w:rsidR="00E21838">
        <w:rPr>
          <w:rFonts w:ascii="Arial" w:hAnsi="Arial" w:cs="Arial"/>
          <w:lang w:val="en-US"/>
        </w:rPr>
        <w:t xml:space="preserve">Transferable skills are portable, which means they may be carried with them when they change positions. With each step forward, their present talents will get better and they will learn new ones as well. Nobody can take away people’s transferable skills since they are continuously acquiring new ones. Because of this, they may take their abilities with them from one employment to the next (Kennedy and Loeb, </w:t>
      </w:r>
      <w:r w:rsidR="00B672FC">
        <w:rPr>
          <w:rFonts w:ascii="Arial" w:hAnsi="Arial" w:cs="Arial"/>
          <w:lang w:val="en-US"/>
        </w:rPr>
        <w:t>1998</w:t>
      </w:r>
      <w:r w:rsidR="00E21838">
        <w:rPr>
          <w:rFonts w:ascii="Arial" w:hAnsi="Arial" w:cs="Arial"/>
          <w:lang w:val="en-US"/>
        </w:rPr>
        <w:t>).</w:t>
      </w:r>
    </w:p>
    <w:p w14:paraId="20BEDA2F" w14:textId="0A321C9D" w:rsidR="000D0D01" w:rsidRDefault="000D0D01" w:rsidP="00DE2F47">
      <w:pPr>
        <w:spacing w:line="360" w:lineRule="auto"/>
        <w:jc w:val="both"/>
        <w:rPr>
          <w:rFonts w:ascii="Arial" w:hAnsi="Arial" w:cs="Arial"/>
          <w:lang w:val="en-US"/>
        </w:rPr>
      </w:pPr>
      <w:r>
        <w:rPr>
          <w:rFonts w:ascii="Arial" w:hAnsi="Arial" w:cs="Arial"/>
          <w:lang w:val="en-US"/>
        </w:rPr>
        <w:t xml:space="preserve">- Participatory assessment is a prerequisite for effective community engagement. An important factor in determining whether or not community involvement is succeeding is the ability to distinguish between the methods and the ends. Having transferable skills helps facilitators focus on the goal-setting process rather than just the method-setting process (Kennedy and Loeb, </w:t>
      </w:r>
      <w:r w:rsidR="00B672FC">
        <w:rPr>
          <w:rFonts w:ascii="Arial" w:hAnsi="Arial" w:cs="Arial"/>
          <w:lang w:val="en-US"/>
        </w:rPr>
        <w:t>1998</w:t>
      </w:r>
      <w:r>
        <w:rPr>
          <w:rFonts w:ascii="Arial" w:hAnsi="Arial" w:cs="Arial"/>
          <w:lang w:val="en-US"/>
        </w:rPr>
        <w:t>).</w:t>
      </w:r>
    </w:p>
    <w:p w14:paraId="3A403EDE" w14:textId="3757F84F" w:rsidR="000D0D01" w:rsidRDefault="000D0D01" w:rsidP="00DE2F47">
      <w:pPr>
        <w:spacing w:line="360" w:lineRule="auto"/>
        <w:jc w:val="both"/>
        <w:rPr>
          <w:rFonts w:ascii="Arial" w:hAnsi="Arial" w:cs="Arial"/>
          <w:lang w:val="en-US"/>
        </w:rPr>
      </w:pPr>
      <w:r>
        <w:rPr>
          <w:rFonts w:ascii="Arial" w:hAnsi="Arial" w:cs="Arial"/>
          <w:lang w:val="en-US"/>
        </w:rPr>
        <w:t xml:space="preserve">- </w:t>
      </w:r>
      <w:r w:rsidR="00125426">
        <w:rPr>
          <w:rFonts w:ascii="Arial" w:hAnsi="Arial" w:cs="Arial"/>
          <w:lang w:val="en-US"/>
        </w:rPr>
        <w:t>People who have transferable skills they are more competent to lead, manage and control the situation when they work with the community that involves people from different background, age, race, and religion.</w:t>
      </w:r>
    </w:p>
    <w:p w14:paraId="44DDC192" w14:textId="1ADC69C2" w:rsidR="00125426" w:rsidRDefault="00125426" w:rsidP="00DE2F47">
      <w:pPr>
        <w:spacing w:line="360" w:lineRule="auto"/>
        <w:jc w:val="both"/>
        <w:rPr>
          <w:rFonts w:ascii="Arial" w:hAnsi="Arial" w:cs="Arial"/>
          <w:lang w:val="en-US"/>
        </w:rPr>
      </w:pPr>
      <w:r w:rsidRPr="00BB0954">
        <w:rPr>
          <w:rFonts w:ascii="Arial" w:hAnsi="Arial" w:cs="Arial"/>
          <w:lang w:val="en-US"/>
        </w:rPr>
        <w:t>- People with transferable skills contribute more to community decision-making as they already have the critical skills to address problems. They also perform better jobs than others and develop a better understanding of the community</w:t>
      </w:r>
      <w:r w:rsidR="00BB0954" w:rsidRPr="00BB0954">
        <w:rPr>
          <w:rFonts w:ascii="Arial" w:hAnsi="Arial" w:cs="Arial"/>
          <w:lang w:val="en-US"/>
        </w:rPr>
        <w:t xml:space="preserve"> </w:t>
      </w:r>
      <w:r w:rsidRPr="00BB0954">
        <w:rPr>
          <w:rFonts w:ascii="Arial" w:hAnsi="Arial" w:cs="Arial"/>
          <w:lang w:val="en-US"/>
        </w:rPr>
        <w:t>(Assiter, 2017).</w:t>
      </w:r>
    </w:p>
    <w:p w14:paraId="07870980" w14:textId="5A585BAF" w:rsidR="00125426" w:rsidRPr="00523CFF" w:rsidRDefault="00125426" w:rsidP="00DE2F47">
      <w:pPr>
        <w:spacing w:line="360" w:lineRule="auto"/>
        <w:jc w:val="both"/>
        <w:rPr>
          <w:rFonts w:ascii="Arial" w:hAnsi="Arial" w:cs="Arial"/>
          <w:b/>
          <w:bCs/>
          <w:lang w:val="en-US"/>
        </w:rPr>
      </w:pPr>
      <w:r w:rsidRPr="00523CFF">
        <w:rPr>
          <w:rFonts w:ascii="Arial" w:hAnsi="Arial" w:cs="Arial"/>
          <w:b/>
          <w:bCs/>
          <w:lang w:val="en-US"/>
        </w:rPr>
        <w:t>Transferable skills in the Community Firefighting East Yorks</w:t>
      </w:r>
      <w:r w:rsidR="00523CFF" w:rsidRPr="00523CFF">
        <w:rPr>
          <w:rFonts w:ascii="Arial" w:hAnsi="Arial" w:cs="Arial"/>
          <w:b/>
          <w:bCs/>
          <w:lang w:val="en-US"/>
        </w:rPr>
        <w:t>hire</w:t>
      </w:r>
    </w:p>
    <w:p w14:paraId="2FAC5007" w14:textId="4D208C3B" w:rsidR="00125426" w:rsidRDefault="00125426" w:rsidP="00DE2F47">
      <w:pPr>
        <w:spacing w:line="360" w:lineRule="auto"/>
        <w:jc w:val="both"/>
        <w:rPr>
          <w:rFonts w:ascii="Arial" w:hAnsi="Arial" w:cs="Arial"/>
          <w:lang w:val="en-US"/>
        </w:rPr>
      </w:pPr>
      <w:r>
        <w:rPr>
          <w:rFonts w:ascii="Arial" w:hAnsi="Arial" w:cs="Arial"/>
          <w:lang w:val="en-US"/>
        </w:rPr>
        <w:t>When working with a huge organisation or a varied group of people, such as local community organisations or corporate decision-makers, having any of these transferable skills comes in handy. In this section, transferable skills have been evident in the case of the Community Firefighting Scheme in East Yorkshire which was set up by Tony Clark along with nine others workers working at the same factory at Howdens Joinery.</w:t>
      </w:r>
      <w:r w:rsidR="00523CFF">
        <w:rPr>
          <w:rFonts w:ascii="Arial" w:hAnsi="Arial" w:cs="Arial"/>
          <w:lang w:val="en-US"/>
        </w:rPr>
        <w:t xml:space="preserve"> Transferable skills from the case are as follows:</w:t>
      </w:r>
    </w:p>
    <w:p w14:paraId="74B085A1" w14:textId="0ABD8233" w:rsidR="00CA76B8" w:rsidRDefault="00CA76B8" w:rsidP="00DE2F47">
      <w:pPr>
        <w:spacing w:line="360" w:lineRule="auto"/>
        <w:jc w:val="both"/>
        <w:rPr>
          <w:rFonts w:ascii="Arial" w:hAnsi="Arial" w:cs="Arial"/>
          <w:lang w:val="en-US"/>
        </w:rPr>
      </w:pPr>
      <w:r>
        <w:rPr>
          <w:rFonts w:ascii="Arial" w:hAnsi="Arial" w:cs="Arial"/>
          <w:lang w:val="en-US"/>
        </w:rPr>
        <w:t xml:space="preserve">- </w:t>
      </w:r>
      <w:r w:rsidR="00814147">
        <w:rPr>
          <w:rFonts w:ascii="Arial" w:hAnsi="Arial" w:cs="Arial"/>
          <w:lang w:val="en-US"/>
        </w:rPr>
        <w:t xml:space="preserve">Adaptability and resilience: When a blaze broke out at Howdens joinery, Tony Clark showed adaptability and resilience skills (Watson and Burr, 2018). It is one of the transferable skills which helped him set up a community firefighting scheme to respond to the </w:t>
      </w:r>
      <w:r w:rsidR="005013B1">
        <w:rPr>
          <w:rFonts w:ascii="Arial" w:hAnsi="Arial" w:cs="Arial"/>
          <w:lang w:val="en-US"/>
        </w:rPr>
        <w:t>situation and run the scheme successfully for almost ten years. It is adaptability and resilience skills that helped him respond and bounce back from the situation. Tony Clark and his employers were able to keep their community firefighting scheme in the face of a tough scenario at the time, despite the fact that the future was unknown.</w:t>
      </w:r>
    </w:p>
    <w:p w14:paraId="2C65C02A" w14:textId="0E0BC56E" w:rsidR="005013B1" w:rsidRDefault="005013B1" w:rsidP="00DE2F47">
      <w:pPr>
        <w:spacing w:line="360" w:lineRule="auto"/>
        <w:jc w:val="both"/>
        <w:rPr>
          <w:rFonts w:ascii="Arial" w:hAnsi="Arial" w:cs="Arial"/>
          <w:lang w:val="en-US"/>
        </w:rPr>
      </w:pPr>
      <w:r>
        <w:rPr>
          <w:rFonts w:ascii="Arial" w:hAnsi="Arial" w:cs="Arial"/>
          <w:lang w:val="en-US"/>
        </w:rPr>
        <w:t xml:space="preserve">- Critical thinking: Another transferable skill is having the ability to use critical thinking in the job that entails researching a topic or problem from all plausible angels in order to arrive at the best possible choice. That is what Tony Clark exactly did at Howdens Joinery and took that </w:t>
      </w:r>
      <w:r>
        <w:rPr>
          <w:rFonts w:ascii="Arial" w:hAnsi="Arial" w:cs="Arial"/>
          <w:lang w:val="en-US"/>
        </w:rPr>
        <w:lastRenderedPageBreak/>
        <w:t xml:space="preserve">calculated risk to start the firefighting scheme to respond to fire incidents inside the factory and the local community (Faber, Grote and </w:t>
      </w:r>
      <w:r w:rsidR="00EF4EC8">
        <w:rPr>
          <w:rFonts w:ascii="Arial" w:hAnsi="Arial" w:cs="Arial"/>
          <w:lang w:val="en-US"/>
        </w:rPr>
        <w:t>Seland, 2021).</w:t>
      </w:r>
    </w:p>
    <w:p w14:paraId="74A1B798" w14:textId="657C945F" w:rsidR="00EF4EC8" w:rsidRDefault="00196A8A" w:rsidP="00DE2F47">
      <w:pPr>
        <w:spacing w:line="360" w:lineRule="auto"/>
        <w:jc w:val="both"/>
        <w:rPr>
          <w:rFonts w:ascii="Arial" w:hAnsi="Arial" w:cs="Arial"/>
          <w:lang w:val="en-US"/>
        </w:rPr>
      </w:pPr>
      <w:r>
        <w:rPr>
          <w:rFonts w:ascii="Arial" w:hAnsi="Arial" w:cs="Arial"/>
          <w:lang w:val="en-US"/>
        </w:rPr>
        <w:t>- Innovative and initiative: Being innovative and productive pays dividends in the long run, therefore having this as a transferable skill is a good idea for employees of all ranks. Tony Clark and his employers showed this skill which inspire them to initiate the community firefighting scheme in East Yorkshire  and resulted in responding to more than 2500 calls within ten years period.</w:t>
      </w:r>
    </w:p>
    <w:p w14:paraId="64EACC27" w14:textId="774E167D" w:rsidR="00523CFF" w:rsidRDefault="00196A8A" w:rsidP="00DE2F47">
      <w:pPr>
        <w:spacing w:line="360" w:lineRule="auto"/>
        <w:jc w:val="both"/>
        <w:rPr>
          <w:rFonts w:ascii="Arial" w:hAnsi="Arial" w:cs="Arial"/>
          <w:lang w:val="en-US"/>
        </w:rPr>
      </w:pPr>
      <w:r>
        <w:rPr>
          <w:rFonts w:ascii="Arial" w:hAnsi="Arial" w:cs="Arial"/>
          <w:lang w:val="en-US"/>
        </w:rPr>
        <w:t>- Leadership: It was Tony Clark’s ability to lead which is another important transferable skill that allowed him to take command of difficult circumstances, clearly communicate his vision and direction to others, and always had an eye on the big picture which is the result of the community scheme which earned him and his team recognition from Queen (Faber, Grote and Seland, 2021).</w:t>
      </w:r>
    </w:p>
    <w:p w14:paraId="09C1AAEE" w14:textId="7145E5C0" w:rsidR="00F10DEF" w:rsidRDefault="00F10DEF" w:rsidP="00DE2F47">
      <w:pPr>
        <w:spacing w:line="360" w:lineRule="auto"/>
        <w:jc w:val="both"/>
        <w:rPr>
          <w:rFonts w:ascii="Arial" w:hAnsi="Arial" w:cs="Arial"/>
          <w:lang w:val="en-US"/>
        </w:rPr>
      </w:pPr>
      <w:r>
        <w:rPr>
          <w:rFonts w:ascii="Arial" w:hAnsi="Arial" w:cs="Arial"/>
          <w:lang w:val="en-US"/>
        </w:rPr>
        <w:t xml:space="preserve">- Team work and management: As a result of effective teamwork, everyone takes responsibility for their own work and shares credit for others ‘accomplishments. It also requires being open to others’ ideas and suggestions as well as building relationships with colleagues across the company to avoid repeating mistakes and other issues (Watson and Burr, 2018). This is evident when Tony shared his recognition with his colleagues and this teamwork and appreciation helped this community firefighting scheme operate successfully for so long.  </w:t>
      </w:r>
    </w:p>
    <w:p w14:paraId="21B8BA08" w14:textId="4ADE83F4" w:rsidR="00DE2F47" w:rsidRDefault="00F10DEF" w:rsidP="00DE2F47">
      <w:pPr>
        <w:spacing w:line="360" w:lineRule="auto"/>
        <w:jc w:val="both"/>
        <w:rPr>
          <w:rFonts w:ascii="Arial" w:hAnsi="Arial" w:cs="Arial"/>
          <w:lang w:val="en-US"/>
        </w:rPr>
      </w:pPr>
      <w:r>
        <w:rPr>
          <w:rFonts w:ascii="Arial" w:hAnsi="Arial" w:cs="Arial"/>
          <w:lang w:val="en-US"/>
        </w:rPr>
        <w:t xml:space="preserve">- Cooperating skills: </w:t>
      </w:r>
      <w:r w:rsidR="00E43825">
        <w:rPr>
          <w:rFonts w:ascii="Arial" w:hAnsi="Arial" w:cs="Arial"/>
          <w:lang w:val="en-US"/>
        </w:rPr>
        <w:t>On-call community firefighting scheme in East Yorkshire is now working with other local fire stations and medical emergency teams during pandemics. Cooperating skill is another transferable skill evident in the case which enabled Tony and his team to collaborate with local fire stations and medical emergency teams which help them respond to community issues together (Faber, Grote and Seland, 2021).</w:t>
      </w:r>
    </w:p>
    <w:p w14:paraId="1B6E02C5" w14:textId="155DF1C9" w:rsidR="00E43825" w:rsidRPr="00CF7FA9" w:rsidRDefault="00A6251E" w:rsidP="00DE2F47">
      <w:pPr>
        <w:spacing w:line="360" w:lineRule="auto"/>
        <w:jc w:val="both"/>
        <w:rPr>
          <w:rFonts w:ascii="Arial" w:hAnsi="Arial" w:cs="Arial"/>
          <w:b/>
          <w:bCs/>
          <w:lang w:val="en-US"/>
        </w:rPr>
      </w:pPr>
      <w:r>
        <w:rPr>
          <w:rFonts w:ascii="Arial" w:hAnsi="Arial" w:cs="Arial"/>
          <w:b/>
          <w:bCs/>
          <w:lang w:val="en-US"/>
        </w:rPr>
        <w:t xml:space="preserve">Suggestions </w:t>
      </w:r>
      <w:r w:rsidR="00D56812">
        <w:rPr>
          <w:rFonts w:ascii="Arial" w:hAnsi="Arial" w:cs="Arial"/>
          <w:b/>
          <w:bCs/>
          <w:lang w:val="en-US"/>
        </w:rPr>
        <w:t xml:space="preserve">how </w:t>
      </w:r>
      <w:r w:rsidR="00CD104A">
        <w:rPr>
          <w:rFonts w:ascii="Arial" w:hAnsi="Arial" w:cs="Arial"/>
          <w:b/>
          <w:bCs/>
          <w:lang w:val="en-US"/>
        </w:rPr>
        <w:t>to</w:t>
      </w:r>
      <w:r>
        <w:rPr>
          <w:rFonts w:ascii="Arial" w:hAnsi="Arial" w:cs="Arial"/>
          <w:b/>
          <w:bCs/>
          <w:lang w:val="en-US"/>
        </w:rPr>
        <w:t xml:space="preserve"> develop</w:t>
      </w:r>
      <w:r w:rsidR="001C611F" w:rsidRPr="00CF7FA9">
        <w:rPr>
          <w:rFonts w:ascii="Arial" w:hAnsi="Arial" w:cs="Arial"/>
          <w:b/>
          <w:bCs/>
          <w:lang w:val="en-US"/>
        </w:rPr>
        <w:t xml:space="preserve"> Tony Clark community </w:t>
      </w:r>
    </w:p>
    <w:p w14:paraId="635D09DA" w14:textId="2A2F2DD2" w:rsidR="001C611F" w:rsidRDefault="001C611F" w:rsidP="00DE2F47">
      <w:pPr>
        <w:spacing w:line="360" w:lineRule="auto"/>
        <w:jc w:val="both"/>
        <w:rPr>
          <w:rFonts w:ascii="Arial" w:hAnsi="Arial" w:cs="Arial"/>
          <w:lang w:val="en-US"/>
        </w:rPr>
      </w:pPr>
      <w:r>
        <w:rPr>
          <w:rFonts w:ascii="Arial" w:hAnsi="Arial" w:cs="Arial"/>
          <w:lang w:val="en-US"/>
        </w:rPr>
        <w:t xml:space="preserve">Tony Clarks have done a great job in East Yorkshire but they can still improve their community engagement by </w:t>
      </w:r>
      <w:r w:rsidR="003F2C00">
        <w:rPr>
          <w:rFonts w:ascii="Arial" w:hAnsi="Arial" w:cs="Arial"/>
          <w:lang w:val="en-US"/>
        </w:rPr>
        <w:t>doing the following strategies:</w:t>
      </w:r>
    </w:p>
    <w:p w14:paraId="6EFD8D01" w14:textId="2D240F21" w:rsidR="003F2C00" w:rsidRDefault="003F2C00" w:rsidP="00DE2F47">
      <w:pPr>
        <w:spacing w:line="360" w:lineRule="auto"/>
        <w:jc w:val="both"/>
        <w:rPr>
          <w:rFonts w:ascii="Arial" w:hAnsi="Arial" w:cs="Arial"/>
          <w:lang w:val="en-US"/>
        </w:rPr>
      </w:pPr>
      <w:r>
        <w:rPr>
          <w:rFonts w:ascii="Arial" w:hAnsi="Arial" w:cs="Arial"/>
          <w:lang w:val="en-US"/>
        </w:rPr>
        <w:t>- Establishing a sense of exclusivity demonstrates to the members that they are unique while also gaining their attention. Tony Clarks and his employers can make their participants feel that being a member of a community is something they, too, want to accomplish. Hosting community events is an excellent method of doing this. Community events may take place in person or online, which are both excellent choices since they attract and engage a much larger audience and eventually community engagement.</w:t>
      </w:r>
    </w:p>
    <w:p w14:paraId="5B6530B4" w14:textId="37D8AAC4" w:rsidR="003F2C00" w:rsidRDefault="003F2C00" w:rsidP="00DE2F47">
      <w:pPr>
        <w:spacing w:line="360" w:lineRule="auto"/>
        <w:jc w:val="both"/>
        <w:rPr>
          <w:rFonts w:ascii="Arial" w:hAnsi="Arial" w:cs="Arial"/>
          <w:lang w:val="en-US"/>
        </w:rPr>
      </w:pPr>
      <w:r>
        <w:rPr>
          <w:rFonts w:ascii="Arial" w:hAnsi="Arial" w:cs="Arial"/>
          <w:lang w:val="en-US"/>
        </w:rPr>
        <w:lastRenderedPageBreak/>
        <w:t xml:space="preserve">- </w:t>
      </w:r>
      <w:r w:rsidR="00465663">
        <w:rPr>
          <w:rFonts w:ascii="Arial" w:hAnsi="Arial" w:cs="Arial"/>
          <w:lang w:val="en-US"/>
        </w:rPr>
        <w:t>it is an excellent method to get people talking and to let them know you appreciate them by sending a shout-out to a specific member or group of members. It is important to remember that a community is only as strong as its members. Shout-out, awards, birthday greetings with a personal message, and user-join anniversaries are just a few examples of ways how can Tony and his employers do to improve community engagement (Forde and Lynch, 20</w:t>
      </w:r>
      <w:r w:rsidR="00FC159D">
        <w:rPr>
          <w:rFonts w:ascii="Arial" w:hAnsi="Arial" w:cs="Arial"/>
          <w:lang w:val="en-US"/>
        </w:rPr>
        <w:t>15</w:t>
      </w:r>
      <w:r w:rsidR="00465663">
        <w:rPr>
          <w:rFonts w:ascii="Arial" w:hAnsi="Arial" w:cs="Arial"/>
          <w:lang w:val="en-US"/>
        </w:rPr>
        <w:t>).</w:t>
      </w:r>
    </w:p>
    <w:p w14:paraId="192BF984" w14:textId="21C46577" w:rsidR="00465663" w:rsidRDefault="00465663" w:rsidP="00DE2F47">
      <w:pPr>
        <w:spacing w:line="360" w:lineRule="auto"/>
        <w:jc w:val="both"/>
        <w:rPr>
          <w:rFonts w:ascii="Arial" w:hAnsi="Arial" w:cs="Arial"/>
          <w:lang w:val="en-US"/>
        </w:rPr>
      </w:pPr>
      <w:r>
        <w:rPr>
          <w:rFonts w:ascii="Arial" w:hAnsi="Arial" w:cs="Arial"/>
          <w:lang w:val="en-US"/>
        </w:rPr>
        <w:t xml:space="preserve">- A new online community may appear like a reinvention of something that already exists. Users get the best of both worlds by connecting a community </w:t>
      </w:r>
      <w:r w:rsidR="00CF7FA9">
        <w:rPr>
          <w:rFonts w:ascii="Arial" w:hAnsi="Arial" w:cs="Arial"/>
          <w:lang w:val="en-US"/>
        </w:rPr>
        <w:t>website to those social media platforms. Tony and his employers must actively engage members of their own online community rather than just assuming they would do it on their behalf. They can make it simpler for those in more active groups to join on sites with less of a history with social media since they decrease the barrier of participation for community members.</w:t>
      </w:r>
    </w:p>
    <w:p w14:paraId="06754CE4" w14:textId="62E25733" w:rsidR="00CF7FA9" w:rsidRDefault="00CF7FA9" w:rsidP="00DE2F47">
      <w:pPr>
        <w:spacing w:line="360" w:lineRule="auto"/>
        <w:jc w:val="both"/>
        <w:rPr>
          <w:rFonts w:ascii="Arial" w:hAnsi="Arial" w:cs="Arial"/>
          <w:lang w:val="en-US"/>
        </w:rPr>
      </w:pPr>
      <w:r>
        <w:rPr>
          <w:rFonts w:ascii="Arial" w:hAnsi="Arial" w:cs="Arial"/>
          <w:lang w:val="en-US"/>
        </w:rPr>
        <w:t>- Community engagement is all about sharing thoughts and insights. Tony and his employers can encourage change from time to time which will invite members to share their new insights and ideas. If their insights are appreciated, they will feel valued and respected which will help eventually take firefighting community engagement to next level (Esmaeilpoorarabi, Yigitcanlar, Kamruzzaman and Guaralda, 2020).</w:t>
      </w:r>
    </w:p>
    <w:p w14:paraId="62D61F19" w14:textId="2447DADA" w:rsidR="00CF7FA9" w:rsidRPr="00735F90" w:rsidRDefault="00CF7FA9" w:rsidP="00DE2F47">
      <w:pPr>
        <w:spacing w:line="360" w:lineRule="auto"/>
        <w:jc w:val="both"/>
        <w:rPr>
          <w:rFonts w:ascii="Arial" w:hAnsi="Arial" w:cs="Arial"/>
          <w:b/>
          <w:bCs/>
          <w:lang w:val="en-US"/>
        </w:rPr>
      </w:pPr>
      <w:r w:rsidRPr="00735F90">
        <w:rPr>
          <w:rFonts w:ascii="Arial" w:hAnsi="Arial" w:cs="Arial"/>
          <w:b/>
          <w:bCs/>
          <w:lang w:val="en-US"/>
        </w:rPr>
        <w:t>Conclusion</w:t>
      </w:r>
    </w:p>
    <w:p w14:paraId="5B624164" w14:textId="3E956F0E" w:rsidR="00CF7FA9" w:rsidRDefault="00CF7FA9" w:rsidP="00DE2F47">
      <w:pPr>
        <w:spacing w:line="360" w:lineRule="auto"/>
        <w:jc w:val="both"/>
        <w:rPr>
          <w:rFonts w:ascii="Arial" w:hAnsi="Arial" w:cs="Arial"/>
          <w:lang w:val="en-US"/>
        </w:rPr>
      </w:pPr>
      <w:r>
        <w:rPr>
          <w:rFonts w:ascii="Arial" w:hAnsi="Arial" w:cs="Arial"/>
          <w:lang w:val="en-US"/>
        </w:rPr>
        <w:t xml:space="preserve">Community engagement is critical to many projects, and the advantages are well proven, including improved results for all stakeholders, more community ownership, and cheaper project costs. Perhaps more significantly, decision-makers really want to hear opinions and feedback to improve community well-being. Achieving </w:t>
      </w:r>
      <w:r w:rsidR="00735F90">
        <w:rPr>
          <w:rFonts w:ascii="Arial" w:hAnsi="Arial" w:cs="Arial"/>
          <w:lang w:val="en-US"/>
        </w:rPr>
        <w:t xml:space="preserve">community objectives and values by forming communication alliances that affect provision is the focal point in community engagement. Community engagement help to improve people’s problem-solving knowledge and abilities. Participants get a thorough understanding of the problems. They are able to view more than one side of an issue as their knowledge grows. People from all walks of life should be empowered and integrated by community engagement. Alienated groups may regain more influence over their lives and the life of their communities by collaborating with one another. When individuals from various parts of the community get together to work together, they often discover that they have a lot in common. All skills are assumed to be transferable but most it is important to use them depending on the situation (Kennedy and Loeb, </w:t>
      </w:r>
      <w:r w:rsidR="00FC159D">
        <w:rPr>
          <w:rFonts w:ascii="Arial" w:hAnsi="Arial" w:cs="Arial"/>
          <w:lang w:val="en-US"/>
        </w:rPr>
        <w:t>1998</w:t>
      </w:r>
      <w:r w:rsidR="00735F90">
        <w:rPr>
          <w:rFonts w:ascii="Arial" w:hAnsi="Arial" w:cs="Arial"/>
          <w:lang w:val="en-US"/>
        </w:rPr>
        <w:t>). Besides, these skills are inherent and the man who has these skills need to recognize them otherwise they cannot be transferred.</w:t>
      </w:r>
    </w:p>
    <w:p w14:paraId="625FE6A1" w14:textId="77777777" w:rsidR="001C611F" w:rsidRDefault="001C611F" w:rsidP="00A12F95">
      <w:pPr>
        <w:rPr>
          <w:rFonts w:ascii="Arial" w:hAnsi="Arial" w:cs="Arial"/>
          <w:lang w:val="en-US"/>
        </w:rPr>
      </w:pPr>
    </w:p>
    <w:p w14:paraId="3BA89A5C" w14:textId="77777777" w:rsidR="00DE2F47" w:rsidRDefault="00DE2F47" w:rsidP="00A12F95">
      <w:pPr>
        <w:rPr>
          <w:rFonts w:ascii="Arial" w:hAnsi="Arial" w:cs="Arial"/>
          <w:lang w:val="en-US"/>
        </w:rPr>
      </w:pPr>
    </w:p>
    <w:p w14:paraId="1F0D99D6" w14:textId="1FC74B83" w:rsidR="00C22E98" w:rsidRDefault="00C22E98" w:rsidP="00A12F95">
      <w:pPr>
        <w:rPr>
          <w:rFonts w:ascii="Arial" w:hAnsi="Arial" w:cs="Arial"/>
          <w:b/>
          <w:bCs/>
          <w:lang w:val="en-US"/>
        </w:rPr>
      </w:pPr>
      <w:r w:rsidRPr="00C22E98">
        <w:rPr>
          <w:rFonts w:ascii="Arial" w:hAnsi="Arial" w:cs="Arial"/>
          <w:b/>
          <w:bCs/>
          <w:lang w:val="en-US"/>
        </w:rPr>
        <w:lastRenderedPageBreak/>
        <w:t>Reference:</w:t>
      </w:r>
    </w:p>
    <w:p w14:paraId="2D164F02" w14:textId="3E7668B3" w:rsidR="00BD2014" w:rsidRDefault="00FF1CB3" w:rsidP="00A12F95">
      <w:pPr>
        <w:rPr>
          <w:rFonts w:ascii="Arial" w:hAnsi="Arial" w:cs="Arial"/>
          <w:lang w:val="en-US"/>
        </w:rPr>
      </w:pPr>
      <w:r w:rsidRPr="00FF1CB3">
        <w:rPr>
          <w:rFonts w:ascii="Arial" w:hAnsi="Arial" w:cs="Arial"/>
          <w:lang w:val="en-US"/>
        </w:rPr>
        <w:t xml:space="preserve">Assiter, A. (2017) </w:t>
      </w:r>
      <w:r w:rsidRPr="00FF1CB3">
        <w:rPr>
          <w:rFonts w:ascii="Arial" w:hAnsi="Arial" w:cs="Arial"/>
          <w:i/>
          <w:iCs/>
          <w:lang w:val="en-US"/>
        </w:rPr>
        <w:t>Transferable skills in higher education</w:t>
      </w:r>
      <w:r>
        <w:rPr>
          <w:rFonts w:ascii="Arial" w:hAnsi="Arial" w:cs="Arial"/>
          <w:lang w:val="en-US"/>
        </w:rPr>
        <w:t>. Milton:Routledge.</w:t>
      </w:r>
    </w:p>
    <w:p w14:paraId="5F9B735E" w14:textId="77777777" w:rsidR="003E01D9" w:rsidRDefault="003E01D9" w:rsidP="00A12F95">
      <w:pPr>
        <w:rPr>
          <w:rFonts w:ascii="Arial" w:hAnsi="Arial" w:cs="Arial"/>
          <w:lang w:val="en-US"/>
        </w:rPr>
      </w:pPr>
    </w:p>
    <w:p w14:paraId="58703FC4" w14:textId="04940D54" w:rsidR="00FF1CB3" w:rsidRDefault="00FF1CB3" w:rsidP="003E01D9">
      <w:pPr>
        <w:spacing w:line="240" w:lineRule="auto"/>
        <w:rPr>
          <w:rFonts w:ascii="Arial" w:hAnsi="Arial" w:cs="Arial"/>
          <w:lang w:val="en-US"/>
        </w:rPr>
      </w:pPr>
      <w:r>
        <w:rPr>
          <w:rFonts w:ascii="Arial" w:hAnsi="Arial" w:cs="Arial"/>
          <w:lang w:val="en-US"/>
        </w:rPr>
        <w:t xml:space="preserve">Bang the table (2021). </w:t>
      </w:r>
      <w:r w:rsidRPr="00106FFF">
        <w:rPr>
          <w:rFonts w:ascii="Arial" w:hAnsi="Arial" w:cs="Arial"/>
          <w:i/>
          <w:iCs/>
          <w:lang w:val="en-US"/>
        </w:rPr>
        <w:t>Why is community Engagement Important? – Bang The Table</w:t>
      </w:r>
      <w:r>
        <w:rPr>
          <w:rFonts w:ascii="Arial" w:hAnsi="Arial" w:cs="Arial"/>
          <w:lang w:val="en-US"/>
        </w:rPr>
        <w:t>.</w:t>
      </w:r>
    </w:p>
    <w:p w14:paraId="09D46591" w14:textId="4F40C982" w:rsidR="00116859" w:rsidRDefault="00FF1CB3" w:rsidP="003E01D9">
      <w:pPr>
        <w:spacing w:line="240" w:lineRule="auto"/>
        <w:rPr>
          <w:rFonts w:ascii="Arial" w:hAnsi="Arial" w:cs="Arial"/>
          <w:lang w:val="en-US"/>
        </w:rPr>
      </w:pPr>
      <w:r w:rsidRPr="00106FFF">
        <w:rPr>
          <w:rFonts w:ascii="Arial" w:hAnsi="Arial" w:cs="Arial"/>
          <w:lang w:val="en-US"/>
        </w:rPr>
        <w:t xml:space="preserve">Available at: </w:t>
      </w:r>
      <w:hyperlink r:id="rId6" w:history="1">
        <w:r w:rsidR="00116859" w:rsidRPr="00106FFF">
          <w:rPr>
            <w:rStyle w:val="a7"/>
            <w:rFonts w:ascii="Arial" w:hAnsi="Arial" w:cs="Arial"/>
            <w:lang w:val="en-US"/>
          </w:rPr>
          <w:t>https://www.bangthetable.com/why-is-community-engagement-important/</w:t>
        </w:r>
      </w:hyperlink>
    </w:p>
    <w:p w14:paraId="41B1AC5A" w14:textId="545C0232" w:rsidR="00ED70D4" w:rsidRDefault="00106FFF" w:rsidP="003E01D9">
      <w:pPr>
        <w:spacing w:line="240" w:lineRule="auto"/>
        <w:rPr>
          <w:rFonts w:ascii="Arial" w:hAnsi="Arial" w:cs="Arial"/>
          <w:lang w:val="en-US"/>
        </w:rPr>
      </w:pPr>
      <w:r>
        <w:rPr>
          <w:rFonts w:ascii="Arial" w:hAnsi="Arial" w:cs="Arial"/>
          <w:lang w:val="en-US"/>
        </w:rPr>
        <w:t>(Accessed: 12 October 2021).</w:t>
      </w:r>
    </w:p>
    <w:p w14:paraId="68CD12C0" w14:textId="77777777" w:rsidR="000077CF" w:rsidRDefault="000077CF" w:rsidP="003E01D9">
      <w:pPr>
        <w:spacing w:line="240" w:lineRule="auto"/>
        <w:rPr>
          <w:rFonts w:ascii="Arial" w:hAnsi="Arial" w:cs="Arial"/>
          <w:lang w:val="en-US"/>
        </w:rPr>
      </w:pPr>
    </w:p>
    <w:p w14:paraId="2A53C8C9" w14:textId="77777777" w:rsidR="001723AA" w:rsidRDefault="00ED70D4" w:rsidP="001723AA">
      <w:pPr>
        <w:spacing w:line="240" w:lineRule="auto"/>
        <w:rPr>
          <w:rFonts w:ascii="Arial" w:hAnsi="Arial" w:cs="Arial"/>
          <w:lang w:val="en-US"/>
        </w:rPr>
      </w:pPr>
      <w:r>
        <w:rPr>
          <w:rFonts w:ascii="Arial" w:hAnsi="Arial" w:cs="Arial"/>
          <w:lang w:val="en-US"/>
        </w:rPr>
        <w:t>Esmaeilpoorarabi, N., Yigitcanlar, T., Kamruzzaman, M. and Guaralda, M. (2020)</w:t>
      </w:r>
      <w:r w:rsidR="001723AA">
        <w:rPr>
          <w:rFonts w:ascii="Arial" w:hAnsi="Arial" w:cs="Arial"/>
          <w:lang w:val="en-US"/>
        </w:rPr>
        <w:t xml:space="preserve"> ‘How can an enhanced community engagement with innovation districts be established? Evidence from Sydney, Melbourne and Brisbane’, </w:t>
      </w:r>
      <w:r w:rsidR="001723AA" w:rsidRPr="001723AA">
        <w:rPr>
          <w:rFonts w:ascii="Arial" w:hAnsi="Arial" w:cs="Arial"/>
          <w:i/>
          <w:iCs/>
          <w:lang w:val="en-US"/>
        </w:rPr>
        <w:t>Cities</w:t>
      </w:r>
      <w:r w:rsidR="001723AA">
        <w:rPr>
          <w:rFonts w:ascii="Arial" w:hAnsi="Arial" w:cs="Arial"/>
          <w:lang w:val="en-US"/>
        </w:rPr>
        <w:t>, 96, 102430</w:t>
      </w:r>
    </w:p>
    <w:p w14:paraId="30B254E1" w14:textId="262CA8AF" w:rsidR="00BD2014" w:rsidRDefault="001723AA" w:rsidP="001723AA">
      <w:pPr>
        <w:spacing w:line="240" w:lineRule="auto"/>
        <w:rPr>
          <w:rFonts w:ascii="Arial" w:hAnsi="Arial" w:cs="Arial"/>
          <w:b/>
          <w:bCs/>
          <w:lang w:val="en-US"/>
        </w:rPr>
      </w:pPr>
      <w:r w:rsidRPr="001723AA">
        <w:rPr>
          <w:rFonts w:ascii="Arial" w:hAnsi="Arial" w:cs="Arial"/>
          <w:lang w:val="en-US"/>
        </w:rPr>
        <w:t>DOI:</w:t>
      </w:r>
      <w:r>
        <w:rPr>
          <w:rFonts w:ascii="Arial" w:hAnsi="Arial" w:cs="Arial"/>
          <w:b/>
          <w:bCs/>
          <w:lang w:val="en-US"/>
        </w:rPr>
        <w:t xml:space="preserve"> </w:t>
      </w:r>
      <w:hyperlink r:id="rId7" w:history="1">
        <w:r w:rsidRPr="00AC7BB7">
          <w:rPr>
            <w:rStyle w:val="a7"/>
            <w:rFonts w:ascii="Arial" w:hAnsi="Arial" w:cs="Arial"/>
            <w:b/>
            <w:bCs/>
            <w:lang w:val="en-US"/>
          </w:rPr>
          <w:t>https://doi.org/10.1016/j.cities.2019.102430</w:t>
        </w:r>
      </w:hyperlink>
      <w:r w:rsidR="00BD2014">
        <w:rPr>
          <w:rFonts w:ascii="Arial" w:hAnsi="Arial" w:cs="Arial"/>
          <w:b/>
          <w:bCs/>
          <w:lang w:val="en-US"/>
        </w:rPr>
        <w:t xml:space="preserve"> </w:t>
      </w:r>
    </w:p>
    <w:p w14:paraId="1A501951" w14:textId="0DE806CE" w:rsidR="001723AA" w:rsidRDefault="001723AA" w:rsidP="001723AA">
      <w:pPr>
        <w:spacing w:line="240" w:lineRule="auto"/>
        <w:rPr>
          <w:rFonts w:ascii="Arial" w:hAnsi="Arial" w:cs="Arial"/>
          <w:b/>
          <w:bCs/>
          <w:lang w:val="en-US"/>
        </w:rPr>
      </w:pPr>
    </w:p>
    <w:p w14:paraId="1959C02A" w14:textId="4B1D6198" w:rsidR="001723AA" w:rsidRDefault="001723AA" w:rsidP="001723AA">
      <w:pPr>
        <w:spacing w:line="240" w:lineRule="auto"/>
        <w:rPr>
          <w:rFonts w:ascii="Arial" w:hAnsi="Arial" w:cs="Arial"/>
          <w:lang w:val="en-US"/>
        </w:rPr>
      </w:pPr>
      <w:r w:rsidRPr="001723AA">
        <w:rPr>
          <w:rFonts w:ascii="Arial" w:hAnsi="Arial" w:cs="Arial"/>
          <w:lang w:val="en-US"/>
        </w:rPr>
        <w:t>Faber, H.,</w:t>
      </w:r>
      <w:r>
        <w:rPr>
          <w:rFonts w:ascii="Arial" w:hAnsi="Arial" w:cs="Arial"/>
          <w:lang w:val="en-US"/>
        </w:rPr>
        <w:t xml:space="preserve"> Grote, M. and Seland, E. (2021). ‘Transferable skills?’. </w:t>
      </w:r>
      <w:r w:rsidR="00F0782D" w:rsidRPr="00F0782D">
        <w:rPr>
          <w:rFonts w:ascii="Arial" w:hAnsi="Arial" w:cs="Arial"/>
          <w:i/>
          <w:iCs/>
          <w:lang w:val="en-US"/>
        </w:rPr>
        <w:t>Septentrio Conference Series</w:t>
      </w:r>
      <w:r w:rsidR="00F0782D">
        <w:rPr>
          <w:rFonts w:ascii="Arial" w:hAnsi="Arial" w:cs="Arial"/>
          <w:lang w:val="en-US"/>
        </w:rPr>
        <w:t>, (2).</w:t>
      </w:r>
    </w:p>
    <w:p w14:paraId="49ACB807" w14:textId="77777777" w:rsidR="000077CF" w:rsidRDefault="000077CF" w:rsidP="001723AA">
      <w:pPr>
        <w:spacing w:line="240" w:lineRule="auto"/>
        <w:rPr>
          <w:rFonts w:ascii="Arial" w:hAnsi="Arial" w:cs="Arial"/>
          <w:lang w:val="en-US"/>
        </w:rPr>
      </w:pPr>
    </w:p>
    <w:p w14:paraId="4E46D6D3" w14:textId="44EF080F" w:rsidR="000077CF" w:rsidRDefault="000077CF" w:rsidP="001723AA">
      <w:pPr>
        <w:spacing w:line="240" w:lineRule="auto"/>
        <w:rPr>
          <w:rFonts w:ascii="Arial" w:hAnsi="Arial" w:cs="Arial"/>
          <w:lang w:val="en-US"/>
        </w:rPr>
      </w:pPr>
      <w:r>
        <w:rPr>
          <w:rFonts w:ascii="Arial" w:hAnsi="Arial" w:cs="Arial"/>
          <w:lang w:val="en-US"/>
        </w:rPr>
        <w:t xml:space="preserve">Forde, C. and Lynch, D.(2015). </w:t>
      </w:r>
      <w:r w:rsidRPr="000077CF">
        <w:rPr>
          <w:rFonts w:ascii="Arial" w:hAnsi="Arial" w:cs="Arial"/>
          <w:i/>
          <w:iCs/>
          <w:lang w:val="en-US"/>
        </w:rPr>
        <w:t>Social work and community development</w:t>
      </w:r>
      <w:r>
        <w:rPr>
          <w:rFonts w:ascii="Arial" w:hAnsi="Arial" w:cs="Arial"/>
          <w:lang w:val="en-US"/>
        </w:rPr>
        <w:t>. Bloomsbury Publishing PLC, Red Globe Press</w:t>
      </w:r>
    </w:p>
    <w:p w14:paraId="21151286" w14:textId="407467CF" w:rsidR="00902F1E" w:rsidRDefault="00902F1E" w:rsidP="001723AA">
      <w:pPr>
        <w:spacing w:line="240" w:lineRule="auto"/>
        <w:rPr>
          <w:rFonts w:ascii="Arial" w:hAnsi="Arial" w:cs="Arial"/>
          <w:lang w:val="en-US"/>
        </w:rPr>
      </w:pPr>
    </w:p>
    <w:p w14:paraId="4CBF54D4" w14:textId="6E8F9693" w:rsidR="00902F1E" w:rsidRDefault="00902F1E" w:rsidP="001723AA">
      <w:pPr>
        <w:spacing w:line="240" w:lineRule="auto"/>
        <w:rPr>
          <w:rFonts w:ascii="Arial" w:hAnsi="Arial" w:cs="Arial"/>
          <w:lang w:val="en-US"/>
        </w:rPr>
      </w:pPr>
      <w:r>
        <w:rPr>
          <w:rFonts w:ascii="Arial" w:hAnsi="Arial" w:cs="Arial"/>
          <w:lang w:val="en-US"/>
        </w:rPr>
        <w:t xml:space="preserve">Kennedy, Z. and Loeb, B. (1998). </w:t>
      </w:r>
      <w:r w:rsidRPr="00902F1E">
        <w:rPr>
          <w:rFonts w:ascii="Arial" w:hAnsi="Arial" w:cs="Arial"/>
          <w:i/>
          <w:iCs/>
          <w:lang w:val="en-US"/>
        </w:rPr>
        <w:t>Transferable skills</w:t>
      </w:r>
      <w:r>
        <w:rPr>
          <w:rFonts w:ascii="Arial" w:hAnsi="Arial" w:cs="Arial"/>
          <w:lang w:val="en-US"/>
        </w:rPr>
        <w:t>. Steck-Vaught</w:t>
      </w:r>
    </w:p>
    <w:p w14:paraId="15907340" w14:textId="61A21CD0" w:rsidR="00902F1E" w:rsidRDefault="00902F1E" w:rsidP="001723AA">
      <w:pPr>
        <w:spacing w:line="240" w:lineRule="auto"/>
        <w:rPr>
          <w:rFonts w:ascii="Arial" w:hAnsi="Arial" w:cs="Arial"/>
          <w:lang w:val="en-US"/>
        </w:rPr>
      </w:pPr>
    </w:p>
    <w:p w14:paraId="23384B1B" w14:textId="2493CF69" w:rsidR="00902F1E" w:rsidRDefault="00902F1E" w:rsidP="001723AA">
      <w:pPr>
        <w:spacing w:line="240" w:lineRule="auto"/>
        <w:rPr>
          <w:rFonts w:ascii="Arial" w:hAnsi="Arial" w:cs="Arial"/>
          <w:lang w:val="en-US"/>
        </w:rPr>
      </w:pPr>
      <w:r>
        <w:rPr>
          <w:rFonts w:ascii="Arial" w:hAnsi="Arial" w:cs="Arial"/>
          <w:lang w:val="en-US"/>
        </w:rPr>
        <w:t xml:space="preserve">Milos, D. (2019).’Embedding transferrable skills into the higher degree by research candidature’. </w:t>
      </w:r>
      <w:r w:rsidRPr="009F7F19">
        <w:rPr>
          <w:rFonts w:ascii="Arial" w:hAnsi="Arial" w:cs="Arial"/>
          <w:i/>
          <w:iCs/>
          <w:lang w:val="en-US"/>
        </w:rPr>
        <w:t>Studies in Graduated and Postdoctoral Education</w:t>
      </w:r>
      <w:r>
        <w:rPr>
          <w:rFonts w:ascii="Arial" w:hAnsi="Arial" w:cs="Arial"/>
          <w:lang w:val="en-US"/>
        </w:rPr>
        <w:t>, 10(3)</w:t>
      </w:r>
      <w:r w:rsidR="009F7F19">
        <w:rPr>
          <w:rFonts w:ascii="Arial" w:hAnsi="Arial" w:cs="Arial"/>
          <w:lang w:val="en-US"/>
        </w:rPr>
        <w:t>, pp.173-179.</w:t>
      </w:r>
    </w:p>
    <w:p w14:paraId="5588B175" w14:textId="780CA5D3" w:rsidR="009F7F19" w:rsidRDefault="009F7F19" w:rsidP="001723AA">
      <w:pPr>
        <w:spacing w:line="240" w:lineRule="auto"/>
        <w:rPr>
          <w:rFonts w:ascii="Arial" w:hAnsi="Arial" w:cs="Arial"/>
          <w:lang w:val="en-US"/>
        </w:rPr>
      </w:pPr>
    </w:p>
    <w:p w14:paraId="18428511" w14:textId="0C6E9362" w:rsidR="009F7F19" w:rsidRDefault="009F7F19" w:rsidP="001723AA">
      <w:pPr>
        <w:spacing w:line="240" w:lineRule="auto"/>
        <w:rPr>
          <w:rFonts w:ascii="Arial" w:hAnsi="Arial" w:cs="Arial"/>
          <w:lang w:val="en-US"/>
        </w:rPr>
      </w:pPr>
      <w:r>
        <w:rPr>
          <w:rFonts w:ascii="Arial" w:hAnsi="Arial" w:cs="Arial"/>
          <w:lang w:val="en-US"/>
        </w:rPr>
        <w:t xml:space="preserve">Pedersen, P. (2019). ‘The looking ahead project: A lesson in community engagement and positive change’. </w:t>
      </w:r>
      <w:r w:rsidRPr="009F7F19">
        <w:rPr>
          <w:rFonts w:ascii="Arial" w:hAnsi="Arial" w:cs="Arial"/>
          <w:i/>
          <w:iCs/>
          <w:lang w:val="en-US"/>
        </w:rPr>
        <w:t>Journal of Community Safety and Well-Being</w:t>
      </w:r>
      <w:r>
        <w:rPr>
          <w:rFonts w:ascii="Arial" w:hAnsi="Arial" w:cs="Arial"/>
          <w:lang w:val="en-US"/>
        </w:rPr>
        <w:t>, 4(3), pp.58-62.</w:t>
      </w:r>
    </w:p>
    <w:p w14:paraId="0918D206" w14:textId="183DE53B" w:rsidR="009F7F19" w:rsidRDefault="009F7F19" w:rsidP="001723AA">
      <w:pPr>
        <w:spacing w:line="240" w:lineRule="auto"/>
        <w:rPr>
          <w:rFonts w:ascii="Arial" w:hAnsi="Arial" w:cs="Arial"/>
          <w:lang w:val="en-US"/>
        </w:rPr>
      </w:pPr>
    </w:p>
    <w:p w14:paraId="7A0065FB" w14:textId="77777777" w:rsidR="009F7F19" w:rsidRDefault="009F7F19" w:rsidP="009F7F19">
      <w:pPr>
        <w:spacing w:line="240" w:lineRule="auto"/>
        <w:rPr>
          <w:rFonts w:ascii="Arial" w:hAnsi="Arial" w:cs="Arial"/>
          <w:lang w:val="en-US"/>
        </w:rPr>
      </w:pPr>
      <w:r>
        <w:rPr>
          <w:rFonts w:ascii="Arial" w:hAnsi="Arial" w:cs="Arial"/>
          <w:lang w:val="en-US"/>
        </w:rPr>
        <w:t xml:space="preserve">Watson, H. and Burr, S. (2018). ‘Twelve tips for teaching twelve transferable skills’. </w:t>
      </w:r>
      <w:r w:rsidRPr="009F7F19">
        <w:rPr>
          <w:rFonts w:ascii="Arial" w:hAnsi="Arial" w:cs="Arial"/>
          <w:i/>
          <w:iCs/>
          <w:lang w:val="en-US"/>
        </w:rPr>
        <w:t>MedEdPublish</w:t>
      </w:r>
      <w:r>
        <w:rPr>
          <w:rFonts w:ascii="Arial" w:hAnsi="Arial" w:cs="Arial"/>
          <w:lang w:val="en-US"/>
        </w:rPr>
        <w:t>.</w:t>
      </w:r>
    </w:p>
    <w:p w14:paraId="19129A7F" w14:textId="4A675A4F" w:rsidR="00DD570E" w:rsidRPr="001723AA" w:rsidRDefault="00DD570E" w:rsidP="009F7F19">
      <w:pPr>
        <w:spacing w:line="240" w:lineRule="auto"/>
        <w:rPr>
          <w:rFonts w:ascii="Arial" w:hAnsi="Arial" w:cs="Arial"/>
          <w:lang w:val="en-US"/>
        </w:rPr>
      </w:pPr>
      <w:r w:rsidRPr="001723AA">
        <w:rPr>
          <w:rFonts w:ascii="Arial" w:hAnsi="Arial" w:cs="Arial"/>
          <w:lang w:val="en-US"/>
        </w:rPr>
        <w:t xml:space="preserve">DOI: </w:t>
      </w:r>
      <w:bookmarkStart w:id="0" w:name="_Hlk85277461"/>
      <w:r w:rsidRPr="001723AA">
        <w:rPr>
          <w:rFonts w:ascii="Arial" w:hAnsi="Arial" w:cs="Arial"/>
          <w:lang w:val="en-US"/>
        </w:rPr>
        <w:t>https://doi.org/10.15694/mep.2018.0000177.1</w:t>
      </w:r>
      <w:bookmarkEnd w:id="0"/>
    </w:p>
    <w:sectPr w:rsidR="00DD570E" w:rsidRPr="001723A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29C76" w14:textId="77777777" w:rsidR="00F760F0" w:rsidRDefault="00F760F0" w:rsidP="007453A3">
      <w:pPr>
        <w:spacing w:after="0" w:line="240" w:lineRule="auto"/>
      </w:pPr>
      <w:r>
        <w:separator/>
      </w:r>
    </w:p>
  </w:endnote>
  <w:endnote w:type="continuationSeparator" w:id="0">
    <w:p w14:paraId="606FBCAB" w14:textId="77777777" w:rsidR="00F760F0" w:rsidRDefault="00F760F0" w:rsidP="00745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261228"/>
      <w:docPartObj>
        <w:docPartGallery w:val="Page Numbers (Bottom of Page)"/>
        <w:docPartUnique/>
      </w:docPartObj>
    </w:sdtPr>
    <w:sdtEndPr/>
    <w:sdtContent>
      <w:p w14:paraId="10354791" w14:textId="1BA11969" w:rsidR="007453A3" w:rsidRDefault="007453A3">
        <w:pPr>
          <w:pStyle w:val="a5"/>
          <w:jc w:val="center"/>
        </w:pPr>
        <w:r>
          <w:fldChar w:fldCharType="begin"/>
        </w:r>
        <w:r>
          <w:instrText>PAGE   \* MERGEFORMAT</w:instrText>
        </w:r>
        <w:r>
          <w:fldChar w:fldCharType="separate"/>
        </w:r>
        <w:r>
          <w:t>2</w:t>
        </w:r>
        <w:r>
          <w:fldChar w:fldCharType="end"/>
        </w:r>
      </w:p>
    </w:sdtContent>
  </w:sdt>
  <w:p w14:paraId="3BF63442" w14:textId="77777777" w:rsidR="007453A3" w:rsidRDefault="007453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F869C" w14:textId="77777777" w:rsidR="00F760F0" w:rsidRDefault="00F760F0" w:rsidP="007453A3">
      <w:pPr>
        <w:spacing w:after="0" w:line="240" w:lineRule="auto"/>
      </w:pPr>
      <w:r>
        <w:separator/>
      </w:r>
    </w:p>
  </w:footnote>
  <w:footnote w:type="continuationSeparator" w:id="0">
    <w:p w14:paraId="5FF06529" w14:textId="77777777" w:rsidR="00F760F0" w:rsidRDefault="00F760F0" w:rsidP="007453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A3"/>
    <w:rsid w:val="000077CF"/>
    <w:rsid w:val="00017FEE"/>
    <w:rsid w:val="00086148"/>
    <w:rsid w:val="000D0D01"/>
    <w:rsid w:val="000E6A88"/>
    <w:rsid w:val="00106FFF"/>
    <w:rsid w:val="00116859"/>
    <w:rsid w:val="00125426"/>
    <w:rsid w:val="001543C0"/>
    <w:rsid w:val="00154E67"/>
    <w:rsid w:val="001723AA"/>
    <w:rsid w:val="00196A8A"/>
    <w:rsid w:val="001C611F"/>
    <w:rsid w:val="00202E5C"/>
    <w:rsid w:val="002238F9"/>
    <w:rsid w:val="002A6AA7"/>
    <w:rsid w:val="00346A27"/>
    <w:rsid w:val="003E01D9"/>
    <w:rsid w:val="003F2C00"/>
    <w:rsid w:val="00465663"/>
    <w:rsid w:val="004A702D"/>
    <w:rsid w:val="005013B1"/>
    <w:rsid w:val="00502F84"/>
    <w:rsid w:val="00523CFF"/>
    <w:rsid w:val="0055589F"/>
    <w:rsid w:val="0056573B"/>
    <w:rsid w:val="005A49E3"/>
    <w:rsid w:val="005E2B9B"/>
    <w:rsid w:val="005E5836"/>
    <w:rsid w:val="006A6C0E"/>
    <w:rsid w:val="006E7F57"/>
    <w:rsid w:val="007160EA"/>
    <w:rsid w:val="00735F90"/>
    <w:rsid w:val="007453A3"/>
    <w:rsid w:val="00814147"/>
    <w:rsid w:val="00893003"/>
    <w:rsid w:val="008A6572"/>
    <w:rsid w:val="00902F1E"/>
    <w:rsid w:val="009238B8"/>
    <w:rsid w:val="00932A8A"/>
    <w:rsid w:val="00954BFC"/>
    <w:rsid w:val="009C5CA6"/>
    <w:rsid w:val="009F7F19"/>
    <w:rsid w:val="00A12F95"/>
    <w:rsid w:val="00A60B36"/>
    <w:rsid w:val="00A6251E"/>
    <w:rsid w:val="00A93BDE"/>
    <w:rsid w:val="00AF03F7"/>
    <w:rsid w:val="00B20899"/>
    <w:rsid w:val="00B672FC"/>
    <w:rsid w:val="00BB0954"/>
    <w:rsid w:val="00BD2014"/>
    <w:rsid w:val="00C22E98"/>
    <w:rsid w:val="00C7698B"/>
    <w:rsid w:val="00C77D1C"/>
    <w:rsid w:val="00CA76B8"/>
    <w:rsid w:val="00CD104A"/>
    <w:rsid w:val="00CF3029"/>
    <w:rsid w:val="00CF305C"/>
    <w:rsid w:val="00CF7FA9"/>
    <w:rsid w:val="00D56812"/>
    <w:rsid w:val="00DA5D5A"/>
    <w:rsid w:val="00DD570E"/>
    <w:rsid w:val="00DE2F47"/>
    <w:rsid w:val="00E21838"/>
    <w:rsid w:val="00E43825"/>
    <w:rsid w:val="00E61F67"/>
    <w:rsid w:val="00ED70D4"/>
    <w:rsid w:val="00EF4EC8"/>
    <w:rsid w:val="00F0782D"/>
    <w:rsid w:val="00F10DEF"/>
    <w:rsid w:val="00F760F0"/>
    <w:rsid w:val="00FC159D"/>
    <w:rsid w:val="00FF1CB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85BE4"/>
  <w15:chartTrackingRefBased/>
  <w15:docId w15:val="{179941DD-2C71-4441-B0B5-61477D0F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53A3"/>
    <w:pPr>
      <w:tabs>
        <w:tab w:val="center" w:pos="4536"/>
        <w:tab w:val="right" w:pos="9072"/>
      </w:tabs>
      <w:spacing w:after="0" w:line="240" w:lineRule="auto"/>
    </w:pPr>
  </w:style>
  <w:style w:type="character" w:customStyle="1" w:styleId="a4">
    <w:name w:val="Горен колонтитул Знак"/>
    <w:basedOn w:val="a0"/>
    <w:link w:val="a3"/>
    <w:uiPriority w:val="99"/>
    <w:rsid w:val="007453A3"/>
  </w:style>
  <w:style w:type="paragraph" w:styleId="a5">
    <w:name w:val="footer"/>
    <w:basedOn w:val="a"/>
    <w:link w:val="a6"/>
    <w:uiPriority w:val="99"/>
    <w:unhideWhenUsed/>
    <w:rsid w:val="007453A3"/>
    <w:pPr>
      <w:tabs>
        <w:tab w:val="center" w:pos="4536"/>
        <w:tab w:val="right" w:pos="9072"/>
      </w:tabs>
      <w:spacing w:after="0" w:line="240" w:lineRule="auto"/>
    </w:pPr>
  </w:style>
  <w:style w:type="character" w:customStyle="1" w:styleId="a6">
    <w:name w:val="Долен колонтитул Знак"/>
    <w:basedOn w:val="a0"/>
    <w:link w:val="a5"/>
    <w:uiPriority w:val="99"/>
    <w:rsid w:val="007453A3"/>
  </w:style>
  <w:style w:type="character" w:styleId="a7">
    <w:name w:val="Hyperlink"/>
    <w:basedOn w:val="a0"/>
    <w:uiPriority w:val="99"/>
    <w:unhideWhenUsed/>
    <w:rsid w:val="00BD2014"/>
    <w:rPr>
      <w:color w:val="0563C1" w:themeColor="hyperlink"/>
      <w:u w:val="single"/>
    </w:rPr>
  </w:style>
  <w:style w:type="character" w:styleId="a8">
    <w:name w:val="Unresolved Mention"/>
    <w:basedOn w:val="a0"/>
    <w:uiPriority w:val="99"/>
    <w:semiHidden/>
    <w:unhideWhenUsed/>
    <w:rsid w:val="00BD2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16/j.cities.2019.1024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ngthetable.com/why-is-community-engagement-importan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8</Pages>
  <Words>2299</Words>
  <Characters>13106</Characters>
  <Application>Microsoft Office Word</Application>
  <DocSecurity>0</DocSecurity>
  <Lines>109</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RUMENOVA SOTIROVA</dc:creator>
  <cp:keywords/>
  <dc:description/>
  <cp:lastModifiedBy>ELENA RUMENOVA SOTIROVA</cp:lastModifiedBy>
  <cp:revision>43</cp:revision>
  <dcterms:created xsi:type="dcterms:W3CDTF">2021-10-12T12:53:00Z</dcterms:created>
  <dcterms:modified xsi:type="dcterms:W3CDTF">2021-10-16T11:16:00Z</dcterms:modified>
</cp:coreProperties>
</file>