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0A1CA" w14:textId="0FA7B3BB" w:rsidR="007F0DC9" w:rsidRPr="00AB4084" w:rsidRDefault="00AB4084" w:rsidP="007F0DC9">
      <w:pPr>
        <w:rPr>
          <w:b/>
          <w:bCs/>
          <w:sz w:val="22"/>
          <w:szCs w:val="22"/>
        </w:rPr>
      </w:pPr>
      <w:r w:rsidRPr="00AB4084">
        <w:rPr>
          <w:b/>
          <w:bCs/>
          <w:sz w:val="22"/>
          <w:szCs w:val="22"/>
        </w:rPr>
        <w:t>Boundaries and Horizons: The Geographic Spread of La Tène Culture</w:t>
      </w:r>
    </w:p>
    <w:p w14:paraId="4E01D9E4" w14:textId="77777777" w:rsidR="00AB4084" w:rsidRPr="00AB4084" w:rsidRDefault="00AB4084" w:rsidP="007F0DC9">
      <w:pPr>
        <w:rPr>
          <w:sz w:val="22"/>
          <w:szCs w:val="22"/>
        </w:rPr>
      </w:pPr>
    </w:p>
    <w:p w14:paraId="62BB7FBF" w14:textId="3B8200E5" w:rsidR="007F0DC9" w:rsidRPr="00AB4084" w:rsidRDefault="007F0DC9" w:rsidP="007F0DC9">
      <w:pPr>
        <w:rPr>
          <w:sz w:val="22"/>
          <w:szCs w:val="22"/>
        </w:rPr>
      </w:pPr>
      <w:r w:rsidRPr="00AB4084">
        <w:rPr>
          <w:sz w:val="22"/>
          <w:szCs w:val="22"/>
        </w:rPr>
        <w:t xml:space="preserve">The La Tène culture, named after the archaeological site near Lake Neuchâtel in Switzerland, </w:t>
      </w:r>
      <w:r w:rsidR="005B2373" w:rsidRPr="00AB4084">
        <w:rPr>
          <w:sz w:val="22"/>
          <w:szCs w:val="22"/>
        </w:rPr>
        <w:t>spanned</w:t>
      </w:r>
      <w:r w:rsidRPr="00AB4084">
        <w:rPr>
          <w:sz w:val="22"/>
          <w:szCs w:val="22"/>
        </w:rPr>
        <w:t xml:space="preserve"> the 5th century BCE to the 1st century CE</w:t>
      </w:r>
      <w:r w:rsidR="005B2373" w:rsidRPr="00AB4084">
        <w:rPr>
          <w:sz w:val="22"/>
          <w:szCs w:val="22"/>
        </w:rPr>
        <w:t xml:space="preserve"> and</w:t>
      </w:r>
      <w:r w:rsidRPr="00AB4084">
        <w:rPr>
          <w:sz w:val="22"/>
          <w:szCs w:val="22"/>
        </w:rPr>
        <w:t xml:space="preserve"> marked a </w:t>
      </w:r>
      <w:r w:rsidR="00F14ED1" w:rsidRPr="00AB4084">
        <w:rPr>
          <w:sz w:val="22"/>
          <w:szCs w:val="22"/>
        </w:rPr>
        <w:t>period</w:t>
      </w:r>
      <w:r w:rsidRPr="00AB4084">
        <w:rPr>
          <w:sz w:val="22"/>
          <w:szCs w:val="22"/>
        </w:rPr>
        <w:t xml:space="preserve"> of significant change</w:t>
      </w:r>
      <w:r w:rsidR="00F14ED1" w:rsidRPr="00AB4084">
        <w:rPr>
          <w:sz w:val="22"/>
          <w:szCs w:val="22"/>
        </w:rPr>
        <w:t xml:space="preserve"> across a wide expanse of Europe and a </w:t>
      </w:r>
      <w:proofErr w:type="gramStart"/>
      <w:r w:rsidR="001D1650">
        <w:rPr>
          <w:sz w:val="22"/>
          <w:szCs w:val="22"/>
        </w:rPr>
        <w:t>various</w:t>
      </w:r>
      <w:r w:rsidR="00F14ED1" w:rsidRPr="00AB4084">
        <w:rPr>
          <w:sz w:val="22"/>
          <w:szCs w:val="22"/>
        </w:rPr>
        <w:t xml:space="preserve"> peoples</w:t>
      </w:r>
      <w:proofErr w:type="gramEnd"/>
      <w:r w:rsidRPr="00AB4084">
        <w:rPr>
          <w:sz w:val="22"/>
          <w:szCs w:val="22"/>
        </w:rPr>
        <w:t>. This period saw shifts in the way societies were organi</w:t>
      </w:r>
      <w:r w:rsidR="00F14ED1" w:rsidRPr="00AB4084">
        <w:rPr>
          <w:sz w:val="22"/>
          <w:szCs w:val="22"/>
        </w:rPr>
        <w:t>s</w:t>
      </w:r>
      <w:r w:rsidRPr="00AB4084">
        <w:rPr>
          <w:sz w:val="22"/>
          <w:szCs w:val="22"/>
        </w:rPr>
        <w:t xml:space="preserve">ed, as well as artistic and cultural developments that spread across much of Europe. </w:t>
      </w:r>
      <w:r w:rsidR="005B2373" w:rsidRPr="00AB4084">
        <w:rPr>
          <w:sz w:val="22"/>
          <w:szCs w:val="22"/>
        </w:rPr>
        <w:t>Here</w:t>
      </w:r>
      <w:r w:rsidRPr="00AB4084">
        <w:rPr>
          <w:sz w:val="22"/>
          <w:szCs w:val="22"/>
        </w:rPr>
        <w:t xml:space="preserve"> we’ll </w:t>
      </w:r>
      <w:r w:rsidR="005B2373" w:rsidRPr="00AB4084">
        <w:rPr>
          <w:sz w:val="22"/>
          <w:szCs w:val="22"/>
        </w:rPr>
        <w:t>discuss</w:t>
      </w:r>
      <w:r w:rsidRPr="00AB4084">
        <w:rPr>
          <w:sz w:val="22"/>
          <w:szCs w:val="22"/>
        </w:rPr>
        <w:t xml:space="preserve"> the geography </w:t>
      </w:r>
      <w:r w:rsidR="00F14ED1" w:rsidRPr="00AB4084">
        <w:rPr>
          <w:sz w:val="22"/>
          <w:szCs w:val="22"/>
        </w:rPr>
        <w:t xml:space="preserve">and topography of the La </w:t>
      </w:r>
      <w:proofErr w:type="spellStart"/>
      <w:r w:rsidR="00F14ED1" w:rsidRPr="00AB4084">
        <w:rPr>
          <w:sz w:val="22"/>
          <w:szCs w:val="22"/>
        </w:rPr>
        <w:t>Tene</w:t>
      </w:r>
      <w:proofErr w:type="spellEnd"/>
      <w:r w:rsidR="00F14ED1" w:rsidRPr="00AB4084">
        <w:rPr>
          <w:sz w:val="22"/>
          <w:szCs w:val="22"/>
        </w:rPr>
        <w:t xml:space="preserve"> settlements</w:t>
      </w:r>
      <w:r w:rsidR="005B2373" w:rsidRPr="00AB4084">
        <w:rPr>
          <w:sz w:val="22"/>
          <w:szCs w:val="22"/>
        </w:rPr>
        <w:t>, their importance to the development of the culture</w:t>
      </w:r>
      <w:r w:rsidR="00F14ED1" w:rsidRPr="00AB4084">
        <w:rPr>
          <w:sz w:val="22"/>
          <w:szCs w:val="22"/>
        </w:rPr>
        <w:t xml:space="preserve"> and look at </w:t>
      </w:r>
      <w:r w:rsidR="005B2373" w:rsidRPr="00AB4084">
        <w:rPr>
          <w:sz w:val="22"/>
          <w:szCs w:val="22"/>
        </w:rPr>
        <w:t>several</w:t>
      </w:r>
      <w:r w:rsidR="00F14ED1" w:rsidRPr="00AB4084">
        <w:rPr>
          <w:sz w:val="22"/>
          <w:szCs w:val="22"/>
        </w:rPr>
        <w:t xml:space="preserve"> </w:t>
      </w:r>
      <w:r w:rsidRPr="00AB4084">
        <w:rPr>
          <w:sz w:val="22"/>
          <w:szCs w:val="22"/>
        </w:rPr>
        <w:t>key sites that have deepened our understanding of this fascinating chapter in history.</w:t>
      </w:r>
    </w:p>
    <w:p w14:paraId="5F97C3A9" w14:textId="77777777" w:rsidR="007F0DC9" w:rsidRPr="00AB4084" w:rsidRDefault="007F0DC9" w:rsidP="007F0DC9">
      <w:pPr>
        <w:rPr>
          <w:sz w:val="22"/>
          <w:szCs w:val="22"/>
        </w:rPr>
      </w:pPr>
    </w:p>
    <w:p w14:paraId="3472F0AD" w14:textId="77777777" w:rsidR="00AB4084" w:rsidRPr="00AB4084" w:rsidRDefault="00AB4084" w:rsidP="007F0DC9">
      <w:pPr>
        <w:rPr>
          <w:sz w:val="22"/>
          <w:szCs w:val="22"/>
        </w:rPr>
      </w:pPr>
      <w:r w:rsidRPr="00AB4084">
        <w:rPr>
          <w:b/>
          <w:bCs/>
          <w:sz w:val="22"/>
          <w:szCs w:val="22"/>
        </w:rPr>
        <w:t xml:space="preserve">The Geographical placement of the </w:t>
      </w:r>
      <w:r w:rsidRPr="00AB4084">
        <w:rPr>
          <w:b/>
          <w:bCs/>
          <w:sz w:val="22"/>
          <w:szCs w:val="22"/>
        </w:rPr>
        <w:t>La Tène Culture</w:t>
      </w:r>
    </w:p>
    <w:p w14:paraId="44AE51B0" w14:textId="3887FD0E" w:rsidR="00DC568F" w:rsidRPr="00AB4084" w:rsidRDefault="007F0DC9" w:rsidP="007F0DC9">
      <w:pPr>
        <w:rPr>
          <w:sz w:val="22"/>
          <w:szCs w:val="22"/>
        </w:rPr>
      </w:pPr>
      <w:r w:rsidRPr="00AB4084">
        <w:rPr>
          <w:sz w:val="22"/>
          <w:szCs w:val="22"/>
        </w:rPr>
        <w:t xml:space="preserve">The La Tène culture wasn’t confined to one small </w:t>
      </w:r>
      <w:r w:rsidR="005B2373" w:rsidRPr="00AB4084">
        <w:rPr>
          <w:sz w:val="22"/>
          <w:szCs w:val="22"/>
        </w:rPr>
        <w:t>site or region, but instead</w:t>
      </w:r>
      <w:r w:rsidRPr="00AB4084">
        <w:rPr>
          <w:sz w:val="22"/>
          <w:szCs w:val="22"/>
        </w:rPr>
        <w:t xml:space="preserve"> stretched across Europe</w:t>
      </w:r>
      <w:r w:rsidR="00C37FE7" w:rsidRPr="00AB4084">
        <w:rPr>
          <w:sz w:val="22"/>
          <w:szCs w:val="22"/>
        </w:rPr>
        <w:t>, with finds</w:t>
      </w:r>
      <w:r w:rsidR="00DC568F" w:rsidRPr="00AB4084">
        <w:rPr>
          <w:sz w:val="22"/>
          <w:szCs w:val="22"/>
        </w:rPr>
        <w:t xml:space="preserve"> </w:t>
      </w:r>
      <w:r w:rsidR="00C563E9" w:rsidRPr="00AB4084">
        <w:rPr>
          <w:sz w:val="22"/>
          <w:szCs w:val="22"/>
        </w:rPr>
        <w:t>‘</w:t>
      </w:r>
      <w:r w:rsidR="00DC568F" w:rsidRPr="00AB4084">
        <w:rPr>
          <w:sz w:val="22"/>
          <w:szCs w:val="22"/>
        </w:rPr>
        <w:t>be</w:t>
      </w:r>
      <w:r w:rsidR="00C37FE7" w:rsidRPr="00AB4084">
        <w:rPr>
          <w:sz w:val="22"/>
          <w:szCs w:val="22"/>
        </w:rPr>
        <w:t>ing</w:t>
      </w:r>
      <w:r w:rsidR="00DC568F" w:rsidRPr="00AB4084">
        <w:rPr>
          <w:sz w:val="22"/>
          <w:szCs w:val="22"/>
        </w:rPr>
        <w:t xml:space="preserve"> identified over wide areas of Europe, from Scandinavia to </w:t>
      </w:r>
      <w:r w:rsidR="00751D8C" w:rsidRPr="00AB4084">
        <w:rPr>
          <w:sz w:val="22"/>
          <w:szCs w:val="22"/>
        </w:rPr>
        <w:t>northern Italy, and from Ireland to the Hungarian Plain</w:t>
      </w:r>
      <w:r w:rsidR="00C563E9" w:rsidRPr="00AB4084">
        <w:rPr>
          <w:sz w:val="22"/>
          <w:szCs w:val="22"/>
        </w:rPr>
        <w:t>’</w:t>
      </w:r>
      <w:r w:rsidR="00751D8C" w:rsidRPr="00AB4084">
        <w:rPr>
          <w:sz w:val="22"/>
          <w:szCs w:val="22"/>
        </w:rPr>
        <w:t>.</w:t>
      </w:r>
      <w:r w:rsidR="00C37FE7" w:rsidRPr="00AB4084">
        <w:rPr>
          <w:rStyle w:val="FootnoteReference"/>
          <w:sz w:val="22"/>
          <w:szCs w:val="22"/>
        </w:rPr>
        <w:footnoteReference w:id="1"/>
      </w:r>
      <w:r w:rsidR="00C37FE7" w:rsidRPr="00AB4084">
        <w:rPr>
          <w:sz w:val="22"/>
          <w:szCs w:val="22"/>
        </w:rPr>
        <w:t xml:space="preserve"> </w:t>
      </w:r>
    </w:p>
    <w:p w14:paraId="2AC4E64E" w14:textId="0BF668C1" w:rsidR="007F0DC9" w:rsidRPr="00AB4084" w:rsidRDefault="007F0DC9" w:rsidP="007F0DC9">
      <w:pPr>
        <w:rPr>
          <w:sz w:val="22"/>
          <w:szCs w:val="22"/>
        </w:rPr>
      </w:pPr>
    </w:p>
    <w:p w14:paraId="7882BE63" w14:textId="77777777" w:rsidR="009E3C9D" w:rsidRPr="00AB4084" w:rsidRDefault="007F0DC9" w:rsidP="007F0DC9">
      <w:pPr>
        <w:rPr>
          <w:sz w:val="22"/>
          <w:szCs w:val="22"/>
        </w:rPr>
      </w:pPr>
      <w:r w:rsidRPr="00AB4084">
        <w:rPr>
          <w:sz w:val="22"/>
          <w:szCs w:val="22"/>
        </w:rPr>
        <w:t>Archaeologist Sir Barry Cunliffe emphasi</w:t>
      </w:r>
      <w:r w:rsidR="005B2373" w:rsidRPr="00AB4084">
        <w:rPr>
          <w:sz w:val="22"/>
          <w:szCs w:val="22"/>
        </w:rPr>
        <w:t>ses</w:t>
      </w:r>
      <w:r w:rsidRPr="00AB4084">
        <w:rPr>
          <w:sz w:val="22"/>
          <w:szCs w:val="22"/>
        </w:rPr>
        <w:t xml:space="preserve"> that the La Tène culture was not a single, unified entity</w:t>
      </w:r>
      <w:r w:rsidR="005B2373" w:rsidRPr="00AB4084">
        <w:rPr>
          <w:sz w:val="22"/>
          <w:szCs w:val="22"/>
        </w:rPr>
        <w:t xml:space="preserve"> but</w:t>
      </w:r>
      <w:r w:rsidRPr="00AB4084">
        <w:rPr>
          <w:sz w:val="22"/>
          <w:szCs w:val="22"/>
        </w:rPr>
        <w:t xml:space="preserve"> </w:t>
      </w:r>
      <w:r w:rsidR="005B2373" w:rsidRPr="00AB4084">
        <w:rPr>
          <w:sz w:val="22"/>
          <w:szCs w:val="22"/>
        </w:rPr>
        <w:t>i</w:t>
      </w:r>
      <w:r w:rsidRPr="00AB4084">
        <w:rPr>
          <w:sz w:val="22"/>
          <w:szCs w:val="22"/>
        </w:rPr>
        <w:t xml:space="preserve">nstead a network of interconnected communities, each with its own regional </w:t>
      </w:r>
      <w:r w:rsidR="00F14ED1" w:rsidRPr="00AB4084">
        <w:rPr>
          <w:sz w:val="22"/>
          <w:szCs w:val="22"/>
        </w:rPr>
        <w:t xml:space="preserve">interpretation of art, </w:t>
      </w:r>
      <w:proofErr w:type="gramStart"/>
      <w:r w:rsidR="00F14ED1" w:rsidRPr="00AB4084">
        <w:rPr>
          <w:sz w:val="22"/>
          <w:szCs w:val="22"/>
        </w:rPr>
        <w:t>metalworking</w:t>
      </w:r>
      <w:proofErr w:type="gramEnd"/>
      <w:r w:rsidR="00F14ED1" w:rsidRPr="00AB4084">
        <w:rPr>
          <w:sz w:val="22"/>
          <w:szCs w:val="22"/>
        </w:rPr>
        <w:t xml:space="preserve"> and burial practices</w:t>
      </w:r>
      <w:r w:rsidRPr="00AB4084">
        <w:rPr>
          <w:sz w:val="22"/>
          <w:szCs w:val="22"/>
        </w:rPr>
        <w:t xml:space="preserve">. </w:t>
      </w:r>
    </w:p>
    <w:p w14:paraId="7982D62A" w14:textId="77777777" w:rsidR="009E3C9D" w:rsidRPr="00AB4084" w:rsidRDefault="009E3C9D" w:rsidP="007F0DC9">
      <w:pPr>
        <w:rPr>
          <w:sz w:val="22"/>
          <w:szCs w:val="22"/>
        </w:rPr>
      </w:pPr>
    </w:p>
    <w:p w14:paraId="70A78E6F" w14:textId="77777777" w:rsidR="009E3C9D" w:rsidRPr="00AB4084" w:rsidRDefault="009E3C9D" w:rsidP="009E3C9D">
      <w:pPr>
        <w:ind w:left="720"/>
        <w:rPr>
          <w:sz w:val="22"/>
          <w:szCs w:val="22"/>
        </w:rPr>
      </w:pPr>
      <w:r w:rsidRPr="00AB4084">
        <w:rPr>
          <w:sz w:val="22"/>
          <w:szCs w:val="22"/>
        </w:rPr>
        <w:t>The La Tène culture spread through Europe from its heartland on the northern fringes of the Alps, encompassing the middle Rhine, the upper Danube, and reaching the western regions of the Carpathian Basin. Its impact was felt from the Atlantic coast of Ireland and Iberia to as far east as the Black Sea</w:t>
      </w:r>
      <w:r w:rsidR="007F0DC9" w:rsidRPr="00AB4084">
        <w:rPr>
          <w:sz w:val="22"/>
          <w:szCs w:val="22"/>
        </w:rPr>
        <w:t>.</w:t>
      </w:r>
      <w:r w:rsidR="00C37FE7" w:rsidRPr="00AB4084">
        <w:rPr>
          <w:rStyle w:val="FootnoteReference"/>
          <w:sz w:val="22"/>
          <w:szCs w:val="22"/>
        </w:rPr>
        <w:footnoteReference w:id="2"/>
      </w:r>
      <w:r w:rsidR="00012108" w:rsidRPr="00AB4084">
        <w:rPr>
          <w:sz w:val="22"/>
          <w:szCs w:val="22"/>
        </w:rPr>
        <w:t xml:space="preserve"> </w:t>
      </w:r>
    </w:p>
    <w:p w14:paraId="51EAF7E4" w14:textId="77777777" w:rsidR="00F14ED1" w:rsidRPr="00AB4084" w:rsidRDefault="00F14ED1" w:rsidP="007F0DC9">
      <w:pPr>
        <w:rPr>
          <w:sz w:val="22"/>
          <w:szCs w:val="22"/>
        </w:rPr>
      </w:pPr>
    </w:p>
    <w:p w14:paraId="71F8CCFD" w14:textId="666C244E" w:rsidR="00AB4084" w:rsidRPr="00AB4084" w:rsidRDefault="00F14ED1" w:rsidP="007F0DC9">
      <w:pPr>
        <w:rPr>
          <w:sz w:val="22"/>
          <w:szCs w:val="22"/>
        </w:rPr>
      </w:pPr>
      <w:r w:rsidRPr="00F14ED1">
        <w:rPr>
          <w:b/>
          <w:bCs/>
          <w:sz w:val="22"/>
          <w:szCs w:val="22"/>
        </w:rPr>
        <w:t>Topography and Settlement Patterns</w:t>
      </w:r>
    </w:p>
    <w:p w14:paraId="08A4150E" w14:textId="5CFD06C0" w:rsidR="00F14ED1" w:rsidRPr="00AB4084" w:rsidRDefault="00F14ED1" w:rsidP="007F0DC9">
      <w:pPr>
        <w:rPr>
          <w:sz w:val="22"/>
          <w:szCs w:val="22"/>
        </w:rPr>
      </w:pPr>
      <w:r w:rsidRPr="00F14ED1">
        <w:rPr>
          <w:sz w:val="22"/>
          <w:szCs w:val="22"/>
        </w:rPr>
        <w:t>The geographical features of the La Tène culture's core areas played a vital role in shaping its settlement patterns</w:t>
      </w:r>
      <w:r w:rsidRPr="00AB4084">
        <w:rPr>
          <w:sz w:val="22"/>
          <w:szCs w:val="22"/>
        </w:rPr>
        <w:t xml:space="preserve">, with </w:t>
      </w:r>
      <w:r w:rsidRPr="00F14ED1">
        <w:rPr>
          <w:sz w:val="22"/>
          <w:szCs w:val="22"/>
        </w:rPr>
        <w:t>proximity to lakes and rivers facilitat</w:t>
      </w:r>
      <w:r w:rsidRPr="00AB4084">
        <w:rPr>
          <w:sz w:val="22"/>
          <w:szCs w:val="22"/>
        </w:rPr>
        <w:t>ing</w:t>
      </w:r>
      <w:r w:rsidRPr="00F14ED1">
        <w:rPr>
          <w:sz w:val="22"/>
          <w:szCs w:val="22"/>
        </w:rPr>
        <w:t xml:space="preserve"> trade, communication, and agricultural practices, contributing to the cultural and economic vibrancy of </w:t>
      </w:r>
      <w:r w:rsidR="00C37FE7" w:rsidRPr="00AB4084">
        <w:rPr>
          <w:sz w:val="22"/>
          <w:szCs w:val="22"/>
        </w:rPr>
        <w:t>each</w:t>
      </w:r>
      <w:r w:rsidRPr="00F14ED1">
        <w:rPr>
          <w:sz w:val="22"/>
          <w:szCs w:val="22"/>
        </w:rPr>
        <w:t xml:space="preserve"> region. The settlements often </w:t>
      </w:r>
      <w:r w:rsidRPr="00AB4084">
        <w:rPr>
          <w:sz w:val="22"/>
          <w:szCs w:val="22"/>
        </w:rPr>
        <w:t>highlight</w:t>
      </w:r>
      <w:r w:rsidRPr="00F14ED1">
        <w:rPr>
          <w:sz w:val="22"/>
          <w:szCs w:val="22"/>
        </w:rPr>
        <w:t xml:space="preserve"> strategic positioning, emphasi</w:t>
      </w:r>
      <w:r w:rsidRPr="00AB4084">
        <w:rPr>
          <w:sz w:val="22"/>
          <w:szCs w:val="22"/>
        </w:rPr>
        <w:t>s</w:t>
      </w:r>
      <w:r w:rsidRPr="00F14ED1">
        <w:rPr>
          <w:sz w:val="22"/>
          <w:szCs w:val="22"/>
        </w:rPr>
        <w:t xml:space="preserve">ing natural </w:t>
      </w:r>
      <w:r w:rsidRPr="00AB4084">
        <w:rPr>
          <w:sz w:val="22"/>
          <w:szCs w:val="22"/>
        </w:rPr>
        <w:t>defences</w:t>
      </w:r>
      <w:r w:rsidRPr="00F14ED1">
        <w:rPr>
          <w:sz w:val="22"/>
          <w:szCs w:val="22"/>
        </w:rPr>
        <w:t xml:space="preserve"> like hillforts</w:t>
      </w:r>
      <w:r w:rsidRPr="00AB4084">
        <w:rPr>
          <w:sz w:val="22"/>
          <w:szCs w:val="22"/>
        </w:rPr>
        <w:t xml:space="preserve"> which reinforces </w:t>
      </w:r>
      <w:r w:rsidRPr="00F14ED1">
        <w:rPr>
          <w:sz w:val="22"/>
          <w:szCs w:val="22"/>
        </w:rPr>
        <w:t>the culture's adaptability to the surrounding landscape.</w:t>
      </w:r>
      <w:r w:rsidR="00C37FE7" w:rsidRPr="00AB4084">
        <w:rPr>
          <w:rStyle w:val="FootnoteReference"/>
          <w:sz w:val="22"/>
          <w:szCs w:val="22"/>
        </w:rPr>
        <w:footnoteReference w:id="3"/>
      </w:r>
    </w:p>
    <w:p w14:paraId="3233E71A" w14:textId="77777777" w:rsidR="009E3C9D" w:rsidRPr="00AB4084" w:rsidRDefault="009E3C9D" w:rsidP="007F0DC9">
      <w:pPr>
        <w:rPr>
          <w:sz w:val="22"/>
          <w:szCs w:val="22"/>
        </w:rPr>
      </w:pPr>
    </w:p>
    <w:p w14:paraId="7FA4DD47" w14:textId="228B8BC2" w:rsidR="009E3C9D" w:rsidRPr="00AB4084" w:rsidRDefault="009E3C9D" w:rsidP="009E3C9D">
      <w:pPr>
        <w:ind w:left="720"/>
        <w:rPr>
          <w:sz w:val="22"/>
          <w:szCs w:val="22"/>
        </w:rPr>
      </w:pPr>
      <w:r w:rsidRPr="00AB4084">
        <w:rPr>
          <w:sz w:val="22"/>
          <w:szCs w:val="22"/>
        </w:rPr>
        <w:t>The La Tène culture, with its concentration around the central European lake regions and river valleys, defined a critical cultural zone stretching across the territories of modern-day France, Germany, Switzerland, and Austria. This cultural complex illustrates a dynamic network of trade, social organization, and shared artistic expression across Iron Age Europe.</w:t>
      </w:r>
      <w:r w:rsidRPr="00AB4084">
        <w:rPr>
          <w:rStyle w:val="FootnoteReference"/>
          <w:sz w:val="22"/>
          <w:szCs w:val="22"/>
        </w:rPr>
        <w:footnoteReference w:id="4"/>
      </w:r>
    </w:p>
    <w:p w14:paraId="07D69993" w14:textId="77777777" w:rsidR="00C563E9" w:rsidRPr="00AB4084" w:rsidRDefault="00C563E9" w:rsidP="007F0DC9">
      <w:pPr>
        <w:rPr>
          <w:b/>
          <w:bCs/>
          <w:sz w:val="22"/>
          <w:szCs w:val="22"/>
        </w:rPr>
      </w:pPr>
    </w:p>
    <w:p w14:paraId="41805AE2" w14:textId="2F34636A" w:rsidR="007F0DC9" w:rsidRPr="00AB4084" w:rsidRDefault="007F0DC9" w:rsidP="007F0DC9">
      <w:pPr>
        <w:rPr>
          <w:b/>
          <w:bCs/>
          <w:sz w:val="22"/>
          <w:szCs w:val="22"/>
        </w:rPr>
      </w:pPr>
      <w:r w:rsidRPr="00AB4084">
        <w:rPr>
          <w:b/>
          <w:bCs/>
          <w:sz w:val="22"/>
          <w:szCs w:val="22"/>
        </w:rPr>
        <w:t>Key Locations of the La Tène Culture</w:t>
      </w:r>
    </w:p>
    <w:p w14:paraId="5B34E38E" w14:textId="77777777" w:rsidR="007F0DC9" w:rsidRPr="00AB4084" w:rsidRDefault="007F0DC9" w:rsidP="007F0DC9">
      <w:pPr>
        <w:rPr>
          <w:sz w:val="22"/>
          <w:szCs w:val="22"/>
        </w:rPr>
      </w:pPr>
      <w:r w:rsidRPr="00AB4084">
        <w:rPr>
          <w:sz w:val="22"/>
          <w:szCs w:val="22"/>
        </w:rPr>
        <w:t xml:space="preserve">  </w:t>
      </w:r>
    </w:p>
    <w:p w14:paraId="170AA4F1" w14:textId="57E7EEC1" w:rsidR="007F0DC9" w:rsidRPr="00AB4084" w:rsidRDefault="007F0DC9" w:rsidP="007F0DC9">
      <w:pPr>
        <w:rPr>
          <w:sz w:val="22"/>
          <w:szCs w:val="22"/>
        </w:rPr>
      </w:pPr>
      <w:proofErr w:type="spellStart"/>
      <w:r w:rsidRPr="00AB4084">
        <w:rPr>
          <w:sz w:val="22"/>
          <w:szCs w:val="22"/>
        </w:rPr>
        <w:t>Manching</w:t>
      </w:r>
      <w:proofErr w:type="spellEnd"/>
      <w:r w:rsidRPr="00AB4084">
        <w:rPr>
          <w:sz w:val="22"/>
          <w:szCs w:val="22"/>
        </w:rPr>
        <w:t>, Germany: Located in Bavaria, this major La Tène settlement was more than just a village</w:t>
      </w:r>
      <w:r w:rsidR="00F14ED1" w:rsidRPr="00AB4084">
        <w:rPr>
          <w:sz w:val="22"/>
          <w:szCs w:val="22"/>
        </w:rPr>
        <w:t xml:space="preserve">, with its </w:t>
      </w:r>
      <w:r w:rsidRPr="00AB4084">
        <w:rPr>
          <w:sz w:val="22"/>
          <w:szCs w:val="22"/>
        </w:rPr>
        <w:t>large fortifications suggest</w:t>
      </w:r>
      <w:r w:rsidR="00F14ED1" w:rsidRPr="00AB4084">
        <w:rPr>
          <w:sz w:val="22"/>
          <w:szCs w:val="22"/>
        </w:rPr>
        <w:t>ing</w:t>
      </w:r>
      <w:r w:rsidRPr="00AB4084">
        <w:rPr>
          <w:sz w:val="22"/>
          <w:szCs w:val="22"/>
        </w:rPr>
        <w:t xml:space="preserve"> a well-organi</w:t>
      </w:r>
      <w:r w:rsidR="00F14ED1" w:rsidRPr="00AB4084">
        <w:rPr>
          <w:sz w:val="22"/>
          <w:szCs w:val="22"/>
        </w:rPr>
        <w:t>s</w:t>
      </w:r>
      <w:r w:rsidRPr="00AB4084">
        <w:rPr>
          <w:sz w:val="22"/>
          <w:szCs w:val="22"/>
        </w:rPr>
        <w:t xml:space="preserve">ed society with a focus on </w:t>
      </w:r>
      <w:r w:rsidR="00F14ED1" w:rsidRPr="00AB4084">
        <w:rPr>
          <w:sz w:val="22"/>
          <w:szCs w:val="22"/>
        </w:rPr>
        <w:t>defence</w:t>
      </w:r>
      <w:r w:rsidRPr="00AB4084">
        <w:rPr>
          <w:sz w:val="22"/>
          <w:szCs w:val="22"/>
        </w:rPr>
        <w:t xml:space="preserve"> and strategic planning.</w:t>
      </w:r>
      <w:r w:rsidR="00F14ED1" w:rsidRPr="00AB4084">
        <w:rPr>
          <w:sz w:val="22"/>
          <w:szCs w:val="22"/>
        </w:rPr>
        <w:t xml:space="preserve"> This also shows us the </w:t>
      </w:r>
      <w:r w:rsidR="001D1650" w:rsidRPr="00AB4084">
        <w:rPr>
          <w:sz w:val="22"/>
          <w:szCs w:val="22"/>
        </w:rPr>
        <w:t>often-warlike</w:t>
      </w:r>
      <w:r w:rsidR="00F14ED1" w:rsidRPr="00AB4084">
        <w:rPr>
          <w:sz w:val="22"/>
          <w:szCs w:val="22"/>
        </w:rPr>
        <w:t xml:space="preserve"> interconnectivity of the Le </w:t>
      </w:r>
      <w:proofErr w:type="spellStart"/>
      <w:r w:rsidR="00F14ED1" w:rsidRPr="00AB4084">
        <w:rPr>
          <w:sz w:val="22"/>
          <w:szCs w:val="22"/>
        </w:rPr>
        <w:t>Tene</w:t>
      </w:r>
      <w:proofErr w:type="spellEnd"/>
      <w:r w:rsidR="00F14ED1" w:rsidRPr="00AB4084">
        <w:rPr>
          <w:sz w:val="22"/>
          <w:szCs w:val="22"/>
        </w:rPr>
        <w:t xml:space="preserve"> peoples and </w:t>
      </w:r>
      <w:r w:rsidR="001D1650" w:rsidRPr="00AB4084">
        <w:rPr>
          <w:sz w:val="22"/>
          <w:szCs w:val="22"/>
        </w:rPr>
        <w:t>its</w:t>
      </w:r>
      <w:r w:rsidR="00F14ED1" w:rsidRPr="00AB4084">
        <w:rPr>
          <w:sz w:val="22"/>
          <w:szCs w:val="22"/>
        </w:rPr>
        <w:t xml:space="preserve"> surroundings.</w:t>
      </w:r>
      <w:r w:rsidR="00C563E9" w:rsidRPr="00AB4084">
        <w:rPr>
          <w:rStyle w:val="FootnoteReference"/>
          <w:sz w:val="22"/>
          <w:szCs w:val="22"/>
        </w:rPr>
        <w:footnoteReference w:id="5"/>
      </w:r>
      <w:r w:rsidR="00012108" w:rsidRPr="00AB4084">
        <w:rPr>
          <w:sz w:val="22"/>
          <w:szCs w:val="22"/>
        </w:rPr>
        <w:t xml:space="preserve"> </w:t>
      </w:r>
    </w:p>
    <w:p w14:paraId="0E6669AD" w14:textId="77777777" w:rsidR="007F0DC9" w:rsidRPr="00AB4084" w:rsidRDefault="007F0DC9" w:rsidP="007F0DC9">
      <w:pPr>
        <w:rPr>
          <w:sz w:val="22"/>
          <w:szCs w:val="22"/>
        </w:rPr>
      </w:pPr>
    </w:p>
    <w:p w14:paraId="108326AD" w14:textId="0EE59DC7" w:rsidR="000F4AA6" w:rsidRPr="00AB4084" w:rsidRDefault="007F0DC9" w:rsidP="007F0DC9">
      <w:pPr>
        <w:rPr>
          <w:sz w:val="22"/>
          <w:szCs w:val="22"/>
        </w:rPr>
      </w:pPr>
      <w:proofErr w:type="spellStart"/>
      <w:r w:rsidRPr="00AB4084">
        <w:rPr>
          <w:sz w:val="22"/>
          <w:szCs w:val="22"/>
        </w:rPr>
        <w:lastRenderedPageBreak/>
        <w:t>Bibracte</w:t>
      </w:r>
      <w:proofErr w:type="spellEnd"/>
      <w:r w:rsidRPr="00AB4084">
        <w:rPr>
          <w:sz w:val="22"/>
          <w:szCs w:val="22"/>
        </w:rPr>
        <w:t>, France:</w:t>
      </w:r>
      <w:r w:rsidR="001D1650">
        <w:rPr>
          <w:sz w:val="22"/>
          <w:szCs w:val="22"/>
        </w:rPr>
        <w:t xml:space="preserve"> L</w:t>
      </w:r>
      <w:r w:rsidR="000F4AA6" w:rsidRPr="00AB4084">
        <w:rPr>
          <w:sz w:val="22"/>
          <w:szCs w:val="22"/>
        </w:rPr>
        <w:t xml:space="preserve">ocated on Mont </w:t>
      </w:r>
      <w:proofErr w:type="spellStart"/>
      <w:r w:rsidR="000F4AA6" w:rsidRPr="00AB4084">
        <w:rPr>
          <w:sz w:val="22"/>
          <w:szCs w:val="22"/>
        </w:rPr>
        <w:t>Beuvray</w:t>
      </w:r>
      <w:proofErr w:type="spellEnd"/>
      <w:r w:rsidR="000F4AA6" w:rsidRPr="00AB4084">
        <w:rPr>
          <w:sz w:val="22"/>
          <w:szCs w:val="22"/>
        </w:rPr>
        <w:t xml:space="preserve"> in France, </w:t>
      </w:r>
      <w:r w:rsidR="001D1650">
        <w:rPr>
          <w:sz w:val="22"/>
          <w:szCs w:val="22"/>
        </w:rPr>
        <w:t>th</w:t>
      </w:r>
      <w:r w:rsidR="000F4AA6" w:rsidRPr="00AB4084">
        <w:rPr>
          <w:sz w:val="22"/>
          <w:szCs w:val="22"/>
        </w:rPr>
        <w:t>is fortified settlement</w:t>
      </w:r>
      <w:r w:rsidR="000F4AA6" w:rsidRPr="00AB4084">
        <w:rPr>
          <w:sz w:val="22"/>
          <w:szCs w:val="22"/>
        </w:rPr>
        <w:t xml:space="preserve">, also known as a </w:t>
      </w:r>
      <w:r w:rsidR="000F4AA6" w:rsidRPr="00AB4084">
        <w:rPr>
          <w:sz w:val="22"/>
          <w:szCs w:val="22"/>
        </w:rPr>
        <w:t xml:space="preserve">Gallic oppidum, was the capital of the </w:t>
      </w:r>
      <w:proofErr w:type="spellStart"/>
      <w:r w:rsidR="000F4AA6" w:rsidRPr="00AB4084">
        <w:rPr>
          <w:sz w:val="22"/>
          <w:szCs w:val="22"/>
        </w:rPr>
        <w:t>Aedui</w:t>
      </w:r>
      <w:proofErr w:type="spellEnd"/>
      <w:r w:rsidR="000F4AA6" w:rsidRPr="00AB4084">
        <w:rPr>
          <w:sz w:val="22"/>
          <w:szCs w:val="22"/>
        </w:rPr>
        <w:t xml:space="preserve"> and one of the most important hillforts in Gaul. The material culture </w:t>
      </w:r>
      <w:r w:rsidR="001D1650">
        <w:rPr>
          <w:sz w:val="22"/>
          <w:szCs w:val="22"/>
        </w:rPr>
        <w:t xml:space="preserve">here </w:t>
      </w:r>
      <w:r w:rsidR="000F4AA6" w:rsidRPr="00AB4084">
        <w:rPr>
          <w:sz w:val="22"/>
          <w:szCs w:val="22"/>
        </w:rPr>
        <w:t xml:space="preserve">corresponded to the Late Iron Age La Tène </w:t>
      </w:r>
      <w:proofErr w:type="gramStart"/>
      <w:r w:rsidR="000F4AA6" w:rsidRPr="00AB4084">
        <w:rPr>
          <w:sz w:val="22"/>
          <w:szCs w:val="22"/>
        </w:rPr>
        <w:t>culture</w:t>
      </w:r>
      <w:r w:rsidR="000F4AA6" w:rsidRPr="00AB4084">
        <w:rPr>
          <w:sz w:val="22"/>
          <w:szCs w:val="22"/>
        </w:rPr>
        <w:t>, and</w:t>
      </w:r>
      <w:proofErr w:type="gramEnd"/>
      <w:r w:rsidR="000F4AA6" w:rsidRPr="00AB4084">
        <w:rPr>
          <w:sz w:val="22"/>
          <w:szCs w:val="22"/>
        </w:rPr>
        <w:t xml:space="preserve"> is famed as the base of the </w:t>
      </w:r>
      <w:proofErr w:type="spellStart"/>
      <w:r w:rsidR="000F4AA6" w:rsidRPr="00AB4084">
        <w:rPr>
          <w:sz w:val="22"/>
          <w:szCs w:val="22"/>
        </w:rPr>
        <w:t>Gaulish</w:t>
      </w:r>
      <w:proofErr w:type="spellEnd"/>
      <w:r w:rsidR="000F4AA6" w:rsidRPr="00AB4084">
        <w:rPr>
          <w:sz w:val="22"/>
          <w:szCs w:val="22"/>
        </w:rPr>
        <w:t xml:space="preserve"> Coalition of Vercingetorix before their defeat by the armies of Julius Caesar in 52 BCE.</w:t>
      </w:r>
      <w:r w:rsidR="00C563E9" w:rsidRPr="00AB4084">
        <w:rPr>
          <w:rStyle w:val="FootnoteReference"/>
          <w:sz w:val="22"/>
          <w:szCs w:val="22"/>
        </w:rPr>
        <w:footnoteReference w:id="6"/>
      </w:r>
      <w:r w:rsidR="000F4AA6" w:rsidRPr="00AB4084">
        <w:rPr>
          <w:sz w:val="22"/>
          <w:szCs w:val="22"/>
        </w:rPr>
        <w:t xml:space="preserve"> </w:t>
      </w:r>
    </w:p>
    <w:p w14:paraId="7516AF97" w14:textId="77777777" w:rsidR="007F0DC9" w:rsidRPr="00AB4084" w:rsidRDefault="007F0DC9" w:rsidP="007F0DC9">
      <w:pPr>
        <w:rPr>
          <w:sz w:val="22"/>
          <w:szCs w:val="22"/>
        </w:rPr>
      </w:pPr>
    </w:p>
    <w:p w14:paraId="34C4FCA8" w14:textId="1B2243BD" w:rsidR="000F4AA6" w:rsidRPr="00AB4084" w:rsidRDefault="000F4AA6" w:rsidP="000F4AA6">
      <w:pPr>
        <w:rPr>
          <w:sz w:val="22"/>
          <w:szCs w:val="22"/>
        </w:rPr>
      </w:pPr>
      <w:proofErr w:type="spellStart"/>
      <w:r w:rsidRPr="00AB4084">
        <w:rPr>
          <w:sz w:val="22"/>
          <w:szCs w:val="22"/>
        </w:rPr>
        <w:t>Ptuj</w:t>
      </w:r>
      <w:proofErr w:type="spellEnd"/>
      <w:r w:rsidRPr="00AB4084">
        <w:rPr>
          <w:sz w:val="22"/>
          <w:szCs w:val="22"/>
        </w:rPr>
        <w:t xml:space="preserve">, </w:t>
      </w:r>
      <w:r w:rsidR="007F0DC9" w:rsidRPr="00AB4084">
        <w:rPr>
          <w:sz w:val="22"/>
          <w:szCs w:val="22"/>
        </w:rPr>
        <w:t xml:space="preserve">Slovenia: </w:t>
      </w:r>
      <w:r w:rsidRPr="00AB4084">
        <w:rPr>
          <w:sz w:val="22"/>
          <w:szCs w:val="22"/>
        </w:rPr>
        <w:t xml:space="preserve">The area of the modern city of </w:t>
      </w:r>
      <w:proofErr w:type="spellStart"/>
      <w:r w:rsidRPr="00AB4084">
        <w:rPr>
          <w:sz w:val="22"/>
          <w:szCs w:val="22"/>
        </w:rPr>
        <w:t>Ptuj</w:t>
      </w:r>
      <w:proofErr w:type="spellEnd"/>
      <w:r w:rsidRPr="00AB4084">
        <w:rPr>
          <w:sz w:val="22"/>
          <w:szCs w:val="22"/>
        </w:rPr>
        <w:t xml:space="preserve"> in eastern Slovenia has yielded a massive amount of </w:t>
      </w:r>
      <w:r w:rsidR="001D1650">
        <w:rPr>
          <w:sz w:val="22"/>
          <w:szCs w:val="22"/>
        </w:rPr>
        <w:t xml:space="preserve">La </w:t>
      </w:r>
      <w:r w:rsidR="001D1650" w:rsidRPr="00AB4084">
        <w:rPr>
          <w:sz w:val="22"/>
          <w:szCs w:val="22"/>
        </w:rPr>
        <w:t xml:space="preserve">Tène </w:t>
      </w:r>
      <w:r w:rsidRPr="00AB4084">
        <w:rPr>
          <w:sz w:val="22"/>
          <w:szCs w:val="22"/>
        </w:rPr>
        <w:t>material at multiple sites around the city.</w:t>
      </w:r>
      <w:r w:rsidRPr="00AB4084">
        <w:rPr>
          <w:sz w:val="22"/>
          <w:szCs w:val="22"/>
        </w:rPr>
        <w:t xml:space="preserve"> </w:t>
      </w:r>
      <w:r w:rsidRPr="00AB4084">
        <w:rPr>
          <w:sz w:val="22"/>
          <w:szCs w:val="22"/>
        </w:rPr>
        <w:t xml:space="preserve">On the </w:t>
      </w:r>
      <w:proofErr w:type="spellStart"/>
      <w:r w:rsidRPr="00AB4084">
        <w:rPr>
          <w:sz w:val="22"/>
          <w:szCs w:val="22"/>
        </w:rPr>
        <w:t>southeastern</w:t>
      </w:r>
      <w:proofErr w:type="spellEnd"/>
      <w:r w:rsidRPr="00AB4084">
        <w:rPr>
          <w:sz w:val="22"/>
          <w:szCs w:val="22"/>
        </w:rPr>
        <w:t xml:space="preserve"> edge of the La Tène world, this site offers clues about how </w:t>
      </w:r>
      <w:r w:rsidR="001D1650">
        <w:rPr>
          <w:sz w:val="22"/>
          <w:szCs w:val="22"/>
        </w:rPr>
        <w:t>the</w:t>
      </w:r>
      <w:r w:rsidRPr="00AB4084">
        <w:rPr>
          <w:sz w:val="22"/>
          <w:szCs w:val="22"/>
        </w:rPr>
        <w:t xml:space="preserve"> culture spread to and influenced regions further afield</w:t>
      </w:r>
      <w:r w:rsidRPr="00AB4084">
        <w:rPr>
          <w:sz w:val="22"/>
          <w:szCs w:val="22"/>
        </w:rPr>
        <w:t xml:space="preserve">, </w:t>
      </w:r>
      <w:r w:rsidR="00EB6F9A" w:rsidRPr="00AB4084">
        <w:rPr>
          <w:sz w:val="22"/>
          <w:szCs w:val="22"/>
        </w:rPr>
        <w:t>spanning a vast distance and yet retaining clearly recognisable elements.</w:t>
      </w:r>
      <w:r w:rsidR="00C563E9" w:rsidRPr="00AB4084">
        <w:rPr>
          <w:rStyle w:val="FootnoteReference"/>
          <w:sz w:val="22"/>
          <w:szCs w:val="22"/>
        </w:rPr>
        <w:footnoteReference w:id="7"/>
      </w:r>
    </w:p>
    <w:p w14:paraId="025B1950" w14:textId="041D8CBB" w:rsidR="007F0DC9" w:rsidRPr="00AB4084" w:rsidRDefault="007F0DC9" w:rsidP="007F0DC9">
      <w:pPr>
        <w:rPr>
          <w:sz w:val="22"/>
          <w:szCs w:val="22"/>
        </w:rPr>
      </w:pPr>
    </w:p>
    <w:p w14:paraId="67592537" w14:textId="17BA46A9" w:rsidR="000F4AA6" w:rsidRPr="00AB4084" w:rsidRDefault="00EB6F9A" w:rsidP="000F4AA6">
      <w:pPr>
        <w:rPr>
          <w:sz w:val="22"/>
          <w:szCs w:val="22"/>
        </w:rPr>
      </w:pPr>
      <w:r w:rsidRPr="00AB4084">
        <w:rPr>
          <w:sz w:val="22"/>
          <w:szCs w:val="22"/>
        </w:rPr>
        <w:t>F</w:t>
      </w:r>
      <w:r w:rsidRPr="00AB4084">
        <w:rPr>
          <w:sz w:val="22"/>
          <w:szCs w:val="22"/>
        </w:rPr>
        <w:t>our Early La Tène</w:t>
      </w:r>
      <w:r w:rsidRPr="00AB4084">
        <w:rPr>
          <w:sz w:val="22"/>
          <w:szCs w:val="22"/>
        </w:rPr>
        <w:t xml:space="preserve"> </w:t>
      </w:r>
      <w:r w:rsidRPr="00AB4084">
        <w:rPr>
          <w:sz w:val="22"/>
          <w:szCs w:val="22"/>
        </w:rPr>
        <w:t xml:space="preserve">graves were discovered in </w:t>
      </w:r>
      <w:proofErr w:type="spellStart"/>
      <w:r w:rsidRPr="00AB4084">
        <w:rPr>
          <w:sz w:val="22"/>
          <w:szCs w:val="22"/>
        </w:rPr>
        <w:t>Srednica</w:t>
      </w:r>
      <w:proofErr w:type="spellEnd"/>
      <w:r w:rsidRPr="00AB4084">
        <w:rPr>
          <w:sz w:val="22"/>
          <w:szCs w:val="22"/>
        </w:rPr>
        <w:t xml:space="preserve"> on the outskirts of </w:t>
      </w:r>
      <w:proofErr w:type="spellStart"/>
      <w:r w:rsidRPr="00AB4084">
        <w:rPr>
          <w:sz w:val="22"/>
          <w:szCs w:val="22"/>
        </w:rPr>
        <w:t>Ptuj</w:t>
      </w:r>
      <w:proofErr w:type="spellEnd"/>
      <w:r w:rsidRPr="00AB4084">
        <w:rPr>
          <w:sz w:val="22"/>
          <w:szCs w:val="22"/>
        </w:rPr>
        <w:t xml:space="preserve">, </w:t>
      </w:r>
      <w:r w:rsidRPr="00AB4084">
        <w:rPr>
          <w:sz w:val="22"/>
          <w:szCs w:val="22"/>
        </w:rPr>
        <w:t>(</w:t>
      </w:r>
      <w:r w:rsidRPr="00AB4084">
        <w:rPr>
          <w:sz w:val="22"/>
          <w:szCs w:val="22"/>
        </w:rPr>
        <w:t>three female burials and that of a warrior</w:t>
      </w:r>
      <w:r w:rsidRPr="00AB4084">
        <w:rPr>
          <w:sz w:val="22"/>
          <w:szCs w:val="22"/>
        </w:rPr>
        <w:t>), with t</w:t>
      </w:r>
      <w:r w:rsidR="000F4AA6" w:rsidRPr="00AB4084">
        <w:rPr>
          <w:sz w:val="22"/>
          <w:szCs w:val="22"/>
        </w:rPr>
        <w:t xml:space="preserve">he most spectacular discovery in the burial </w:t>
      </w:r>
      <w:r w:rsidRPr="00AB4084">
        <w:rPr>
          <w:sz w:val="22"/>
          <w:szCs w:val="22"/>
        </w:rPr>
        <w:t>being</w:t>
      </w:r>
      <w:r w:rsidR="000F4AA6" w:rsidRPr="00AB4084">
        <w:rPr>
          <w:sz w:val="22"/>
          <w:szCs w:val="22"/>
        </w:rPr>
        <w:t xml:space="preserve"> the sword/scabbard</w:t>
      </w:r>
      <w:r w:rsidRPr="00AB4084">
        <w:rPr>
          <w:sz w:val="22"/>
          <w:szCs w:val="22"/>
        </w:rPr>
        <w:t xml:space="preserve"> which was</w:t>
      </w:r>
      <w:r w:rsidR="000F4AA6" w:rsidRPr="00AB4084">
        <w:rPr>
          <w:sz w:val="22"/>
          <w:szCs w:val="22"/>
        </w:rPr>
        <w:t xml:space="preserve"> richly decorated with tendrils, s-</w:t>
      </w:r>
      <w:proofErr w:type="gramStart"/>
      <w:r w:rsidR="000F4AA6" w:rsidRPr="00AB4084">
        <w:rPr>
          <w:sz w:val="22"/>
          <w:szCs w:val="22"/>
        </w:rPr>
        <w:t>scrolls</w:t>
      </w:r>
      <w:proofErr w:type="gramEnd"/>
      <w:r w:rsidR="000F4AA6" w:rsidRPr="00AB4084">
        <w:rPr>
          <w:sz w:val="22"/>
          <w:szCs w:val="22"/>
        </w:rPr>
        <w:t xml:space="preserve"> and triskele motifs, combining many Celtic stylistic elements of this period.</w:t>
      </w:r>
      <w:r w:rsidR="00CE2D99" w:rsidRPr="00AB4084">
        <w:rPr>
          <w:rStyle w:val="FootnoteReference"/>
          <w:sz w:val="22"/>
          <w:szCs w:val="22"/>
        </w:rPr>
        <w:footnoteReference w:id="8"/>
      </w:r>
    </w:p>
    <w:p w14:paraId="034E95EF" w14:textId="77777777" w:rsidR="000F4AA6" w:rsidRPr="00AB4084" w:rsidRDefault="000F4AA6" w:rsidP="007F0DC9">
      <w:pPr>
        <w:rPr>
          <w:sz w:val="22"/>
          <w:szCs w:val="22"/>
        </w:rPr>
      </w:pPr>
    </w:p>
    <w:p w14:paraId="28C30380" w14:textId="77777777" w:rsidR="00506667" w:rsidRDefault="00EB6F9A" w:rsidP="007F0DC9">
      <w:pPr>
        <w:rPr>
          <w:b/>
          <w:bCs/>
          <w:sz w:val="22"/>
          <w:szCs w:val="22"/>
        </w:rPr>
      </w:pPr>
      <w:r w:rsidRPr="00F14ED1">
        <w:rPr>
          <w:b/>
          <w:bCs/>
          <w:sz w:val="22"/>
          <w:szCs w:val="22"/>
        </w:rPr>
        <w:t xml:space="preserve">Interactions with </w:t>
      </w:r>
      <w:r w:rsidR="005B2373" w:rsidRPr="00AB4084">
        <w:rPr>
          <w:b/>
          <w:bCs/>
          <w:sz w:val="22"/>
          <w:szCs w:val="22"/>
        </w:rPr>
        <w:t>O</w:t>
      </w:r>
      <w:r w:rsidRPr="00F14ED1">
        <w:rPr>
          <w:b/>
          <w:bCs/>
          <w:sz w:val="22"/>
          <w:szCs w:val="22"/>
        </w:rPr>
        <w:t>ther Cultures</w:t>
      </w:r>
    </w:p>
    <w:p w14:paraId="6AB1E745" w14:textId="77777777" w:rsidR="00506667" w:rsidRDefault="00506667" w:rsidP="007F0DC9">
      <w:pPr>
        <w:rPr>
          <w:b/>
          <w:bCs/>
          <w:sz w:val="22"/>
          <w:szCs w:val="22"/>
        </w:rPr>
      </w:pPr>
    </w:p>
    <w:p w14:paraId="7BE6C349" w14:textId="5C6A0796" w:rsidR="007F0DC9" w:rsidRPr="00AB4084" w:rsidRDefault="00EB6F9A" w:rsidP="007F0DC9">
      <w:pPr>
        <w:rPr>
          <w:sz w:val="22"/>
          <w:szCs w:val="22"/>
        </w:rPr>
      </w:pPr>
      <w:r w:rsidRPr="00F14ED1">
        <w:rPr>
          <w:sz w:val="22"/>
          <w:szCs w:val="22"/>
        </w:rPr>
        <w:t xml:space="preserve">The La Tène culture's geography also influenced its interactions with </w:t>
      </w:r>
      <w:r w:rsidRPr="00AB4084">
        <w:rPr>
          <w:sz w:val="22"/>
          <w:szCs w:val="22"/>
        </w:rPr>
        <w:t>neighbouring</w:t>
      </w:r>
      <w:r w:rsidRPr="00F14ED1">
        <w:rPr>
          <w:sz w:val="22"/>
          <w:szCs w:val="22"/>
        </w:rPr>
        <w:t xml:space="preserve"> civili</w:t>
      </w:r>
      <w:r w:rsidRPr="00AB4084">
        <w:rPr>
          <w:sz w:val="22"/>
          <w:szCs w:val="22"/>
        </w:rPr>
        <w:t>s</w:t>
      </w:r>
      <w:r w:rsidRPr="00F14ED1">
        <w:rPr>
          <w:sz w:val="22"/>
          <w:szCs w:val="22"/>
        </w:rPr>
        <w:t>ations</w:t>
      </w:r>
      <w:r w:rsidRPr="00AB4084">
        <w:rPr>
          <w:sz w:val="22"/>
          <w:szCs w:val="22"/>
        </w:rPr>
        <w:t>, both positively and negatively.</w:t>
      </w:r>
      <w:r w:rsidRPr="00F14ED1">
        <w:rPr>
          <w:sz w:val="22"/>
          <w:szCs w:val="22"/>
        </w:rPr>
        <w:t xml:space="preserve"> The proximity to the Mediterranean and contact with Greek and Etruscan influences from the south stimulated cultural exchanges and artistic developments within the La Tène society</w:t>
      </w:r>
      <w:r w:rsidRPr="00AB4084">
        <w:rPr>
          <w:sz w:val="22"/>
          <w:szCs w:val="22"/>
        </w:rPr>
        <w:t>, bringing a rich style to the developing culture.</w:t>
      </w:r>
      <w:r w:rsidR="00A91593" w:rsidRPr="00AB4084">
        <w:rPr>
          <w:rStyle w:val="FootnoteReference"/>
          <w:sz w:val="22"/>
          <w:szCs w:val="22"/>
        </w:rPr>
        <w:footnoteReference w:id="9"/>
      </w:r>
      <w:r w:rsidR="00602C04" w:rsidRPr="00AB4084">
        <w:rPr>
          <w:sz w:val="22"/>
          <w:szCs w:val="22"/>
        </w:rPr>
        <w:t xml:space="preserve"> </w:t>
      </w:r>
      <w:r w:rsidRPr="00AB4084">
        <w:rPr>
          <w:sz w:val="22"/>
          <w:szCs w:val="22"/>
        </w:rPr>
        <w:t xml:space="preserve">While trade and </w:t>
      </w:r>
      <w:r w:rsidR="005B2373" w:rsidRPr="00AB4084">
        <w:rPr>
          <w:sz w:val="22"/>
          <w:szCs w:val="22"/>
        </w:rPr>
        <w:t>exchange</w:t>
      </w:r>
      <w:r w:rsidRPr="00AB4084">
        <w:rPr>
          <w:sz w:val="22"/>
          <w:szCs w:val="22"/>
        </w:rPr>
        <w:t xml:space="preserve"> flourished, </w:t>
      </w:r>
      <w:r w:rsidR="00602C04" w:rsidRPr="00AB4084">
        <w:rPr>
          <w:sz w:val="22"/>
          <w:szCs w:val="22"/>
        </w:rPr>
        <w:t xml:space="preserve">not all interaction would have been positive. As Simon James notes ‘Finds of La </w:t>
      </w:r>
      <w:proofErr w:type="spellStart"/>
      <w:r w:rsidR="00602C04" w:rsidRPr="00AB4084">
        <w:rPr>
          <w:sz w:val="22"/>
          <w:szCs w:val="22"/>
        </w:rPr>
        <w:t>Tene</w:t>
      </w:r>
      <w:proofErr w:type="spellEnd"/>
      <w:r w:rsidR="00602C04" w:rsidRPr="00AB4084">
        <w:rPr>
          <w:sz w:val="22"/>
          <w:szCs w:val="22"/>
        </w:rPr>
        <w:t xml:space="preserve">-style objects in Bright might imply </w:t>
      </w:r>
      <w:r w:rsidR="002A2F42" w:rsidRPr="00AB4084">
        <w:rPr>
          <w:sz w:val="22"/>
          <w:szCs w:val="22"/>
        </w:rPr>
        <w:t>Celtic invaders from the Continent’</w:t>
      </w:r>
      <w:r w:rsidR="00A91593" w:rsidRPr="00AB4084">
        <w:rPr>
          <w:sz w:val="22"/>
          <w:szCs w:val="22"/>
        </w:rPr>
        <w:t>.</w:t>
      </w:r>
      <w:r w:rsidR="00A91593" w:rsidRPr="00AB4084">
        <w:rPr>
          <w:rStyle w:val="FootnoteReference"/>
          <w:sz w:val="22"/>
          <w:szCs w:val="22"/>
        </w:rPr>
        <w:footnoteReference w:id="10"/>
      </w:r>
      <w:r w:rsidR="002A2F42" w:rsidRPr="00AB4084">
        <w:rPr>
          <w:sz w:val="22"/>
          <w:szCs w:val="22"/>
        </w:rPr>
        <w:t xml:space="preserve"> </w:t>
      </w:r>
    </w:p>
    <w:p w14:paraId="2592366F" w14:textId="77777777" w:rsidR="007F0DC9" w:rsidRPr="00AB4084" w:rsidRDefault="007F0DC9" w:rsidP="007F0DC9">
      <w:pPr>
        <w:rPr>
          <w:sz w:val="22"/>
          <w:szCs w:val="22"/>
        </w:rPr>
      </w:pPr>
    </w:p>
    <w:p w14:paraId="6E091ED3" w14:textId="2356D81F" w:rsidR="001D1650" w:rsidRPr="00AB4084" w:rsidRDefault="007F0DC9" w:rsidP="001D1650">
      <w:pPr>
        <w:rPr>
          <w:sz w:val="22"/>
          <w:szCs w:val="22"/>
        </w:rPr>
      </w:pPr>
      <w:r w:rsidRPr="00AB4084">
        <w:rPr>
          <w:sz w:val="22"/>
          <w:szCs w:val="22"/>
        </w:rPr>
        <w:t xml:space="preserve">In exploring these sites, we gain a deeper appreciation for the complexity and diversity of the La Tène culture, </w:t>
      </w:r>
      <w:r w:rsidR="00506667">
        <w:rPr>
          <w:sz w:val="22"/>
          <w:szCs w:val="22"/>
        </w:rPr>
        <w:t xml:space="preserve">how it utilised the natural topography and geography of its settlements, and how </w:t>
      </w:r>
      <w:r w:rsidR="001D1650" w:rsidRPr="00AB4084">
        <w:rPr>
          <w:sz w:val="22"/>
          <w:szCs w:val="22"/>
        </w:rPr>
        <w:t>its five centuries of existence</w:t>
      </w:r>
      <w:r w:rsidR="001D1650" w:rsidRPr="00AB4084">
        <w:rPr>
          <w:sz w:val="22"/>
          <w:szCs w:val="22"/>
        </w:rPr>
        <w:t xml:space="preserve"> </w:t>
      </w:r>
      <w:r w:rsidRPr="00AB4084">
        <w:rPr>
          <w:sz w:val="22"/>
          <w:szCs w:val="22"/>
        </w:rPr>
        <w:t>helped shape the Iron Age landscape across Europe.</w:t>
      </w:r>
      <w:r w:rsidR="001D1650">
        <w:rPr>
          <w:sz w:val="22"/>
          <w:szCs w:val="22"/>
        </w:rPr>
        <w:t xml:space="preserve"> </w:t>
      </w:r>
    </w:p>
    <w:p w14:paraId="29D5BCA0" w14:textId="6EF0721F" w:rsidR="007F0DC9" w:rsidRPr="00AB4084" w:rsidRDefault="007F0DC9" w:rsidP="007F0DC9">
      <w:pPr>
        <w:rPr>
          <w:sz w:val="22"/>
          <w:szCs w:val="22"/>
        </w:rPr>
      </w:pPr>
    </w:p>
    <w:p w14:paraId="242F5691" w14:textId="77777777" w:rsidR="00F14ED1" w:rsidRPr="00AB4084" w:rsidRDefault="00F14ED1" w:rsidP="007F0DC9">
      <w:pPr>
        <w:rPr>
          <w:sz w:val="22"/>
          <w:szCs w:val="22"/>
        </w:rPr>
      </w:pPr>
    </w:p>
    <w:p w14:paraId="0C4E4067" w14:textId="77777777" w:rsidR="008C51DC" w:rsidRPr="00AB4084" w:rsidRDefault="008C51DC" w:rsidP="00F14ED1">
      <w:pPr>
        <w:rPr>
          <w:sz w:val="22"/>
          <w:szCs w:val="22"/>
        </w:rPr>
      </w:pPr>
    </w:p>
    <w:p w14:paraId="634A9A2E" w14:textId="7DE32BB2" w:rsidR="008C51DC" w:rsidRPr="00AB4084" w:rsidRDefault="00CE2D99" w:rsidP="008C51DC">
      <w:pPr>
        <w:rPr>
          <w:rFonts w:ascii="Inter" w:hAnsi="Inter"/>
          <w:color w:val="1E293B"/>
          <w:sz w:val="22"/>
          <w:szCs w:val="22"/>
          <w:shd w:val="clear" w:color="auto" w:fill="FFFFFF"/>
        </w:rPr>
      </w:pPr>
      <w:r w:rsidRPr="00AB4084">
        <w:rPr>
          <w:rFonts w:ascii="Inter" w:hAnsi="Inter"/>
          <w:color w:val="1E293B"/>
          <w:sz w:val="22"/>
          <w:szCs w:val="22"/>
          <w:shd w:val="clear" w:color="auto" w:fill="FFFFFF"/>
        </w:rPr>
        <w:t xml:space="preserve"> </w:t>
      </w:r>
    </w:p>
    <w:p w14:paraId="5096B7B1" w14:textId="77777777" w:rsidR="008C51DC" w:rsidRDefault="008C51DC" w:rsidP="00F14ED1">
      <w:pPr>
        <w:rPr>
          <w:sz w:val="22"/>
          <w:szCs w:val="22"/>
        </w:rPr>
      </w:pPr>
    </w:p>
    <w:p w14:paraId="03A40E17" w14:textId="77777777" w:rsidR="00AB4084" w:rsidRDefault="00AB4084" w:rsidP="00F14ED1">
      <w:pPr>
        <w:rPr>
          <w:sz w:val="22"/>
          <w:szCs w:val="22"/>
        </w:rPr>
      </w:pPr>
    </w:p>
    <w:p w14:paraId="55D0F67C" w14:textId="77777777" w:rsidR="00B310E4" w:rsidRDefault="00B310E4" w:rsidP="00F14ED1">
      <w:pPr>
        <w:rPr>
          <w:sz w:val="22"/>
          <w:szCs w:val="22"/>
        </w:rPr>
      </w:pPr>
    </w:p>
    <w:p w14:paraId="5182E7CA" w14:textId="77777777" w:rsidR="00B310E4" w:rsidRDefault="00B310E4" w:rsidP="00F14ED1">
      <w:pPr>
        <w:rPr>
          <w:sz w:val="22"/>
          <w:szCs w:val="22"/>
        </w:rPr>
      </w:pPr>
    </w:p>
    <w:p w14:paraId="5FF0A441" w14:textId="77777777" w:rsidR="00B310E4" w:rsidRDefault="00B310E4" w:rsidP="00F14ED1">
      <w:pPr>
        <w:rPr>
          <w:sz w:val="22"/>
          <w:szCs w:val="22"/>
        </w:rPr>
      </w:pPr>
    </w:p>
    <w:p w14:paraId="276B3FAD" w14:textId="77777777" w:rsidR="00B310E4" w:rsidRDefault="00B310E4" w:rsidP="00F14ED1">
      <w:pPr>
        <w:rPr>
          <w:sz w:val="22"/>
          <w:szCs w:val="22"/>
        </w:rPr>
      </w:pPr>
    </w:p>
    <w:p w14:paraId="561D12E0" w14:textId="77777777" w:rsidR="00B310E4" w:rsidRDefault="00B310E4" w:rsidP="00F14ED1">
      <w:pPr>
        <w:rPr>
          <w:sz w:val="22"/>
          <w:szCs w:val="22"/>
        </w:rPr>
      </w:pPr>
    </w:p>
    <w:p w14:paraId="60360D8C" w14:textId="77777777" w:rsidR="00B310E4" w:rsidRDefault="00B310E4" w:rsidP="00F14ED1">
      <w:pPr>
        <w:rPr>
          <w:sz w:val="22"/>
          <w:szCs w:val="22"/>
        </w:rPr>
      </w:pPr>
    </w:p>
    <w:p w14:paraId="4203682C" w14:textId="77777777" w:rsidR="00AB4084" w:rsidRDefault="00AB4084" w:rsidP="00F14ED1">
      <w:pPr>
        <w:rPr>
          <w:sz w:val="22"/>
          <w:szCs w:val="22"/>
        </w:rPr>
      </w:pPr>
    </w:p>
    <w:p w14:paraId="431E34D8" w14:textId="77777777" w:rsidR="00AB4084" w:rsidRDefault="00AB4084" w:rsidP="00F14ED1">
      <w:pPr>
        <w:rPr>
          <w:sz w:val="22"/>
          <w:szCs w:val="22"/>
        </w:rPr>
      </w:pPr>
    </w:p>
    <w:p w14:paraId="7B3E9C63" w14:textId="77777777" w:rsidR="00AB4084" w:rsidRDefault="00AB4084" w:rsidP="00F14ED1">
      <w:pPr>
        <w:rPr>
          <w:sz w:val="22"/>
          <w:szCs w:val="22"/>
        </w:rPr>
      </w:pPr>
    </w:p>
    <w:p w14:paraId="754314A5" w14:textId="77777777" w:rsidR="00AB4084" w:rsidRPr="00F14ED1" w:rsidRDefault="00AB4084" w:rsidP="00F14ED1">
      <w:pPr>
        <w:rPr>
          <w:sz w:val="22"/>
          <w:szCs w:val="22"/>
        </w:rPr>
      </w:pPr>
    </w:p>
    <w:p w14:paraId="1E006740" w14:textId="1C3A0B49" w:rsidR="00F14ED1" w:rsidRPr="00AB4084" w:rsidRDefault="008C51DC" w:rsidP="007F0DC9">
      <w:pPr>
        <w:rPr>
          <w:b/>
          <w:bCs/>
          <w:sz w:val="22"/>
          <w:szCs w:val="22"/>
        </w:rPr>
      </w:pPr>
      <w:r w:rsidRPr="00AB4084">
        <w:rPr>
          <w:b/>
          <w:bCs/>
          <w:sz w:val="22"/>
          <w:szCs w:val="22"/>
        </w:rPr>
        <w:lastRenderedPageBreak/>
        <w:t xml:space="preserve">Bibliography </w:t>
      </w:r>
    </w:p>
    <w:p w14:paraId="2D84A41F" w14:textId="77777777" w:rsidR="008C51DC" w:rsidRPr="00AB4084" w:rsidRDefault="008C51DC" w:rsidP="007F0DC9">
      <w:pPr>
        <w:rPr>
          <w:sz w:val="22"/>
          <w:szCs w:val="22"/>
        </w:rPr>
      </w:pPr>
    </w:p>
    <w:p w14:paraId="4CDD6133" w14:textId="2D0E059B" w:rsidR="00AB4084" w:rsidRPr="00AB4084" w:rsidRDefault="00C8776A" w:rsidP="00AB4084">
      <w:pPr>
        <w:rPr>
          <w:sz w:val="22"/>
          <w:szCs w:val="22"/>
        </w:rPr>
      </w:pPr>
      <w:r w:rsidRPr="00AB4084">
        <w:rPr>
          <w:sz w:val="22"/>
          <w:szCs w:val="22"/>
        </w:rPr>
        <w:t xml:space="preserve">Chapman, Malcolm, The Celts, </w:t>
      </w:r>
      <w:r w:rsidRPr="00AB4084">
        <w:rPr>
          <w:i/>
          <w:iCs/>
          <w:sz w:val="22"/>
          <w:szCs w:val="22"/>
        </w:rPr>
        <w:t xml:space="preserve">The Construction </w:t>
      </w:r>
      <w:proofErr w:type="gramStart"/>
      <w:r w:rsidRPr="00AB4084">
        <w:rPr>
          <w:i/>
          <w:iCs/>
          <w:sz w:val="22"/>
          <w:szCs w:val="22"/>
        </w:rPr>
        <w:t>Of</w:t>
      </w:r>
      <w:proofErr w:type="gramEnd"/>
      <w:r w:rsidRPr="00AB4084">
        <w:rPr>
          <w:i/>
          <w:iCs/>
          <w:sz w:val="22"/>
          <w:szCs w:val="22"/>
        </w:rPr>
        <w:t xml:space="preserve"> A Myth</w:t>
      </w:r>
      <w:r w:rsidRPr="00AB4084">
        <w:rPr>
          <w:sz w:val="22"/>
          <w:szCs w:val="22"/>
        </w:rPr>
        <w:t xml:space="preserve"> (London: The </w:t>
      </w:r>
      <w:proofErr w:type="spellStart"/>
      <w:r w:rsidRPr="00AB4084">
        <w:rPr>
          <w:sz w:val="22"/>
          <w:szCs w:val="22"/>
        </w:rPr>
        <w:t>Macmillian</w:t>
      </w:r>
      <w:proofErr w:type="spellEnd"/>
      <w:r w:rsidRPr="00AB4084">
        <w:rPr>
          <w:sz w:val="22"/>
          <w:szCs w:val="22"/>
        </w:rPr>
        <w:t xml:space="preserve"> Press, 1992)</w:t>
      </w:r>
    </w:p>
    <w:p w14:paraId="528EFDDA" w14:textId="77777777" w:rsidR="00C8776A" w:rsidRPr="00AB4084" w:rsidRDefault="00C8776A" w:rsidP="00AB4084">
      <w:pPr>
        <w:rPr>
          <w:sz w:val="22"/>
          <w:szCs w:val="22"/>
        </w:rPr>
      </w:pPr>
      <w:r w:rsidRPr="00AB4084">
        <w:rPr>
          <w:sz w:val="22"/>
          <w:szCs w:val="22"/>
        </w:rPr>
        <w:t xml:space="preserve">Collis, John, </w:t>
      </w:r>
      <w:r w:rsidRPr="00AB4084">
        <w:rPr>
          <w:i/>
          <w:iCs/>
          <w:sz w:val="22"/>
          <w:szCs w:val="22"/>
        </w:rPr>
        <w:t>The Celts, Origins, Myths &amp; Inventions</w:t>
      </w:r>
      <w:r w:rsidRPr="00AB4084">
        <w:rPr>
          <w:sz w:val="22"/>
          <w:szCs w:val="22"/>
        </w:rPr>
        <w:t xml:space="preserve"> (Stroud: Tempus Publishing, 2003)</w:t>
      </w:r>
    </w:p>
    <w:p w14:paraId="23D489B9" w14:textId="77777777" w:rsidR="00AB4084" w:rsidRPr="00AB4084" w:rsidRDefault="00AB4084" w:rsidP="00AB4084">
      <w:pPr>
        <w:rPr>
          <w:sz w:val="22"/>
          <w:szCs w:val="22"/>
        </w:rPr>
      </w:pPr>
      <w:proofErr w:type="spellStart"/>
      <w:r w:rsidRPr="00AB4084">
        <w:rPr>
          <w:sz w:val="22"/>
          <w:szCs w:val="22"/>
        </w:rPr>
        <w:t>Congail</w:t>
      </w:r>
      <w:proofErr w:type="spellEnd"/>
      <w:r w:rsidRPr="00AB4084">
        <w:rPr>
          <w:sz w:val="22"/>
          <w:szCs w:val="22"/>
        </w:rPr>
        <w:t xml:space="preserve">, Mac, </w:t>
      </w:r>
      <w:r w:rsidRPr="00AB4084">
        <w:rPr>
          <w:i/>
          <w:iCs/>
          <w:sz w:val="22"/>
          <w:szCs w:val="22"/>
        </w:rPr>
        <w:t xml:space="preserve">A Celtic Warrior Burial from </w:t>
      </w:r>
      <w:proofErr w:type="spellStart"/>
      <w:r w:rsidRPr="00AB4084">
        <w:rPr>
          <w:i/>
          <w:iCs/>
          <w:sz w:val="22"/>
          <w:szCs w:val="22"/>
        </w:rPr>
        <w:t>Srednica</w:t>
      </w:r>
      <w:proofErr w:type="spellEnd"/>
      <w:r w:rsidRPr="00AB4084">
        <w:rPr>
          <w:i/>
          <w:iCs/>
          <w:sz w:val="22"/>
          <w:szCs w:val="22"/>
        </w:rPr>
        <w:t xml:space="preserve"> (</w:t>
      </w:r>
      <w:proofErr w:type="spellStart"/>
      <w:r w:rsidRPr="00AB4084">
        <w:rPr>
          <w:i/>
          <w:iCs/>
          <w:sz w:val="22"/>
          <w:szCs w:val="22"/>
        </w:rPr>
        <w:t>Northeastern</w:t>
      </w:r>
      <w:proofErr w:type="spellEnd"/>
      <w:r w:rsidRPr="00AB4084">
        <w:rPr>
          <w:i/>
          <w:iCs/>
          <w:sz w:val="22"/>
          <w:szCs w:val="22"/>
        </w:rPr>
        <w:t xml:space="preserve"> Slovenia)</w:t>
      </w:r>
      <w:r w:rsidRPr="00AB4084">
        <w:rPr>
          <w:sz w:val="22"/>
          <w:szCs w:val="22"/>
        </w:rPr>
        <w:t xml:space="preserve"> (2015)</w:t>
      </w:r>
    </w:p>
    <w:p w14:paraId="40F3584B" w14:textId="627B6F15" w:rsidR="00C8776A" w:rsidRPr="00AB4084" w:rsidRDefault="00AB4084" w:rsidP="00AB4084">
      <w:pPr>
        <w:rPr>
          <w:sz w:val="22"/>
          <w:szCs w:val="22"/>
        </w:rPr>
      </w:pPr>
      <w:r w:rsidRPr="00AB4084">
        <w:rPr>
          <w:sz w:val="22"/>
          <w:szCs w:val="22"/>
        </w:rPr>
        <w:t>&lt;</w:t>
      </w:r>
      <w:hyperlink r:id="rId7" w:history="1">
        <w:r w:rsidRPr="00AB4084">
          <w:rPr>
            <w:rStyle w:val="Hyperlink"/>
            <w:sz w:val="22"/>
            <w:szCs w:val="22"/>
          </w:rPr>
          <w:t>https://balkancelts.wordpress.com/tag/la-tene-slovenia/</w:t>
        </w:r>
      </w:hyperlink>
      <w:r w:rsidRPr="00AB4084">
        <w:rPr>
          <w:sz w:val="22"/>
          <w:szCs w:val="22"/>
        </w:rPr>
        <w:t>&gt; [accessed 22 October 2024]</w:t>
      </w:r>
    </w:p>
    <w:p w14:paraId="1619A26C" w14:textId="5A8B904F" w:rsidR="00012108" w:rsidRPr="00AB4084" w:rsidRDefault="00012108" w:rsidP="00AB4084">
      <w:pPr>
        <w:rPr>
          <w:sz w:val="22"/>
          <w:szCs w:val="22"/>
        </w:rPr>
      </w:pPr>
      <w:r w:rsidRPr="00AB4084">
        <w:rPr>
          <w:sz w:val="22"/>
          <w:szCs w:val="22"/>
        </w:rPr>
        <w:t xml:space="preserve">Cunliffe, Barry, </w:t>
      </w:r>
      <w:r w:rsidRPr="00AB4084">
        <w:rPr>
          <w:i/>
          <w:iCs/>
          <w:sz w:val="22"/>
          <w:szCs w:val="22"/>
        </w:rPr>
        <w:t xml:space="preserve">Europe Between </w:t>
      </w:r>
      <w:proofErr w:type="gramStart"/>
      <w:r w:rsidRPr="00AB4084">
        <w:rPr>
          <w:i/>
          <w:iCs/>
          <w:sz w:val="22"/>
          <w:szCs w:val="22"/>
        </w:rPr>
        <w:t>The</w:t>
      </w:r>
      <w:proofErr w:type="gramEnd"/>
      <w:r w:rsidRPr="00AB4084">
        <w:rPr>
          <w:i/>
          <w:iCs/>
          <w:sz w:val="22"/>
          <w:szCs w:val="22"/>
        </w:rPr>
        <w:t xml:space="preserve"> Oceans</w:t>
      </w:r>
      <w:r w:rsidRPr="00AB4084">
        <w:rPr>
          <w:sz w:val="22"/>
          <w:szCs w:val="22"/>
        </w:rPr>
        <w:t xml:space="preserve"> (</w:t>
      </w:r>
      <w:r w:rsidR="00C37FE7" w:rsidRPr="00AB4084">
        <w:rPr>
          <w:sz w:val="22"/>
          <w:szCs w:val="22"/>
        </w:rPr>
        <w:t xml:space="preserve">London: </w:t>
      </w:r>
      <w:r w:rsidRPr="00AB4084">
        <w:rPr>
          <w:sz w:val="22"/>
          <w:szCs w:val="22"/>
        </w:rPr>
        <w:t>Yale University Press</w:t>
      </w:r>
      <w:r w:rsidR="00C37FE7" w:rsidRPr="00AB4084">
        <w:rPr>
          <w:sz w:val="22"/>
          <w:szCs w:val="22"/>
        </w:rPr>
        <w:t>, 2011)</w:t>
      </w:r>
    </w:p>
    <w:p w14:paraId="570209F8" w14:textId="346157DD" w:rsidR="00C8776A" w:rsidRPr="00AB4084" w:rsidRDefault="00C8776A" w:rsidP="00AB4084">
      <w:pPr>
        <w:rPr>
          <w:sz w:val="22"/>
          <w:szCs w:val="22"/>
        </w:rPr>
      </w:pPr>
      <w:r w:rsidRPr="00AB4084">
        <w:rPr>
          <w:sz w:val="22"/>
          <w:szCs w:val="22"/>
        </w:rPr>
        <w:t xml:space="preserve">Cunliffe, Barry, </w:t>
      </w:r>
      <w:r w:rsidRPr="00AB4084">
        <w:rPr>
          <w:i/>
          <w:iCs/>
          <w:sz w:val="22"/>
          <w:szCs w:val="22"/>
        </w:rPr>
        <w:t>The Ancient Celts</w:t>
      </w:r>
      <w:r w:rsidRPr="00AB4084">
        <w:rPr>
          <w:sz w:val="22"/>
          <w:szCs w:val="22"/>
        </w:rPr>
        <w:t xml:space="preserve">, 2nd </w:t>
      </w:r>
      <w:proofErr w:type="spellStart"/>
      <w:r w:rsidRPr="00AB4084">
        <w:rPr>
          <w:sz w:val="22"/>
          <w:szCs w:val="22"/>
        </w:rPr>
        <w:t>edn</w:t>
      </w:r>
      <w:proofErr w:type="spellEnd"/>
      <w:r w:rsidRPr="00AB4084">
        <w:rPr>
          <w:sz w:val="22"/>
          <w:szCs w:val="22"/>
        </w:rPr>
        <w:t>. (Oxford: Oxford University Press, 2018)</w:t>
      </w:r>
    </w:p>
    <w:p w14:paraId="43F5319F" w14:textId="3DCA18B6" w:rsidR="00D203C2" w:rsidRPr="00AB4084" w:rsidRDefault="002E4195" w:rsidP="00AB4084">
      <w:pPr>
        <w:rPr>
          <w:sz w:val="22"/>
          <w:szCs w:val="22"/>
        </w:rPr>
      </w:pPr>
      <w:r w:rsidRPr="00AB4084">
        <w:rPr>
          <w:sz w:val="22"/>
          <w:szCs w:val="22"/>
        </w:rPr>
        <w:t xml:space="preserve">Haywood, John, </w:t>
      </w:r>
      <w:r w:rsidRPr="00AB4084">
        <w:rPr>
          <w:i/>
          <w:iCs/>
          <w:sz w:val="22"/>
          <w:szCs w:val="22"/>
        </w:rPr>
        <w:t xml:space="preserve">The Historical Atlas </w:t>
      </w:r>
      <w:proofErr w:type="gramStart"/>
      <w:r w:rsidRPr="00AB4084">
        <w:rPr>
          <w:i/>
          <w:iCs/>
          <w:sz w:val="22"/>
          <w:szCs w:val="22"/>
        </w:rPr>
        <w:t>Of</w:t>
      </w:r>
      <w:proofErr w:type="gramEnd"/>
      <w:r w:rsidRPr="00AB4084">
        <w:rPr>
          <w:i/>
          <w:iCs/>
          <w:sz w:val="22"/>
          <w:szCs w:val="22"/>
        </w:rPr>
        <w:t xml:space="preserve"> The Celtic </w:t>
      </w:r>
      <w:r w:rsidR="00E70D1E" w:rsidRPr="00AB4084">
        <w:rPr>
          <w:i/>
          <w:iCs/>
          <w:sz w:val="22"/>
          <w:szCs w:val="22"/>
        </w:rPr>
        <w:t>W</w:t>
      </w:r>
      <w:r w:rsidRPr="00AB4084">
        <w:rPr>
          <w:i/>
          <w:iCs/>
          <w:sz w:val="22"/>
          <w:szCs w:val="22"/>
        </w:rPr>
        <w:t>orld</w:t>
      </w:r>
      <w:r w:rsidRPr="00AB4084">
        <w:rPr>
          <w:sz w:val="22"/>
          <w:szCs w:val="22"/>
        </w:rPr>
        <w:t xml:space="preserve"> (London: Thames &amp; Hudson, 2001)</w:t>
      </w:r>
    </w:p>
    <w:p w14:paraId="3376AD39" w14:textId="728680F4" w:rsidR="00AB4084" w:rsidRPr="00AB4084" w:rsidRDefault="00AB4084" w:rsidP="00AB4084">
      <w:pPr>
        <w:rPr>
          <w:sz w:val="22"/>
          <w:szCs w:val="22"/>
        </w:rPr>
      </w:pPr>
      <w:r w:rsidRPr="00AB4084">
        <w:rPr>
          <w:sz w:val="22"/>
          <w:szCs w:val="22"/>
        </w:rPr>
        <w:t xml:space="preserve">James, Simon and Valery Rigby, </w:t>
      </w:r>
      <w:r w:rsidRPr="00AB4084">
        <w:rPr>
          <w:i/>
          <w:iCs/>
          <w:sz w:val="22"/>
          <w:szCs w:val="22"/>
        </w:rPr>
        <w:t xml:space="preserve">Britain </w:t>
      </w:r>
      <w:proofErr w:type="gramStart"/>
      <w:r w:rsidRPr="00AB4084">
        <w:rPr>
          <w:i/>
          <w:iCs/>
          <w:sz w:val="22"/>
          <w:szCs w:val="22"/>
        </w:rPr>
        <w:t>And</w:t>
      </w:r>
      <w:proofErr w:type="gramEnd"/>
      <w:r w:rsidRPr="00AB4084">
        <w:rPr>
          <w:i/>
          <w:iCs/>
          <w:sz w:val="22"/>
          <w:szCs w:val="22"/>
        </w:rPr>
        <w:t xml:space="preserve"> The Celtic Iron Age</w:t>
      </w:r>
      <w:r w:rsidRPr="00AB4084">
        <w:rPr>
          <w:sz w:val="22"/>
          <w:szCs w:val="22"/>
        </w:rPr>
        <w:t xml:space="preserve"> (London: British Museum Press, 1997)</w:t>
      </w:r>
    </w:p>
    <w:p w14:paraId="03832F53" w14:textId="09192660" w:rsidR="00E70D1E" w:rsidRPr="00AB4084" w:rsidRDefault="00E70D1E" w:rsidP="00AB4084">
      <w:pPr>
        <w:rPr>
          <w:sz w:val="22"/>
          <w:szCs w:val="22"/>
        </w:rPr>
      </w:pPr>
      <w:r w:rsidRPr="00AB4084">
        <w:rPr>
          <w:sz w:val="22"/>
          <w:szCs w:val="22"/>
        </w:rPr>
        <w:t xml:space="preserve">Robb, Graham, </w:t>
      </w:r>
      <w:r w:rsidRPr="00AB4084">
        <w:rPr>
          <w:i/>
          <w:iCs/>
          <w:sz w:val="22"/>
          <w:szCs w:val="22"/>
        </w:rPr>
        <w:t>The Ancient Paths</w:t>
      </w:r>
      <w:r w:rsidRPr="00AB4084">
        <w:rPr>
          <w:sz w:val="22"/>
          <w:szCs w:val="22"/>
        </w:rPr>
        <w:t>, (London: Picador, 2013)</w:t>
      </w:r>
    </w:p>
    <w:p w14:paraId="3D6DEC77" w14:textId="18F89067" w:rsidR="009E3C9D" w:rsidRPr="00AB4084" w:rsidRDefault="009E3C9D" w:rsidP="00AB4084">
      <w:pPr>
        <w:rPr>
          <w:sz w:val="22"/>
          <w:szCs w:val="22"/>
        </w:rPr>
      </w:pPr>
      <w:r w:rsidRPr="00AB4084">
        <w:rPr>
          <w:sz w:val="22"/>
          <w:szCs w:val="22"/>
        </w:rPr>
        <w:t xml:space="preserve">Wells, Peter S. </w:t>
      </w:r>
      <w:r w:rsidRPr="00AB4084">
        <w:rPr>
          <w:i/>
          <w:iCs/>
          <w:sz w:val="22"/>
          <w:szCs w:val="22"/>
        </w:rPr>
        <w:t>The Barbarians Speak: How the Conquered Peoples Shaped Roman Europe</w:t>
      </w:r>
      <w:r w:rsidRPr="00AB4084">
        <w:rPr>
          <w:sz w:val="22"/>
          <w:szCs w:val="22"/>
        </w:rPr>
        <w:t>, (Princeton: Princeton University Press, 1999) pp. 37</w:t>
      </w:r>
    </w:p>
    <w:sectPr w:rsidR="009E3C9D" w:rsidRPr="00AB40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F9230" w14:textId="77777777" w:rsidR="00673DAB" w:rsidRDefault="00673DAB" w:rsidP="00C37FE7">
      <w:r>
        <w:separator/>
      </w:r>
    </w:p>
  </w:endnote>
  <w:endnote w:type="continuationSeparator" w:id="0">
    <w:p w14:paraId="2BEEDA59" w14:textId="77777777" w:rsidR="00673DAB" w:rsidRDefault="00673DAB" w:rsidP="00C3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Inter">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46B8C" w14:textId="77777777" w:rsidR="00673DAB" w:rsidRDefault="00673DAB" w:rsidP="00C37FE7">
      <w:r>
        <w:separator/>
      </w:r>
    </w:p>
  </w:footnote>
  <w:footnote w:type="continuationSeparator" w:id="0">
    <w:p w14:paraId="15C7558C" w14:textId="77777777" w:rsidR="00673DAB" w:rsidRDefault="00673DAB" w:rsidP="00C37FE7">
      <w:r>
        <w:continuationSeparator/>
      </w:r>
    </w:p>
  </w:footnote>
  <w:footnote w:id="1">
    <w:p w14:paraId="417FFBCD" w14:textId="6222D639" w:rsidR="00C37FE7" w:rsidRDefault="00C37FE7" w:rsidP="00C563E9">
      <w:pPr>
        <w:pStyle w:val="FootnoteText"/>
      </w:pPr>
      <w:r>
        <w:rPr>
          <w:rStyle w:val="FootnoteReference"/>
        </w:rPr>
        <w:footnoteRef/>
      </w:r>
      <w:r>
        <w:t xml:space="preserve"> John Collis</w:t>
      </w:r>
      <w:r>
        <w:t xml:space="preserve">, </w:t>
      </w:r>
      <w:r>
        <w:rPr>
          <w:i/>
          <w:iCs/>
        </w:rPr>
        <w:t xml:space="preserve">The Celts, Origins, Myths &amp; Inventions </w:t>
      </w:r>
      <w:r>
        <w:t>(Stroud: Tempus Publishing, 2003)</w:t>
      </w:r>
      <w:r>
        <w:t xml:space="preserve"> p75</w:t>
      </w:r>
    </w:p>
  </w:footnote>
  <w:footnote w:id="2">
    <w:p w14:paraId="676F5B0E" w14:textId="6551CE59" w:rsidR="00C37FE7" w:rsidRDefault="00C37FE7" w:rsidP="00C563E9">
      <w:pPr>
        <w:pStyle w:val="FootnoteText"/>
      </w:pPr>
      <w:r>
        <w:rPr>
          <w:rStyle w:val="FootnoteReference"/>
        </w:rPr>
        <w:footnoteRef/>
      </w:r>
      <w:r>
        <w:t xml:space="preserve"> Barry Cunliffe</w:t>
      </w:r>
      <w:r>
        <w:t xml:space="preserve">, </w:t>
      </w:r>
      <w:r>
        <w:rPr>
          <w:i/>
          <w:iCs/>
        </w:rPr>
        <w:t xml:space="preserve">Europe Between </w:t>
      </w:r>
      <w:proofErr w:type="gramStart"/>
      <w:r>
        <w:rPr>
          <w:i/>
          <w:iCs/>
        </w:rPr>
        <w:t>The</w:t>
      </w:r>
      <w:proofErr w:type="gramEnd"/>
      <w:r>
        <w:rPr>
          <w:i/>
          <w:iCs/>
        </w:rPr>
        <w:t xml:space="preserve"> Oceans </w:t>
      </w:r>
      <w:r>
        <w:t>(London: Yale University Press, 2011)</w:t>
      </w:r>
      <w:r w:rsidR="00C8776A">
        <w:t xml:space="preserve"> p23</w:t>
      </w:r>
    </w:p>
  </w:footnote>
  <w:footnote w:id="3">
    <w:p w14:paraId="2C8FB44D" w14:textId="290A5C55" w:rsidR="00C37FE7" w:rsidRDefault="00C37FE7" w:rsidP="00C563E9">
      <w:pPr>
        <w:pStyle w:val="FootnoteText"/>
      </w:pPr>
      <w:r>
        <w:rPr>
          <w:rStyle w:val="FootnoteReference"/>
        </w:rPr>
        <w:footnoteRef/>
      </w:r>
      <w:r>
        <w:t xml:space="preserve"> John </w:t>
      </w:r>
      <w:r>
        <w:t>Haywood,</w:t>
      </w:r>
      <w:r>
        <w:t xml:space="preserve"> </w:t>
      </w:r>
      <w:r>
        <w:rPr>
          <w:i/>
          <w:iCs/>
        </w:rPr>
        <w:t xml:space="preserve">The Historical Atlas </w:t>
      </w:r>
      <w:proofErr w:type="gramStart"/>
      <w:r>
        <w:rPr>
          <w:i/>
          <w:iCs/>
        </w:rPr>
        <w:t>Of</w:t>
      </w:r>
      <w:proofErr w:type="gramEnd"/>
      <w:r>
        <w:rPr>
          <w:i/>
          <w:iCs/>
        </w:rPr>
        <w:t xml:space="preserve"> The Celtic World </w:t>
      </w:r>
      <w:r>
        <w:t>(London: Thames &amp; Hudson, 2001)</w:t>
      </w:r>
    </w:p>
    <w:p w14:paraId="5E975392" w14:textId="2004C498" w:rsidR="00C37FE7" w:rsidRDefault="00C37FE7">
      <w:pPr>
        <w:pStyle w:val="FootnoteText"/>
      </w:pPr>
    </w:p>
  </w:footnote>
  <w:footnote w:id="4">
    <w:p w14:paraId="5E7D6518" w14:textId="6104A800" w:rsidR="009E3C9D" w:rsidRPr="009E3C9D" w:rsidRDefault="009E3C9D" w:rsidP="009E3C9D">
      <w:pPr>
        <w:rPr>
          <w:sz w:val="20"/>
          <w:szCs w:val="20"/>
        </w:rPr>
      </w:pPr>
      <w:r>
        <w:rPr>
          <w:rStyle w:val="FootnoteReference"/>
        </w:rPr>
        <w:footnoteRef/>
      </w:r>
      <w:r>
        <w:t xml:space="preserve"> </w:t>
      </w:r>
      <w:r w:rsidRPr="009E3C9D">
        <w:rPr>
          <w:rStyle w:val="FootnoteTextChar"/>
        </w:rPr>
        <w:t>Wells, Peter S. The Barbarians Speak: How the Conquered Peoples Shaped Roman Europe, (Princeton: Princeton University Press, 1999) pp. 37</w:t>
      </w:r>
    </w:p>
  </w:footnote>
  <w:footnote w:id="5">
    <w:p w14:paraId="494B7E96" w14:textId="3498130D" w:rsidR="00C563E9" w:rsidRPr="00C563E9" w:rsidRDefault="00C563E9">
      <w:pPr>
        <w:pStyle w:val="FootnoteText"/>
      </w:pPr>
      <w:r>
        <w:rPr>
          <w:rStyle w:val="FootnoteReference"/>
        </w:rPr>
        <w:footnoteRef/>
      </w:r>
      <w:r>
        <w:t xml:space="preserve"> Haywood, </w:t>
      </w:r>
      <w:r>
        <w:rPr>
          <w:i/>
          <w:iCs/>
        </w:rPr>
        <w:t>The Historical Atlas</w:t>
      </w:r>
      <w:r>
        <w:t xml:space="preserve"> p46</w:t>
      </w:r>
    </w:p>
  </w:footnote>
  <w:footnote w:id="6">
    <w:p w14:paraId="78F00F9E" w14:textId="629509B8" w:rsidR="00C563E9" w:rsidRDefault="00C563E9">
      <w:pPr>
        <w:pStyle w:val="FootnoteText"/>
      </w:pPr>
      <w:r>
        <w:rPr>
          <w:rStyle w:val="FootnoteReference"/>
        </w:rPr>
        <w:footnoteRef/>
      </w:r>
      <w:r>
        <w:t xml:space="preserve"> </w:t>
      </w:r>
      <w:proofErr w:type="spellStart"/>
      <w:r>
        <w:t>Bary</w:t>
      </w:r>
      <w:proofErr w:type="spellEnd"/>
      <w:r>
        <w:t xml:space="preserve"> </w:t>
      </w:r>
      <w:r>
        <w:t>Cunliffe,</w:t>
      </w:r>
      <w:r>
        <w:rPr>
          <w:i/>
          <w:iCs/>
        </w:rPr>
        <w:t xml:space="preserve"> The Ancient Celts, </w:t>
      </w:r>
      <w:r>
        <w:t>2</w:t>
      </w:r>
      <w:r w:rsidRPr="00E70D1E">
        <w:rPr>
          <w:vertAlign w:val="superscript"/>
        </w:rPr>
        <w:t>nd</w:t>
      </w:r>
      <w:r>
        <w:t xml:space="preserve"> </w:t>
      </w:r>
      <w:proofErr w:type="spellStart"/>
      <w:r>
        <w:t>edn</w:t>
      </w:r>
      <w:proofErr w:type="spellEnd"/>
      <w:r>
        <w:t>. (Oxford: Oxford University Press, 2018)</w:t>
      </w:r>
      <w:r>
        <w:t xml:space="preserve"> p48</w:t>
      </w:r>
    </w:p>
  </w:footnote>
  <w:footnote w:id="7">
    <w:p w14:paraId="4703FB5B" w14:textId="2AAD40C3" w:rsidR="00C563E9" w:rsidRDefault="00C563E9">
      <w:pPr>
        <w:pStyle w:val="FootnoteText"/>
      </w:pPr>
      <w:r>
        <w:rPr>
          <w:rStyle w:val="FootnoteReference"/>
        </w:rPr>
        <w:footnoteRef/>
      </w:r>
      <w:r>
        <w:t xml:space="preserve"> Cunliffe, </w:t>
      </w:r>
      <w:r w:rsidRPr="00C563E9">
        <w:rPr>
          <w:i/>
          <w:iCs/>
        </w:rPr>
        <w:t>The Ancient Celts</w:t>
      </w:r>
      <w:r>
        <w:t>, p47</w:t>
      </w:r>
    </w:p>
  </w:footnote>
  <w:footnote w:id="8">
    <w:p w14:paraId="1641C561" w14:textId="77777777" w:rsidR="00CE2D99" w:rsidRDefault="00CE2D99" w:rsidP="00CE2D99">
      <w:pPr>
        <w:pStyle w:val="FootnoteText"/>
        <w:rPr>
          <w:shd w:val="clear" w:color="auto" w:fill="FFFFFF"/>
        </w:rPr>
      </w:pPr>
      <w:r>
        <w:rPr>
          <w:rStyle w:val="FootnoteReference"/>
        </w:rPr>
        <w:footnoteRef/>
      </w:r>
      <w:r>
        <w:t xml:space="preserve"> </w:t>
      </w:r>
      <w:r>
        <w:rPr>
          <w:shd w:val="clear" w:color="auto" w:fill="FFFFFF"/>
        </w:rPr>
        <w:t xml:space="preserve">Mac </w:t>
      </w:r>
      <w:proofErr w:type="spellStart"/>
      <w:r w:rsidRPr="005B2373">
        <w:rPr>
          <w:shd w:val="clear" w:color="auto" w:fill="FFFFFF"/>
        </w:rPr>
        <w:t>Congail</w:t>
      </w:r>
      <w:proofErr w:type="spellEnd"/>
      <w:r>
        <w:rPr>
          <w:shd w:val="clear" w:color="auto" w:fill="FFFFFF"/>
        </w:rPr>
        <w:t>,</w:t>
      </w:r>
      <w:r w:rsidRPr="005B2373">
        <w:rPr>
          <w:shd w:val="clear" w:color="auto" w:fill="FFFFFF"/>
        </w:rPr>
        <w:t xml:space="preserve"> </w:t>
      </w:r>
      <w:r w:rsidRPr="008C51DC">
        <w:rPr>
          <w:shd w:val="clear" w:color="auto" w:fill="FFFFFF"/>
        </w:rPr>
        <w:t xml:space="preserve">A Celtic Warrior Burial from </w:t>
      </w:r>
      <w:proofErr w:type="spellStart"/>
      <w:r w:rsidRPr="008C51DC">
        <w:rPr>
          <w:shd w:val="clear" w:color="auto" w:fill="FFFFFF"/>
        </w:rPr>
        <w:t>Srednica</w:t>
      </w:r>
      <w:proofErr w:type="spellEnd"/>
      <w:r w:rsidRPr="008C51DC">
        <w:rPr>
          <w:shd w:val="clear" w:color="auto" w:fill="FFFFFF"/>
        </w:rPr>
        <w:t xml:space="preserve"> (</w:t>
      </w:r>
      <w:proofErr w:type="spellStart"/>
      <w:r w:rsidRPr="008C51DC">
        <w:rPr>
          <w:shd w:val="clear" w:color="auto" w:fill="FFFFFF"/>
        </w:rPr>
        <w:t>Northeastern</w:t>
      </w:r>
      <w:proofErr w:type="spellEnd"/>
      <w:r w:rsidRPr="008C51DC">
        <w:rPr>
          <w:shd w:val="clear" w:color="auto" w:fill="FFFFFF"/>
        </w:rPr>
        <w:t xml:space="preserve"> Slovenia) </w:t>
      </w:r>
      <w:r>
        <w:rPr>
          <w:shd w:val="clear" w:color="auto" w:fill="FFFFFF"/>
        </w:rPr>
        <w:t>(2015)</w:t>
      </w:r>
    </w:p>
    <w:p w14:paraId="7558D351" w14:textId="6BAFCE26" w:rsidR="00A91593" w:rsidRPr="00A91593" w:rsidRDefault="00CE2D99">
      <w:pPr>
        <w:pStyle w:val="FootnoteText"/>
        <w:rPr>
          <w:shd w:val="clear" w:color="auto" w:fill="FFFFFF"/>
        </w:rPr>
      </w:pPr>
      <w:r>
        <w:rPr>
          <w:shd w:val="clear" w:color="auto" w:fill="FFFFFF"/>
        </w:rPr>
        <w:t>&lt;</w:t>
      </w:r>
      <w:hyperlink r:id="rId1" w:history="1">
        <w:r w:rsidRPr="00A620BF">
          <w:rPr>
            <w:rStyle w:val="Hyperlink"/>
            <w:rFonts w:ascii="Inter" w:hAnsi="Inter"/>
            <w:shd w:val="clear" w:color="auto" w:fill="FFFFFF"/>
          </w:rPr>
          <w:t>https://balkancelts.wordpress.com/tag/la-tene-slovenia/</w:t>
        </w:r>
      </w:hyperlink>
      <w:r>
        <w:rPr>
          <w:shd w:val="clear" w:color="auto" w:fill="FFFFFF"/>
        </w:rPr>
        <w:t>&gt; [accessed 22 October 2024]</w:t>
      </w:r>
    </w:p>
  </w:footnote>
  <w:footnote w:id="9">
    <w:p w14:paraId="3D7FF338" w14:textId="62AD5076" w:rsidR="00A91593" w:rsidRDefault="00A91593">
      <w:pPr>
        <w:pStyle w:val="FootnoteText"/>
      </w:pPr>
      <w:r>
        <w:rPr>
          <w:rStyle w:val="FootnoteReference"/>
        </w:rPr>
        <w:footnoteRef/>
      </w:r>
      <w:r>
        <w:t xml:space="preserve"> </w:t>
      </w:r>
      <w:r w:rsidR="00AB4084">
        <w:t xml:space="preserve">Graham </w:t>
      </w:r>
      <w:r>
        <w:t xml:space="preserve">Robb, </w:t>
      </w:r>
      <w:r w:rsidRPr="00E70D1E">
        <w:rPr>
          <w:i/>
          <w:iCs/>
        </w:rPr>
        <w:t>The Ancient Paths</w:t>
      </w:r>
      <w:r>
        <w:t>, (London: Picador, 2013)</w:t>
      </w:r>
      <w:r>
        <w:t xml:space="preserve"> p27-28</w:t>
      </w:r>
    </w:p>
  </w:footnote>
  <w:footnote w:id="10">
    <w:p w14:paraId="0A72E41B" w14:textId="67AD970D" w:rsidR="00A91593" w:rsidRDefault="00A91593" w:rsidP="00C8776A">
      <w:r>
        <w:rPr>
          <w:rStyle w:val="FootnoteReference"/>
        </w:rPr>
        <w:footnoteRef/>
      </w:r>
      <w:r>
        <w:t xml:space="preserve"> </w:t>
      </w:r>
      <w:r w:rsidRPr="00A91593">
        <w:rPr>
          <w:rStyle w:val="FootnoteTextChar"/>
        </w:rPr>
        <w:t xml:space="preserve">Simon James and Valery Rigby, </w:t>
      </w:r>
      <w:r w:rsidRPr="00C8776A">
        <w:rPr>
          <w:rStyle w:val="FootnoteTextChar"/>
          <w:i/>
          <w:iCs/>
        </w:rPr>
        <w:t xml:space="preserve">Britain </w:t>
      </w:r>
      <w:proofErr w:type="gramStart"/>
      <w:r w:rsidRPr="00C8776A">
        <w:rPr>
          <w:rStyle w:val="FootnoteTextChar"/>
          <w:i/>
          <w:iCs/>
        </w:rPr>
        <w:t>And</w:t>
      </w:r>
      <w:proofErr w:type="gramEnd"/>
      <w:r w:rsidRPr="00C8776A">
        <w:rPr>
          <w:rStyle w:val="FootnoteTextChar"/>
          <w:i/>
          <w:iCs/>
        </w:rPr>
        <w:t xml:space="preserve"> The Celtic Iron Age </w:t>
      </w:r>
      <w:r w:rsidRPr="00A91593">
        <w:rPr>
          <w:rStyle w:val="FootnoteTextChar"/>
        </w:rPr>
        <w:t>(London: British Museum Press, 1997)</w:t>
      </w:r>
      <w:r w:rsidRPr="00A91593">
        <w:rPr>
          <w:rStyle w:val="FootnoteTextChar"/>
        </w:rPr>
        <w:t xml:space="preserve"> p12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B6F"/>
    <w:rsid w:val="00012108"/>
    <w:rsid w:val="000426F0"/>
    <w:rsid w:val="00054E97"/>
    <w:rsid w:val="000F4AA6"/>
    <w:rsid w:val="001D1650"/>
    <w:rsid w:val="002A2F42"/>
    <w:rsid w:val="002D59FD"/>
    <w:rsid w:val="002E4195"/>
    <w:rsid w:val="00424B6F"/>
    <w:rsid w:val="004F7216"/>
    <w:rsid w:val="00506667"/>
    <w:rsid w:val="005B2373"/>
    <w:rsid w:val="00602C04"/>
    <w:rsid w:val="00673DAB"/>
    <w:rsid w:val="00751D8C"/>
    <w:rsid w:val="007F0DC9"/>
    <w:rsid w:val="008C51DC"/>
    <w:rsid w:val="009116FB"/>
    <w:rsid w:val="009E3C9D"/>
    <w:rsid w:val="00A91593"/>
    <w:rsid w:val="00AB4084"/>
    <w:rsid w:val="00B310E4"/>
    <w:rsid w:val="00C37FE7"/>
    <w:rsid w:val="00C563E9"/>
    <w:rsid w:val="00C8776A"/>
    <w:rsid w:val="00CE2D99"/>
    <w:rsid w:val="00D203C2"/>
    <w:rsid w:val="00DC568F"/>
    <w:rsid w:val="00E70D1E"/>
    <w:rsid w:val="00EB6F9A"/>
    <w:rsid w:val="00F14ED1"/>
    <w:rsid w:val="00FA55EE"/>
    <w:rsid w:val="00FC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F880D6"/>
  <w15:chartTrackingRefBased/>
  <w15:docId w15:val="{1BB32E38-C173-8649-9A60-3D152D4A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B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B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B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B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4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B6F"/>
    <w:rPr>
      <w:rFonts w:eastAsiaTheme="majorEastAsia" w:cstheme="majorBidi"/>
      <w:color w:val="272727" w:themeColor="text1" w:themeTint="D8"/>
    </w:rPr>
  </w:style>
  <w:style w:type="paragraph" w:styleId="Title">
    <w:name w:val="Title"/>
    <w:basedOn w:val="Normal"/>
    <w:next w:val="Normal"/>
    <w:link w:val="TitleChar"/>
    <w:uiPriority w:val="10"/>
    <w:qFormat/>
    <w:rsid w:val="00424B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B6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B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4B6F"/>
    <w:rPr>
      <w:i/>
      <w:iCs/>
      <w:color w:val="404040" w:themeColor="text1" w:themeTint="BF"/>
    </w:rPr>
  </w:style>
  <w:style w:type="paragraph" w:styleId="ListParagraph">
    <w:name w:val="List Paragraph"/>
    <w:basedOn w:val="Normal"/>
    <w:uiPriority w:val="34"/>
    <w:qFormat/>
    <w:rsid w:val="00424B6F"/>
    <w:pPr>
      <w:ind w:left="720"/>
      <w:contextualSpacing/>
    </w:pPr>
  </w:style>
  <w:style w:type="character" w:styleId="IntenseEmphasis">
    <w:name w:val="Intense Emphasis"/>
    <w:basedOn w:val="DefaultParagraphFont"/>
    <w:uiPriority w:val="21"/>
    <w:qFormat/>
    <w:rsid w:val="00424B6F"/>
    <w:rPr>
      <w:i/>
      <w:iCs/>
      <w:color w:val="0F4761" w:themeColor="accent1" w:themeShade="BF"/>
    </w:rPr>
  </w:style>
  <w:style w:type="paragraph" w:styleId="IntenseQuote">
    <w:name w:val="Intense Quote"/>
    <w:basedOn w:val="Normal"/>
    <w:next w:val="Normal"/>
    <w:link w:val="IntenseQuoteChar"/>
    <w:uiPriority w:val="30"/>
    <w:qFormat/>
    <w:rsid w:val="00424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B6F"/>
    <w:rPr>
      <w:i/>
      <w:iCs/>
      <w:color w:val="0F4761" w:themeColor="accent1" w:themeShade="BF"/>
    </w:rPr>
  </w:style>
  <w:style w:type="character" w:styleId="IntenseReference">
    <w:name w:val="Intense Reference"/>
    <w:basedOn w:val="DefaultParagraphFont"/>
    <w:uiPriority w:val="32"/>
    <w:qFormat/>
    <w:rsid w:val="00424B6F"/>
    <w:rPr>
      <w:b/>
      <w:bCs/>
      <w:smallCaps/>
      <w:color w:val="0F4761" w:themeColor="accent1" w:themeShade="BF"/>
      <w:spacing w:val="5"/>
    </w:rPr>
  </w:style>
  <w:style w:type="character" w:styleId="Hyperlink">
    <w:name w:val="Hyperlink"/>
    <w:basedOn w:val="DefaultParagraphFont"/>
    <w:uiPriority w:val="99"/>
    <w:unhideWhenUsed/>
    <w:rsid w:val="00F14ED1"/>
    <w:rPr>
      <w:color w:val="467886" w:themeColor="hyperlink"/>
      <w:u w:val="single"/>
    </w:rPr>
  </w:style>
  <w:style w:type="character" w:styleId="UnresolvedMention">
    <w:name w:val="Unresolved Mention"/>
    <w:basedOn w:val="DefaultParagraphFont"/>
    <w:uiPriority w:val="99"/>
    <w:semiHidden/>
    <w:unhideWhenUsed/>
    <w:rsid w:val="00F14ED1"/>
    <w:rPr>
      <w:color w:val="605E5C"/>
      <w:shd w:val="clear" w:color="auto" w:fill="E1DFDD"/>
    </w:rPr>
  </w:style>
  <w:style w:type="paragraph" w:styleId="FootnoteText">
    <w:name w:val="footnote text"/>
    <w:basedOn w:val="Normal"/>
    <w:link w:val="FootnoteTextChar"/>
    <w:uiPriority w:val="99"/>
    <w:unhideWhenUsed/>
    <w:rsid w:val="00C37FE7"/>
    <w:rPr>
      <w:sz w:val="20"/>
      <w:szCs w:val="20"/>
    </w:rPr>
  </w:style>
  <w:style w:type="character" w:customStyle="1" w:styleId="FootnoteTextChar">
    <w:name w:val="Footnote Text Char"/>
    <w:basedOn w:val="DefaultParagraphFont"/>
    <w:link w:val="FootnoteText"/>
    <w:uiPriority w:val="99"/>
    <w:rsid w:val="00C37FE7"/>
    <w:rPr>
      <w:sz w:val="20"/>
      <w:szCs w:val="20"/>
    </w:rPr>
  </w:style>
  <w:style w:type="character" w:styleId="FootnoteReference">
    <w:name w:val="footnote reference"/>
    <w:basedOn w:val="DefaultParagraphFont"/>
    <w:uiPriority w:val="99"/>
    <w:semiHidden/>
    <w:unhideWhenUsed/>
    <w:rsid w:val="00C37FE7"/>
    <w:rPr>
      <w:vertAlign w:val="superscript"/>
    </w:rPr>
  </w:style>
  <w:style w:type="character" w:styleId="FollowedHyperlink">
    <w:name w:val="FollowedHyperlink"/>
    <w:basedOn w:val="DefaultParagraphFont"/>
    <w:uiPriority w:val="99"/>
    <w:semiHidden/>
    <w:unhideWhenUsed/>
    <w:rsid w:val="00CE2D9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34884">
      <w:bodyDiv w:val="1"/>
      <w:marLeft w:val="0"/>
      <w:marRight w:val="0"/>
      <w:marTop w:val="0"/>
      <w:marBottom w:val="0"/>
      <w:divBdr>
        <w:top w:val="none" w:sz="0" w:space="0" w:color="auto"/>
        <w:left w:val="none" w:sz="0" w:space="0" w:color="auto"/>
        <w:bottom w:val="none" w:sz="0" w:space="0" w:color="auto"/>
        <w:right w:val="none" w:sz="0" w:space="0" w:color="auto"/>
      </w:divBdr>
    </w:div>
    <w:div w:id="347026941">
      <w:bodyDiv w:val="1"/>
      <w:marLeft w:val="0"/>
      <w:marRight w:val="0"/>
      <w:marTop w:val="0"/>
      <w:marBottom w:val="0"/>
      <w:divBdr>
        <w:top w:val="none" w:sz="0" w:space="0" w:color="auto"/>
        <w:left w:val="none" w:sz="0" w:space="0" w:color="auto"/>
        <w:bottom w:val="none" w:sz="0" w:space="0" w:color="auto"/>
        <w:right w:val="none" w:sz="0" w:space="0" w:color="auto"/>
      </w:divBdr>
    </w:div>
    <w:div w:id="412317705">
      <w:bodyDiv w:val="1"/>
      <w:marLeft w:val="0"/>
      <w:marRight w:val="0"/>
      <w:marTop w:val="0"/>
      <w:marBottom w:val="0"/>
      <w:divBdr>
        <w:top w:val="none" w:sz="0" w:space="0" w:color="auto"/>
        <w:left w:val="none" w:sz="0" w:space="0" w:color="auto"/>
        <w:bottom w:val="none" w:sz="0" w:space="0" w:color="auto"/>
        <w:right w:val="none" w:sz="0" w:space="0" w:color="auto"/>
      </w:divBdr>
    </w:div>
    <w:div w:id="851800355">
      <w:bodyDiv w:val="1"/>
      <w:marLeft w:val="0"/>
      <w:marRight w:val="0"/>
      <w:marTop w:val="0"/>
      <w:marBottom w:val="0"/>
      <w:divBdr>
        <w:top w:val="none" w:sz="0" w:space="0" w:color="auto"/>
        <w:left w:val="none" w:sz="0" w:space="0" w:color="auto"/>
        <w:bottom w:val="none" w:sz="0" w:space="0" w:color="auto"/>
        <w:right w:val="none" w:sz="0" w:space="0" w:color="auto"/>
      </w:divBdr>
    </w:div>
    <w:div w:id="1366566856">
      <w:bodyDiv w:val="1"/>
      <w:marLeft w:val="0"/>
      <w:marRight w:val="0"/>
      <w:marTop w:val="0"/>
      <w:marBottom w:val="0"/>
      <w:divBdr>
        <w:top w:val="none" w:sz="0" w:space="0" w:color="auto"/>
        <w:left w:val="none" w:sz="0" w:space="0" w:color="auto"/>
        <w:bottom w:val="none" w:sz="0" w:space="0" w:color="auto"/>
        <w:right w:val="none" w:sz="0" w:space="0" w:color="auto"/>
      </w:divBdr>
    </w:div>
    <w:div w:id="163067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lkancelts.wordpress.com/tag/la-tene-sloven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alkancelts.wordpress.com/tag/la-tene-slov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DE2DA-7B64-3942-A070-38BA80BC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2</cp:revision>
  <dcterms:created xsi:type="dcterms:W3CDTF">2024-10-26T10:53:00Z</dcterms:created>
  <dcterms:modified xsi:type="dcterms:W3CDTF">2024-10-26T10:53:00Z</dcterms:modified>
</cp:coreProperties>
</file>