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pPr>
      <w:r>
        <w:drawing xmlns:a="http://schemas.openxmlformats.org/drawingml/2006/main">
          <wp:anchor distT="57150" distB="57150" distL="57150" distR="57150" simplePos="0" relativeHeight="251659264" behindDoc="0" locked="0" layoutInCell="1" allowOverlap="1">
            <wp:simplePos x="0" y="0"/>
            <wp:positionH relativeFrom="column">
              <wp:posOffset>0</wp:posOffset>
            </wp:positionH>
            <wp:positionV relativeFrom="line">
              <wp:posOffset>292100</wp:posOffset>
            </wp:positionV>
            <wp:extent cx="1809750" cy="723900"/>
            <wp:effectExtent l="0" t="0" r="0" b="0"/>
            <wp:wrapSquare wrapText="bothSides" distL="57150" distR="57150" distT="57150" distB="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4">
                      <a:extLst/>
                    </a:blip>
                    <a:stretch>
                      <a:fillRect/>
                    </a:stretch>
                  </pic:blipFill>
                  <pic:spPr>
                    <a:xfrm>
                      <a:off x="0" y="0"/>
                      <a:ext cx="1809750" cy="723900"/>
                    </a:xfrm>
                    <a:prstGeom prst="rect">
                      <a:avLst/>
                    </a:prstGeom>
                    <a:ln w="12700" cap="flat">
                      <a:noFill/>
                      <a:miter lim="400000"/>
                    </a:ln>
                    <a:effectLst/>
                  </pic:spPr>
                </pic:pic>
              </a:graphicData>
            </a:graphic>
          </wp:anchor>
        </w:drawing>
      </w:r>
    </w:p>
    <w:p>
      <w:pPr>
        <w:pStyle w:val="Body"/>
      </w:pPr>
    </w:p>
    <w:p>
      <w:pPr>
        <w:pStyle w:val="Body"/>
      </w:pPr>
    </w:p>
    <w:p>
      <w:pPr>
        <w:pStyle w:val="Body"/>
      </w:pPr>
    </w:p>
    <w:p>
      <w:pPr>
        <w:pStyle w:val="Body"/>
        <w:tabs>
          <w:tab w:val="left" w:pos="6540"/>
        </w:tabs>
        <w:rPr>
          <w:sz w:val="28"/>
          <w:szCs w:val="28"/>
        </w:rPr>
      </w:pPr>
    </w:p>
    <w:p>
      <w:pPr>
        <w:pStyle w:val="Body"/>
        <w:tabs>
          <w:tab w:val="left" w:pos="6540"/>
        </w:tabs>
        <w:rPr>
          <w:sz w:val="28"/>
          <w:szCs w:val="28"/>
        </w:rPr>
      </w:pPr>
      <w:r>
        <w:rPr>
          <w:b w:val="1"/>
          <w:bCs w:val="1"/>
          <w:sz w:val="28"/>
          <w:szCs w:val="28"/>
          <w:rtl w:val="0"/>
          <w:lang w:val="nl-NL"/>
        </w:rPr>
        <w:t>Student name</w:t>
      </w:r>
      <w:r>
        <w:rPr>
          <w:sz w:val="28"/>
          <w:szCs w:val="28"/>
          <w:rtl w:val="0"/>
          <w:lang w:val="nl-NL"/>
        </w:rPr>
        <w:t>:</w:t>
      </w:r>
      <w:r>
        <w:rPr>
          <w:sz w:val="28"/>
          <w:szCs w:val="28"/>
          <w:rtl w:val="0"/>
          <w:lang w:val="nl-NL"/>
        </w:rPr>
        <w:t xml:space="preserve"> Luize Kludzina</w:t>
      </w:r>
    </w:p>
    <w:p>
      <w:pPr>
        <w:pStyle w:val="Body"/>
        <w:tabs>
          <w:tab w:val="left" w:pos="6540"/>
        </w:tabs>
        <w:rPr>
          <w:sz w:val="28"/>
          <w:szCs w:val="28"/>
        </w:rPr>
      </w:pPr>
      <w:r>
        <w:rPr>
          <w:b w:val="1"/>
          <w:bCs w:val="1"/>
          <w:sz w:val="28"/>
          <w:szCs w:val="28"/>
          <w:rtl w:val="0"/>
          <w:lang w:val="nl-NL"/>
        </w:rPr>
        <w:t>Student ID</w:t>
      </w:r>
      <w:r>
        <w:rPr>
          <w:sz w:val="28"/>
          <w:szCs w:val="28"/>
          <w:rtl w:val="0"/>
          <w:lang w:val="nl-NL"/>
        </w:rPr>
        <w:t>:</w:t>
      </w:r>
      <w:r>
        <w:rPr>
          <w:sz w:val="28"/>
          <w:szCs w:val="28"/>
          <w:rtl w:val="0"/>
          <w:lang w:val="nl-NL"/>
        </w:rPr>
        <w:t>2422963</w:t>
      </w:r>
    </w:p>
    <w:p>
      <w:pPr>
        <w:pStyle w:val="Body"/>
        <w:tabs>
          <w:tab w:val="left" w:pos="6540"/>
        </w:tabs>
        <w:rPr>
          <w:sz w:val="28"/>
          <w:szCs w:val="28"/>
          <w:lang w:val="nl-NL"/>
        </w:rPr>
      </w:pPr>
    </w:p>
    <w:p>
      <w:pPr>
        <w:pStyle w:val="Body"/>
        <w:tabs>
          <w:tab w:val="left" w:pos="6540"/>
        </w:tabs>
        <w:rPr>
          <w:sz w:val="28"/>
          <w:szCs w:val="28"/>
        </w:rPr>
      </w:pPr>
      <w:r>
        <w:rPr>
          <w:b w:val="1"/>
          <w:bCs w:val="1"/>
          <w:sz w:val="28"/>
          <w:szCs w:val="28"/>
          <w:rtl w:val="0"/>
          <w:lang w:val="nl-NL"/>
        </w:rPr>
        <w:t>Module name</w:t>
      </w:r>
      <w:r>
        <w:rPr>
          <w:sz w:val="28"/>
          <w:szCs w:val="28"/>
          <w:rtl w:val="0"/>
          <w:lang w:val="nl-NL"/>
        </w:rPr>
        <w:t xml:space="preserve">: </w:t>
      </w:r>
      <w:r>
        <w:rPr>
          <w:sz w:val="28"/>
          <w:szCs w:val="28"/>
          <w:rtl w:val="0"/>
          <w:lang w:val="nl-NL"/>
        </w:rPr>
        <w:t>Principles of Health and Social Care</w:t>
      </w:r>
    </w:p>
    <w:p>
      <w:pPr>
        <w:pStyle w:val="Body"/>
        <w:tabs>
          <w:tab w:val="left" w:pos="6540"/>
        </w:tabs>
        <w:rPr>
          <w:sz w:val="28"/>
          <w:szCs w:val="28"/>
        </w:rPr>
      </w:pPr>
      <w:r>
        <w:rPr>
          <w:b w:val="1"/>
          <w:bCs w:val="1"/>
          <w:sz w:val="28"/>
          <w:szCs w:val="28"/>
          <w:rtl w:val="0"/>
          <w:lang w:val="en-US"/>
        </w:rPr>
        <w:t>Module code</w:t>
      </w:r>
      <w:r>
        <w:rPr>
          <w:sz w:val="28"/>
          <w:szCs w:val="28"/>
          <w:rtl w:val="0"/>
        </w:rPr>
        <w:t>:</w:t>
      </w:r>
      <w:r>
        <w:rPr>
          <w:sz w:val="28"/>
          <w:szCs w:val="28"/>
          <w:rtl w:val="0"/>
        </w:rPr>
        <w:t xml:space="preserve"> </w:t>
      </w:r>
      <w:r>
        <w:rPr>
          <w:sz w:val="28"/>
          <w:szCs w:val="28"/>
          <w:rtl w:val="0"/>
        </w:rPr>
        <w:t>BMHP5016</w:t>
      </w:r>
    </w:p>
    <w:p>
      <w:pPr>
        <w:pStyle w:val="Body"/>
        <w:tabs>
          <w:tab w:val="left" w:pos="6540"/>
        </w:tabs>
        <w:rPr>
          <w:sz w:val="28"/>
          <w:szCs w:val="28"/>
        </w:rPr>
      </w:pPr>
      <w:r>
        <w:rPr>
          <w:b w:val="1"/>
          <w:bCs w:val="1"/>
          <w:sz w:val="28"/>
          <w:szCs w:val="28"/>
          <w:rtl w:val="0"/>
          <w:lang w:val="fr-FR"/>
        </w:rPr>
        <w:t>Lecturer name</w:t>
      </w:r>
      <w:r>
        <w:rPr>
          <w:sz w:val="28"/>
          <w:szCs w:val="28"/>
          <w:rtl w:val="0"/>
        </w:rPr>
        <w:t>:</w:t>
      </w:r>
      <w:r>
        <w:rPr>
          <w:sz w:val="28"/>
          <w:szCs w:val="28"/>
          <w:rtl w:val="0"/>
        </w:rPr>
        <w:t xml:space="preserve"> Dr. Itse Olaoye </w:t>
      </w:r>
    </w:p>
    <w:p>
      <w:pPr>
        <w:pStyle w:val="Body"/>
        <w:tabs>
          <w:tab w:val="left" w:pos="6540"/>
        </w:tabs>
        <w:rPr>
          <w:sz w:val="28"/>
          <w:szCs w:val="28"/>
        </w:rPr>
      </w:pPr>
    </w:p>
    <w:p>
      <w:pPr>
        <w:pStyle w:val="Body"/>
      </w:pPr>
      <w:r>
        <w:rPr>
          <w:rFonts w:ascii="Arial Unicode MS" w:cs="Arial Unicode MS" w:hAnsi="Arial Unicode MS" w:eastAsia="Arial Unicode MS"/>
          <w:b w:val="0"/>
          <w:bCs w:val="0"/>
          <w:i w:val="0"/>
          <w:iCs w:val="0"/>
          <w:sz w:val="23"/>
          <w:szCs w:val="23"/>
        </w:rPr>
        <w:br w:type="page"/>
      </w:r>
    </w:p>
    <w:p>
      <w:pPr>
        <w:pStyle w:val="Body"/>
        <w:rPr>
          <w:b w:val="1"/>
          <w:bCs w:val="1"/>
          <w:sz w:val="23"/>
          <w:szCs w:val="23"/>
        </w:rPr>
      </w:pPr>
      <w:r>
        <w:rPr>
          <w:b w:val="1"/>
          <w:bCs w:val="1"/>
          <w:sz w:val="23"/>
          <w:szCs w:val="23"/>
          <w:rtl w:val="0"/>
          <w:lang w:val="fr-FR"/>
        </w:rPr>
        <w:t>Introduction</w:t>
      </w:r>
    </w:p>
    <w:p>
      <w:pPr>
        <w:pStyle w:val="Body"/>
        <w:rPr>
          <w:sz w:val="22"/>
          <w:szCs w:val="22"/>
        </w:rPr>
      </w:pPr>
      <w:r>
        <w:rPr>
          <w:sz w:val="22"/>
          <w:szCs w:val="22"/>
          <w:rtl w:val="0"/>
          <w:lang w:val="en-US"/>
        </w:rPr>
        <w:t xml:space="preserve">This </w:t>
      </w:r>
      <w:r>
        <w:rPr>
          <w:sz w:val="22"/>
          <w:szCs w:val="22"/>
          <w:rtl w:val="0"/>
        </w:rPr>
        <w:t>essay</w:t>
      </w:r>
      <w:r>
        <w:rPr>
          <w:sz w:val="22"/>
          <w:szCs w:val="22"/>
          <w:rtl w:val="0"/>
          <w:lang w:val="en-US"/>
        </w:rPr>
        <w:t xml:space="preserve"> explores the concept of the ethics of care, an ethical framework that emphasises the importance of empathy, relationships, and responsiveness to individual needs, rather than solely </w:t>
      </w:r>
      <w:r>
        <w:rPr>
          <w:sz w:val="22"/>
          <w:szCs w:val="22"/>
          <w:rtl w:val="0"/>
        </w:rPr>
        <w:t xml:space="preserve">following </w:t>
      </w:r>
      <w:r>
        <w:rPr>
          <w:sz w:val="22"/>
          <w:szCs w:val="22"/>
          <w:rtl w:val="0"/>
          <w:lang w:val="en-US"/>
        </w:rPr>
        <w:t xml:space="preserve">to bureaucratic or procedural approaches to care. </w:t>
      </w:r>
      <w:r>
        <w:rPr>
          <w:sz w:val="22"/>
          <w:szCs w:val="22"/>
          <w:rtl w:val="0"/>
        </w:rPr>
        <w:t xml:space="preserve">Healthcare is already a public space, where it is hard to trust another human being into their private matters. </w:t>
      </w:r>
    </w:p>
    <w:p>
      <w:pPr>
        <w:pStyle w:val="Body"/>
        <w:rPr>
          <w:i w:val="1"/>
          <w:iCs w:val="1"/>
          <w:sz w:val="22"/>
          <w:szCs w:val="22"/>
        </w:rPr>
      </w:pPr>
      <w:r>
        <w:rPr>
          <w:sz w:val="22"/>
          <w:szCs w:val="22"/>
          <w:rtl w:val="0"/>
          <w:lang w:val="pt-PT"/>
        </w:rPr>
        <w:t xml:space="preserve">As </w:t>
      </w:r>
      <w:r>
        <w:rPr>
          <w:sz w:val="22"/>
          <w:szCs w:val="22"/>
          <w:rtl w:val="0"/>
        </w:rPr>
        <w:t>written</w:t>
      </w:r>
      <w:r>
        <w:rPr>
          <w:sz w:val="22"/>
          <w:szCs w:val="22"/>
          <w:rtl w:val="0"/>
        </w:rPr>
        <w:t xml:space="preserve"> by Virginia Held (2018), </w:t>
      </w:r>
      <w:r>
        <w:rPr>
          <w:sz w:val="22"/>
          <w:szCs w:val="22"/>
          <w:rtl w:val="0"/>
        </w:rPr>
        <w:t xml:space="preserve">human </w:t>
      </w:r>
      <w:r>
        <w:rPr>
          <w:sz w:val="22"/>
          <w:szCs w:val="22"/>
          <w:rtl w:val="0"/>
          <w:lang w:val="en-US"/>
        </w:rPr>
        <w:t>care is rooted in the fundamental need for understanding and connection.</w:t>
      </w:r>
      <w:r>
        <w:rPr>
          <w:sz w:val="22"/>
          <w:szCs w:val="22"/>
          <w:rtl w:val="0"/>
        </w:rPr>
        <w:t xml:space="preserve"> However in the patriarchal society, it can be viewed as </w:t>
      </w:r>
      <w:r>
        <w:rPr>
          <w:sz w:val="22"/>
          <w:szCs w:val="22"/>
          <w:rtl w:val="0"/>
        </w:rPr>
        <w:t xml:space="preserve"> </w:t>
      </w:r>
      <w:r>
        <w:rPr>
          <w:sz w:val="22"/>
          <w:szCs w:val="22"/>
          <w:rtl w:val="0"/>
        </w:rPr>
        <w:t xml:space="preserve">a feminine concept, but within a democratic society it is viewed as a human framework, grounded in core values such as being heard with respect and treated equally. </w:t>
      </w:r>
      <w:r>
        <w:rPr>
          <w:i w:val="1"/>
          <w:iCs w:val="1"/>
          <w:sz w:val="22"/>
          <w:szCs w:val="22"/>
          <w:rtl w:val="0"/>
        </w:rPr>
        <w:t xml:space="preserve">(Gilligan, 2011) </w:t>
      </w:r>
    </w:p>
    <w:p>
      <w:pPr>
        <w:pStyle w:val="Body"/>
        <w:rPr>
          <w:sz w:val="22"/>
          <w:szCs w:val="22"/>
        </w:rPr>
      </w:pPr>
      <w:r>
        <w:rPr>
          <w:sz w:val="22"/>
          <w:szCs w:val="22"/>
          <w:rtl w:val="0"/>
          <w:lang w:val="en-US"/>
        </w:rPr>
        <w:t xml:space="preserve">This report will examine the development of the ethics of care, its </w:t>
      </w:r>
      <w:r>
        <w:rPr>
          <w:sz w:val="22"/>
          <w:szCs w:val="22"/>
          <w:rtl w:val="0"/>
        </w:rPr>
        <w:t>implementation the concept</w:t>
      </w:r>
      <w:r>
        <w:rPr>
          <w:sz w:val="22"/>
          <w:szCs w:val="22"/>
          <w:rtl w:val="0"/>
        </w:rPr>
        <w:t xml:space="preserve"> </w:t>
      </w:r>
      <w:r>
        <w:rPr>
          <w:sz w:val="22"/>
          <w:szCs w:val="22"/>
          <w:rtl w:val="0"/>
        </w:rPr>
        <w:t>within the</w:t>
      </w:r>
      <w:r>
        <w:rPr>
          <w:sz w:val="22"/>
          <w:szCs w:val="22"/>
          <w:rtl w:val="0"/>
          <w:lang w:val="en-US"/>
        </w:rPr>
        <w:t xml:space="preserve"> professional practice, and its </w:t>
      </w:r>
      <w:r>
        <w:rPr>
          <w:sz w:val="22"/>
          <w:szCs w:val="22"/>
          <w:rtl w:val="0"/>
        </w:rPr>
        <w:t xml:space="preserve"> recommendations </w:t>
      </w:r>
      <w:r>
        <w:rPr>
          <w:sz w:val="22"/>
          <w:szCs w:val="22"/>
          <w:rtl w:val="0"/>
          <w:lang w:val="en-US"/>
        </w:rPr>
        <w:t>for policy within health and social care.</w:t>
      </w:r>
    </w:p>
    <w:p>
      <w:pPr>
        <w:pStyle w:val="Body"/>
        <w:rPr>
          <w:b w:val="1"/>
          <w:bCs w:val="1"/>
          <w:outline w:val="0"/>
          <w:color w:val="0070c0"/>
          <w:sz w:val="23"/>
          <w:szCs w:val="23"/>
          <w:u w:color="0070c0"/>
          <w14:textFill>
            <w14:solidFill>
              <w14:srgbClr w14:val="0070C0"/>
            </w14:solidFill>
          </w14:textFill>
        </w:rPr>
      </w:pPr>
      <w:r>
        <w:rPr>
          <w:b w:val="1"/>
          <w:bCs w:val="1"/>
          <w:sz w:val="23"/>
          <w:szCs w:val="23"/>
          <w:rtl w:val="0"/>
          <w:lang w:val="en-US"/>
        </w:rPr>
        <w:t xml:space="preserve">The development of the chosen concept </w:t>
      </w:r>
      <w:r>
        <w:rPr>
          <w:b w:val="1"/>
          <w:bCs w:val="1"/>
          <w:outline w:val="0"/>
          <w:color w:val="0070c0"/>
          <w:sz w:val="23"/>
          <w:szCs w:val="23"/>
          <w:u w:color="0070c0"/>
          <w:rtl w:val="0"/>
          <w:lang w:val="en-US"/>
          <w14:textFill>
            <w14:solidFill>
              <w14:srgbClr w14:val="0070C0"/>
            </w14:solidFill>
          </w14:textFill>
        </w:rPr>
        <w:t xml:space="preserve">(or theory or model) </w:t>
      </w:r>
    </w:p>
    <w:p>
      <w:pPr>
        <w:pStyle w:val="Body"/>
        <w:rPr>
          <w:sz w:val="22"/>
          <w:szCs w:val="22"/>
        </w:rPr>
      </w:pPr>
      <w:r>
        <w:rPr>
          <w:sz w:val="22"/>
          <w:szCs w:val="22"/>
          <w:rtl w:val="0"/>
          <w:lang w:val="en-US"/>
        </w:rPr>
        <w:t>The ethics of care, also known as a moral theory, explores the moral significance of fundamental relationships between individuals and the importance of supporting their growth and development. This theory was developed by Carol Gilligan(1982), who criticised Lawrence Kohlberg</w:t>
      </w:r>
      <w:r>
        <w:rPr>
          <w:sz w:val="22"/>
          <w:szCs w:val="22"/>
          <w:rtl w:val="1"/>
        </w:rPr>
        <w:t>’</w:t>
      </w:r>
      <w:r>
        <w:rPr>
          <w:sz w:val="22"/>
          <w:szCs w:val="22"/>
          <w:rtl w:val="0"/>
          <w:lang w:val="en-US"/>
        </w:rPr>
        <w:t>s justice-based theory of moral development. Kohlberg</w:t>
      </w:r>
      <w:r>
        <w:rPr>
          <w:sz w:val="22"/>
          <w:szCs w:val="22"/>
          <w:rtl w:val="1"/>
        </w:rPr>
        <w:t>’</w:t>
      </w:r>
      <w:r>
        <w:rPr>
          <w:sz w:val="22"/>
          <w:szCs w:val="22"/>
          <w:rtl w:val="0"/>
          <w:lang w:val="en-US"/>
        </w:rPr>
        <w:t>s theory was influenced by the earlier work of Jean Piaget (1932), particularly his theory of The Moral Judgement of the Child, which focused on how children develop an understanding of rules, authority, and moral reasoning during the early stages of life. However, Piaget</w:t>
      </w:r>
      <w:r>
        <w:rPr>
          <w:sz w:val="22"/>
          <w:szCs w:val="22"/>
          <w:rtl w:val="1"/>
        </w:rPr>
        <w:t>’</w:t>
      </w:r>
      <w:r>
        <w:rPr>
          <w:sz w:val="22"/>
          <w:szCs w:val="22"/>
          <w:rtl w:val="0"/>
          <w:lang w:val="en-US"/>
        </w:rPr>
        <w:t>s (1932) theory was primarily concerned with early childhood development, whereas Kohlberg (1976) expanded these ideas by proposing that moral reasoning develops through a sequence of six stages across three different levels (pre-conventional, conventional, and post-conventional), extending beyond childhood into adolescence and adulthood. His theory emphasises how individuals across all stages of life conform to social rules and morality, as well as a desire to be approved by society (Garrigan, Adlam and Langdon, 2018).</w:t>
      </w:r>
    </w:p>
    <w:p>
      <w:pPr>
        <w:pStyle w:val="Body"/>
        <w:rPr>
          <w:sz w:val="22"/>
          <w:szCs w:val="22"/>
        </w:rPr>
      </w:pPr>
      <w:r>
        <w:rPr>
          <w:sz w:val="22"/>
          <w:szCs w:val="22"/>
          <w:rtl w:val="0"/>
          <w:lang w:val="en-US"/>
        </w:rPr>
        <w:t>However, after exploring these concepts, Kohlberg</w:t>
      </w:r>
      <w:r>
        <w:rPr>
          <w:sz w:val="22"/>
          <w:szCs w:val="22"/>
          <w:rtl w:val="1"/>
        </w:rPr>
        <w:t>’</w:t>
      </w:r>
      <w:r>
        <w:rPr>
          <w:sz w:val="22"/>
          <w:szCs w:val="22"/>
          <w:rtl w:val="0"/>
          <w:lang w:val="en-US"/>
        </w:rPr>
        <w:t>s theory was challenged by Gilligan (1982), a psychologist who developed her study as a critique of his justice-based and male-centric approach. Gilligan emphasised that Kohlberg</w:t>
      </w:r>
      <w:r>
        <w:rPr>
          <w:sz w:val="22"/>
          <w:szCs w:val="22"/>
          <w:rtl w:val="1"/>
        </w:rPr>
        <w:t>’</w:t>
      </w:r>
      <w:r>
        <w:rPr>
          <w:sz w:val="22"/>
          <w:szCs w:val="22"/>
          <w:rtl w:val="0"/>
          <w:lang w:val="en-US"/>
        </w:rPr>
        <w:t>s study overlooked the importance of relationships, empathy, and care in moral reasoning. Moreover, Gilligan (1982) critiqued the absence of a female voice within this male-centric study, arguing that women were not fully represented in Kohlberg</w:t>
      </w:r>
      <w:r>
        <w:rPr>
          <w:sz w:val="22"/>
          <w:szCs w:val="22"/>
          <w:rtl w:val="1"/>
        </w:rPr>
        <w:t>’</w:t>
      </w:r>
      <w:r>
        <w:rPr>
          <w:sz w:val="22"/>
          <w:szCs w:val="22"/>
          <w:rtl w:val="0"/>
          <w:lang w:val="en-US"/>
        </w:rPr>
        <w:t>s research. As a result, women</w:t>
      </w:r>
      <w:r>
        <w:rPr>
          <w:sz w:val="22"/>
          <w:szCs w:val="22"/>
          <w:rtl w:val="1"/>
        </w:rPr>
        <w:t>’</w:t>
      </w:r>
      <w:r>
        <w:rPr>
          <w:sz w:val="22"/>
          <w:szCs w:val="22"/>
          <w:rtl w:val="0"/>
          <w:lang w:val="en-US"/>
        </w:rPr>
        <w:t>s moral reasoning, which often emphasises care, responsibility, and sensitivity to relationships, was undervalued and, in some cases, portrayed as inferior within a justice-focused framework.(Josselson, 2022)</w:t>
      </w:r>
      <w:r>
        <w:rPr>
          <w:sz w:val="22"/>
          <w:szCs w:val="22"/>
          <w:rtl w:val="0"/>
        </w:rPr>
        <w:t>. Gilligan</w:t>
      </w:r>
      <w:r>
        <w:rPr>
          <w:sz w:val="22"/>
          <w:szCs w:val="22"/>
          <w:rtl w:val="0"/>
        </w:rPr>
        <w:t>’</w:t>
      </w:r>
      <w:r>
        <w:rPr>
          <w:sz w:val="22"/>
          <w:szCs w:val="22"/>
          <w:rtl w:val="0"/>
        </w:rPr>
        <w:t>s (1982) led scholars to view women through a new lens and later as well it enlarged a study of all people.(</w:t>
      </w:r>
      <w:r>
        <w:rPr>
          <w:sz w:val="22"/>
          <w:szCs w:val="22"/>
          <w:rtl w:val="0"/>
        </w:rPr>
        <w:t>Josselson, 2022</w:t>
      </w:r>
      <w:r>
        <w:rPr>
          <w:sz w:val="22"/>
          <w:szCs w:val="22"/>
          <w:rtl w:val="0"/>
        </w:rPr>
        <w:t xml:space="preserve">). </w:t>
      </w:r>
    </w:p>
    <w:p>
      <w:pPr>
        <w:pStyle w:val="Body"/>
        <w:rPr>
          <w:sz w:val="22"/>
          <w:szCs w:val="22"/>
        </w:rPr>
      </w:pPr>
      <w:r>
        <w:rPr>
          <w:sz w:val="22"/>
          <w:szCs w:val="22"/>
          <w:rtl w:val="0"/>
        </w:rPr>
        <w:t>Gilligan</w:t>
      </w:r>
      <w:r>
        <w:rPr>
          <w:sz w:val="22"/>
          <w:szCs w:val="22"/>
          <w:rtl w:val="0"/>
        </w:rPr>
        <w:t>’</w:t>
      </w:r>
      <w:r>
        <w:rPr>
          <w:sz w:val="22"/>
          <w:szCs w:val="22"/>
          <w:rtl w:val="0"/>
        </w:rPr>
        <w:t>s (1982) study impacted fellow theorists, such as Nel Noddings, which created a study based on Gilligan</w:t>
      </w:r>
      <w:r>
        <w:rPr>
          <w:sz w:val="22"/>
          <w:szCs w:val="22"/>
          <w:rtl w:val="0"/>
        </w:rPr>
        <w:t>’</w:t>
      </w:r>
      <w:r>
        <w:rPr>
          <w:sz w:val="22"/>
          <w:szCs w:val="22"/>
          <w:rtl w:val="0"/>
        </w:rPr>
        <w:t>s feminist approach, creating a framework Caring (1984). Noddings (1984) further developed idea of emphasising the importance of the relationship between the caregiver and the individual receiving care. She as well argued, that caring is part of morality.</w:t>
      </w:r>
      <w:r>
        <w:rPr>
          <w:sz w:val="22"/>
          <w:szCs w:val="22"/>
          <w:rtl w:val="0"/>
        </w:rPr>
        <w:t>(</w:t>
      </w:r>
      <w:r>
        <w:rPr>
          <w:sz w:val="22"/>
          <w:szCs w:val="22"/>
          <w:rtl w:val="0"/>
        </w:rPr>
        <w:t xml:space="preserve"> </w:t>
      </w:r>
      <w:r>
        <w:rPr>
          <w:sz w:val="22"/>
          <w:szCs w:val="22"/>
          <w:rtl w:val="0"/>
        </w:rPr>
        <w:t>Adhikari, Saha and Sen, 2023)</w:t>
      </w:r>
      <w:r>
        <w:rPr>
          <w:sz w:val="22"/>
          <w:szCs w:val="22"/>
          <w:rtl w:val="0"/>
        </w:rPr>
        <w:t xml:space="preserve">. </w:t>
      </w:r>
      <w:r>
        <w:rPr>
          <w:sz w:val="22"/>
          <w:szCs w:val="22"/>
          <w:rtl w:val="0"/>
          <w:lang w:val="en-US"/>
        </w:rPr>
        <w:t>Through caring relationships and meaningful interactions, Nel Noddings</w:t>
      </w:r>
      <w:r>
        <w:rPr>
          <w:sz w:val="22"/>
          <w:szCs w:val="22"/>
          <w:rtl w:val="1"/>
        </w:rPr>
        <w:t xml:space="preserve">’ </w:t>
      </w:r>
      <w:r>
        <w:rPr>
          <w:sz w:val="22"/>
          <w:szCs w:val="22"/>
          <w:rtl w:val="0"/>
          <w:lang w:val="en-US"/>
        </w:rPr>
        <w:t>theory of care encourages individuals to develop moral understanding and behaviour, promoting a lifelong commitment to empathy and caring for others.</w:t>
      </w:r>
      <w:r>
        <w:rPr>
          <w:sz w:val="22"/>
          <w:szCs w:val="22"/>
          <w:rtl w:val="0"/>
        </w:rPr>
        <w:t xml:space="preserve"> Moreover, according to Nodding</w:t>
      </w:r>
      <w:r>
        <w:rPr>
          <w:sz w:val="22"/>
          <w:szCs w:val="22"/>
          <w:rtl w:val="0"/>
        </w:rPr>
        <w:t>’</w:t>
      </w:r>
      <w:r>
        <w:rPr>
          <w:sz w:val="22"/>
          <w:szCs w:val="22"/>
          <w:rtl w:val="0"/>
        </w:rPr>
        <w:t xml:space="preserve">s Theory of Care is it crucial to establish ethical relationships, between the patient and the caregiver,  in order to create an ethical idea of care. These interactions act as a framework, which supports individuals become more ethically and compassionately aware. ( Nel Noddings, 1984). </w:t>
      </w:r>
    </w:p>
    <w:p>
      <w:pPr>
        <w:pStyle w:val="Body"/>
        <w:rPr>
          <w:sz w:val="22"/>
          <w:szCs w:val="22"/>
        </w:rPr>
      </w:pPr>
      <w:r>
        <w:rPr>
          <w:sz w:val="22"/>
          <w:szCs w:val="22"/>
          <w:rtl w:val="0"/>
        </w:rPr>
        <w:t>Noddings (1984) as well argued that natural caring interactions are fundamental to human life, suggesting that infants wouldn</w:t>
      </w:r>
      <w:r>
        <w:rPr>
          <w:sz w:val="22"/>
          <w:szCs w:val="22"/>
          <w:rtl w:val="0"/>
        </w:rPr>
        <w:t>’</w:t>
      </w:r>
      <w:r>
        <w:rPr>
          <w:sz w:val="22"/>
          <w:szCs w:val="22"/>
          <w:rtl w:val="0"/>
        </w:rPr>
        <w:t xml:space="preserve">t survive without caring and care. </w:t>
      </w:r>
    </w:p>
    <w:p>
      <w:pPr>
        <w:pStyle w:val="Body"/>
        <w:rPr>
          <w:sz w:val="22"/>
          <w:szCs w:val="22"/>
        </w:rPr>
      </w:pPr>
      <w:r>
        <w:rPr>
          <w:sz w:val="22"/>
          <w:szCs w:val="22"/>
          <w:rtl w:val="0"/>
        </w:rPr>
        <w:t xml:space="preserve">However, before Gilligan (1982) and Nodding (1984), a philosopher Milton Mayeroff, he introduced a framework (1971), where he introduced a caring framework. He described in his book supporting growth of the individual </w:t>
      </w:r>
      <w:r>
        <w:rPr>
          <w:sz w:val="22"/>
          <w:szCs w:val="22"/>
          <w:rtl w:val="0"/>
          <w:lang w:val="en-US"/>
        </w:rPr>
        <w:t xml:space="preserve">s a moral practice centred on </w:t>
      </w:r>
      <w:r>
        <w:rPr>
          <w:sz w:val="22"/>
          <w:szCs w:val="22"/>
          <w:rtl w:val="0"/>
        </w:rPr>
        <w:t xml:space="preserve">. Moreover, through the development of others through commitment, responsibility and understanding. Which are accented in the work of Gilligan( 1982) Nodding (1984). </w:t>
      </w:r>
    </w:p>
    <w:p>
      <w:pPr>
        <w:pStyle w:val="Body"/>
      </w:pPr>
    </w:p>
    <w:p>
      <w:pPr>
        <w:pStyle w:val="Body"/>
        <w:rPr>
          <w:b w:val="1"/>
          <w:bCs w:val="1"/>
          <w:sz w:val="23"/>
          <w:szCs w:val="23"/>
        </w:rPr>
      </w:pPr>
      <w:r>
        <w:rPr>
          <w:b w:val="1"/>
          <w:bCs w:val="1"/>
          <w:sz w:val="23"/>
          <w:szCs w:val="23"/>
          <w:rtl w:val="0"/>
          <w:lang w:val="en-US"/>
        </w:rPr>
        <w:t>Application of the concept in practice</w:t>
      </w:r>
    </w:p>
    <w:p>
      <w:pPr>
        <w:pStyle w:val="Body"/>
      </w:pPr>
      <w:r>
        <w:rPr>
          <w:rtl w:val="0"/>
        </w:rPr>
        <w:t xml:space="preserve">There are four main core ethical principles of the modern ethical principles of care - autonomy, beneficence, non-maleficence and lastly justice. These four pillars ensure, people within the health- sector, can maintain their dignity, feel cared for and </w:t>
      </w:r>
    </w:p>
    <w:p>
      <w:pPr>
        <w:pStyle w:val="Body"/>
        <w:rPr>
          <w:sz w:val="22"/>
          <w:szCs w:val="22"/>
        </w:rPr>
      </w:pPr>
      <w:r>
        <w:rPr>
          <w:sz w:val="22"/>
          <w:szCs w:val="22"/>
          <w:rtl w:val="0"/>
          <w:lang w:val="en-US"/>
        </w:rPr>
        <w:t>Respecting autonomy entails</w:t>
      </w:r>
      <w:r>
        <w:rPr>
          <w:sz w:val="22"/>
          <w:szCs w:val="22"/>
          <w:rtl w:val="0"/>
        </w:rPr>
        <w:t xml:space="preserve">, </w:t>
      </w:r>
      <w:r>
        <w:rPr>
          <w:sz w:val="22"/>
          <w:szCs w:val="22"/>
          <w:rtl w:val="0"/>
          <w:lang w:val="en-US"/>
        </w:rPr>
        <w:t xml:space="preserve"> a person receiving care has an informed choice about their treatment plan and personal control, meaning</w:t>
      </w:r>
      <w:r>
        <w:rPr>
          <w:sz w:val="22"/>
          <w:szCs w:val="22"/>
          <w:rtl w:val="0"/>
        </w:rPr>
        <w:t xml:space="preserve">, </w:t>
      </w:r>
      <w:r>
        <w:rPr>
          <w:sz w:val="22"/>
          <w:szCs w:val="22"/>
          <w:rtl w:val="0"/>
          <w:lang w:val="en-US"/>
        </w:rPr>
        <w:t xml:space="preserve">a service user can make their own </w:t>
      </w:r>
      <w:r>
        <w:rPr>
          <w:sz w:val="22"/>
          <w:szCs w:val="22"/>
          <w:rtl w:val="0"/>
        </w:rPr>
        <w:t xml:space="preserve">informed </w:t>
      </w:r>
      <w:r>
        <w:rPr>
          <w:sz w:val="22"/>
          <w:szCs w:val="22"/>
          <w:rtl w:val="0"/>
          <w:lang w:val="en-US"/>
        </w:rPr>
        <w:t xml:space="preserve">decisions. This includes recognition of their rights, the application of person-centred care, and, most importantly, allowing independence where appropriate. </w:t>
      </w:r>
      <w:r>
        <w:rPr>
          <w:sz w:val="22"/>
          <w:szCs w:val="22"/>
          <w:rtl w:val="0"/>
        </w:rPr>
        <w:t>However, if a patient, doesn</w:t>
      </w:r>
      <w:r>
        <w:rPr>
          <w:sz w:val="22"/>
          <w:szCs w:val="22"/>
          <w:rtl w:val="0"/>
        </w:rPr>
        <w:t>’</w:t>
      </w:r>
      <w:r>
        <w:rPr>
          <w:sz w:val="22"/>
          <w:szCs w:val="22"/>
          <w:rtl w:val="0"/>
        </w:rPr>
        <w:t xml:space="preserve">t have a capacity to do so, they have a right to a power of attorney, a legal guardian, who can make informed and right decisions about the patient </w:t>
      </w:r>
      <w:r>
        <w:rPr>
          <w:sz w:val="22"/>
          <w:szCs w:val="22"/>
          <w:rtl w:val="0"/>
          <w:lang w:val="en-US"/>
        </w:rPr>
        <w:t>(Social Care Institute for Excellence, 2024)</w:t>
      </w:r>
    </w:p>
    <w:p>
      <w:pPr>
        <w:pStyle w:val="Body"/>
        <w:rPr>
          <w:sz w:val="22"/>
          <w:szCs w:val="22"/>
        </w:rPr>
      </w:pPr>
      <w:r>
        <w:rPr>
          <w:sz w:val="22"/>
          <w:szCs w:val="22"/>
          <w:rtl w:val="0"/>
          <w:lang w:val="en-US"/>
        </w:rPr>
        <w:t>Applying beneficence allows care specialists to create the best possible care by taking into consideration each person</w:t>
      </w:r>
      <w:r>
        <w:rPr>
          <w:sz w:val="22"/>
          <w:szCs w:val="22"/>
          <w:rtl w:val="1"/>
        </w:rPr>
        <w:t>’</w:t>
      </w:r>
      <w:r>
        <w:rPr>
          <w:sz w:val="22"/>
          <w:szCs w:val="22"/>
          <w:rtl w:val="0"/>
          <w:lang w:val="en-US"/>
        </w:rPr>
        <w:t xml:space="preserve">s unique situation. It includes care planning, health promotion, and skill development to encourage growth, independence, and positive impact, with a focus on positive outcomes. </w:t>
      </w:r>
      <w:r>
        <w:rPr>
          <w:sz w:val="22"/>
          <w:szCs w:val="22"/>
          <w:rtl w:val="0"/>
        </w:rPr>
        <w:t>Beneficence is crucial because it reminds the healthcare professionals, that what works for others, doesn</w:t>
      </w:r>
      <w:r>
        <w:rPr>
          <w:sz w:val="22"/>
          <w:szCs w:val="22"/>
          <w:rtl w:val="0"/>
        </w:rPr>
        <w:t>’</w:t>
      </w:r>
      <w:r>
        <w:rPr>
          <w:sz w:val="22"/>
          <w:szCs w:val="22"/>
          <w:rtl w:val="0"/>
        </w:rPr>
        <w:t xml:space="preserve">t work for others, and as well, when to stop the treatment, when its starts to harm them, rather than helping them. </w:t>
      </w:r>
      <w:r>
        <w:rPr>
          <w:sz w:val="22"/>
          <w:szCs w:val="22"/>
          <w:rtl w:val="0"/>
        </w:rPr>
        <w:t>(Cheraghi et al., 2023)</w:t>
      </w:r>
    </w:p>
    <w:p>
      <w:pPr>
        <w:pStyle w:val="Body"/>
        <w:rPr>
          <w:sz w:val="22"/>
          <w:szCs w:val="22"/>
        </w:rPr>
      </w:pPr>
      <w:r>
        <w:rPr>
          <w:sz w:val="22"/>
          <w:szCs w:val="22"/>
          <w:rtl w:val="0"/>
        </w:rPr>
        <w:t>N</w:t>
      </w:r>
      <w:r>
        <w:rPr>
          <w:sz w:val="22"/>
          <w:szCs w:val="22"/>
          <w:rtl w:val="0"/>
          <w:lang w:val="it-IT"/>
        </w:rPr>
        <w:t>on-maleficence</w:t>
      </w:r>
      <w:r>
        <w:rPr>
          <w:sz w:val="22"/>
          <w:szCs w:val="22"/>
          <w:rtl w:val="0"/>
        </w:rPr>
        <w:t xml:space="preserve">, as well known as </w:t>
      </w:r>
      <w:r>
        <w:rPr>
          <w:sz w:val="22"/>
          <w:szCs w:val="22"/>
          <w:rtl w:val="0"/>
        </w:rPr>
        <w:t>“</w:t>
      </w:r>
      <w:r>
        <w:rPr>
          <w:sz w:val="22"/>
          <w:szCs w:val="22"/>
          <w:rtl w:val="0"/>
        </w:rPr>
        <w:t>do no harm</w:t>
      </w:r>
      <w:r>
        <w:rPr>
          <w:sz w:val="22"/>
          <w:szCs w:val="22"/>
          <w:rtl w:val="0"/>
        </w:rPr>
        <w:t xml:space="preserve">” </w:t>
      </w:r>
      <w:r>
        <w:rPr>
          <w:sz w:val="22"/>
          <w:szCs w:val="22"/>
          <w:rtl w:val="0"/>
          <w:lang w:val="en-US"/>
        </w:rPr>
        <w:t xml:space="preserve"> focuses on ensuring that care is delivered safely, without causing harm. It involves risk assessment, safe practice, preventative action, and maintaining professional bounda</w:t>
      </w:r>
      <w:r>
        <w:rPr>
          <w:sz w:val="22"/>
          <w:szCs w:val="22"/>
          <w:rtl w:val="0"/>
        </w:rPr>
        <w:t>r</w:t>
      </w:r>
      <w:r>
        <w:rPr>
          <w:sz w:val="22"/>
          <w:szCs w:val="22"/>
          <w:rtl w:val="0"/>
          <w:lang w:val="pt-PT"/>
        </w:rPr>
        <w:t>ies.</w:t>
      </w:r>
      <w:r>
        <w:rPr>
          <w:sz w:val="22"/>
          <w:szCs w:val="22"/>
          <w:rtl w:val="0"/>
        </w:rPr>
        <w:t xml:space="preserve"> (HCPC,2024)</w:t>
      </w:r>
    </w:p>
    <w:p>
      <w:pPr>
        <w:pStyle w:val="Body"/>
        <w:rPr>
          <w:sz w:val="22"/>
          <w:szCs w:val="22"/>
        </w:rPr>
      </w:pPr>
      <w:r>
        <w:rPr>
          <w:sz w:val="22"/>
          <w:szCs w:val="22"/>
          <w:rtl w:val="0"/>
        </w:rPr>
        <w:t>Another important ethical framework is justice. Within health-care practice staff has to ensure, that everyone receives the best care possible, ensuring everyone gets the same treatment, no matter the race, sex or age. NHS, there are many policies and legislations that are following healthcare practices, ensuring health is distributed fairly. NHS (2014), has implemented 12 steps ensuring, that healthcare practitioners are following them. Health- justice prevents from discrimination and prejudices. (</w:t>
      </w:r>
      <w:r>
        <w:rPr>
          <w:sz w:val="22"/>
          <w:szCs w:val="22"/>
          <w:rtl w:val="0"/>
        </w:rPr>
        <w:t>Wiley et al. 2022)</w:t>
      </w:r>
      <w:r>
        <w:rPr>
          <w:sz w:val="22"/>
          <w:szCs w:val="22"/>
          <w:rtl w:val="0"/>
        </w:rPr>
        <w:t xml:space="preserve"> </w:t>
      </w:r>
    </w:p>
    <w:p>
      <w:pPr>
        <w:pStyle w:val="Body"/>
        <w:rPr>
          <w:sz w:val="22"/>
          <w:szCs w:val="22"/>
        </w:rPr>
      </w:pPr>
      <w:r>
        <w:rPr>
          <w:sz w:val="22"/>
          <w:szCs w:val="22"/>
          <w:rtl w:val="0"/>
          <w:lang w:val="en-US"/>
        </w:rPr>
        <w:t>Taking these ethical principles into consideration, healthcare practice needs to ensure that staff are well prepared, for example by developing ethical awareness and skills, creating clear guidelines, and following regulations provided by the Health and Care Professions Council</w:t>
      </w:r>
      <w:r>
        <w:rPr>
          <w:sz w:val="22"/>
          <w:szCs w:val="22"/>
          <w:rtl w:val="0"/>
        </w:rPr>
        <w:t>, The Equality Act 2010, and The Care Act 2014</w:t>
      </w:r>
      <w:r>
        <w:rPr>
          <w:sz w:val="22"/>
          <w:szCs w:val="22"/>
          <w:rtl w:val="0"/>
          <w:lang w:val="en-US"/>
        </w:rPr>
        <w:t>. Moreover, it is also crucial to monitor compliance with policies and ethical regulations</w:t>
      </w:r>
      <w:r>
        <w:rPr>
          <w:sz w:val="22"/>
          <w:szCs w:val="22"/>
          <w:rtl w:val="0"/>
        </w:rPr>
        <w:t xml:space="preserve">, </w:t>
      </w:r>
      <w:r>
        <w:rPr>
          <w:sz w:val="22"/>
          <w:szCs w:val="22"/>
          <w:rtl w:val="0"/>
          <w:lang w:val="en-US"/>
        </w:rPr>
        <w:t>additionally, a feedback system should be implemented to learn from patient perspectives.</w:t>
      </w:r>
      <w:r>
        <w:rPr>
          <w:sz w:val="22"/>
          <w:szCs w:val="22"/>
          <w:rtl w:val="0"/>
        </w:rPr>
        <w:t xml:space="preserve"> (</w:t>
      </w:r>
      <w:r>
        <w:rPr>
          <w:sz w:val="22"/>
          <w:szCs w:val="22"/>
          <w:rtl w:val="0"/>
          <w:lang w:val="it-IT"/>
        </w:rPr>
        <w:t>Apax Support</w:t>
      </w:r>
      <w:r>
        <w:rPr>
          <w:sz w:val="22"/>
          <w:szCs w:val="22"/>
          <w:rtl w:val="0"/>
        </w:rPr>
        <w:t xml:space="preserve">, </w:t>
      </w:r>
      <w:r>
        <w:rPr>
          <w:sz w:val="22"/>
          <w:szCs w:val="22"/>
          <w:rtl w:val="0"/>
        </w:rPr>
        <w:t>2025)</w:t>
      </w:r>
    </w:p>
    <w:p>
      <w:pPr>
        <w:pStyle w:val="Body"/>
        <w:rPr>
          <w:sz w:val="22"/>
          <w:szCs w:val="22"/>
        </w:rPr>
      </w:pPr>
      <w:r>
        <w:rPr>
          <w:sz w:val="22"/>
          <w:szCs w:val="22"/>
          <w:rtl w:val="0"/>
          <w:lang w:val="en-US"/>
        </w:rPr>
        <w:t>However, to ensure that ethical principles are followed, the organisation itself must support staff through strong leadership commitment, demonstrating that those in leadership positions are also applying and following ethical principles</w:t>
      </w:r>
      <w:r>
        <w:rPr>
          <w:sz w:val="22"/>
          <w:szCs w:val="22"/>
          <w:rtl w:val="0"/>
        </w:rPr>
        <w:t xml:space="preserve"> and policies implemented. (</w:t>
      </w:r>
      <w:r>
        <w:rPr>
          <w:sz w:val="22"/>
          <w:szCs w:val="22"/>
          <w:rtl w:val="0"/>
          <w:lang w:val="it-IT"/>
        </w:rPr>
        <w:t>Apax Support</w:t>
      </w:r>
      <w:r>
        <w:rPr>
          <w:sz w:val="22"/>
          <w:szCs w:val="22"/>
          <w:rtl w:val="0"/>
        </w:rPr>
        <w:t>,</w:t>
      </w:r>
      <w:r>
        <w:rPr>
          <w:sz w:val="22"/>
          <w:szCs w:val="22"/>
          <w:rtl w:val="0"/>
        </w:rPr>
        <w:t xml:space="preserve"> 2025)</w:t>
      </w:r>
    </w:p>
    <w:p>
      <w:pPr>
        <w:pStyle w:val="Body"/>
        <w:rPr>
          <w:sz w:val="23"/>
          <w:szCs w:val="23"/>
        </w:rPr>
      </w:pPr>
    </w:p>
    <w:p>
      <w:pPr>
        <w:pStyle w:val="Body"/>
        <w:rPr>
          <w:sz w:val="23"/>
          <w:szCs w:val="23"/>
        </w:rPr>
      </w:pPr>
    </w:p>
    <w:p>
      <w:pPr>
        <w:pStyle w:val="Body"/>
        <w:rPr>
          <w:b w:val="1"/>
          <w:bCs w:val="1"/>
          <w:sz w:val="23"/>
          <w:szCs w:val="23"/>
        </w:rPr>
      </w:pPr>
      <w:r>
        <w:rPr>
          <w:b w:val="1"/>
          <w:bCs w:val="1"/>
          <w:sz w:val="23"/>
          <w:szCs w:val="23"/>
          <w:rtl w:val="0"/>
          <w:lang w:val="en-US"/>
        </w:rPr>
        <w:t>Recommendations for policy and practice</w:t>
      </w:r>
    </w:p>
    <w:p>
      <w:pPr>
        <w:pStyle w:val="Body"/>
      </w:pPr>
      <w:r>
        <w:rPr>
          <w:rtl w:val="0"/>
        </w:rPr>
        <w:t xml:space="preserve">To improve and maintain the positive outcomes for the health and social care, organisations should strengthen the  implementation of the ethical principles through structured and continuous staff development. Based on the previous </w:t>
      </w:r>
      <w:r>
        <w:rPr>
          <w:rtl w:val="0"/>
          <w:lang w:val="en-US"/>
        </w:rPr>
        <w:t>of autonomy, beneficence, and non-maleficence in practice, regular ethics training and reflective practice sessions should be introduced. This would support healthcare professionals in making informed, safe, and person-centred decisions, particularly in complex care situations. Training should also reinforce working within professional boundaries and adhering to standards set by the Health and Care Professions Council.</w:t>
      </w:r>
      <w:r>
        <w:rPr>
          <w:rtl w:val="0"/>
        </w:rPr>
        <w:t xml:space="preserve">  </w:t>
      </w:r>
    </w:p>
    <w:p>
      <w:pPr>
        <w:pStyle w:val="Body"/>
      </w:pPr>
      <w:r>
        <w:rPr>
          <w:rtl w:val="0"/>
          <w:lang w:val="en-US"/>
        </w:rPr>
        <w:t>In addition, policies should be enhanced to ensure greater consistency in the delivery of person-centred care. As discussed, respecting autonomy requires active involvement of service users in decision-making</w:t>
      </w:r>
      <w:r>
        <w:rPr>
          <w:rtl w:val="0"/>
        </w:rPr>
        <w:t xml:space="preserve">, however, if they are not able to do that themselves, due to a limited mental capacity, age or disability,  the power of attorney should make decisions - a legal third party, for them and their treatment plan , and their day to day plan. </w:t>
      </w:r>
    </w:p>
    <w:p>
      <w:pPr>
        <w:pStyle w:val="Body"/>
      </w:pPr>
      <w:r>
        <w:rPr>
          <w:rtl w:val="0"/>
        </w:rPr>
        <w:t>For beneficence and non- maleficence it is crucial to maintain professional dignity and maintain safe practice. To achieve that, organisations should implement stronger monitoring systems, also known as governance ( NHS). Governance in the NHS, helps to run the practice safely. Involving audits, who make sure, the care is delivered safely. One who keeps track if the care is delivered safely, is a matron. Matron has markers, which allows them to control the quality of care. Taking into consideration wellbeing of the patients, their experience, safety and clinical effectiveness which is a key marker for the operational performance. Matron using scorecards, develops plans to address any areas needing improvement. Outcomes and interventions should be recorded and addressed in CQC - to the quality committee (NHS). If the healthcare clinic does not follow the criteria, it may face financial penalties, or within many failed attempts, closure and a legal action towards people who fail to attempt (CQC).</w:t>
      </w:r>
    </w:p>
    <w:p>
      <w:pPr>
        <w:pStyle w:val="Body"/>
      </w:pPr>
      <w:r>
        <w:rPr>
          <w:rtl w:val="0"/>
          <w:lang w:val="en-US"/>
        </w:rPr>
        <w:t xml:space="preserve">Another key recommendation is to strengthen policies around dignity, confidentiality, and privacy. Since healthcare environments often require individuals to share sensitive information, organisations </w:t>
      </w:r>
      <w:r>
        <w:rPr>
          <w:rtl w:val="0"/>
        </w:rPr>
        <w:t>should</w:t>
      </w:r>
      <w:r>
        <w:rPr>
          <w:rtl w:val="0"/>
          <w:lang w:val="fr-FR"/>
        </w:rPr>
        <w:t xml:space="preserve"> ensure</w:t>
      </w:r>
      <w:r>
        <w:rPr>
          <w:rtl w:val="0"/>
        </w:rPr>
        <w:t xml:space="preserve">, </w:t>
      </w:r>
      <w:r>
        <w:rPr>
          <w:rtl w:val="0"/>
          <w:lang w:val="en-US"/>
        </w:rPr>
        <w:t xml:space="preserve">clear procedures are in place to protect personal data and maintain respectful care environments. </w:t>
      </w:r>
      <w:r>
        <w:rPr>
          <w:rtl w:val="0"/>
        </w:rPr>
        <w:t>It</w:t>
      </w:r>
      <w:r>
        <w:rPr>
          <w:rtl w:val="0"/>
          <w:lang w:val="en-US"/>
        </w:rPr>
        <w:t xml:space="preserve"> aligns with guidance</w:t>
      </w:r>
      <w:r>
        <w:rPr>
          <w:rtl w:val="0"/>
        </w:rPr>
        <w:t>s</w:t>
      </w:r>
      <w:r>
        <w:rPr>
          <w:rtl w:val="0"/>
          <w:lang w:val="en-US"/>
        </w:rPr>
        <w:t xml:space="preserve"> provided by the NHS and supports the development of trust between </w:t>
      </w:r>
      <w:r>
        <w:rPr>
          <w:rtl w:val="0"/>
        </w:rPr>
        <w:t xml:space="preserve">the patients </w:t>
      </w:r>
      <w:r>
        <w:rPr>
          <w:rtl w:val="0"/>
          <w:lang w:val="en-US"/>
        </w:rPr>
        <w:t>and professionals.</w:t>
      </w:r>
    </w:p>
    <w:p>
      <w:pPr>
        <w:pStyle w:val="Body"/>
      </w:pPr>
      <w:r>
        <w:rPr>
          <w:rtl w:val="0"/>
          <w:lang w:val="en-US"/>
        </w:rPr>
        <w:t xml:space="preserve">Finally, strong leadership and organisational culture should be prioritised to ensure that ethical principles are consistently upheld. Leaders </w:t>
      </w:r>
      <w:r>
        <w:rPr>
          <w:rtl w:val="0"/>
        </w:rPr>
        <w:t>should</w:t>
      </w:r>
      <w:r>
        <w:rPr>
          <w:rtl w:val="0"/>
          <w:lang w:val="it-IT"/>
        </w:rPr>
        <w:t xml:space="preserve"> model</w:t>
      </w:r>
      <w:r>
        <w:rPr>
          <w:rtl w:val="0"/>
        </w:rPr>
        <w:t xml:space="preserve"> an</w:t>
      </w:r>
      <w:r>
        <w:rPr>
          <w:rtl w:val="0"/>
          <w:lang w:val="en-US"/>
        </w:rPr>
        <w:t xml:space="preserve"> ethical behaviour, support staff in decision-making, and create an environment where concerns can be raised openly.</w:t>
      </w:r>
      <w:r>
        <w:rPr>
          <w:rtl w:val="0"/>
        </w:rPr>
        <w:t xml:space="preserve"> Where whistleblowing should be encouraged, not dismissed, since many times it can save a life for a health-care patient (HCPC). </w:t>
      </w:r>
      <w:r>
        <w:rPr>
          <w:rtl w:val="0"/>
          <w:lang w:val="en-US"/>
        </w:rPr>
        <w:t xml:space="preserve"> By embedding ethical values into both policy and everyday practice, organisations can </w:t>
      </w:r>
      <w:r>
        <w:rPr>
          <w:rtl w:val="0"/>
        </w:rPr>
        <w:t>improve</w:t>
      </w:r>
      <w:r>
        <w:rPr>
          <w:rtl w:val="0"/>
          <w:lang w:val="en-US"/>
        </w:rPr>
        <w:t xml:space="preserve"> the quality of care and ensure that outcomes remain safe, effective, and </w:t>
      </w:r>
      <w:r>
        <w:rPr>
          <w:rtl w:val="0"/>
        </w:rPr>
        <w:t xml:space="preserve">a person can save their autonomy. </w:t>
      </w:r>
    </w:p>
    <w:p>
      <w:pPr>
        <w:pStyle w:val="Body"/>
      </w:pPr>
    </w:p>
    <w:p>
      <w:pPr>
        <w:pStyle w:val="Body"/>
      </w:pPr>
    </w:p>
    <w:p>
      <w:pPr>
        <w:pStyle w:val="Body"/>
      </w:pPr>
    </w:p>
    <w:p>
      <w:pPr>
        <w:pStyle w:val="Body"/>
        <w:rPr>
          <w:b w:val="1"/>
          <w:bCs w:val="1"/>
          <w:sz w:val="23"/>
          <w:szCs w:val="23"/>
        </w:rPr>
      </w:pPr>
      <w:r>
        <w:rPr>
          <w:b w:val="1"/>
          <w:bCs w:val="1"/>
          <w:sz w:val="23"/>
          <w:szCs w:val="23"/>
          <w:rtl w:val="0"/>
          <w:lang w:val="it-IT"/>
        </w:rPr>
        <w:t>Conclusion</w:t>
      </w:r>
    </w:p>
    <w:p>
      <w:pPr>
        <w:pStyle w:val="Body"/>
        <w:rPr>
          <w:sz w:val="23"/>
          <w:szCs w:val="23"/>
        </w:rPr>
      </w:pPr>
      <w:r>
        <w:rPr>
          <w:sz w:val="23"/>
          <w:szCs w:val="23"/>
          <w:rtl w:val="0"/>
          <w:lang w:val="en-US"/>
        </w:rPr>
        <w:t>Everyone values their dignity. Healthcare is already a public environment where individuals may have to bring private matters into a more open setting</w:t>
      </w:r>
      <w:r>
        <w:rPr>
          <w:sz w:val="23"/>
          <w:szCs w:val="23"/>
          <w:rtl w:val="0"/>
        </w:rPr>
        <w:t xml:space="preserve">, </w:t>
      </w:r>
      <w:r>
        <w:rPr>
          <w:sz w:val="23"/>
          <w:szCs w:val="23"/>
          <w:rtl w:val="0"/>
          <w:lang w:val="en-US"/>
        </w:rPr>
        <w:t>therefore, it is essential for organisations and healthcare staff to ensure that every care principle is followed.</w:t>
      </w:r>
      <w:r>
        <w:rPr>
          <w:sz w:val="23"/>
          <w:szCs w:val="23"/>
          <w:rtl w:val="0"/>
        </w:rPr>
        <w:t xml:space="preserve"> Understanding ways how the Ethics of Care have been developed it allowed to improve health-care and it</w:t>
      </w:r>
      <w:r>
        <w:rPr>
          <w:sz w:val="23"/>
          <w:szCs w:val="23"/>
          <w:rtl w:val="0"/>
        </w:rPr>
        <w:t>’</w:t>
      </w:r>
      <w:r>
        <w:rPr>
          <w:sz w:val="23"/>
          <w:szCs w:val="23"/>
          <w:rtl w:val="0"/>
        </w:rPr>
        <w:t xml:space="preserve">s practices. </w:t>
      </w:r>
      <w:r>
        <w:rPr>
          <w:sz w:val="23"/>
          <w:szCs w:val="23"/>
          <w:rtl w:val="0"/>
          <w:lang w:val="en-US"/>
        </w:rPr>
        <w:t xml:space="preserve">Respect and dignity are core values, as outlined within the </w:t>
      </w:r>
      <w:r>
        <w:rPr>
          <w:sz w:val="23"/>
          <w:szCs w:val="23"/>
          <w:rtl w:val="0"/>
        </w:rPr>
        <w:t xml:space="preserve">public </w:t>
      </w:r>
      <w:r>
        <w:rPr>
          <w:sz w:val="23"/>
          <w:szCs w:val="23"/>
          <w:rtl w:val="0"/>
          <w:lang w:val="en-US"/>
        </w:rPr>
        <w:t>policy guidelines.</w:t>
      </w:r>
      <w:r>
        <w:rPr>
          <w:sz w:val="23"/>
          <w:szCs w:val="23"/>
          <w:rtl w:val="0"/>
        </w:rPr>
        <w:t xml:space="preserve">  As mentioned before, there are clear guidelines which sets clear standards for professional conduct,  for staff, such as, respecting their autonomy, working within the limits of the knowledge of your own skill, avoiding actions that could possibly endanger someone, and act within their knowledge. It is crucial to follow legislation acts set by the government, such as The Care Act 2014, The Equality Act 2010 and HCPC. Lastly, it is important for the people within the leadership positions as well follow the set ethical principles. </w:t>
      </w:r>
    </w:p>
    <w:p>
      <w:pPr>
        <w:pStyle w:val="Body"/>
        <w:rPr>
          <w:b w:val="1"/>
          <w:bCs w:val="1"/>
          <w:sz w:val="23"/>
          <w:szCs w:val="23"/>
        </w:rPr>
      </w:pPr>
    </w:p>
    <w:p>
      <w:pPr>
        <w:pStyle w:val="List Paragraph"/>
        <w:spacing w:line="360" w:lineRule="auto"/>
        <w:ind w:left="0" w:firstLine="0"/>
        <w:rPr>
          <w:rFonts w:ascii="Arial" w:cs="Arial" w:hAnsi="Arial" w:eastAsia="Arial"/>
          <w:sz w:val="23"/>
          <w:szCs w:val="23"/>
        </w:rPr>
      </w:pPr>
    </w:p>
    <w:p>
      <w:pPr>
        <w:pStyle w:val="Body"/>
        <w:rPr>
          <w:b w:val="1"/>
          <w:bCs w:val="1"/>
        </w:rPr>
      </w:pPr>
    </w:p>
    <w:p>
      <w:pPr>
        <w:pStyle w:val="Body"/>
        <w:rPr>
          <w:b w:val="1"/>
          <w:bCs w:val="1"/>
        </w:rPr>
      </w:pPr>
    </w:p>
    <w:p>
      <w:pPr>
        <w:pStyle w:val="Body"/>
        <w:rPr>
          <w:b w:val="1"/>
          <w:bCs w:val="1"/>
        </w:rPr>
      </w:pPr>
    </w:p>
    <w:p>
      <w:pPr>
        <w:pStyle w:val="Body"/>
        <w:rPr>
          <w:b w:val="1"/>
          <w:bCs w:val="1"/>
          <w:sz w:val="23"/>
          <w:szCs w:val="23"/>
        </w:rPr>
      </w:pPr>
      <w:r>
        <w:rPr>
          <w:b w:val="1"/>
          <w:bCs w:val="1"/>
          <w:sz w:val="23"/>
          <w:szCs w:val="23"/>
          <w:rtl w:val="0"/>
          <w:lang w:val="fr-FR"/>
        </w:rPr>
        <w:t>References</w:t>
      </w:r>
    </w:p>
    <w:p>
      <w:pPr>
        <w:pStyle w:val="Default"/>
        <w:spacing w:after="320"/>
        <w:jc w:val="left"/>
        <w:rPr>
          <w:rFonts w:ascii="Arial" w:cs="Arial" w:hAnsi="Arial" w:eastAsia="Arial"/>
          <w:outline w:val="0"/>
          <w:color w:val="000000"/>
          <w:shd w:val="clear" w:color="auto" w:fill="ffffff"/>
          <w14:textFill>
            <w14:solidFill>
              <w14:srgbClr w14:val="000000"/>
            </w14:solidFill>
          </w14:textFill>
        </w:rPr>
      </w:pPr>
      <w:r>
        <w:rPr>
          <w:rFonts w:ascii="Arial" w:hAnsi="Arial"/>
          <w:outline w:val="0"/>
          <w:color w:val="2a3b4d"/>
          <w:shd w:val="clear" w:color="auto" w:fill="ffffff"/>
          <w:rtl w:val="0"/>
          <w14:textFill>
            <w14:solidFill>
              <w14:srgbClr w14:val="2A3C4E"/>
            </w14:solidFill>
          </w14:textFill>
        </w:rPr>
        <w:t xml:space="preserve">Adhikari, A., Saha, B. and Sen, S. (2023). </w:t>
      </w:r>
      <w:r>
        <w:rPr>
          <w:rFonts w:ascii="Arial" w:hAnsi="Arial"/>
          <w:i w:val="1"/>
          <w:iCs w:val="1"/>
          <w:outline w:val="0"/>
          <w:color w:val="2a3b4d"/>
          <w:shd w:val="clear" w:color="auto" w:fill="ffffff"/>
          <w:rtl w:val="0"/>
          <w:lang w:val="de-DE"/>
          <w14:textFill>
            <w14:solidFill>
              <w14:srgbClr w14:val="2A3C4E"/>
            </w14:solidFill>
          </w14:textFill>
        </w:rPr>
        <w:t>NEL NODDINGS</w:t>
      </w:r>
      <w:r>
        <w:rPr>
          <w:rFonts w:ascii="Arial" w:hAnsi="Arial" w:hint="default"/>
          <w:i w:val="1"/>
          <w:iCs w:val="1"/>
          <w:outline w:val="0"/>
          <w:color w:val="2a3b4d"/>
          <w:shd w:val="clear" w:color="auto" w:fill="ffffff"/>
          <w:rtl w:val="1"/>
          <w14:textFill>
            <w14:solidFill>
              <w14:srgbClr w14:val="2A3C4E"/>
            </w14:solidFill>
          </w14:textFill>
        </w:rPr>
        <w:t xml:space="preserve">’ </w:t>
      </w:r>
      <w:r>
        <w:rPr>
          <w:rFonts w:ascii="Arial" w:hAnsi="Arial"/>
          <w:i w:val="1"/>
          <w:iCs w:val="1"/>
          <w:outline w:val="0"/>
          <w:color w:val="2a3b4d"/>
          <w:shd w:val="clear" w:color="auto" w:fill="ffffff"/>
          <w:rtl w:val="0"/>
          <w:lang w:val="en-US"/>
          <w14:textFill>
            <w14:solidFill>
              <w14:srgbClr w14:val="2A3C4E"/>
            </w14:solidFill>
          </w14:textFill>
        </w:rPr>
        <w:t>THEORY OF CARE AND ITS ETHICAL COMPONENTS</w:t>
      </w:r>
      <w:r>
        <w:rPr>
          <w:rFonts w:ascii="Arial" w:hAnsi="Arial"/>
          <w:outline w:val="0"/>
          <w:color w:val="2a3b4d"/>
          <w:shd w:val="clear" w:color="auto" w:fill="ffffff"/>
          <w:rtl w:val="0"/>
          <w:lang w:val="en-US"/>
          <w14:textFill>
            <w14:solidFill>
              <w14:srgbClr w14:val="2A3C4E"/>
            </w14:solidFill>
          </w14:textFill>
        </w:rPr>
        <w:t>. [online] Available at: https://www.irjweb.com/user_upload/Nel%20NoddingsTheory%20of%20Care%20and%20its%20Ethical%20Components_Anasuya%20Adhikari%20(3).pdf [Accessed 28 Apr. 2026].</w:t>
      </w:r>
    </w:p>
    <w:p>
      <w:pPr>
        <w:pStyle w:val="Default"/>
        <w:spacing w:after="320"/>
        <w:jc w:val="left"/>
        <w:rPr>
          <w:rFonts w:ascii="Arial" w:cs="Arial" w:hAnsi="Arial" w:eastAsia="Arial"/>
          <w:outline w:val="0"/>
          <w:color w:val="000000"/>
          <w:shd w:val="clear" w:color="auto" w:fill="ffffff"/>
          <w14:textFill>
            <w14:solidFill>
              <w14:srgbClr w14:val="000000"/>
            </w14:solidFill>
          </w14:textFill>
        </w:rPr>
      </w:pPr>
      <w:r>
        <w:rPr>
          <w:rFonts w:ascii="Arial" w:hAnsi="Arial"/>
          <w:outline w:val="0"/>
          <w:color w:val="2a3b4d"/>
          <w:shd w:val="clear" w:color="auto" w:fill="ffffff"/>
          <w:rtl w:val="0"/>
          <w14:textFill>
            <w14:solidFill>
              <w14:srgbClr w14:val="2A3C4E"/>
            </w14:solidFill>
          </w14:textFill>
        </w:rPr>
        <w:t xml:space="preserve">Apax Support (2025). </w:t>
      </w:r>
      <w:r>
        <w:rPr>
          <w:rFonts w:ascii="Arial" w:hAnsi="Arial"/>
          <w:i w:val="1"/>
          <w:iCs w:val="1"/>
          <w:outline w:val="0"/>
          <w:color w:val="2a3b4d"/>
          <w:shd w:val="clear" w:color="auto" w:fill="ffffff"/>
          <w:rtl w:val="0"/>
          <w:lang w:val="en-US"/>
          <w14:textFill>
            <w14:solidFill>
              <w14:srgbClr w14:val="2A3C4E"/>
            </w14:solidFill>
          </w14:textFill>
        </w:rPr>
        <w:t>Ethical Principles in Health and Social Care</w:t>
      </w:r>
      <w:r>
        <w:rPr>
          <w:rFonts w:ascii="Arial" w:hAnsi="Arial"/>
          <w:outline w:val="0"/>
          <w:color w:val="2a3b4d"/>
          <w:shd w:val="clear" w:color="auto" w:fill="ffffff"/>
          <w:rtl w:val="0"/>
          <w:lang w:val="en-US"/>
          <w14:textFill>
            <w14:solidFill>
              <w14:srgbClr w14:val="2A3C4E"/>
            </w14:solidFill>
          </w14:textFill>
        </w:rPr>
        <w:t>. [online] Apax.org.uk. Available at: https://www.apax.org.uk/article/ethical-principles-in-health-and-social-care [Accessed 28 Apr. 2026].</w:t>
      </w:r>
    </w:p>
    <w:p>
      <w:pPr>
        <w:pStyle w:val="Default"/>
        <w:spacing w:after="320"/>
        <w:jc w:val="left"/>
        <w:rPr>
          <w:rFonts w:ascii="Arial" w:cs="Arial" w:hAnsi="Arial" w:eastAsia="Arial"/>
          <w:outline w:val="0"/>
          <w:color w:val="000000"/>
          <w:shd w:val="clear" w:color="auto" w:fill="ffffff"/>
          <w14:textFill>
            <w14:solidFill>
              <w14:srgbClr w14:val="000000"/>
            </w14:solidFill>
          </w14:textFill>
        </w:rPr>
      </w:pPr>
      <w:r>
        <w:rPr>
          <w:rFonts w:ascii="Arial" w:hAnsi="Arial"/>
          <w:outline w:val="0"/>
          <w:color w:val="2a3b4d"/>
          <w:shd w:val="clear" w:color="auto" w:fill="ffffff"/>
          <w:rtl w:val="0"/>
          <w:lang w:val="en-US"/>
          <w14:textFill>
            <w14:solidFill>
              <w14:srgbClr w14:val="2A3C4E"/>
            </w14:solidFill>
          </w14:textFill>
        </w:rPr>
        <w:t xml:space="preserve">Cheraghi, R., Valizadeh, L., Zamanzadeh, V., Hassankhani, H. and Jafarzadeh, A. (2023). Clarification of ethical principle of the beneficence in nursing care: An integrative review. </w:t>
      </w:r>
      <w:r>
        <w:rPr>
          <w:rFonts w:ascii="Arial" w:hAnsi="Arial"/>
          <w:i w:val="1"/>
          <w:iCs w:val="1"/>
          <w:outline w:val="0"/>
          <w:color w:val="2a3b4d"/>
          <w:shd w:val="clear" w:color="auto" w:fill="ffffff"/>
          <w:rtl w:val="0"/>
          <w:lang w:val="en-US"/>
          <w14:textFill>
            <w14:solidFill>
              <w14:srgbClr w14:val="2A3C4E"/>
            </w14:solidFill>
          </w14:textFill>
        </w:rPr>
        <w:t>BioMed Central Nursing</w:t>
      </w:r>
      <w:r>
        <w:rPr>
          <w:rFonts w:ascii="Arial" w:hAnsi="Arial"/>
          <w:outline w:val="0"/>
          <w:color w:val="2a3b4d"/>
          <w:shd w:val="clear" w:color="auto" w:fill="ffffff"/>
          <w:rtl w:val="0"/>
          <w:lang w:val="pt-PT"/>
          <w14:textFill>
            <w14:solidFill>
              <w14:srgbClr w14:val="2A3C4E"/>
            </w14:solidFill>
          </w14:textFill>
        </w:rPr>
        <w:t>, [online] 22(89), pp.1</w:t>
      </w:r>
      <w:r>
        <w:rPr>
          <w:rFonts w:ascii="Arial" w:hAnsi="Arial" w:hint="default"/>
          <w:outline w:val="0"/>
          <w:color w:val="2a3b4d"/>
          <w:shd w:val="clear" w:color="auto" w:fill="ffffff"/>
          <w:rtl w:val="0"/>
          <w14:textFill>
            <w14:solidFill>
              <w14:srgbClr w14:val="2A3C4E"/>
            </w14:solidFill>
          </w14:textFill>
        </w:rPr>
        <w:t>–</w:t>
      </w:r>
      <w:r>
        <w:rPr>
          <w:rFonts w:ascii="Arial" w:hAnsi="Arial"/>
          <w:outline w:val="0"/>
          <w:color w:val="2a3b4d"/>
          <w:shd w:val="clear" w:color="auto" w:fill="ffffff"/>
          <w:rtl w:val="0"/>
          <w:lang w:val="en-US"/>
          <w14:textFill>
            <w14:solidFill>
              <w14:srgbClr w14:val="2A3C4E"/>
            </w14:solidFill>
          </w14:textFill>
        </w:rPr>
        <w:t>9. doi:https://</w: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begin" w:fldLock="0"/>
      </w:r>
      <w:r>
        <w:rPr>
          <w:rStyle w:val="Hyperlink.0"/>
          <w:rFonts w:ascii="Arial" w:cs="Arial" w:hAnsi="Arial" w:eastAsia="Arial"/>
          <w:outline w:val="0"/>
          <w:color w:val="0563c1"/>
          <w:u w:val="single" w:color="0563c1"/>
          <w:shd w:val="clear" w:color="auto" w:fill="ffffff"/>
          <w14:textFill>
            <w14:solidFill>
              <w14:srgbClr w14:val="0563C1"/>
            </w14:solidFill>
          </w14:textFill>
        </w:rPr>
        <w:instrText xml:space="preserve"> HYPERLINK "http://doi.org/10.1186/s12912-023-01246-4"</w:instrTex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separate" w:fldLock="0"/>
      </w:r>
      <w:r>
        <w:rPr>
          <w:rStyle w:val="Hyperlink.0"/>
          <w:rFonts w:ascii="Arial" w:hAnsi="Arial"/>
          <w:outline w:val="0"/>
          <w:color w:val="0563c1"/>
          <w:u w:val="single" w:color="0563c1"/>
          <w:shd w:val="clear" w:color="auto" w:fill="ffffff"/>
          <w:rtl w:val="0"/>
          <w:lang w:val="en-US"/>
          <w14:textFill>
            <w14:solidFill>
              <w14:srgbClr w14:val="0563C1"/>
            </w14:solidFill>
          </w14:textFill>
        </w:rPr>
        <w:t>doi.org/10.1186/s12912-023-01246-4</w:t>
      </w:r>
      <w:r>
        <w:rPr>
          <w:rFonts w:ascii="Arial" w:cs="Arial" w:hAnsi="Arial" w:eastAsia="Arial"/>
          <w:outline w:val="0"/>
          <w:color w:val="2a3b4d"/>
          <w:shd w:val="clear" w:color="auto" w:fill="ffffff"/>
          <w14:textFill>
            <w14:solidFill>
              <w14:srgbClr w14:val="2A3C4E"/>
            </w14:solidFill>
          </w14:textFill>
        </w:rPr>
        <w:fldChar w:fldCharType="end" w:fldLock="0"/>
      </w:r>
    </w:p>
    <w:p>
      <w:pPr>
        <w:pStyle w:val="Default"/>
        <w:spacing w:after="320"/>
        <w:jc w:val="left"/>
        <w:rPr>
          <w:rFonts w:ascii="Arial" w:cs="Arial" w:hAnsi="Arial" w:eastAsia="Arial"/>
          <w:outline w:val="0"/>
          <w:color w:val="000000"/>
          <w:shd w:val="clear" w:color="auto" w:fill="ffffff"/>
          <w14:textFill>
            <w14:solidFill>
              <w14:srgbClr w14:val="000000"/>
            </w14:solidFill>
          </w14:textFill>
        </w:rPr>
      </w:pPr>
      <w:r>
        <w:rPr>
          <w:rFonts w:ascii="Arial" w:hAnsi="Arial"/>
          <w:outline w:val="0"/>
          <w:color w:val="2a3b4d"/>
          <w:shd w:val="clear" w:color="auto" w:fill="ffffff"/>
          <w:rtl w:val="0"/>
          <w14:textFill>
            <w14:solidFill>
              <w14:srgbClr w14:val="2A3C4E"/>
            </w14:solidFill>
          </w14:textFill>
        </w:rPr>
        <w:t xml:space="preserve">CQC (2026). </w:t>
      </w:r>
      <w:r>
        <w:rPr>
          <w:rFonts w:ascii="Arial" w:hAnsi="Arial"/>
          <w:i w:val="1"/>
          <w:iCs w:val="1"/>
          <w:outline w:val="0"/>
          <w:color w:val="2a3b4d"/>
          <w:shd w:val="clear" w:color="auto" w:fill="ffffff"/>
          <w:rtl w:val="0"/>
          <w:lang w:val="en-US"/>
          <w14:textFill>
            <w14:solidFill>
              <w14:srgbClr w14:val="2A3C4E"/>
            </w14:solidFill>
          </w14:textFill>
        </w:rPr>
        <w:t>7 ways to get fined by The Care Quality Commission</w:t>
      </w:r>
      <w:r>
        <w:rPr>
          <w:rFonts w:ascii="Arial" w:hAnsi="Arial"/>
          <w:outline w:val="0"/>
          <w:color w:val="2a3b4d"/>
          <w:shd w:val="clear" w:color="auto" w:fill="ffffff"/>
          <w:rtl w:val="0"/>
          <w:lang w:val="en-US"/>
          <w14:textFill>
            <w14:solidFill>
              <w14:srgbClr w14:val="2A3C4E"/>
            </w14:solidFill>
          </w14:textFill>
        </w:rPr>
        <w:t>. [online] Available at: 7 ways to get fined by The Care Quality Commission [Accessed 28 Apr. 2026].</w:t>
      </w:r>
    </w:p>
    <w:p>
      <w:pPr>
        <w:pStyle w:val="Default"/>
        <w:spacing w:after="320"/>
        <w:jc w:val="left"/>
        <w:rPr>
          <w:rFonts w:ascii="Arial" w:cs="Arial" w:hAnsi="Arial" w:eastAsia="Arial"/>
          <w:outline w:val="0"/>
          <w:color w:val="2a3b4d"/>
          <w:shd w:val="clear" w:color="auto" w:fill="ffffff"/>
          <w14:textFill>
            <w14:solidFill>
              <w14:srgbClr w14:val="2A3C4E"/>
            </w14:solidFill>
          </w14:textFill>
        </w:rPr>
      </w:pPr>
      <w:r>
        <w:rPr>
          <w:rFonts w:ascii="Arial" w:hAnsi="Arial"/>
          <w:outline w:val="0"/>
          <w:color w:val="2a3b4d"/>
          <w:shd w:val="clear" w:color="auto" w:fill="ffffff"/>
          <w:rtl w:val="0"/>
          <w:lang w:val="en-US"/>
          <w14:textFill>
            <w14:solidFill>
              <w14:srgbClr w14:val="2A3C4E"/>
            </w14:solidFill>
          </w14:textFill>
        </w:rPr>
        <w:t xml:space="preserve">Cuthbert, S. and Quallington, J. (2017). </w:t>
      </w:r>
      <w:r>
        <w:rPr>
          <w:rFonts w:ascii="Arial" w:hAnsi="Arial"/>
          <w:i w:val="1"/>
          <w:iCs w:val="1"/>
          <w:outline w:val="0"/>
          <w:color w:val="2a3b4d"/>
          <w:shd w:val="clear" w:color="auto" w:fill="ffffff"/>
          <w:rtl w:val="0"/>
          <w:lang w:val="en-US"/>
          <w14:textFill>
            <w14:solidFill>
              <w14:srgbClr w14:val="2A3C4E"/>
            </w14:solidFill>
          </w14:textFill>
        </w:rPr>
        <w:t>Values and Ethics for Care Practice</w:t>
      </w:r>
      <w:r>
        <w:rPr>
          <w:rFonts w:ascii="Arial" w:hAnsi="Arial"/>
          <w:outline w:val="0"/>
          <w:color w:val="2a3b4d"/>
          <w:shd w:val="clear" w:color="auto" w:fill="ffffff"/>
          <w:rtl w:val="0"/>
          <w:lang w:val="en-US"/>
          <w14:textFill>
            <w14:solidFill>
              <w14:srgbClr w14:val="2A3C4E"/>
            </w14:solidFill>
          </w14:textFill>
        </w:rPr>
        <w:t xml:space="preserve">. [online] University of Worcester : Lantern Publishing Limited, p.259. Available at: </w: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begin" w:fldLock="0"/>
      </w:r>
      <w:r>
        <w:rPr>
          <w:rStyle w:val="Hyperlink.0"/>
          <w:rFonts w:ascii="Arial" w:cs="Arial" w:hAnsi="Arial" w:eastAsia="Arial"/>
          <w:outline w:val="0"/>
          <w:color w:val="0563c1"/>
          <w:u w:val="single" w:color="0563c1"/>
          <w:shd w:val="clear" w:color="auto" w:fill="ffffff"/>
          <w14:textFill>
            <w14:solidFill>
              <w14:srgbClr w14:val="0563C1"/>
            </w14:solidFill>
          </w14:textFill>
        </w:rPr>
        <w:instrText xml:space="preserve"> HYPERLINK "https://lanternpublishing.com/wp-content/uploads/2021/07/9781908625304SC.pdf"</w:instrTex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separate" w:fldLock="0"/>
      </w:r>
      <w:r>
        <w:rPr>
          <w:rStyle w:val="Hyperlink.0"/>
          <w:rFonts w:ascii="Arial" w:hAnsi="Arial"/>
          <w:outline w:val="0"/>
          <w:color w:val="0563c1"/>
          <w:u w:val="single" w:color="0563c1"/>
          <w:shd w:val="clear" w:color="auto" w:fill="ffffff"/>
          <w:rtl w:val="0"/>
          <w:lang w:val="en-US"/>
          <w14:textFill>
            <w14:solidFill>
              <w14:srgbClr w14:val="0563C1"/>
            </w14:solidFill>
          </w14:textFill>
        </w:rPr>
        <w:t>https://lanternpublishing.com/wp-content/uploads/2021/07/9781908625304SC.pdf</w:t>
      </w:r>
      <w:r>
        <w:rPr>
          <w:rFonts w:ascii="Arial" w:cs="Arial" w:hAnsi="Arial" w:eastAsia="Arial"/>
          <w:outline w:val="0"/>
          <w:color w:val="2a3b4d"/>
          <w:shd w:val="clear" w:color="auto" w:fill="ffffff"/>
          <w14:textFill>
            <w14:solidFill>
              <w14:srgbClr w14:val="2A3C4E"/>
            </w14:solidFill>
          </w14:textFill>
        </w:rPr>
        <w:fldChar w:fldCharType="end" w:fldLock="0"/>
      </w:r>
    </w:p>
    <w:p>
      <w:pPr>
        <w:pStyle w:val="Default"/>
        <w:spacing w:after="320"/>
        <w:jc w:val="left"/>
        <w:rPr>
          <w:rFonts w:ascii="Arial" w:cs="Arial" w:hAnsi="Arial" w:eastAsia="Arial"/>
          <w:outline w:val="0"/>
          <w:color w:val="000000"/>
          <w:shd w:val="clear" w:color="auto" w:fill="ffffff"/>
          <w14:textFill>
            <w14:solidFill>
              <w14:srgbClr w14:val="000000"/>
            </w14:solidFill>
          </w14:textFill>
        </w:rPr>
      </w:pPr>
      <w:r>
        <w:rPr>
          <w:rFonts w:ascii="Arial" w:hAnsi="Arial"/>
          <w:outline w:val="0"/>
          <w:color w:val="2a3b4d"/>
          <w:shd w:val="clear" w:color="auto" w:fill="ffffff"/>
          <w:rtl w:val="0"/>
          <w:lang w:val="en-US"/>
          <w14:textFill>
            <w14:solidFill>
              <w14:srgbClr w14:val="2A3C4E"/>
            </w14:solidFill>
          </w14:textFill>
        </w:rPr>
        <w:t>[Accessed 28 Apr. 2026].</w:t>
      </w:r>
    </w:p>
    <w:p>
      <w:pPr>
        <w:pStyle w:val="Default"/>
        <w:spacing w:after="320"/>
        <w:jc w:val="left"/>
        <w:rPr>
          <w:rFonts w:ascii="Arial" w:cs="Arial" w:hAnsi="Arial" w:eastAsia="Arial"/>
          <w:outline w:val="0"/>
          <w:color w:val="2a3b4d"/>
          <w:shd w:val="clear" w:color="auto" w:fill="ffffff"/>
          <w14:textFill>
            <w14:solidFill>
              <w14:srgbClr w14:val="2A3C4E"/>
            </w14:solidFill>
          </w14:textFill>
        </w:rPr>
      </w:pPr>
      <w:r>
        <w:rPr>
          <w:rFonts w:ascii="Arial" w:hAnsi="Arial"/>
          <w:outline w:val="0"/>
          <w:color w:val="2a3b4d"/>
          <w:shd w:val="clear" w:color="auto" w:fill="ffffff"/>
          <w:rtl w:val="0"/>
          <w:lang w:val="en-US"/>
          <w14:textFill>
            <w14:solidFill>
              <w14:srgbClr w14:val="2A3C4E"/>
            </w14:solidFill>
          </w14:textFill>
        </w:rPr>
        <w:t xml:space="preserve">Garrigan, B., Adlam, A.L.R. and Langdon, P.E. (2018). Moral decision-making and moral development: Toward an integrative framework. </w:t>
      </w:r>
      <w:r>
        <w:rPr>
          <w:rFonts w:ascii="Arial" w:hAnsi="Arial"/>
          <w:i w:val="1"/>
          <w:iCs w:val="1"/>
          <w:outline w:val="0"/>
          <w:color w:val="2a3b4d"/>
          <w:shd w:val="clear" w:color="auto" w:fill="ffffff"/>
          <w:rtl w:val="0"/>
          <w:lang w:val="en-US"/>
          <w14:textFill>
            <w14:solidFill>
              <w14:srgbClr w14:val="2A3C4E"/>
            </w14:solidFill>
          </w14:textFill>
        </w:rPr>
        <w:t>Developmental Review</w:t>
      </w:r>
      <w:r>
        <w:rPr>
          <w:rFonts w:ascii="Arial" w:hAnsi="Arial"/>
          <w:outline w:val="0"/>
          <w:color w:val="2a3b4d"/>
          <w:shd w:val="clear" w:color="auto" w:fill="ffffff"/>
          <w:rtl w:val="0"/>
          <w14:textFill>
            <w14:solidFill>
              <w14:srgbClr w14:val="2A3C4E"/>
            </w14:solidFill>
          </w14:textFill>
        </w:rPr>
        <w:t>, 49(1), pp.80</w:t>
      </w:r>
      <w:r>
        <w:rPr>
          <w:rFonts w:ascii="Arial" w:hAnsi="Arial" w:hint="default"/>
          <w:outline w:val="0"/>
          <w:color w:val="2a3b4d"/>
          <w:shd w:val="clear" w:color="auto" w:fill="ffffff"/>
          <w:rtl w:val="0"/>
          <w14:textFill>
            <w14:solidFill>
              <w14:srgbClr w14:val="2A3C4E"/>
            </w14:solidFill>
          </w14:textFill>
        </w:rPr>
        <w:t>–</w:t>
      </w:r>
      <w:r>
        <w:rPr>
          <w:rFonts w:ascii="Arial" w:hAnsi="Arial"/>
          <w:outline w:val="0"/>
          <w:color w:val="2a3b4d"/>
          <w:shd w:val="clear" w:color="auto" w:fill="ffffff"/>
          <w:rtl w:val="0"/>
          <w:lang w:val="en-US"/>
          <w14:textFill>
            <w14:solidFill>
              <w14:srgbClr w14:val="2A3C4E"/>
            </w14:solidFill>
          </w14:textFill>
        </w:rPr>
        <w:t>100. doi:https://</w: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begin" w:fldLock="0"/>
      </w:r>
      <w:r>
        <w:rPr>
          <w:rStyle w:val="Hyperlink.0"/>
          <w:rFonts w:ascii="Arial" w:cs="Arial" w:hAnsi="Arial" w:eastAsia="Arial"/>
          <w:outline w:val="0"/>
          <w:color w:val="0563c1"/>
          <w:u w:val="single" w:color="0563c1"/>
          <w:shd w:val="clear" w:color="auto" w:fill="ffffff"/>
          <w14:textFill>
            <w14:solidFill>
              <w14:srgbClr w14:val="0563C1"/>
            </w14:solidFill>
          </w14:textFill>
        </w:rPr>
        <w:instrText xml:space="preserve"> HYPERLINK "http://doi.org/10.1016/j.dr.2018.06.001"</w:instrTex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separate" w:fldLock="0"/>
      </w:r>
      <w:r>
        <w:rPr>
          <w:rStyle w:val="Hyperlink.0"/>
          <w:rFonts w:ascii="Arial" w:hAnsi="Arial"/>
          <w:outline w:val="0"/>
          <w:color w:val="0563c1"/>
          <w:u w:val="single" w:color="0563c1"/>
          <w:shd w:val="clear" w:color="auto" w:fill="ffffff"/>
          <w:rtl w:val="0"/>
          <w14:textFill>
            <w14:solidFill>
              <w14:srgbClr w14:val="0563C1"/>
            </w14:solidFill>
          </w14:textFill>
        </w:rPr>
        <w:t>doi.org/10.1016/j.dr.2018.06.001</w:t>
      </w:r>
      <w:r>
        <w:rPr>
          <w:rFonts w:ascii="Arial" w:cs="Arial" w:hAnsi="Arial" w:eastAsia="Arial"/>
          <w:outline w:val="0"/>
          <w:color w:val="2a3b4d"/>
          <w:shd w:val="clear" w:color="auto" w:fill="ffffff"/>
          <w14:textFill>
            <w14:solidFill>
              <w14:srgbClr w14:val="2A3C4E"/>
            </w14:solidFill>
          </w14:textFill>
        </w:rPr>
        <w:fldChar w:fldCharType="end" w:fldLock="0"/>
      </w:r>
    </w:p>
    <w:p>
      <w:pPr>
        <w:pStyle w:val="Default"/>
        <w:spacing w:after="320"/>
        <w:jc w:val="left"/>
        <w:rPr>
          <w:rFonts w:ascii="Arial" w:cs="Arial" w:hAnsi="Arial" w:eastAsia="Arial"/>
          <w:outline w:val="0"/>
          <w:color w:val="000000"/>
          <w:shd w:val="clear" w:color="auto" w:fill="ffffff"/>
          <w14:textFill>
            <w14:solidFill>
              <w14:srgbClr w14:val="000000"/>
            </w14:solidFill>
          </w14:textFill>
        </w:rPr>
      </w:pPr>
    </w:p>
    <w:p>
      <w:pPr>
        <w:pStyle w:val="Default"/>
        <w:spacing w:after="320"/>
        <w:jc w:val="left"/>
        <w:rPr>
          <w:rFonts w:ascii="Arial" w:cs="Arial" w:hAnsi="Arial" w:eastAsia="Arial"/>
          <w:outline w:val="0"/>
          <w:color w:val="2a3b4d"/>
          <w:shd w:val="clear" w:color="auto" w:fill="ffffff"/>
          <w14:textFill>
            <w14:solidFill>
              <w14:srgbClr w14:val="2A3C4E"/>
            </w14:solidFill>
          </w14:textFill>
        </w:rPr>
      </w:pPr>
      <w:r>
        <w:rPr>
          <w:rFonts w:ascii="Arial" w:hAnsi="Arial"/>
          <w:outline w:val="0"/>
          <w:color w:val="2a3b4d"/>
          <w:shd w:val="clear" w:color="auto" w:fill="ffffff"/>
          <w:rtl w:val="0"/>
          <w14:textFill>
            <w14:solidFill>
              <w14:srgbClr w14:val="2A3C4E"/>
            </w14:solidFill>
          </w14:textFill>
        </w:rPr>
        <w:t xml:space="preserve">Gilligan, C. (2011). </w:t>
      </w:r>
      <w:r>
        <w:rPr>
          <w:rFonts w:ascii="Arial" w:hAnsi="Arial"/>
          <w:i w:val="1"/>
          <w:iCs w:val="1"/>
          <w:outline w:val="0"/>
          <w:color w:val="2a3b4d"/>
          <w:shd w:val="clear" w:color="auto" w:fill="ffffff"/>
          <w:rtl w:val="0"/>
          <w:lang w:val="de-DE"/>
          <w14:textFill>
            <w14:solidFill>
              <w14:srgbClr w14:val="2A3C4E"/>
            </w14:solidFill>
          </w14:textFill>
        </w:rPr>
        <w:t>Webteam</w:t>
      </w:r>
      <w:r>
        <w:rPr>
          <w:rFonts w:ascii="Arial" w:hAnsi="Arial"/>
          <w:outline w:val="0"/>
          <w:color w:val="2a3b4d"/>
          <w:shd w:val="clear" w:color="auto" w:fill="ffffff"/>
          <w:rtl w:val="0"/>
          <w:lang w:val="en-US"/>
          <w14:textFill>
            <w14:solidFill>
              <w14:srgbClr w14:val="2A3C4E"/>
            </w14:solidFill>
          </w14:textFill>
        </w:rPr>
        <w:t xml:space="preserve">. [online] Ethics of care. Available at: </w: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begin" w:fldLock="0"/>
      </w:r>
      <w:r>
        <w:rPr>
          <w:rStyle w:val="Hyperlink.0"/>
          <w:rFonts w:ascii="Arial" w:cs="Arial" w:hAnsi="Arial" w:eastAsia="Arial"/>
          <w:outline w:val="0"/>
          <w:color w:val="0563c1"/>
          <w:u w:val="single" w:color="0563c1"/>
          <w:shd w:val="clear" w:color="auto" w:fill="ffffff"/>
          <w14:textFill>
            <w14:solidFill>
              <w14:srgbClr w14:val="0563C1"/>
            </w14:solidFill>
          </w14:textFill>
        </w:rPr>
        <w:instrText xml:space="preserve"> HYPERLINK "https://ethicsofcare.org/carol-gilligan/"</w:instrTex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separate" w:fldLock="0"/>
      </w:r>
      <w:r>
        <w:rPr>
          <w:rStyle w:val="Hyperlink.0"/>
          <w:rFonts w:ascii="Arial" w:hAnsi="Arial"/>
          <w:outline w:val="0"/>
          <w:color w:val="0563c1"/>
          <w:u w:val="single" w:color="0563c1"/>
          <w:shd w:val="clear" w:color="auto" w:fill="ffffff"/>
          <w:rtl w:val="0"/>
          <w:lang w:val="en-US"/>
          <w14:textFill>
            <w14:solidFill>
              <w14:srgbClr w14:val="0563C1"/>
            </w14:solidFill>
          </w14:textFill>
        </w:rPr>
        <w:t>https://ethicsofcare.org/carol-gilligan/</w:t>
      </w:r>
      <w:r>
        <w:rPr>
          <w:rFonts w:ascii="Arial" w:cs="Arial" w:hAnsi="Arial" w:eastAsia="Arial"/>
          <w:outline w:val="0"/>
          <w:color w:val="2a3b4d"/>
          <w:shd w:val="clear" w:color="auto" w:fill="ffffff"/>
          <w14:textFill>
            <w14:solidFill>
              <w14:srgbClr w14:val="2A3C4E"/>
            </w14:solidFill>
          </w14:textFill>
        </w:rPr>
        <w:fldChar w:fldCharType="end" w:fldLock="0"/>
      </w:r>
      <w:r>
        <w:rPr>
          <w:rFonts w:ascii="Arial" w:hAnsi="Arial"/>
          <w:outline w:val="0"/>
          <w:color w:val="2a3b4d"/>
          <w:shd w:val="clear" w:color="auto" w:fill="ffffff"/>
          <w:rtl w:val="0"/>
          <w:lang w:val="en-US"/>
          <w14:textFill>
            <w14:solidFill>
              <w14:srgbClr w14:val="2A3C4E"/>
            </w14:solidFill>
          </w14:textFill>
        </w:rPr>
        <w:t>[Accessed 27 Apr. 2026]</w:t>
      </w:r>
    </w:p>
    <w:p>
      <w:pPr>
        <w:pStyle w:val="Default"/>
        <w:spacing w:after="320"/>
        <w:jc w:val="left"/>
        <w:rPr>
          <w:rFonts w:ascii="Arial" w:cs="Arial" w:hAnsi="Arial" w:eastAsia="Arial"/>
          <w:outline w:val="0"/>
          <w:color w:val="000000"/>
          <w:shd w:val="clear" w:color="auto" w:fill="ffffff"/>
          <w14:textFill>
            <w14:solidFill>
              <w14:srgbClr w14:val="000000"/>
            </w14:solidFill>
          </w14:textFill>
        </w:rPr>
      </w:pPr>
    </w:p>
    <w:p>
      <w:pPr>
        <w:pStyle w:val="Default"/>
        <w:spacing w:after="320"/>
        <w:jc w:val="left"/>
        <w:rPr>
          <w:rFonts w:ascii="Arial" w:cs="Arial" w:hAnsi="Arial" w:eastAsia="Arial"/>
          <w:outline w:val="0"/>
          <w:color w:val="000000"/>
          <w:shd w:val="clear" w:color="auto" w:fill="ffffff"/>
          <w14:textFill>
            <w14:solidFill>
              <w14:srgbClr w14:val="000000"/>
            </w14:solidFill>
          </w14:textFill>
        </w:rPr>
      </w:pPr>
      <w:r>
        <w:rPr>
          <w:rFonts w:ascii="Arial" w:hAnsi="Arial"/>
          <w:outline w:val="0"/>
          <w:color w:val="2a3b4d"/>
          <w:shd w:val="clear" w:color="auto" w:fill="ffffff"/>
          <w:rtl w:val="0"/>
          <w:lang w:val="en-US"/>
          <w14:textFill>
            <w14:solidFill>
              <w14:srgbClr w14:val="2A3C4E"/>
            </w14:solidFill>
          </w14:textFill>
        </w:rPr>
        <w:t>Hammond, S.I. (2014). Children</w:t>
      </w:r>
      <w:r>
        <w:rPr>
          <w:rFonts w:ascii="Arial" w:hAnsi="Arial" w:hint="default"/>
          <w:outline w:val="0"/>
          <w:color w:val="2a3b4d"/>
          <w:shd w:val="clear" w:color="auto" w:fill="ffffff"/>
          <w:rtl w:val="1"/>
          <w14:textFill>
            <w14:solidFill>
              <w14:srgbClr w14:val="2A3C4E"/>
            </w14:solidFill>
          </w14:textFill>
        </w:rPr>
        <w:t>’</w:t>
      </w:r>
      <w:r>
        <w:rPr>
          <w:rFonts w:ascii="Arial" w:hAnsi="Arial"/>
          <w:outline w:val="0"/>
          <w:color w:val="2a3b4d"/>
          <w:shd w:val="clear" w:color="auto" w:fill="ffffff"/>
          <w:rtl w:val="0"/>
          <w:lang w:val="en-US"/>
          <w14:textFill>
            <w14:solidFill>
              <w14:srgbClr w14:val="2A3C4E"/>
            </w14:solidFill>
          </w14:textFill>
        </w:rPr>
        <w:t xml:space="preserve">s early helping in action: Piagetian developmental theory and early prosocial behavior. </w:t>
      </w:r>
      <w:r>
        <w:rPr>
          <w:rFonts w:ascii="Arial" w:hAnsi="Arial"/>
          <w:i w:val="1"/>
          <w:iCs w:val="1"/>
          <w:outline w:val="0"/>
          <w:color w:val="2a3b4d"/>
          <w:shd w:val="clear" w:color="auto" w:fill="ffffff"/>
          <w:rtl w:val="0"/>
          <w:lang w:val="en-US"/>
          <w14:textFill>
            <w14:solidFill>
              <w14:srgbClr w14:val="2A3C4E"/>
            </w14:solidFill>
          </w14:textFill>
        </w:rPr>
        <w:t>Frontiers in Psychology</w:t>
      </w:r>
      <w:r>
        <w:rPr>
          <w:rFonts w:ascii="Arial" w:hAnsi="Arial"/>
          <w:outline w:val="0"/>
          <w:color w:val="2a3b4d"/>
          <w:shd w:val="clear" w:color="auto" w:fill="ffffff"/>
          <w:rtl w:val="0"/>
          <w:lang w:val="pt-PT"/>
          <w14:textFill>
            <w14:solidFill>
              <w14:srgbClr w14:val="2A3C4E"/>
            </w14:solidFill>
          </w14:textFill>
        </w:rPr>
        <w:t>, [online] 5(759). doi:https://</w: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begin" w:fldLock="0"/>
      </w:r>
      <w:r>
        <w:rPr>
          <w:rStyle w:val="Hyperlink.0"/>
          <w:rFonts w:ascii="Arial" w:cs="Arial" w:hAnsi="Arial" w:eastAsia="Arial"/>
          <w:outline w:val="0"/>
          <w:color w:val="0563c1"/>
          <w:u w:val="single" w:color="0563c1"/>
          <w:shd w:val="clear" w:color="auto" w:fill="ffffff"/>
          <w14:textFill>
            <w14:solidFill>
              <w14:srgbClr w14:val="0563C1"/>
            </w14:solidFill>
          </w14:textFill>
        </w:rPr>
        <w:instrText xml:space="preserve"> HYPERLINK "http://doi.org/10.3389/fpsyg.2014.00759"</w:instrTex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separate" w:fldLock="0"/>
      </w:r>
      <w:r>
        <w:rPr>
          <w:rStyle w:val="Hyperlink.0"/>
          <w:rFonts w:ascii="Arial" w:hAnsi="Arial"/>
          <w:outline w:val="0"/>
          <w:color w:val="0563c1"/>
          <w:u w:val="single" w:color="0563c1"/>
          <w:shd w:val="clear" w:color="auto" w:fill="ffffff"/>
          <w:rtl w:val="0"/>
          <w14:textFill>
            <w14:solidFill>
              <w14:srgbClr w14:val="0563C1"/>
            </w14:solidFill>
          </w14:textFill>
        </w:rPr>
        <w:t>doi.org/10.3389/fpsyg.2014.00759</w:t>
      </w:r>
      <w:r>
        <w:rPr>
          <w:rFonts w:ascii="Arial" w:cs="Arial" w:hAnsi="Arial" w:eastAsia="Arial"/>
          <w:outline w:val="0"/>
          <w:color w:val="2a3b4d"/>
          <w:shd w:val="clear" w:color="auto" w:fill="ffffff"/>
          <w14:textFill>
            <w14:solidFill>
              <w14:srgbClr w14:val="2A3C4E"/>
            </w14:solidFill>
          </w14:textFill>
        </w:rPr>
        <w:fldChar w:fldCharType="end" w:fldLock="0"/>
      </w:r>
    </w:p>
    <w:p>
      <w:pPr>
        <w:pStyle w:val="Default"/>
        <w:spacing w:after="320"/>
        <w:jc w:val="left"/>
        <w:rPr>
          <w:rFonts w:ascii="Arial" w:cs="Arial" w:hAnsi="Arial" w:eastAsia="Arial"/>
          <w:outline w:val="0"/>
          <w:color w:val="000000"/>
          <w:shd w:val="clear" w:color="auto" w:fill="ffffff"/>
          <w14:textFill>
            <w14:solidFill>
              <w14:srgbClr w14:val="000000"/>
            </w14:solidFill>
          </w14:textFill>
        </w:rPr>
      </w:pPr>
      <w:r>
        <w:rPr>
          <w:rFonts w:ascii="Arial" w:hAnsi="Arial"/>
          <w:outline w:val="0"/>
          <w:color w:val="2a3b4d"/>
          <w:shd w:val="clear" w:color="auto" w:fill="ffffff"/>
          <w:rtl w:val="0"/>
          <w:lang w:val="en-US"/>
          <w14:textFill>
            <w14:solidFill>
              <w14:srgbClr w14:val="2A3C4E"/>
            </w14:solidFill>
          </w14:textFill>
        </w:rPr>
        <w:t xml:space="preserve">Health and Care Professions Council (2024). </w:t>
      </w:r>
      <w:r>
        <w:rPr>
          <w:rFonts w:ascii="Arial" w:hAnsi="Arial"/>
          <w:i w:val="1"/>
          <w:iCs w:val="1"/>
          <w:outline w:val="0"/>
          <w:color w:val="2a3b4d"/>
          <w:shd w:val="clear" w:color="auto" w:fill="ffffff"/>
          <w:rtl w:val="0"/>
          <w:lang w:val="en-US"/>
          <w14:textFill>
            <w14:solidFill>
              <w14:srgbClr w14:val="2A3C4E"/>
            </w14:solidFill>
          </w14:textFill>
        </w:rPr>
        <w:t>Standards of Conduct, Performance and Ethics</w:t>
      </w:r>
      <w:r>
        <w:rPr>
          <w:rFonts w:ascii="Arial" w:hAnsi="Arial"/>
          <w:outline w:val="0"/>
          <w:color w:val="2a3b4d"/>
          <w:shd w:val="clear" w:color="auto" w:fill="ffffff"/>
          <w:rtl w:val="0"/>
          <w:lang w:val="en-US"/>
          <w14:textFill>
            <w14:solidFill>
              <w14:srgbClr w14:val="2A3C4E"/>
            </w14:solidFill>
          </w14:textFill>
        </w:rPr>
        <w:t xml:space="preserve">. [online] Health and Care Professions Council. Available at: </w: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begin" w:fldLock="0"/>
      </w:r>
      <w:r>
        <w:rPr>
          <w:rStyle w:val="Hyperlink.0"/>
          <w:rFonts w:ascii="Arial" w:cs="Arial" w:hAnsi="Arial" w:eastAsia="Arial"/>
          <w:outline w:val="0"/>
          <w:color w:val="0563c1"/>
          <w:u w:val="single" w:color="0563c1"/>
          <w:shd w:val="clear" w:color="auto" w:fill="ffffff"/>
          <w14:textFill>
            <w14:solidFill>
              <w14:srgbClr w14:val="0563C1"/>
            </w14:solidFill>
          </w14:textFill>
        </w:rPr>
        <w:instrText xml:space="preserve"> HYPERLINK "https://www.hcpc-uk.org/standards/standards-of-conduct-performance-and-ethics/"</w:instrTex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separate" w:fldLock="0"/>
      </w:r>
      <w:r>
        <w:rPr>
          <w:rStyle w:val="Hyperlink.0"/>
          <w:rFonts w:ascii="Arial" w:hAnsi="Arial"/>
          <w:outline w:val="0"/>
          <w:color w:val="0563c1"/>
          <w:u w:val="single" w:color="0563c1"/>
          <w:shd w:val="clear" w:color="auto" w:fill="ffffff"/>
          <w:rtl w:val="0"/>
          <w:lang w:val="en-US"/>
          <w14:textFill>
            <w14:solidFill>
              <w14:srgbClr w14:val="0563C1"/>
            </w14:solidFill>
          </w14:textFill>
        </w:rPr>
        <w:t>https://www.hcpc-uk.org/standards/standards-of-conduct-performance-and-ethics/</w:t>
      </w:r>
      <w:r>
        <w:rPr>
          <w:rFonts w:ascii="Arial" w:cs="Arial" w:hAnsi="Arial" w:eastAsia="Arial"/>
          <w:outline w:val="0"/>
          <w:color w:val="2a3b4d"/>
          <w:shd w:val="clear" w:color="auto" w:fill="ffffff"/>
          <w14:textFill>
            <w14:solidFill>
              <w14:srgbClr w14:val="2A3C4E"/>
            </w14:solidFill>
          </w14:textFill>
        </w:rPr>
        <w:fldChar w:fldCharType="end" w:fldLock="0"/>
      </w:r>
    </w:p>
    <w:p>
      <w:pPr>
        <w:pStyle w:val="Default"/>
        <w:spacing w:after="320"/>
        <w:jc w:val="left"/>
        <w:rPr>
          <w:rFonts w:ascii="Arial" w:cs="Arial" w:hAnsi="Arial" w:eastAsia="Arial"/>
          <w:outline w:val="0"/>
          <w:color w:val="000000"/>
          <w:shd w:val="clear" w:color="auto" w:fill="ffffff"/>
          <w14:textFill>
            <w14:solidFill>
              <w14:srgbClr w14:val="000000"/>
            </w14:solidFill>
          </w14:textFill>
        </w:rPr>
      </w:pPr>
      <w:r>
        <w:rPr>
          <w:rFonts w:ascii="Arial" w:hAnsi="Arial"/>
          <w:outline w:val="0"/>
          <w:color w:val="2a3b4d"/>
          <w:shd w:val="clear" w:color="auto" w:fill="ffffff"/>
          <w:rtl w:val="0"/>
          <w14:textFill>
            <w14:solidFill>
              <w14:srgbClr w14:val="2A3C4E"/>
            </w14:solidFill>
          </w14:textFill>
        </w:rPr>
        <w:t xml:space="preserve">Held, V. (2018). </w:t>
      </w:r>
      <w:r>
        <w:rPr>
          <w:rFonts w:ascii="Arial" w:hAnsi="Arial"/>
          <w:i w:val="1"/>
          <w:iCs w:val="1"/>
          <w:outline w:val="0"/>
          <w:color w:val="2a3b4d"/>
          <w:shd w:val="clear" w:color="auto" w:fill="ffffff"/>
          <w:rtl w:val="0"/>
          <w:lang w:val="en-US"/>
          <w14:textFill>
            <w14:solidFill>
              <w14:srgbClr w14:val="2A3C4E"/>
            </w14:solidFill>
          </w14:textFill>
        </w:rPr>
        <w:t>The Ethics of Care</w:t>
      </w:r>
      <w:r>
        <w:rPr>
          <w:rFonts w:ascii="Arial" w:hAnsi="Arial"/>
          <w:outline w:val="0"/>
          <w:color w:val="2a3b4d"/>
          <w:shd w:val="clear" w:color="auto" w:fill="ffffff"/>
          <w:rtl w:val="0"/>
          <w:lang w:val="en-US"/>
          <w14:textFill>
            <w14:solidFill>
              <w14:srgbClr w14:val="2A3C4E"/>
            </w14:solidFill>
          </w14:textFill>
        </w:rPr>
        <w:t xml:space="preserve">. [online] The Oxford Handbook of Distributive Justice. Available at: </w: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begin" w:fldLock="0"/>
      </w:r>
      <w:r>
        <w:rPr>
          <w:rStyle w:val="Hyperlink.0"/>
          <w:rFonts w:ascii="Arial" w:cs="Arial" w:hAnsi="Arial" w:eastAsia="Arial"/>
          <w:outline w:val="0"/>
          <w:color w:val="0563c1"/>
          <w:u w:val="single" w:color="0563c1"/>
          <w:shd w:val="clear" w:color="auto" w:fill="ffffff"/>
          <w14:textFill>
            <w14:solidFill>
              <w14:srgbClr w14:val="0563C1"/>
            </w14:solidFill>
          </w14:textFill>
        </w:rPr>
        <w:instrText xml:space="preserve"> HYPERLINK "https://books.google.co.uk/books?hl=lv&amp;lr=&amp;id=N_xdDwAAQBAJ&amp;oi=fnd&amp;pg=PA213&amp;dq=ethics+of+care+in+uk&amp;ots=_d82CHgVPF&amp;sig=SDxHIZVc5BwnlhAGFpeB6w6eSQg&amp;redir_esc=y#v=onepage&amp;q=ethics%20of%20care%20in%20uk&amp;f=fals"</w:instrTex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separate" w:fldLock="0"/>
      </w:r>
      <w:r>
        <w:rPr>
          <w:rStyle w:val="Hyperlink.0"/>
          <w:rFonts w:ascii="Arial" w:hAnsi="Arial"/>
          <w:outline w:val="0"/>
          <w:color w:val="0563c1"/>
          <w:u w:val="single" w:color="0563c1"/>
          <w:shd w:val="clear" w:color="auto" w:fill="ffffff"/>
          <w:rtl w:val="0"/>
          <w:lang w:val="en-US"/>
          <w14:textFill>
            <w14:solidFill>
              <w14:srgbClr w14:val="0563C1"/>
            </w14:solidFill>
          </w14:textFill>
        </w:rPr>
        <w:t>https://books.google.co.uk/books?hl=lv&amp;lr=&amp;id=N_xdDwAAQBAJ&amp;oi=fnd&amp;pg=PA213&amp;dq=ethics+of+care+in+uk&amp;ots=_d82CHgVPF&amp;sig=SDxHIZVc5BwnlhAGFpeB6w6eSQg&amp;redir_esc=y#v=onepage&amp;q=ethics%20of%20care%20in%20uk&amp;f=fals</w:t>
      </w:r>
      <w:r>
        <w:rPr>
          <w:rFonts w:ascii="Arial" w:cs="Arial" w:hAnsi="Arial" w:eastAsia="Arial"/>
          <w:outline w:val="0"/>
          <w:color w:val="2a3b4d"/>
          <w:shd w:val="clear" w:color="auto" w:fill="ffffff"/>
          <w14:textFill>
            <w14:solidFill>
              <w14:srgbClr w14:val="2A3C4E"/>
            </w14:solidFill>
          </w14:textFill>
        </w:rPr>
        <w:fldChar w:fldCharType="end" w:fldLock="0"/>
      </w:r>
      <w:r>
        <w:rPr>
          <w:rFonts w:ascii="Arial" w:hAnsi="Arial"/>
          <w:outline w:val="0"/>
          <w:color w:val="2a3b4d"/>
          <w:shd w:val="clear" w:color="auto" w:fill="ffffff"/>
          <w:rtl w:val="0"/>
          <w14:textFill>
            <w14:solidFill>
              <w14:srgbClr w14:val="2A3C4E"/>
            </w14:solidFill>
          </w14:textFill>
        </w:rPr>
        <w:t>e</w:t>
      </w:r>
      <w:r>
        <w:rPr>
          <w:rFonts w:ascii="Arial" w:hAnsi="Arial"/>
          <w:outline w:val="0"/>
          <w:color w:val="2a3b4d"/>
          <w:shd w:val="clear" w:color="auto" w:fill="ffffff"/>
          <w:rtl w:val="0"/>
          <w:lang w:val="en-US"/>
          <w14:textFill>
            <w14:solidFill>
              <w14:srgbClr w14:val="2A3C4E"/>
            </w14:solidFill>
          </w14:textFill>
        </w:rPr>
        <w:t xml:space="preserve"> [Accessed 27 Apr. 2026].</w:t>
      </w:r>
    </w:p>
    <w:p>
      <w:pPr>
        <w:pStyle w:val="Default"/>
        <w:spacing w:after="320"/>
        <w:jc w:val="left"/>
        <w:rPr>
          <w:rFonts w:ascii="Arial" w:cs="Arial" w:hAnsi="Arial" w:eastAsia="Arial"/>
          <w:outline w:val="0"/>
          <w:color w:val="000000"/>
          <w:shd w:val="clear" w:color="auto" w:fill="ffffff"/>
          <w14:textFill>
            <w14:solidFill>
              <w14:srgbClr w14:val="000000"/>
            </w14:solidFill>
          </w14:textFill>
        </w:rPr>
      </w:pPr>
      <w:r>
        <w:rPr>
          <w:rFonts w:ascii="Arial" w:hAnsi="Arial"/>
          <w:outline w:val="0"/>
          <w:color w:val="2a3b4d"/>
          <w:shd w:val="clear" w:color="auto" w:fill="ffffff"/>
          <w:rtl w:val="0"/>
          <w:lang w:val="en-US"/>
          <w14:textFill>
            <w14:solidFill>
              <w14:srgbClr w14:val="2A3C4E"/>
            </w14:solidFill>
          </w14:textFill>
        </w:rPr>
        <w:t xml:space="preserve">Internet Encyclopaedia of Philosphy. (n.d.). </w:t>
      </w:r>
      <w:r>
        <w:rPr>
          <w:rFonts w:ascii="Arial" w:hAnsi="Arial"/>
          <w:i w:val="1"/>
          <w:iCs w:val="1"/>
          <w:outline w:val="0"/>
          <w:color w:val="2a3b4d"/>
          <w:shd w:val="clear" w:color="auto" w:fill="ffffff"/>
          <w:rtl w:val="0"/>
          <w:lang w:val="en-US"/>
          <w14:textFill>
            <w14:solidFill>
              <w14:srgbClr w14:val="2A3C4E"/>
            </w14:solidFill>
          </w14:textFill>
        </w:rPr>
        <w:t>Care Ethics | Internet Encyclopedia of Philosophy</w:t>
      </w:r>
      <w:r>
        <w:rPr>
          <w:rFonts w:ascii="Arial" w:hAnsi="Arial"/>
          <w:outline w:val="0"/>
          <w:color w:val="2a3b4d"/>
          <w:shd w:val="clear" w:color="auto" w:fill="ffffff"/>
          <w:rtl w:val="0"/>
          <w:lang w:val="en-US"/>
          <w14:textFill>
            <w14:solidFill>
              <w14:srgbClr w14:val="2A3C4E"/>
            </w14:solidFill>
          </w14:textFill>
        </w:rPr>
        <w:t xml:space="preserve">. [online] Available at: </w: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begin" w:fldLock="0"/>
      </w:r>
      <w:r>
        <w:rPr>
          <w:rStyle w:val="Hyperlink.0"/>
          <w:rFonts w:ascii="Arial" w:cs="Arial" w:hAnsi="Arial" w:eastAsia="Arial"/>
          <w:outline w:val="0"/>
          <w:color w:val="0563c1"/>
          <w:u w:val="single" w:color="0563c1"/>
          <w:shd w:val="clear" w:color="auto" w:fill="ffffff"/>
          <w14:textFill>
            <w14:solidFill>
              <w14:srgbClr w14:val="0563C1"/>
            </w14:solidFill>
          </w14:textFill>
        </w:rPr>
        <w:instrText xml:space="preserve"> HYPERLINK "https://iep.utm.edu/care-ethics/#SH3b"</w:instrTex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separate" w:fldLock="0"/>
      </w:r>
      <w:r>
        <w:rPr>
          <w:rStyle w:val="Hyperlink.0"/>
          <w:rFonts w:ascii="Arial" w:hAnsi="Arial"/>
          <w:outline w:val="0"/>
          <w:color w:val="0563c1"/>
          <w:u w:val="single" w:color="0563c1"/>
          <w:shd w:val="clear" w:color="auto" w:fill="ffffff"/>
          <w:rtl w:val="0"/>
          <w:lang w:val="en-US"/>
          <w14:textFill>
            <w14:solidFill>
              <w14:srgbClr w14:val="0563C1"/>
            </w14:solidFill>
          </w14:textFill>
        </w:rPr>
        <w:t>https://iep.utm.edu/care-ethics/#SH3b</w:t>
      </w:r>
      <w:r>
        <w:rPr>
          <w:rFonts w:ascii="Arial" w:cs="Arial" w:hAnsi="Arial" w:eastAsia="Arial"/>
          <w:outline w:val="0"/>
          <w:color w:val="2a3b4d"/>
          <w:shd w:val="clear" w:color="auto" w:fill="ffffff"/>
          <w14:textFill>
            <w14:solidFill>
              <w14:srgbClr w14:val="2A3C4E"/>
            </w14:solidFill>
          </w14:textFill>
        </w:rPr>
        <w:fldChar w:fldCharType="end" w:fldLock="0"/>
      </w:r>
      <w:r>
        <w:rPr>
          <w:rFonts w:ascii="Arial" w:hAnsi="Arial"/>
          <w:outline w:val="0"/>
          <w:color w:val="2a3b4d"/>
          <w:shd w:val="clear" w:color="auto" w:fill="ffffff"/>
          <w:rtl w:val="0"/>
          <w:lang w:val="en-US"/>
          <w14:textFill>
            <w14:solidFill>
              <w14:srgbClr w14:val="2A3C4E"/>
            </w14:solidFill>
          </w14:textFill>
        </w:rPr>
        <w:t>[Accessed 27 Apr. 2026].</w:t>
      </w:r>
    </w:p>
    <w:p>
      <w:pPr>
        <w:pStyle w:val="Default"/>
        <w:spacing w:after="320"/>
        <w:jc w:val="left"/>
        <w:rPr>
          <w:rFonts w:ascii="Arial" w:cs="Arial" w:hAnsi="Arial" w:eastAsia="Arial"/>
          <w:outline w:val="0"/>
          <w:color w:val="000000"/>
          <w:shd w:val="clear" w:color="auto" w:fill="ffffff"/>
          <w14:textFill>
            <w14:solidFill>
              <w14:srgbClr w14:val="000000"/>
            </w14:solidFill>
          </w14:textFill>
        </w:rPr>
      </w:pPr>
      <w:r>
        <w:rPr>
          <w:rFonts w:ascii="Arial" w:hAnsi="Arial"/>
          <w:outline w:val="0"/>
          <w:color w:val="2a3b4d"/>
          <w:shd w:val="clear" w:color="auto" w:fill="ffffff"/>
          <w:rtl w:val="0"/>
          <w:lang w:val="en-US"/>
          <w14:textFill>
            <w14:solidFill>
              <w14:srgbClr w14:val="2A3C4E"/>
            </w14:solidFill>
          </w14:textFill>
        </w:rPr>
        <w:t xml:space="preserve">Josselson, R. (2022). Developing a different voice: The life and work of Carol Gilligan. </w:t>
      </w:r>
      <w:r>
        <w:rPr>
          <w:rFonts w:ascii="Arial" w:hAnsi="Arial"/>
          <w:i w:val="1"/>
          <w:iCs w:val="1"/>
          <w:outline w:val="0"/>
          <w:color w:val="2a3b4d"/>
          <w:shd w:val="clear" w:color="auto" w:fill="ffffff"/>
          <w:rtl w:val="0"/>
          <w:lang w:val="en-US"/>
          <w14:textFill>
            <w14:solidFill>
              <w14:srgbClr w14:val="2A3C4E"/>
            </w14:solidFill>
          </w14:textFill>
        </w:rPr>
        <w:t>Journal of Personality</w:t>
      </w:r>
      <w:r>
        <w:rPr>
          <w:rFonts w:ascii="Arial" w:hAnsi="Arial"/>
          <w:outline w:val="0"/>
          <w:color w:val="2a3b4d"/>
          <w:shd w:val="clear" w:color="auto" w:fill="ffffff"/>
          <w:rtl w:val="0"/>
          <w:lang w:val="fr-FR"/>
          <w14:textFill>
            <w14:solidFill>
              <w14:srgbClr w14:val="2A3C4E"/>
            </w14:solidFill>
          </w14:textFill>
        </w:rPr>
        <w:t>, 91(1). doi:https://</w: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begin" w:fldLock="0"/>
      </w:r>
      <w:r>
        <w:rPr>
          <w:rStyle w:val="Hyperlink.0"/>
          <w:rFonts w:ascii="Arial" w:cs="Arial" w:hAnsi="Arial" w:eastAsia="Arial"/>
          <w:outline w:val="0"/>
          <w:color w:val="0563c1"/>
          <w:u w:val="single" w:color="0563c1"/>
          <w:shd w:val="clear" w:color="auto" w:fill="ffffff"/>
          <w14:textFill>
            <w14:solidFill>
              <w14:srgbClr w14:val="0563C1"/>
            </w14:solidFill>
          </w14:textFill>
        </w:rPr>
        <w:instrText xml:space="preserve"> HYPERLINK "http://doi.org/10.1111/jopy.12763"</w:instrTex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separate" w:fldLock="0"/>
      </w:r>
      <w:r>
        <w:rPr>
          <w:rStyle w:val="Hyperlink.0"/>
          <w:rFonts w:ascii="Arial" w:hAnsi="Arial"/>
          <w:outline w:val="0"/>
          <w:color w:val="0563c1"/>
          <w:u w:val="single" w:color="0563c1"/>
          <w:shd w:val="clear" w:color="auto" w:fill="ffffff"/>
          <w:rtl w:val="0"/>
          <w14:textFill>
            <w14:solidFill>
              <w14:srgbClr w14:val="0563C1"/>
            </w14:solidFill>
          </w14:textFill>
        </w:rPr>
        <w:t>doi.org/10.1111/jopy.12763</w:t>
      </w:r>
      <w:r>
        <w:rPr>
          <w:rFonts w:ascii="Arial" w:cs="Arial" w:hAnsi="Arial" w:eastAsia="Arial"/>
          <w:outline w:val="0"/>
          <w:color w:val="2a3b4d"/>
          <w:shd w:val="clear" w:color="auto" w:fill="ffffff"/>
          <w14:textFill>
            <w14:solidFill>
              <w14:srgbClr w14:val="2A3C4E"/>
            </w14:solidFill>
          </w14:textFill>
        </w:rPr>
        <w:fldChar w:fldCharType="end" w:fldLock="0"/>
      </w:r>
    </w:p>
    <w:p>
      <w:pPr>
        <w:pStyle w:val="Default"/>
        <w:spacing w:after="320"/>
        <w:jc w:val="left"/>
        <w:rPr>
          <w:rFonts w:ascii="Arial" w:cs="Arial" w:hAnsi="Arial" w:eastAsia="Arial"/>
          <w:outline w:val="0"/>
          <w:color w:val="2a3b4d"/>
          <w:shd w:val="clear" w:color="auto" w:fill="ffffff"/>
          <w14:textFill>
            <w14:solidFill>
              <w14:srgbClr w14:val="2A3C4E"/>
            </w14:solidFill>
          </w14:textFill>
        </w:rPr>
      </w:pPr>
      <w:r>
        <w:rPr>
          <w:rFonts w:ascii="Arial" w:hAnsi="Arial"/>
          <w:outline w:val="0"/>
          <w:color w:val="2a3b4d"/>
          <w:shd w:val="clear" w:color="auto" w:fill="ffffff"/>
          <w:rtl w:val="0"/>
          <w:lang w:val="de-DE"/>
          <w14:textFill>
            <w14:solidFill>
              <w14:srgbClr w14:val="2A3C4E"/>
            </w14:solidFill>
          </w14:textFill>
        </w:rPr>
        <w:t xml:space="preserve">Kohlberg, L. (1976). </w:t>
      </w:r>
      <w:r>
        <w:rPr>
          <w:rFonts w:ascii="Arial" w:hAnsi="Arial"/>
          <w:i w:val="1"/>
          <w:iCs w:val="1"/>
          <w:outline w:val="0"/>
          <w:color w:val="2a3b4d"/>
          <w:shd w:val="clear" w:color="auto" w:fill="ffffff"/>
          <w:rtl w:val="0"/>
          <w:lang w:val="en-US"/>
          <w14:textFill>
            <w14:solidFill>
              <w14:srgbClr w14:val="2A3C4E"/>
            </w14:solidFill>
          </w14:textFill>
        </w:rPr>
        <w:t>The Stages of Moral Development According to Kohlberg</w:t>
      </w:r>
      <w:r>
        <w:rPr>
          <w:rFonts w:ascii="Arial" w:hAnsi="Arial"/>
          <w:outline w:val="0"/>
          <w:color w:val="2a3b4d"/>
          <w:shd w:val="clear" w:color="auto" w:fill="ffffff"/>
          <w:rtl w:val="0"/>
          <w:lang w:val="en-US"/>
          <w14:textFill>
            <w14:solidFill>
              <w14:srgbClr w14:val="2A3C4E"/>
            </w14:solidFill>
          </w14:textFill>
        </w:rPr>
        <w:t xml:space="preserve">. [online] Available at: </w: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begin" w:fldLock="0"/>
      </w:r>
      <w:r>
        <w:rPr>
          <w:rStyle w:val="Hyperlink.0"/>
          <w:rFonts w:ascii="Arial" w:cs="Arial" w:hAnsi="Arial" w:eastAsia="Arial"/>
          <w:outline w:val="0"/>
          <w:color w:val="0563c1"/>
          <w:u w:val="single" w:color="0563c1"/>
          <w:shd w:val="clear" w:color="auto" w:fill="ffffff"/>
          <w14:textFill>
            <w14:solidFill>
              <w14:srgbClr w14:val="0563C1"/>
            </w14:solidFill>
          </w14:textFill>
        </w:rPr>
        <w:instrText xml:space="preserve"> HYPERLINK "https://d1wqtxts1xzle7.cloudfront.net/56952142/Stages_of_Moral_Development_According_to_Kohlberg-libre.pdf?1531052031=&amp;response-content-disposition=inline%3B+filename%3DStages_of_Moral_Development_According_to.pdf&amp;Expires=1777313567&amp;Signature=fjjmlfUc8gKoojWPCyUG5qyeDusTuRQDy2emUzA8jHS7iOxlYBPHI3KTMENX~IMHTGjMEFSzs2HiTL6FxRT1FO1248bmjkPAtjUKznwvgkMUR~kR4bIxfb9hywCCwUX~SZBaA0jgJrGZTjoMohP3P~f~14KCkU8MSP727zMlbOTC6WCjkZ~4hj3rWuJWQR7NjqJ-MR5T-2UoFYLBUCqG~oAFrBfn-Eb1VIcwIwt48H01KRarUdbTAgPgkjA5KmKKear3fvhqEzi1RkxWhQ5HqL1YITz~nXv6OJ71oNxnbWnDbTGSIzfBaxh9BHpYgWH4kKezyqUIPocYwTgGV9vijQ__&amp;Key-Pair-Id=APKAJLOHF5GGSLRBV4ZA"</w:instrTex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separate" w:fldLock="0"/>
      </w:r>
      <w:r>
        <w:rPr>
          <w:rStyle w:val="Hyperlink.0"/>
          <w:rFonts w:ascii="Arial" w:hAnsi="Arial"/>
          <w:outline w:val="0"/>
          <w:color w:val="0563c1"/>
          <w:u w:val="single" w:color="0563c1"/>
          <w:shd w:val="clear" w:color="auto" w:fill="ffffff"/>
          <w:rtl w:val="0"/>
          <w:lang w:val="en-US"/>
          <w14:textFill>
            <w14:solidFill>
              <w14:srgbClr w14:val="0563C1"/>
            </w14:solidFill>
          </w14:textFill>
        </w:rPr>
        <w:t>https://d1wqtxts1xzle7.cloudfront.net/56952142/Stages_of_Moral_Development_According_to_Kohlberg-libre.pdf?1531052031=&amp;response-content-disposition=inline%3B+filename%3DStages_of_Moral_Development_According_to.pdf&amp;Expires=1777313567&amp;Signature=fjjmlfUc8gKoojWPCyUG5qyeDusTuRQDy2emUzA8jHS7iOxlYBPHI3KTMENX~IMHTGjMEFSzs2HiTL6FxRT1FO1248bmjkPAtjUKznwvgkMUR~kR4bIxfb9hywCCwUX~SZBaA0jgJrGZTjoMohP3P~f~14KCkU8MSP727zMlbOTC6WCjkZ~4hj3rWuJWQR7NjqJ-MR5T-2UoFYLBUCqG~oAFrBfn-Eb1VIcwIwt48H01KRarUdbTAgPgkjA5KmKKear3fvhqEzi1RkxWhQ5HqL1YITz~nXv6OJ71oNxnbWnDbTGSIzfBaxh9BHpYgWH4kKezyqUIPocYwTgGV9vijQ__&amp;Key-Pair-Id=APKAJLOHF5GGSLRBV4ZA</w:t>
      </w:r>
      <w:r>
        <w:rPr>
          <w:rFonts w:ascii="Arial" w:cs="Arial" w:hAnsi="Arial" w:eastAsia="Arial"/>
          <w:outline w:val="0"/>
          <w:color w:val="2a3b4d"/>
          <w:shd w:val="clear" w:color="auto" w:fill="ffffff"/>
          <w14:textFill>
            <w14:solidFill>
              <w14:srgbClr w14:val="2A3C4E"/>
            </w14:solidFill>
          </w14:textFill>
        </w:rPr>
        <w:fldChar w:fldCharType="end" w:fldLock="0"/>
      </w:r>
      <w:r>
        <w:rPr>
          <w:rFonts w:ascii="Arial" w:hAnsi="Arial"/>
          <w:outline w:val="0"/>
          <w:color w:val="2a3b4d"/>
          <w:shd w:val="clear" w:color="auto" w:fill="ffffff"/>
          <w:rtl w:val="0"/>
          <w:lang w:val="en-US"/>
          <w14:textFill>
            <w14:solidFill>
              <w14:srgbClr w14:val="2A3C4E"/>
            </w14:solidFill>
          </w14:textFill>
        </w:rPr>
        <w:t>[Accessed 27 Apr. 2026].</w:t>
      </w:r>
    </w:p>
    <w:p>
      <w:pPr>
        <w:pStyle w:val="Default"/>
        <w:spacing w:after="320"/>
        <w:jc w:val="left"/>
        <w:rPr>
          <w:rFonts w:ascii="Arial" w:cs="Arial" w:hAnsi="Arial" w:eastAsia="Arial"/>
          <w:outline w:val="0"/>
          <w:color w:val="000000"/>
          <w:shd w:val="clear" w:color="auto" w:fill="ffffff"/>
          <w14:textFill>
            <w14:solidFill>
              <w14:srgbClr w14:val="000000"/>
            </w14:solidFill>
          </w14:textFill>
        </w:rPr>
      </w:pPr>
      <w:r>
        <w:rPr>
          <w:rFonts w:ascii="Arial" w:hAnsi="Arial"/>
          <w:outline w:val="0"/>
          <w:color w:val="2a3b4d"/>
          <w:shd w:val="clear" w:color="auto" w:fill="ffffff"/>
          <w:rtl w:val="0"/>
          <w:lang w:val="en-US"/>
          <w14:textFill>
            <w14:solidFill>
              <w14:srgbClr w14:val="2A3C4E"/>
            </w14:solidFill>
          </w14:textFill>
        </w:rPr>
        <w:t xml:space="preserve">Mayeroff, M. (1990). On Caring. Re-issue ed. [online] HarperPerennial. Available at: </w: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begin" w:fldLock="0"/>
      </w:r>
      <w:r>
        <w:rPr>
          <w:rStyle w:val="Hyperlink.0"/>
          <w:rFonts w:ascii="Arial" w:cs="Arial" w:hAnsi="Arial" w:eastAsia="Arial"/>
          <w:outline w:val="0"/>
          <w:color w:val="0563c1"/>
          <w:u w:val="single" w:color="0563c1"/>
          <w:shd w:val="clear" w:color="auto" w:fill="ffffff"/>
          <w14:textFill>
            <w14:solidFill>
              <w14:srgbClr w14:val="0563C1"/>
            </w14:solidFill>
          </w14:textFill>
        </w:rPr>
        <w:instrText xml:space="preserve"> HYPERLINK "https://share.google/0Fn3zji4qiCgE4X6E"</w:instrTex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separate" w:fldLock="0"/>
      </w:r>
      <w:r>
        <w:rPr>
          <w:rStyle w:val="Hyperlink.0"/>
          <w:rFonts w:ascii="Arial" w:hAnsi="Arial"/>
          <w:outline w:val="0"/>
          <w:color w:val="0563c1"/>
          <w:u w:val="single" w:color="0563c1"/>
          <w:shd w:val="clear" w:color="auto" w:fill="ffffff"/>
          <w:rtl w:val="0"/>
          <w:lang w:val="it-IT"/>
          <w14:textFill>
            <w14:solidFill>
              <w14:srgbClr w14:val="0563C1"/>
            </w14:solidFill>
          </w14:textFill>
        </w:rPr>
        <w:t>https://share.google/0Fn3zji4qiCgE4X6E</w:t>
      </w:r>
      <w:r>
        <w:rPr>
          <w:rFonts w:ascii="Arial" w:cs="Arial" w:hAnsi="Arial" w:eastAsia="Arial"/>
          <w:outline w:val="0"/>
          <w:color w:val="2a3b4d"/>
          <w:shd w:val="clear" w:color="auto" w:fill="ffffff"/>
          <w14:textFill>
            <w14:solidFill>
              <w14:srgbClr w14:val="2A3C4E"/>
            </w14:solidFill>
          </w14:textFill>
        </w:rPr>
        <w:fldChar w:fldCharType="end" w:fldLock="0"/>
      </w:r>
      <w:r>
        <w:rPr>
          <w:rFonts w:ascii="Arial" w:hAnsi="Arial"/>
          <w:outline w:val="0"/>
          <w:color w:val="2a3b4d"/>
          <w:shd w:val="clear" w:color="auto" w:fill="ffffff"/>
          <w:rtl w:val="0"/>
          <w:lang w:val="en-US"/>
          <w14:textFill>
            <w14:solidFill>
              <w14:srgbClr w14:val="2A3C4E"/>
            </w14:solidFill>
          </w14:textFill>
        </w:rPr>
        <w:t>[Accessed 28 Apr. 2026].</w:t>
      </w:r>
    </w:p>
    <w:p>
      <w:pPr>
        <w:pStyle w:val="Default"/>
        <w:spacing w:after="320"/>
        <w:jc w:val="left"/>
        <w:rPr>
          <w:rFonts w:ascii="Arial" w:cs="Arial" w:hAnsi="Arial" w:eastAsia="Arial"/>
          <w:outline w:val="0"/>
          <w:color w:val="000000"/>
          <w:shd w:val="clear" w:color="auto" w:fill="ffffff"/>
          <w14:textFill>
            <w14:solidFill>
              <w14:srgbClr w14:val="000000"/>
            </w14:solidFill>
          </w14:textFill>
        </w:rPr>
      </w:pPr>
      <w:r>
        <w:rPr>
          <w:rFonts w:ascii="Arial" w:hAnsi="Arial"/>
          <w:outline w:val="0"/>
          <w:color w:val="2a3b4d"/>
          <w:shd w:val="clear" w:color="auto" w:fill="ffffff"/>
          <w:rtl w:val="0"/>
          <w14:textFill>
            <w14:solidFill>
              <w14:srgbClr w14:val="2A3C4E"/>
            </w14:solidFill>
          </w14:textFill>
        </w:rPr>
        <w:t xml:space="preserve">NHS England (2013). </w:t>
      </w:r>
      <w:r>
        <w:rPr>
          <w:rFonts w:ascii="Arial" w:hAnsi="Arial"/>
          <w:i w:val="1"/>
          <w:iCs w:val="1"/>
          <w:outline w:val="0"/>
          <w:color w:val="2a3b4d"/>
          <w:shd w:val="clear" w:color="auto" w:fill="ffffff"/>
          <w:rtl w:val="0"/>
          <w:lang w:val="en-US"/>
          <w14:textFill>
            <w14:solidFill>
              <w14:srgbClr w14:val="2A3C4E"/>
            </w14:solidFill>
          </w14:textFill>
        </w:rPr>
        <w:t>Commissioning Policy: Ethical framework for priority setting and resource allocation</w:t>
      </w:r>
      <w:r>
        <w:rPr>
          <w:rFonts w:ascii="Arial" w:hAnsi="Arial"/>
          <w:outline w:val="0"/>
          <w:color w:val="2a3b4d"/>
          <w:shd w:val="clear" w:color="auto" w:fill="ffffff"/>
          <w:rtl w:val="0"/>
          <w:lang w:val="en-US"/>
          <w14:textFill>
            <w14:solidFill>
              <w14:srgbClr w14:val="2A3C4E"/>
            </w14:solidFill>
          </w14:textFill>
        </w:rPr>
        <w:t xml:space="preserve">. [online] Available at: </w: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begin" w:fldLock="0"/>
      </w:r>
      <w:r>
        <w:rPr>
          <w:rStyle w:val="Hyperlink.0"/>
          <w:rFonts w:ascii="Arial" w:cs="Arial" w:hAnsi="Arial" w:eastAsia="Arial"/>
          <w:outline w:val="0"/>
          <w:color w:val="0563c1"/>
          <w:u w:val="single" w:color="0563c1"/>
          <w:shd w:val="clear" w:color="auto" w:fill="ffffff"/>
          <w14:textFill>
            <w14:solidFill>
              <w14:srgbClr w14:val="0563C1"/>
            </w14:solidFill>
          </w14:textFill>
        </w:rPr>
        <w:instrText xml:space="preserve"> HYPERLINK "https://www.england.nhs.uk/wp-content/uploads/2013/04/cp-01.pdf"</w:instrTex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separate" w:fldLock="0"/>
      </w:r>
      <w:r>
        <w:rPr>
          <w:rStyle w:val="Hyperlink.0"/>
          <w:rFonts w:ascii="Arial" w:hAnsi="Arial"/>
          <w:outline w:val="0"/>
          <w:color w:val="0563c1"/>
          <w:u w:val="single" w:color="0563c1"/>
          <w:shd w:val="clear" w:color="auto" w:fill="ffffff"/>
          <w:rtl w:val="0"/>
          <w:lang w:val="en-US"/>
          <w14:textFill>
            <w14:solidFill>
              <w14:srgbClr w14:val="0563C1"/>
            </w14:solidFill>
          </w14:textFill>
        </w:rPr>
        <w:t>https://www.england.nhs.uk/wp-content/uploads/2013/04/cp-01.pdf</w:t>
      </w:r>
      <w:r>
        <w:rPr>
          <w:rFonts w:ascii="Arial" w:cs="Arial" w:hAnsi="Arial" w:eastAsia="Arial"/>
          <w:outline w:val="0"/>
          <w:color w:val="2a3b4d"/>
          <w:shd w:val="clear" w:color="auto" w:fill="ffffff"/>
          <w14:textFill>
            <w14:solidFill>
              <w14:srgbClr w14:val="2A3C4E"/>
            </w14:solidFill>
          </w14:textFill>
        </w:rPr>
        <w:fldChar w:fldCharType="end" w:fldLock="0"/>
      </w:r>
    </w:p>
    <w:p>
      <w:pPr>
        <w:pStyle w:val="Default"/>
        <w:spacing w:after="320"/>
        <w:jc w:val="left"/>
        <w:rPr>
          <w:rFonts w:ascii="Arial" w:cs="Arial" w:hAnsi="Arial" w:eastAsia="Arial"/>
          <w:outline w:val="0"/>
          <w:color w:val="000000"/>
          <w:shd w:val="clear" w:color="auto" w:fill="ffffff"/>
          <w14:textFill>
            <w14:solidFill>
              <w14:srgbClr w14:val="000000"/>
            </w14:solidFill>
          </w14:textFill>
        </w:rPr>
      </w:pPr>
      <w:r>
        <w:rPr>
          <w:rFonts w:ascii="Arial" w:hAnsi="Arial"/>
          <w:outline w:val="0"/>
          <w:color w:val="2a3b4d"/>
          <w:shd w:val="clear" w:color="auto" w:fill="ffffff"/>
          <w:rtl w:val="0"/>
          <w14:textFill>
            <w14:solidFill>
              <w14:srgbClr w14:val="2A3C4E"/>
            </w14:solidFill>
          </w14:textFill>
        </w:rPr>
        <w:t xml:space="preserve">Noddings, N. (2026). </w:t>
      </w:r>
      <w:r>
        <w:rPr>
          <w:rFonts w:ascii="Arial" w:hAnsi="Arial"/>
          <w:i w:val="1"/>
          <w:iCs w:val="1"/>
          <w:outline w:val="0"/>
          <w:color w:val="2a3b4d"/>
          <w:shd w:val="clear" w:color="auto" w:fill="ffffff"/>
          <w:rtl w:val="0"/>
          <w:lang w:val="en-US"/>
          <w14:textFill>
            <w14:solidFill>
              <w14:srgbClr w14:val="2A3C4E"/>
            </w14:solidFill>
          </w14:textFill>
        </w:rPr>
        <w:t>Caring: A Feminine Approach to Ethics &amp; Moral Education</w:t>
      </w:r>
      <w:r>
        <w:rPr>
          <w:rFonts w:ascii="Arial" w:hAnsi="Arial"/>
          <w:outline w:val="0"/>
          <w:color w:val="2a3b4d"/>
          <w:shd w:val="clear" w:color="auto" w:fill="ffffff"/>
          <w:rtl w:val="0"/>
          <w:lang w:val="en-US"/>
          <w14:textFill>
            <w14:solidFill>
              <w14:srgbClr w14:val="2A3C4E"/>
            </w14:solidFill>
          </w14:textFill>
        </w:rPr>
        <w:t>. Berkeley, California: University of California Press.</w:t>
      </w:r>
    </w:p>
    <w:p>
      <w:pPr>
        <w:pStyle w:val="Default"/>
        <w:spacing w:after="320"/>
        <w:jc w:val="left"/>
        <w:rPr>
          <w:rFonts w:ascii="Arial" w:cs="Arial" w:hAnsi="Arial" w:eastAsia="Arial"/>
          <w:outline w:val="0"/>
          <w:color w:val="000000"/>
          <w:shd w:val="clear" w:color="auto" w:fill="ffffff"/>
          <w14:textFill>
            <w14:solidFill>
              <w14:srgbClr w14:val="000000"/>
            </w14:solidFill>
          </w14:textFill>
        </w:rPr>
      </w:pPr>
      <w:r>
        <w:rPr>
          <w:rFonts w:ascii="Arial" w:hAnsi="Arial"/>
          <w:outline w:val="0"/>
          <w:color w:val="2a3b4d"/>
          <w:shd w:val="clear" w:color="auto" w:fill="ffffff"/>
          <w:rtl w:val="0"/>
          <w:lang w:val="en-US"/>
          <w14:textFill>
            <w14:solidFill>
              <w14:srgbClr w14:val="2A3C4E"/>
            </w14:solidFill>
          </w14:textFill>
        </w:rPr>
        <w:t xml:space="preserve">Social Care Institute for Excellence (2024). </w:t>
      </w:r>
      <w:r>
        <w:rPr>
          <w:rFonts w:ascii="Arial" w:hAnsi="Arial"/>
          <w:i w:val="1"/>
          <w:iCs w:val="1"/>
          <w:outline w:val="0"/>
          <w:color w:val="2a3b4d"/>
          <w:shd w:val="clear" w:color="auto" w:fill="ffffff"/>
          <w:rtl w:val="0"/>
          <w:lang w:val="en-US"/>
          <w14:textFill>
            <w14:solidFill>
              <w14:srgbClr w14:val="2A3C4E"/>
            </w14:solidFill>
          </w14:textFill>
        </w:rPr>
        <w:t>MCA: Care planning, liberty and autonomy</w:t>
      </w:r>
      <w:r>
        <w:rPr>
          <w:rFonts w:ascii="Arial" w:hAnsi="Arial"/>
          <w:outline w:val="0"/>
          <w:color w:val="2a3b4d"/>
          <w:shd w:val="clear" w:color="auto" w:fill="ffffff"/>
          <w:rtl w:val="0"/>
          <w:lang w:val="en-US"/>
          <w14:textFill>
            <w14:solidFill>
              <w14:srgbClr w14:val="2A3C4E"/>
            </w14:solidFill>
          </w14:textFill>
        </w:rPr>
        <w:t xml:space="preserve">. [online] SCIE. Available at: </w: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begin" w:fldLock="0"/>
      </w:r>
      <w:r>
        <w:rPr>
          <w:rStyle w:val="Hyperlink.0"/>
          <w:rFonts w:ascii="Arial" w:cs="Arial" w:hAnsi="Arial" w:eastAsia="Arial"/>
          <w:outline w:val="0"/>
          <w:color w:val="0563c1"/>
          <w:u w:val="single" w:color="0563c1"/>
          <w:shd w:val="clear" w:color="auto" w:fill="ffffff"/>
          <w14:textFill>
            <w14:solidFill>
              <w14:srgbClr w14:val="0563C1"/>
            </w14:solidFill>
          </w14:textFill>
        </w:rPr>
        <w:instrText xml:space="preserve"> HYPERLINK "https://www.scie.org.uk/mca/practice/care-planning/liberty-autonomy/"</w:instrTex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separate" w:fldLock="0"/>
      </w:r>
      <w:r>
        <w:rPr>
          <w:rStyle w:val="Hyperlink.0"/>
          <w:rFonts w:ascii="Arial" w:hAnsi="Arial"/>
          <w:outline w:val="0"/>
          <w:color w:val="0563c1"/>
          <w:u w:val="single" w:color="0563c1"/>
          <w:shd w:val="clear" w:color="auto" w:fill="ffffff"/>
          <w:rtl w:val="0"/>
          <w:lang w:val="en-US"/>
          <w14:textFill>
            <w14:solidFill>
              <w14:srgbClr w14:val="0563C1"/>
            </w14:solidFill>
          </w14:textFill>
        </w:rPr>
        <w:t>https://www.scie.org.uk/mca/practice/care-planning/liberty-autonomy/</w:t>
      </w:r>
      <w:r>
        <w:rPr>
          <w:rFonts w:ascii="Arial" w:cs="Arial" w:hAnsi="Arial" w:eastAsia="Arial"/>
          <w:outline w:val="0"/>
          <w:color w:val="2a3b4d"/>
          <w:shd w:val="clear" w:color="auto" w:fill="ffffff"/>
          <w14:textFill>
            <w14:solidFill>
              <w14:srgbClr w14:val="2A3C4E"/>
            </w14:solidFill>
          </w14:textFill>
        </w:rPr>
        <w:fldChar w:fldCharType="end" w:fldLock="0"/>
      </w:r>
      <w:r>
        <w:rPr>
          <w:rFonts w:ascii="Arial" w:hAnsi="Arial"/>
          <w:outline w:val="0"/>
          <w:color w:val="2a3b4d"/>
          <w:shd w:val="clear" w:color="auto" w:fill="ffffff"/>
          <w:rtl w:val="0"/>
          <w:lang w:val="en-US"/>
          <w14:textFill>
            <w14:solidFill>
              <w14:srgbClr w14:val="2A3C4E"/>
            </w14:solidFill>
          </w14:textFill>
        </w:rPr>
        <w:t>[Accessed 28 Apr. 2026].</w:t>
      </w:r>
    </w:p>
    <w:p>
      <w:pPr>
        <w:pStyle w:val="Default"/>
        <w:spacing w:after="320"/>
        <w:jc w:val="left"/>
      </w:pPr>
      <w:r>
        <w:rPr>
          <w:rFonts w:ascii="Arial" w:hAnsi="Arial"/>
          <w:outline w:val="0"/>
          <w:color w:val="2a3b4d"/>
          <w:shd w:val="clear" w:color="auto" w:fill="ffffff"/>
          <w:rtl w:val="0"/>
          <w:lang w:val="en-US"/>
          <w14:textFill>
            <w14:solidFill>
              <w14:srgbClr w14:val="2A3C4E"/>
            </w14:solidFill>
          </w14:textFill>
        </w:rPr>
        <w:t xml:space="preserve">Wiley, L.F., Yearby, R., Clark, B.R. and Mohapatra, S. (2022). INTRODUCTION: What Is Health Justice? </w:t>
      </w:r>
      <w:r>
        <w:rPr>
          <w:rFonts w:ascii="Arial" w:hAnsi="Arial"/>
          <w:i w:val="1"/>
          <w:iCs w:val="1"/>
          <w:outline w:val="0"/>
          <w:color w:val="2a3b4d"/>
          <w:shd w:val="clear" w:color="auto" w:fill="ffffff"/>
          <w:rtl w:val="0"/>
          <w:lang w:val="en-US"/>
          <w14:textFill>
            <w14:solidFill>
              <w14:srgbClr w14:val="2A3C4E"/>
            </w14:solidFill>
          </w14:textFill>
        </w:rPr>
        <w:t>Journal of Law, Medicine &amp; Ethics</w:t>
      </w:r>
      <w:r>
        <w:rPr>
          <w:rFonts w:ascii="Arial" w:hAnsi="Arial"/>
          <w:outline w:val="0"/>
          <w:color w:val="2a3b4d"/>
          <w:shd w:val="clear" w:color="auto" w:fill="ffffff"/>
          <w:rtl w:val="0"/>
          <w:lang w:val="pt-PT"/>
          <w14:textFill>
            <w14:solidFill>
              <w14:srgbClr w14:val="2A3C4E"/>
            </w14:solidFill>
          </w14:textFill>
        </w:rPr>
        <w:t>, [online] 50(4), pp.636</w:t>
      </w:r>
      <w:r>
        <w:rPr>
          <w:rFonts w:ascii="Arial" w:hAnsi="Arial" w:hint="default"/>
          <w:outline w:val="0"/>
          <w:color w:val="2a3b4d"/>
          <w:shd w:val="clear" w:color="auto" w:fill="ffffff"/>
          <w:rtl w:val="0"/>
          <w14:textFill>
            <w14:solidFill>
              <w14:srgbClr w14:val="2A3C4E"/>
            </w14:solidFill>
          </w14:textFill>
        </w:rPr>
        <w:t>–</w:t>
      </w:r>
      <w:r>
        <w:rPr>
          <w:rFonts w:ascii="Arial" w:hAnsi="Arial"/>
          <w:outline w:val="0"/>
          <w:color w:val="2a3b4d"/>
          <w:shd w:val="clear" w:color="auto" w:fill="ffffff"/>
          <w:rtl w:val="0"/>
          <w:lang w:val="en-US"/>
          <w14:textFill>
            <w14:solidFill>
              <w14:srgbClr w14:val="2A3C4E"/>
            </w14:solidFill>
          </w14:textFill>
        </w:rPr>
        <w:t>640. doi:https://</w: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begin" w:fldLock="0"/>
      </w:r>
      <w:r>
        <w:rPr>
          <w:rStyle w:val="Hyperlink.0"/>
          <w:rFonts w:ascii="Arial" w:cs="Arial" w:hAnsi="Arial" w:eastAsia="Arial"/>
          <w:outline w:val="0"/>
          <w:color w:val="0563c1"/>
          <w:u w:val="single" w:color="0563c1"/>
          <w:shd w:val="clear" w:color="auto" w:fill="ffffff"/>
          <w14:textFill>
            <w14:solidFill>
              <w14:srgbClr w14:val="0563C1"/>
            </w14:solidFill>
          </w14:textFill>
        </w:rPr>
        <w:instrText xml:space="preserve"> HYPERLINK "http://doi.org/10.1017/jme.2023.2"</w:instrText>
      </w:r>
      <w:r>
        <w:rPr>
          <w:rStyle w:val="Hyperlink.0"/>
          <w:rFonts w:ascii="Arial" w:cs="Arial" w:hAnsi="Arial" w:eastAsia="Arial"/>
          <w:outline w:val="0"/>
          <w:color w:val="0563c1"/>
          <w:u w:val="single" w:color="0563c1"/>
          <w:shd w:val="clear" w:color="auto" w:fill="ffffff"/>
          <w14:textFill>
            <w14:solidFill>
              <w14:srgbClr w14:val="0563C1"/>
            </w14:solidFill>
          </w14:textFill>
        </w:rPr>
        <w:fldChar w:fldCharType="separate" w:fldLock="0"/>
      </w:r>
      <w:r>
        <w:rPr>
          <w:rStyle w:val="Hyperlink.0"/>
          <w:rFonts w:ascii="Arial" w:hAnsi="Arial"/>
          <w:outline w:val="0"/>
          <w:color w:val="0563c1"/>
          <w:u w:val="single" w:color="0563c1"/>
          <w:shd w:val="clear" w:color="auto" w:fill="ffffff"/>
          <w:rtl w:val="0"/>
          <w14:textFill>
            <w14:solidFill>
              <w14:srgbClr w14:val="0563C1"/>
            </w14:solidFill>
          </w14:textFill>
        </w:rPr>
        <w:t>doi.org/10.1017/jme.2023.</w:t>
      </w:r>
      <w:r>
        <w:rPr>
          <w:rStyle w:val="Hyperlink.0"/>
          <w:rFonts w:ascii="Arial" w:hAnsi="Arial"/>
          <w:outline w:val="0"/>
          <w:color w:val="0563c1"/>
          <w:u w:val="single" w:color="0563c1"/>
          <w:shd w:val="clear" w:color="auto" w:fill="ffffff"/>
          <w:rtl w:val="0"/>
          <w14:textFill>
            <w14:solidFill>
              <w14:srgbClr w14:val="0563C1"/>
            </w14:solidFill>
          </w14:textFill>
        </w:rPr>
        <w:t>2</w:t>
      </w:r>
      <w:r>
        <w:rPr>
          <w:rFonts w:ascii="Arial" w:cs="Arial" w:hAnsi="Arial" w:eastAsia="Arial"/>
          <w:outline w:val="0"/>
          <w:color w:val="2a3b4d"/>
          <w:shd w:val="clear" w:color="auto" w:fill="ffffff"/>
          <w14:textFill>
            <w14:solidFill>
              <w14:srgbClr w14:val="2A3C4E"/>
            </w14:solidFill>
          </w14:textFill>
        </w:rPr>
        <w:fldChar w:fldCharType="end" w:fldLock="0"/>
      </w:r>
    </w:p>
    <w:sectPr>
      <w:headerReference w:type="default" r:id="rId5"/>
      <w:footerReference w:type="default" r:id="rId6"/>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36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3"/>
      <w:szCs w:val="23"/>
      <w:u w:val="none" w:color="000000"/>
      <w:shd w:val="nil" w:color="auto" w:fill="auto"/>
      <w:vertAlign w:val="baseline"/>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56" w:lineRule="auto"/>
      <w:ind w:left="72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24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outline w:val="0"/>
      <w:color w:val="0563c1"/>
      <w:u w:val="single" w:color="0563c1"/>
      <w14:textFill>
        <w14:solidFill>
          <w14:srgbClr w14:val="0563C1"/>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