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4F34E9" w14:textId="77777777" w:rsidR="00F546A0" w:rsidRPr="00ED1049" w:rsidRDefault="00F546A0" w:rsidP="00F546A0">
      <w:pPr>
        <w:ind w:left="426"/>
        <w:rPr>
          <w:rFonts w:ascii="Arial" w:hAnsi="Arial" w:cs="Arial"/>
        </w:rPr>
      </w:pPr>
    </w:p>
    <w:p w14:paraId="4DADAF74" w14:textId="1C4A4E1A" w:rsidR="00F546A0" w:rsidRPr="00074402" w:rsidRDefault="00F546A0" w:rsidP="00F546A0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509CECD" wp14:editId="3FD2FD40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324719869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223A61" w14:textId="77777777" w:rsidR="009E4615" w:rsidRDefault="009E4615"/>
    <w:p w14:paraId="064CFB36" w14:textId="77777777" w:rsidR="00F546A0" w:rsidRDefault="00F546A0"/>
    <w:p w14:paraId="1599EFB8" w14:textId="77777777" w:rsidR="00F546A0" w:rsidRDefault="00F546A0"/>
    <w:p w14:paraId="621491F0" w14:textId="77777777" w:rsidR="00F546A0" w:rsidRDefault="00F546A0"/>
    <w:p w14:paraId="1EABBA0F" w14:textId="77777777" w:rsidR="00F546A0" w:rsidRDefault="00F546A0"/>
    <w:p w14:paraId="2A0145B5" w14:textId="77777777" w:rsidR="00F546A0" w:rsidRPr="00814A9E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Abosede Dehinbo</w:t>
      </w:r>
    </w:p>
    <w:p w14:paraId="0DDBF8FD" w14:textId="77777777" w:rsidR="00F546A0" w:rsidRPr="00814A9E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2313077</w:t>
      </w:r>
    </w:p>
    <w:p w14:paraId="4AEBB948" w14:textId="77777777" w:rsidR="00F546A0" w:rsidRPr="00814A9E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502FE1E9" w14:textId="77777777" w:rsidR="00F546A0" w:rsidRPr="00814A9E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57FA90EB" w14:textId="77777777" w:rsidR="00F546A0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 BMHP6027_LON</w:t>
      </w:r>
    </w:p>
    <w:p w14:paraId="42966914" w14:textId="77777777" w:rsidR="00F546A0" w:rsidRDefault="00F546A0" w:rsidP="00F546A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</w:t>
      </w:r>
      <w:r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>
        <w:rPr>
          <w:rFonts w:ascii="Arial" w:hAnsi="Arial" w:cs="Arial"/>
          <w:sz w:val="28"/>
          <w:szCs w:val="28"/>
        </w:rPr>
        <w:t>: Dr. Laila Surani</w:t>
      </w:r>
    </w:p>
    <w:p w14:paraId="4A834BD7" w14:textId="77777777" w:rsidR="00F546A0" w:rsidRDefault="00F546A0"/>
    <w:p w14:paraId="4E55A0A1" w14:textId="49DFDE37" w:rsidR="00F546A0" w:rsidRDefault="00F546A0"/>
    <w:p w14:paraId="7A7C5801" w14:textId="2C5CD2E0" w:rsidR="00F546A0" w:rsidRDefault="00F546A0"/>
    <w:p w14:paraId="1A227189" w14:textId="3AA9B91E" w:rsidR="002C4951" w:rsidRDefault="002C4951">
      <w:r w:rsidRPr="002C4951">
        <w:drawing>
          <wp:inline distT="0" distB="0" distL="0" distR="0" wp14:anchorId="1C2F7430" wp14:editId="5A1E3C9E">
            <wp:extent cx="12999412" cy="5823549"/>
            <wp:effectExtent l="0" t="0" r="0" b="6350"/>
            <wp:docPr id="271819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8192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3006038" cy="5826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7D9E2" w14:textId="55ABAA7E" w:rsidR="002C4951" w:rsidRDefault="002C4951">
      <w:r w:rsidRPr="002C4951">
        <w:drawing>
          <wp:inline distT="0" distB="0" distL="0" distR="0" wp14:anchorId="35B8937E" wp14:editId="2F9DD388">
            <wp:extent cx="13678703" cy="5771072"/>
            <wp:effectExtent l="0" t="0" r="0" b="1270"/>
            <wp:docPr id="210667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6744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685456" cy="5773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A3585" w14:textId="77777777" w:rsidR="002C4951" w:rsidRDefault="002C4951" w:rsidP="002C495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5B4293A" w14:textId="77777777" w:rsidR="002C4951" w:rsidRDefault="002C4951" w:rsidP="002C4951">
      <w:pPr>
        <w:rPr>
          <w:rFonts w:ascii="Arial" w:hAnsi="Arial" w:cs="Arial"/>
          <w:b/>
          <w:bCs/>
          <w:sz w:val="28"/>
          <w:szCs w:val="28"/>
        </w:rPr>
      </w:pPr>
    </w:p>
    <w:p w14:paraId="2B9E5DEE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Abdi, S., Spann, A., </w:t>
      </w:r>
      <w:proofErr w:type="spellStart"/>
      <w:r w:rsidRPr="00FC76A1">
        <w:rPr>
          <w:rFonts w:ascii="Arial" w:hAnsi="Arial" w:cs="Arial"/>
          <w:sz w:val="28"/>
          <w:szCs w:val="28"/>
        </w:rPr>
        <w:t>Borilovic</w:t>
      </w:r>
      <w:proofErr w:type="spellEnd"/>
      <w:r w:rsidRPr="00FC76A1">
        <w:rPr>
          <w:rFonts w:ascii="Arial" w:hAnsi="Arial" w:cs="Arial"/>
          <w:sz w:val="28"/>
          <w:szCs w:val="28"/>
        </w:rPr>
        <w:t xml:space="preserve">, J., de Witte, L. and Hawley, M. (2019) Understanding the care and support needs of older people: a scoping review and </w:t>
      </w:r>
      <w:proofErr w:type="spellStart"/>
      <w:r w:rsidRPr="00FC76A1">
        <w:rPr>
          <w:rFonts w:ascii="Arial" w:hAnsi="Arial" w:cs="Arial"/>
          <w:sz w:val="28"/>
          <w:szCs w:val="28"/>
        </w:rPr>
        <w:t>categorisation</w:t>
      </w:r>
      <w:proofErr w:type="spellEnd"/>
      <w:r w:rsidRPr="00FC76A1">
        <w:rPr>
          <w:rFonts w:ascii="Arial" w:hAnsi="Arial" w:cs="Arial"/>
          <w:sz w:val="28"/>
          <w:szCs w:val="28"/>
        </w:rPr>
        <w:t xml:space="preserve"> using the WHO International Classification of Functioning, Disability and Health Framework (ICF)’, </w:t>
      </w:r>
      <w:r w:rsidRPr="00FC76A1">
        <w:rPr>
          <w:rFonts w:ascii="Arial" w:hAnsi="Arial" w:cs="Arial"/>
          <w:i/>
          <w:iCs/>
          <w:sz w:val="28"/>
          <w:szCs w:val="28"/>
        </w:rPr>
        <w:t>BMC Geriatrics</w:t>
      </w:r>
      <w:r w:rsidRPr="00FC76A1">
        <w:rPr>
          <w:rFonts w:ascii="Arial" w:hAnsi="Arial" w:cs="Arial"/>
          <w:sz w:val="28"/>
          <w:szCs w:val="28"/>
        </w:rPr>
        <w:t xml:space="preserve">, 19, p. 195. Available at: </w:t>
      </w:r>
      <w:hyperlink r:id="rId8" w:tgtFrame="_new" w:history="1">
        <w:r w:rsidRPr="00FC76A1">
          <w:rPr>
            <w:rFonts w:ascii="Arial" w:hAnsi="Arial" w:cs="Arial"/>
            <w:color w:val="0000FF"/>
            <w:sz w:val="28"/>
            <w:szCs w:val="28"/>
            <w:u w:val="single"/>
          </w:rPr>
          <w:t>https://doi.org/10.1186/s12877-019-1189-9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75862E5A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Age UK (2024) </w:t>
      </w:r>
      <w:r w:rsidRPr="00FC76A1">
        <w:rPr>
          <w:rFonts w:ascii="Arial" w:hAnsi="Arial" w:cs="Arial"/>
          <w:i/>
          <w:iCs/>
          <w:sz w:val="28"/>
          <w:szCs w:val="28"/>
        </w:rPr>
        <w:t>Later life in the United Kingdom</w:t>
      </w:r>
      <w:r w:rsidRPr="00FC76A1">
        <w:rPr>
          <w:rFonts w:ascii="Arial" w:hAnsi="Arial" w:cs="Arial"/>
          <w:sz w:val="28"/>
          <w:szCs w:val="28"/>
        </w:rPr>
        <w:t xml:space="preserve">. London: Age UK. Available at: </w:t>
      </w:r>
      <w:hyperlink r:id="rId9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https://www.ageuk.org.uk/siteassets/documents/reports-and-publications/later_life_uk_factsheet.pdf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37AD2A0F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Age UK (2024) </w:t>
      </w:r>
      <w:r w:rsidRPr="00FC76A1">
        <w:rPr>
          <w:rFonts w:ascii="Arial" w:hAnsi="Arial" w:cs="Arial"/>
          <w:i/>
          <w:iCs/>
          <w:sz w:val="28"/>
          <w:szCs w:val="28"/>
        </w:rPr>
        <w:t>State of health and care of older people in England 2024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10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https://www.ageuk.org.uk/discover/2024/september/state-of-health-and-care-of-older-people-in-england-2024/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09334291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Baxter, S., Johnson, M., Chambers, D., Sutton, A., Goyder, E. and Booth, A. (2018) The effects of integrated care: a systematic review of UK and international evidence’, </w:t>
      </w:r>
      <w:r w:rsidRPr="00FC76A1">
        <w:rPr>
          <w:rFonts w:ascii="Arial" w:hAnsi="Arial" w:cs="Arial"/>
          <w:i/>
          <w:iCs/>
          <w:sz w:val="28"/>
          <w:szCs w:val="28"/>
        </w:rPr>
        <w:t>BMC Health Services Research</w:t>
      </w:r>
      <w:r w:rsidRPr="00FC76A1">
        <w:rPr>
          <w:rFonts w:ascii="Arial" w:hAnsi="Arial" w:cs="Arial"/>
          <w:sz w:val="28"/>
          <w:szCs w:val="28"/>
        </w:rPr>
        <w:t xml:space="preserve">, 18, article 350. Available at: </w:t>
      </w:r>
      <w:hyperlink r:id="rId11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https://doi.org/10.1186/s12913-018-3161-3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0E8D623C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British Geriatrics Society (2019) </w:t>
      </w:r>
      <w:r w:rsidRPr="00FC76A1">
        <w:rPr>
          <w:rFonts w:ascii="Arial" w:hAnsi="Arial" w:cs="Arial"/>
          <w:i/>
          <w:iCs/>
          <w:sz w:val="28"/>
          <w:szCs w:val="28"/>
        </w:rPr>
        <w:t>8. CGA in primary care settings: care and support planning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12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https://www.bgs.org.uk/8-cga-in-primary-care-settings-care-and-support-planning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60FE5C0E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Care Quality Commission (2025) </w:t>
      </w:r>
      <w:r w:rsidRPr="00FC76A1">
        <w:rPr>
          <w:rFonts w:ascii="Arial" w:hAnsi="Arial" w:cs="Arial"/>
          <w:i/>
          <w:iCs/>
          <w:sz w:val="28"/>
          <w:szCs w:val="28"/>
        </w:rPr>
        <w:t>The state of health care and adult social care in England 2024/25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13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https://www.cqc.org.uk/publications/major-report/state-care/2024-2025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191E7123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Crocker, T.F., Ensor, J., Lam, N., Jordão, M., Bajpai, R., Bond, M., Forster, A., Riley, R.D. and Clegg, A. (2024) ‘Community based complex interventions to sustain independence in older people: systematic review and network meta-analysis’, </w:t>
      </w:r>
      <w:r w:rsidRPr="00FC76A1">
        <w:rPr>
          <w:rFonts w:ascii="Arial" w:hAnsi="Arial" w:cs="Arial"/>
          <w:i/>
          <w:iCs/>
          <w:sz w:val="28"/>
          <w:szCs w:val="28"/>
        </w:rPr>
        <w:t>BMJ</w:t>
      </w:r>
      <w:r w:rsidRPr="00FC76A1">
        <w:rPr>
          <w:rFonts w:ascii="Arial" w:hAnsi="Arial" w:cs="Arial"/>
          <w:sz w:val="28"/>
          <w:szCs w:val="28"/>
        </w:rPr>
        <w:t xml:space="preserve">, 384, e077764. Available at: </w:t>
      </w:r>
      <w:hyperlink r:id="rId14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https://doi.org/10.1136/bmj-2023-077764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3FE6FC58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Department of Health and Social Care (2014) </w:t>
      </w:r>
      <w:r w:rsidRPr="00FC76A1">
        <w:rPr>
          <w:rFonts w:ascii="Arial" w:hAnsi="Arial" w:cs="Arial"/>
          <w:i/>
          <w:iCs/>
          <w:sz w:val="28"/>
          <w:szCs w:val="28"/>
        </w:rPr>
        <w:t>Care Act 2014: statutory guidance</w:t>
      </w:r>
      <w:r w:rsidRPr="00FC76A1">
        <w:rPr>
          <w:rFonts w:ascii="Arial" w:hAnsi="Arial" w:cs="Arial"/>
          <w:sz w:val="28"/>
          <w:szCs w:val="28"/>
        </w:rPr>
        <w:t xml:space="preserve">. London: Department of Health and Social Care. Available at: </w:t>
      </w:r>
      <w:hyperlink r:id="rId15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https://www.gov.uk/government/publications/care-act-statutory-guidance/care-and-support-statutory-guidance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1B6B9164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Hall, A., Davey, V., McGarrigle, L., Astbury, J., Lazo Green, K., Ahmed, N. </w:t>
      </w:r>
      <w:r w:rsidRPr="00FC76A1">
        <w:rPr>
          <w:rFonts w:ascii="Arial" w:hAnsi="Arial" w:cs="Arial"/>
          <w:i/>
          <w:iCs/>
          <w:sz w:val="28"/>
          <w:szCs w:val="28"/>
        </w:rPr>
        <w:t>et al.</w:t>
      </w:r>
      <w:r w:rsidRPr="00FC76A1">
        <w:rPr>
          <w:rFonts w:ascii="Arial" w:hAnsi="Arial" w:cs="Arial"/>
          <w:sz w:val="28"/>
          <w:szCs w:val="28"/>
        </w:rPr>
        <w:t xml:space="preserve"> (2025) </w:t>
      </w:r>
      <w:r w:rsidRPr="00FC76A1">
        <w:rPr>
          <w:rFonts w:ascii="Arial" w:hAnsi="Arial" w:cs="Arial"/>
          <w:i/>
          <w:iCs/>
          <w:sz w:val="28"/>
          <w:szCs w:val="28"/>
        </w:rPr>
        <w:t>OPFPRU HAPRU Homecare Quality Project – Full Report 29.10.24</w:t>
      </w:r>
      <w:r w:rsidRPr="00FC76A1">
        <w:rPr>
          <w:rFonts w:ascii="Arial" w:hAnsi="Arial" w:cs="Arial"/>
          <w:sz w:val="28"/>
          <w:szCs w:val="28"/>
        </w:rPr>
        <w:t xml:space="preserve">. Manchester: University of Manchester. Available at: </w:t>
      </w:r>
      <w:hyperlink r:id="rId16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https://doi.org/10.5281/zenodo.16895867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23 June 2026).</w:t>
      </w:r>
    </w:p>
    <w:p w14:paraId="08B55F81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Husk, K., Elston, J., </w:t>
      </w:r>
      <w:proofErr w:type="spellStart"/>
      <w:r w:rsidRPr="00FC76A1">
        <w:rPr>
          <w:rFonts w:ascii="Arial" w:hAnsi="Arial" w:cs="Arial"/>
          <w:sz w:val="28"/>
          <w:szCs w:val="28"/>
        </w:rPr>
        <w:t>Gradinger</w:t>
      </w:r>
      <w:proofErr w:type="spellEnd"/>
      <w:r w:rsidRPr="00FC76A1">
        <w:rPr>
          <w:rFonts w:ascii="Arial" w:hAnsi="Arial" w:cs="Arial"/>
          <w:sz w:val="28"/>
          <w:szCs w:val="28"/>
        </w:rPr>
        <w:t xml:space="preserve">, F., Callaghan, L. and Asthana, S. (2019) ‘Social prescribing: where is the evidence?’, </w:t>
      </w:r>
      <w:r w:rsidRPr="00FC76A1">
        <w:rPr>
          <w:rFonts w:ascii="Arial" w:hAnsi="Arial" w:cs="Arial"/>
          <w:i/>
          <w:iCs/>
          <w:sz w:val="28"/>
          <w:szCs w:val="28"/>
        </w:rPr>
        <w:t>British Journal of General Practice</w:t>
      </w:r>
      <w:r w:rsidRPr="00FC76A1">
        <w:rPr>
          <w:rFonts w:ascii="Arial" w:hAnsi="Arial" w:cs="Arial"/>
          <w:sz w:val="28"/>
          <w:szCs w:val="28"/>
        </w:rPr>
        <w:t xml:space="preserve">, 69(678), pp. 6–7. Available at: </w:t>
      </w:r>
      <w:hyperlink r:id="rId17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https://doi.org/10.3399/bjgp19X700325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27 June 2026).</w:t>
      </w:r>
    </w:p>
    <w:p w14:paraId="311D97DA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Khan, N., Randhawa, G. and Hewson, D. (2023) ‘Integrated care for older people with different frailty levels: a qualitative study of local implementation of a national policy in Luton, England’, </w:t>
      </w:r>
      <w:r w:rsidRPr="00FC76A1">
        <w:rPr>
          <w:rFonts w:ascii="Arial" w:hAnsi="Arial" w:cs="Arial"/>
          <w:i/>
          <w:iCs/>
          <w:sz w:val="28"/>
          <w:szCs w:val="28"/>
        </w:rPr>
        <w:t>International Journal of Integrated Care</w:t>
      </w:r>
      <w:r w:rsidRPr="00FC76A1">
        <w:rPr>
          <w:rFonts w:ascii="Arial" w:hAnsi="Arial" w:cs="Arial"/>
          <w:sz w:val="28"/>
          <w:szCs w:val="28"/>
        </w:rPr>
        <w:t xml:space="preserve">, 23(1), 15, pp. 1–13. Available at: </w:t>
      </w:r>
      <w:hyperlink r:id="rId18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https://doi.org/10.5334/ijic.6537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575764AE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National Institute for Health and Care Excellence (NICE) (2025) </w:t>
      </w:r>
      <w:r w:rsidRPr="00FC76A1">
        <w:rPr>
          <w:rFonts w:ascii="Arial" w:hAnsi="Arial" w:cs="Arial"/>
          <w:i/>
          <w:iCs/>
          <w:sz w:val="28"/>
          <w:szCs w:val="28"/>
        </w:rPr>
        <w:t>Falls: assessment and prevention in older people and in people 50 and over at higher risk (NG249)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19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https://www.nice.org.uk/guidance/ng249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4EBE42EC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NHS (2022) </w:t>
      </w:r>
      <w:r w:rsidRPr="00FC76A1">
        <w:rPr>
          <w:rFonts w:ascii="Arial" w:hAnsi="Arial" w:cs="Arial"/>
          <w:i/>
          <w:iCs/>
          <w:sz w:val="28"/>
          <w:szCs w:val="28"/>
        </w:rPr>
        <w:t>Loneliness in older people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20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https://www.nhs.uk/mental-health/feelings-symptoms-behaviours/feelings-and-symptoms/loneliness-in-older-people/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741A3E29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Office for National Statistics (2024) </w:t>
      </w:r>
      <w:r w:rsidRPr="00FC76A1">
        <w:rPr>
          <w:rFonts w:ascii="Arial" w:hAnsi="Arial" w:cs="Arial"/>
          <w:i/>
          <w:iCs/>
          <w:sz w:val="28"/>
          <w:szCs w:val="28"/>
        </w:rPr>
        <w:t>Living longer: older people and ageing in the UK</w:t>
      </w:r>
      <w:r w:rsidRPr="00FC76A1">
        <w:rPr>
          <w:rFonts w:ascii="Arial" w:hAnsi="Arial" w:cs="Arial"/>
          <w:sz w:val="28"/>
          <w:szCs w:val="28"/>
        </w:rPr>
        <w:t xml:space="preserve">. Available at: </w:t>
      </w:r>
      <w:hyperlink r:id="rId21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https://www.ons.gov.uk/peoplepopulationandcommunity/birthsdeathsandmarriages/ageing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22 June 2026).</w:t>
      </w:r>
    </w:p>
    <w:p w14:paraId="2DCF9059" w14:textId="77777777" w:rsidR="002C4951" w:rsidRPr="00FC76A1" w:rsidRDefault="002C4951" w:rsidP="002C495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C76A1">
        <w:rPr>
          <w:rFonts w:ascii="Arial" w:hAnsi="Arial" w:cs="Arial"/>
          <w:sz w:val="28"/>
          <w:szCs w:val="28"/>
        </w:rPr>
        <w:t xml:space="preserve">Walters, K., Frost, R., </w:t>
      </w:r>
      <w:proofErr w:type="spellStart"/>
      <w:r w:rsidRPr="00FC76A1">
        <w:rPr>
          <w:rFonts w:ascii="Arial" w:hAnsi="Arial" w:cs="Arial"/>
          <w:sz w:val="28"/>
          <w:szCs w:val="28"/>
        </w:rPr>
        <w:t>Barrado</w:t>
      </w:r>
      <w:proofErr w:type="spellEnd"/>
      <w:r w:rsidRPr="00FC76A1">
        <w:rPr>
          <w:rFonts w:ascii="Arial" w:hAnsi="Arial" w:cs="Arial"/>
          <w:sz w:val="28"/>
          <w:szCs w:val="28"/>
        </w:rPr>
        <w:t xml:space="preserve">-Martín, Y., </w:t>
      </w:r>
      <w:proofErr w:type="spellStart"/>
      <w:r w:rsidRPr="00FC76A1">
        <w:rPr>
          <w:rFonts w:ascii="Arial" w:hAnsi="Arial" w:cs="Arial"/>
          <w:sz w:val="28"/>
          <w:szCs w:val="28"/>
        </w:rPr>
        <w:t>Kalwarowsky</w:t>
      </w:r>
      <w:proofErr w:type="spellEnd"/>
      <w:r w:rsidRPr="00FC76A1">
        <w:rPr>
          <w:rFonts w:ascii="Arial" w:hAnsi="Arial" w:cs="Arial"/>
          <w:sz w:val="28"/>
          <w:szCs w:val="28"/>
        </w:rPr>
        <w:t xml:space="preserve">, S., Marston, L., Pan, S. </w:t>
      </w:r>
      <w:r w:rsidRPr="00FC76A1">
        <w:rPr>
          <w:rFonts w:ascii="Arial" w:hAnsi="Arial" w:cs="Arial"/>
          <w:i/>
          <w:iCs/>
          <w:sz w:val="28"/>
          <w:szCs w:val="28"/>
        </w:rPr>
        <w:t>et al.</w:t>
      </w:r>
      <w:r w:rsidRPr="00FC76A1">
        <w:rPr>
          <w:rFonts w:ascii="Arial" w:hAnsi="Arial" w:cs="Arial"/>
          <w:sz w:val="28"/>
          <w:szCs w:val="28"/>
        </w:rPr>
        <w:t xml:space="preserve"> (2026) ‘Enabling health and maintaining independence for older people at home: the “Home Health” randomised controlled trial’, </w:t>
      </w:r>
      <w:r w:rsidRPr="00FC76A1">
        <w:rPr>
          <w:rFonts w:ascii="Arial" w:hAnsi="Arial" w:cs="Arial"/>
          <w:i/>
          <w:iCs/>
          <w:sz w:val="28"/>
          <w:szCs w:val="28"/>
        </w:rPr>
        <w:t>Health Technology Assessment</w:t>
      </w:r>
      <w:r w:rsidRPr="00FC76A1">
        <w:rPr>
          <w:rFonts w:ascii="Arial" w:hAnsi="Arial" w:cs="Arial"/>
          <w:sz w:val="28"/>
          <w:szCs w:val="28"/>
        </w:rPr>
        <w:t xml:space="preserve">, 30(43), pp. 1–22. Available at: </w:t>
      </w:r>
      <w:hyperlink r:id="rId22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https://doi.org/10.3310/GJKW1909</w:t>
        </w:r>
      </w:hyperlink>
      <w:r w:rsidRPr="00FC76A1">
        <w:rPr>
          <w:rFonts w:ascii="Arial" w:hAnsi="Arial" w:cs="Arial"/>
          <w:sz w:val="28"/>
          <w:szCs w:val="28"/>
        </w:rPr>
        <w:t xml:space="preserve"> (Accessed: 28 June 2026).</w:t>
      </w:r>
    </w:p>
    <w:p w14:paraId="6BB69499" w14:textId="0EE17E14" w:rsidR="002C4951" w:rsidRDefault="002C4951" w:rsidP="002C4951">
      <w:r w:rsidRPr="00C2286B">
        <w:rPr>
          <w:rFonts w:ascii="Arial" w:hAnsi="Arial" w:cs="Arial"/>
          <w:sz w:val="28"/>
          <w:szCs w:val="28"/>
        </w:rPr>
        <w:t xml:space="preserve">World Health Organisation (2024) </w:t>
      </w:r>
      <w:r w:rsidRPr="00C2286B">
        <w:rPr>
          <w:rFonts w:ascii="Arial" w:hAnsi="Arial" w:cs="Arial"/>
          <w:i/>
          <w:iCs/>
          <w:sz w:val="28"/>
          <w:szCs w:val="28"/>
        </w:rPr>
        <w:t>Ageing and health</w:t>
      </w:r>
      <w:r w:rsidRPr="00C2286B">
        <w:rPr>
          <w:rFonts w:ascii="Arial" w:hAnsi="Arial" w:cs="Arial"/>
          <w:sz w:val="28"/>
          <w:szCs w:val="28"/>
        </w:rPr>
        <w:t>. Available at</w:t>
      </w:r>
      <w:r w:rsidRPr="00FC76A1">
        <w:rPr>
          <w:rFonts w:ascii="Arial" w:hAnsi="Arial" w:cs="Arial"/>
          <w:sz w:val="28"/>
          <w:szCs w:val="28"/>
          <w:u w:val="single"/>
        </w:rPr>
        <w:t xml:space="preserve">: </w:t>
      </w:r>
      <w:hyperlink r:id="rId23" w:tgtFrame="_new" w:history="1">
        <w:r w:rsidRPr="00FC76A1">
          <w:rPr>
            <w:rStyle w:val="Hyperlink"/>
            <w:rFonts w:ascii="Arial" w:hAnsi="Arial" w:cs="Arial"/>
            <w:sz w:val="28"/>
            <w:szCs w:val="28"/>
          </w:rPr>
          <w:t>https://www.who.int/news-room/fact-sheets/detail/ageing-and-health</w:t>
        </w:r>
      </w:hyperlink>
      <w:r w:rsidRPr="00FC76A1">
        <w:rPr>
          <w:rFonts w:ascii="Arial" w:hAnsi="Arial" w:cs="Arial"/>
          <w:sz w:val="28"/>
          <w:szCs w:val="28"/>
          <w:u w:val="single"/>
        </w:rPr>
        <w:t xml:space="preserve"> </w:t>
      </w:r>
      <w:r w:rsidRPr="00C2286B">
        <w:rPr>
          <w:rFonts w:ascii="Arial" w:hAnsi="Arial" w:cs="Arial"/>
          <w:sz w:val="28"/>
          <w:szCs w:val="28"/>
        </w:rPr>
        <w:t>(Accessed: 22 June 2026).</w:t>
      </w:r>
      <w:r w:rsidRPr="00FC76A1">
        <w:rPr>
          <w:rFonts w:ascii="Arial" w:hAnsi="Arial" w:cs="Arial"/>
          <w:sz w:val="28"/>
          <w:szCs w:val="28"/>
          <w:u w:val="single"/>
        </w:rPr>
        <w:t xml:space="preserve">  </w:t>
      </w:r>
    </w:p>
    <w:p w14:paraId="53F6D326" w14:textId="77777777" w:rsidR="002C4951" w:rsidRDefault="002C4951"/>
    <w:sectPr w:rsidR="002C4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6A0"/>
    <w:rsid w:val="002C4951"/>
    <w:rsid w:val="009E4615"/>
    <w:rsid w:val="00B85CB5"/>
    <w:rsid w:val="00F54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B50D3"/>
  <w15:chartTrackingRefBased/>
  <w15:docId w15:val="{1FD054A2-4FB8-42CE-8986-938A7DC6F8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46A0"/>
    <w:pPr>
      <w:spacing w:after="220" w:line="240" w:lineRule="auto"/>
    </w:pPr>
    <w:rPr>
      <w:rFonts w:ascii="Century Schoolbook" w:eastAsia="Century Schoolbook" w:hAnsi="Century Schoolbook" w:cs="Times New Roman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46A0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46A0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46A0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2F5496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46A0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kern w:val="2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46A0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kern w:val="2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46A0"/>
    <w:pPr>
      <w:keepNext/>
      <w:keepLines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46A0"/>
    <w:pPr>
      <w:keepNext/>
      <w:keepLines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46A0"/>
    <w:pPr>
      <w:keepNext/>
      <w:keepLines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46A0"/>
    <w:pPr>
      <w:keepNext/>
      <w:keepLines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46A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46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46A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46A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46A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46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46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46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46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46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546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46A0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546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46A0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546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46A0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546A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46A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2F5496" w:themeColor="accent1" w:themeShade="BF"/>
      <w:kern w:val="2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46A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46A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uiPriority w:val="99"/>
    <w:unhideWhenUsed/>
    <w:rsid w:val="002C49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877-019-1189-9" TargetMode="External"/><Relationship Id="rId13" Type="http://schemas.openxmlformats.org/officeDocument/2006/relationships/hyperlink" Target="https://www.cqc.org.uk/publications/major-report/state-care/2024-2025" TargetMode="External"/><Relationship Id="rId18" Type="http://schemas.openxmlformats.org/officeDocument/2006/relationships/hyperlink" Target="https://doi.org/10.5334/ijic.653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ns.gov.uk/peoplepopulationandcommunity/birthsdeathsandmarriages/ageing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www.bgs.org.uk/8-cga-in-primary-care-settings-care-and-support-planning" TargetMode="External"/><Relationship Id="rId17" Type="http://schemas.openxmlformats.org/officeDocument/2006/relationships/hyperlink" Target="https://doi.org/10.3399/bjgp19X700325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oi.org/10.5281/zenodo.16895867" TargetMode="External"/><Relationship Id="rId20" Type="http://schemas.openxmlformats.org/officeDocument/2006/relationships/hyperlink" Target="https://www.nhs.uk/mental-health/feelings-symptoms-behaviours/feelings-and-symptoms/loneliness-in-older-people/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doi.org/10.1186/s12913-018-3161-3" TargetMode="External"/><Relationship Id="rId24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15" Type="http://schemas.openxmlformats.org/officeDocument/2006/relationships/hyperlink" Target="https://www.gov.uk/government/publications/care-act-statutory-guidance/care-and-support-statutory-guidance" TargetMode="External"/><Relationship Id="rId23" Type="http://schemas.openxmlformats.org/officeDocument/2006/relationships/hyperlink" Target="https://www.who.int/news-room/fact-sheets/detail/ageing-and-health" TargetMode="External"/><Relationship Id="rId10" Type="http://schemas.openxmlformats.org/officeDocument/2006/relationships/hyperlink" Target="https://www.ageuk.org.uk/discover/2024/september/state-of-health-and-care-of-older-people-in-england-2024/?utm_source=chatgpt.com" TargetMode="External"/><Relationship Id="rId19" Type="http://schemas.openxmlformats.org/officeDocument/2006/relationships/hyperlink" Target="https://www.nice.org.uk/guidance/ng249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ageuk.org.uk/siteassets/documents/reports-and-publications/later_life_uk_factsheet.pdf" TargetMode="External"/><Relationship Id="rId14" Type="http://schemas.openxmlformats.org/officeDocument/2006/relationships/hyperlink" Target="https://doi.org/10.1136/bmj-2023-077764" TargetMode="External"/><Relationship Id="rId22" Type="http://schemas.openxmlformats.org/officeDocument/2006/relationships/hyperlink" Target="https://doi.org/10.3310/GJKW19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860</Words>
  <Characters>4904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dehinbo</dc:creator>
  <cp:keywords/>
  <dc:description/>
  <cp:lastModifiedBy>abosede dehinbo</cp:lastModifiedBy>
  <cp:revision>1</cp:revision>
  <dcterms:created xsi:type="dcterms:W3CDTF">2026-07-16T20:53:00Z</dcterms:created>
  <dcterms:modified xsi:type="dcterms:W3CDTF">2026-07-16T21:14:00Z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2a2321aa-7b26-4f91-b10c-d346165f18a7</vt:lpwstr>
  </property>
</Properties>
</file>