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ECAE02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4A81">
              <w:rPr>
                <w:rFonts w:ascii="Times New Roman" w:hAnsi="Times New Roman" w:cs="Times New Roman"/>
                <w:b/>
                <w:color w:val="auto"/>
                <w:sz w:val="48"/>
              </w:rPr>
              <w:t>Kayleigh Goodall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BD8F3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194A81">
              <w:rPr>
                <w:rFonts w:ascii="Times New Roman" w:hAnsi="Times New Roman" w:cs="Times New Roman"/>
                <w:b/>
                <w:color w:val="auto"/>
                <w:sz w:val="48"/>
              </w:rPr>
              <w:t>kgoodall@carmarthensh</w:t>
            </w:r>
            <w:r w:rsidR="00DB2E4F">
              <w:rPr>
                <w:rFonts w:ascii="Times New Roman" w:hAnsi="Times New Roman" w:cs="Times New Roman"/>
                <w:b/>
                <w:color w:val="auto"/>
                <w:sz w:val="48"/>
              </w:rPr>
              <w:t>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A692D7B" w14:textId="77777777" w:rsidR="00001D6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6A0D46FC" w:rsidR="00F927A1" w:rsidRPr="005D3F07" w:rsidRDefault="00001D6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1050914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070A358F" w14:textId="77777777" w:rsidR="006B23B1" w:rsidRPr="002D22FD" w:rsidRDefault="006B23B1" w:rsidP="006B23B1">
      <w:pPr>
        <w:spacing w:line="360" w:lineRule="auto"/>
      </w:pPr>
      <w:r w:rsidRPr="002D22FD">
        <w:t>Safeguarding adults at risk in Wales is a complex and evolving area of social care practice that requires a combination of legal knowledge, professional standards, and collaborative multi-agency work. The safeguarding framework in Wales emphasises wellbeing, prevention, early intervention, and empowerment, recognising that adults at risk are often vulnerable due to cognitive, physical, or social factors (Brammer &amp; Pritchard</w:t>
      </w:r>
      <w:r w:rsidRPr="002D22FD">
        <w:noBreakHyphen/>
        <w:t>Jones, 2019). Effective safeguarding requires practitioners to work across disciplines, bringing together expertise from social work, health, regulatory bodies, the police, and family networks. This multidisciplinary approach ensures that decisions are informed by diverse perspectives and that interventions are proportionate, rights-based, and evidence-informed (Welsh Government, 2019; Munro, 2011).</w:t>
      </w:r>
    </w:p>
    <w:p w14:paraId="2DB55264" w14:textId="77777777" w:rsidR="006B23B1" w:rsidRPr="002D22FD" w:rsidRDefault="006B23B1" w:rsidP="006B23B1">
      <w:pPr>
        <w:spacing w:line="360" w:lineRule="auto"/>
      </w:pPr>
      <w:r w:rsidRPr="002D22FD">
        <w:t>Within my essay, I will critically examine my involvement in a safeguarding enquiry concerning an adult at risk living in a care home in Wales.</w:t>
      </w:r>
    </w:p>
    <w:p w14:paraId="20269CF3" w14:textId="77777777" w:rsidR="006B23B1" w:rsidRPr="002D22FD" w:rsidRDefault="006B23B1" w:rsidP="006B23B1">
      <w:pPr>
        <w:spacing w:line="360" w:lineRule="auto"/>
      </w:pPr>
      <w:r w:rsidRPr="002D22FD">
        <w:lastRenderedPageBreak/>
        <w:t xml:space="preserve">This essay investigates safeguarding issues from a UK legislative perspective while also considering the influence of European Union frameworks. Key legislation includes the Social Services and Well-being (Wales) Act 2014 (SSWB(W)A 2014), the Mental Capacity Act 2005 (MCA 2005), the Equality Act 2010 (EA 2010), the Human Rights Act 1998 (HRA 1998), and the European Convention on Human Rights 1950 (ECHR 1950). Additional guidance documents include the Wales Safeguarding Procedures 2019 (WSP 2019) (Wales Safeguarding Boards, 2019), Working Together to Safeguard People: Code of Safeguarding Practice 2022 (WTSP 2022) (Social Care Wales, 2022), and the Code of Professional Practice </w:t>
      </w:r>
      <w:r>
        <w:t>(</w:t>
      </w:r>
      <w:r w:rsidRPr="002D22FD">
        <w:t>2017</w:t>
      </w:r>
      <w:r>
        <w:t>)</w:t>
      </w:r>
      <w:r w:rsidRPr="002D22FD">
        <w:t>, which directs social work practice in Wales (Social Care Wales, 2017). These frameworks provide the statutory and procedural foundation for identifying, assessing, and managing risk, while emphasising collaborative decision-making and professional accountability and judgement (Cree, 2010).</w:t>
      </w:r>
    </w:p>
    <w:p w14:paraId="045FC8DC" w14:textId="77777777" w:rsidR="006B23B1" w:rsidRPr="002D22FD" w:rsidRDefault="006B23B1" w:rsidP="006B23B1">
      <w:pPr>
        <w:spacing w:line="360" w:lineRule="auto"/>
      </w:pPr>
      <w:r w:rsidRPr="002D22FD">
        <w:t>Theoretical perspectives I felt that are relevant to analyse the case study is the Person-Centred Theory, this gives emphasise on the importance of considering the individual’s wishes, feelings, and experiences, even when they lack full capacity (Rogers, 1961). This approach ensures that safeguarding interventions respect the adult’s dignity and autonomy, prioritising their voice in decisions about their care and protection. Complementing this, Systems Theory highlights how different parts of a system, such as family, carers, social services, healthcare professionals, and regulatory frameworks like the Deprivation of Liberty Safeguards (</w:t>
      </w:r>
      <w:proofErr w:type="spellStart"/>
      <w:r w:rsidRPr="002D22FD">
        <w:t>DoLS</w:t>
      </w:r>
      <w:proofErr w:type="spellEnd"/>
      <w:r w:rsidRPr="002D22FD">
        <w:t>) and MCA 2005, interact and influence outcomes for the adult (</w:t>
      </w:r>
      <w:r>
        <w:t>V</w:t>
      </w:r>
      <w:r w:rsidRPr="002D22FD">
        <w:t xml:space="preserve">on Bertalanffy, 1968). By applying this theory, social workers can understand the complex interactions and dependencies within the safeguarding system, demonstrating why multi-agency collaboration is essential when reporting concerns and implementing protective measures. Together, these theories provide a balanced framework that integrates the adult’s personal needs with the broader systemic structures required to keep them safe. </w:t>
      </w:r>
    </w:p>
    <w:p w14:paraId="69A94456" w14:textId="77777777" w:rsidR="006B23B1" w:rsidRPr="002D22FD" w:rsidRDefault="006B23B1" w:rsidP="006B23B1">
      <w:pPr>
        <w:spacing w:line="360" w:lineRule="auto"/>
      </w:pPr>
      <w:r w:rsidRPr="002D22FD">
        <w:t xml:space="preserve">This case took place whilst my time working in a Local authority for a community team for Adults with Learning Disabilities within social services. The individual will be referred to as ‘2’ to preserve confidentiality throughout this essay. 2 is a 46-year-old man with a moderate learning disability and dementia diagnosis who is subject to a </w:t>
      </w:r>
      <w:proofErr w:type="spellStart"/>
      <w:r w:rsidRPr="002D22FD">
        <w:t>DoLS</w:t>
      </w:r>
      <w:proofErr w:type="spellEnd"/>
      <w:r w:rsidRPr="002D22FD">
        <w:t xml:space="preserve"> in line with the legal framework Deprivation of Liberty Safeguards </w:t>
      </w:r>
      <w:r>
        <w:t>under the MCA,</w:t>
      </w:r>
      <w:r w:rsidRPr="002D22FD">
        <w:t xml:space="preserve"> 2005, as amended by the Mental Health Act </w:t>
      </w:r>
      <w:r>
        <w:t>(MHA) (</w:t>
      </w:r>
      <w:r w:rsidRPr="002D22FD">
        <w:t xml:space="preserve">2007). </w:t>
      </w:r>
    </w:p>
    <w:p w14:paraId="1DAF7BB9" w14:textId="77777777" w:rsidR="006B23B1" w:rsidRPr="002D22FD" w:rsidRDefault="006B23B1" w:rsidP="006B23B1">
      <w:pPr>
        <w:spacing w:line="360" w:lineRule="auto"/>
      </w:pPr>
      <w:r w:rsidRPr="002D22FD">
        <w:t xml:space="preserve">A safeguarding concern was raised after 2’s niece observed unexplained bruising on his arm during a visit to the care home where he resides. Although initially the matter appeared to centre on a single unexplained injury, reflection has revealed the complexity underpinning the situation. The enquiry required integration of devolved Welsh safeguarding legislation, UK-wide mental capacity law, human rights obligations, professional standards, and theoretical analysis. It also required careful professional judgement in balancing protection, proportionality, wellbeing, and organisational accountability (WSP 2019). This reflection explores my reasoning, emotional responses, and learning, with emphasis on a strategy meeting that took place and how multi-professional discussion shaped the outcome (Fook, 2015). </w:t>
      </w:r>
    </w:p>
    <w:p w14:paraId="702A31EF" w14:textId="77777777" w:rsidR="006B23B1" w:rsidRPr="002D22FD" w:rsidRDefault="006B23B1" w:rsidP="006B23B1">
      <w:pPr>
        <w:spacing w:line="360" w:lineRule="auto"/>
      </w:pPr>
      <w:r w:rsidRPr="002D22FD">
        <w:t xml:space="preserve">2 has resided in a registered care home in Wales for approximately five years. He has significant cognitive impairments affecting communication and decision-making and requires support with all aspects of daily living. </w:t>
      </w:r>
      <w:r w:rsidRPr="002D22FD">
        <w:lastRenderedPageBreak/>
        <w:t xml:space="preserve">Due to his inability to consent to his care arrangements, he is subject to a standard authorisation under the </w:t>
      </w:r>
      <w:r>
        <w:t>(</w:t>
      </w:r>
      <w:r w:rsidRPr="002D22FD">
        <w:t>MCA 2005</w:t>
      </w:r>
      <w:r>
        <w:t>)</w:t>
      </w:r>
      <w:r w:rsidRPr="002D22FD">
        <w:t>.</w:t>
      </w:r>
    </w:p>
    <w:p w14:paraId="1DCA93D7" w14:textId="77777777" w:rsidR="006B23B1" w:rsidRPr="002D22FD" w:rsidRDefault="006B23B1" w:rsidP="006B23B1">
      <w:pPr>
        <w:spacing w:line="360" w:lineRule="auto"/>
      </w:pPr>
      <w:r w:rsidRPr="002D22FD">
        <w:t>The safeguarding concern was raised when his niece reported visible bruising on his upper arm. During my visit to the placement, I observed the bruise and met with the management team who and established that no body chart or incident report had been completed in relation to the bruising nor was there an explanation to how it occurred. The absence of documentation heightened my concern considerably. While bruising can occur accidentally, the failure to record it represented a breach of expected professional standards and reduced transparency (Taylor et al., 2016). At that moment I exercised my professional judgment and began the process of initiating the safeguarding procedure as it is part of my role that I have a statutory duty to report the concern; this was in line with Part 7 of the SSWBWA 2014 duty to report an adult at risk. </w:t>
      </w:r>
    </w:p>
    <w:p w14:paraId="7F9655E0" w14:textId="77777777" w:rsidR="006B23B1" w:rsidRPr="002D22FD" w:rsidRDefault="006B23B1" w:rsidP="006B23B1">
      <w:pPr>
        <w:spacing w:line="360" w:lineRule="auto"/>
      </w:pPr>
      <w:r w:rsidRPr="002D22FD">
        <w:t>During the visit, I documented the location, size, and appearance of the bruising, taking photographs where consent and policy allowed, and cross-referenced these observations with the care home’s records. The absence of prior documentation continued to be a concern, reinforcing the necessity of accurate record-keeping for transparency, accountability, and the protection of vulnerable adults (Taylor et al., 2016).</w:t>
      </w:r>
    </w:p>
    <w:p w14:paraId="45696A1C" w14:textId="77777777" w:rsidR="006B23B1" w:rsidRPr="002D22FD" w:rsidRDefault="006B23B1" w:rsidP="006B23B1">
      <w:pPr>
        <w:spacing w:line="360" w:lineRule="auto"/>
      </w:pPr>
      <w:r w:rsidRPr="002D22FD">
        <w:t>2 has a diagnosis of a moderate learning disability and dementia; a moderate learning disability is typically characterised by significant difficulties in intellectual functioning and adaptive behaviour. Individuals with a moderate learning disability usually have an IQ in the range of 35–49, and they may experience challenges with communication, self-care, and independent living, often requiring support for everyday tasks such as budgeting, cooking, or travelling independently (Emerson et al., 2014).</w:t>
      </w:r>
    </w:p>
    <w:p w14:paraId="78189833" w14:textId="77777777" w:rsidR="006B23B1" w:rsidRPr="002D22FD" w:rsidRDefault="006B23B1" w:rsidP="006B23B1">
      <w:pPr>
        <w:spacing w:line="360" w:lineRule="auto"/>
      </w:pPr>
      <w:r w:rsidRPr="002D22FD">
        <w:t xml:space="preserve">Dementia, on the other hand, is a progressive neurological condition that affects memory, thinking, and reasoning. In someone with a moderate learning disability, dementia can further reduce cognitive functioning, impact decision-making, and increase vulnerability to abuse or neglect. For example, an adult with a moderate learning disability and early-stage dementia may struggle to recognise risks, communicate distress, or understand the purpose of interventions like </w:t>
      </w:r>
      <w:proofErr w:type="spellStart"/>
      <w:r w:rsidRPr="002D22FD">
        <w:t>DoLS</w:t>
      </w:r>
      <w:proofErr w:type="spellEnd"/>
      <w:r w:rsidRPr="002D22FD">
        <w:t xml:space="preserve">, making tailored safeguarding approaches essential (Alzheimer’s Society, 2022). </w:t>
      </w:r>
    </w:p>
    <w:p w14:paraId="6293C92C" w14:textId="77777777" w:rsidR="006B23B1" w:rsidRPr="002D22FD" w:rsidRDefault="006B23B1" w:rsidP="006B23B1">
      <w:pPr>
        <w:spacing w:line="360" w:lineRule="auto"/>
      </w:pPr>
      <w:r w:rsidRPr="002D22FD">
        <w:t>In combination, these conditions mean that the adult requires enhanced support, close monitoring, and careful safeguarding, with interventions guided by both their expressed preferences and multi-agency collaboration.</w:t>
      </w:r>
    </w:p>
    <w:p w14:paraId="5A998582" w14:textId="77777777" w:rsidR="006B23B1" w:rsidRPr="002D22FD" w:rsidRDefault="006B23B1" w:rsidP="006B23B1">
      <w:pPr>
        <w:spacing w:line="360" w:lineRule="auto"/>
      </w:pPr>
      <w:r w:rsidRPr="002D22FD">
        <w:t xml:space="preserve">Based on my experience working in a learning disabilities team, this can be difficult because some individuals may not have a formal diagnosis, which can prevent social work practitioners from accessing specialist health services due to constraints in resources and time (Emerson et al., 2014). </w:t>
      </w:r>
    </w:p>
    <w:p w14:paraId="4EA3B4FA" w14:textId="77777777" w:rsidR="006B23B1" w:rsidRPr="002D22FD" w:rsidRDefault="006B23B1" w:rsidP="006B23B1">
      <w:pPr>
        <w:spacing w:line="360" w:lineRule="auto"/>
      </w:pPr>
      <w:r w:rsidRPr="002D22FD">
        <w:t xml:space="preserve">After submitting the necessary documentation and following the initial safeguarding process, I met with the allocated safeguarding officer via Microsoft Teams. During this meeting, I was informed that the submission met the safeguarding requirements for further action in accordance with Section 126 of the SSWBWA 2014, which sets out the local authority’s responsibilities for safeguarding adults at risk. As mentioned above, as 2 was subject to a </w:t>
      </w:r>
      <w:proofErr w:type="spellStart"/>
      <w:r w:rsidRPr="002D22FD">
        <w:t>DoLS</w:t>
      </w:r>
      <w:proofErr w:type="spellEnd"/>
      <w:r w:rsidRPr="002D22FD">
        <w:t xml:space="preserve"> authorisation, I ensured that his Independent Mental Capacity Advocate (IMCA) was made aware of the situation, so their rights, preferences, and best interests were represented throughout the process. This approach aligns with </w:t>
      </w:r>
      <w:proofErr w:type="gramStart"/>
      <w:r w:rsidRPr="002D22FD">
        <w:t>both the</w:t>
      </w:r>
      <w:proofErr w:type="gramEnd"/>
      <w:r w:rsidRPr="002D22FD">
        <w:t xml:space="preserve"> legislative</w:t>
      </w:r>
      <w:r w:rsidRPr="002D22FD">
        <w:rPr>
          <w:b/>
          <w:bCs/>
        </w:rPr>
        <w:t xml:space="preserve"> </w:t>
      </w:r>
      <w:r w:rsidRPr="002D22FD">
        <w:t xml:space="preserve">requirement under Part 10 of the SSWBWA 2014, which mandates that </w:t>
      </w:r>
      <w:r w:rsidRPr="002D22FD">
        <w:lastRenderedPageBreak/>
        <w:t>individuals unable to fully participate in decisions about their care must be offered advocacy support (SCW, 2017).</w:t>
      </w:r>
    </w:p>
    <w:p w14:paraId="7962B21C" w14:textId="77777777" w:rsidR="006B23B1" w:rsidRPr="002D22FD" w:rsidRDefault="006B23B1" w:rsidP="006B23B1">
      <w:pPr>
        <w:spacing w:line="360" w:lineRule="auto"/>
      </w:pPr>
      <w:r w:rsidRPr="002D22FD">
        <w:t xml:space="preserve">Following the initial safeguarding submission, a strategy meeting was convened to plan a coordinated response to the concern. This meeting included </w:t>
      </w:r>
      <w:proofErr w:type="gramStart"/>
      <w:r w:rsidRPr="002D22FD">
        <w:t>myself</w:t>
      </w:r>
      <w:proofErr w:type="gramEnd"/>
      <w:r w:rsidRPr="002D22FD">
        <w:t xml:space="preserve"> as the social worker, a safeguarding officer, and a police representative, reflecting the multi-agency approach emphasised in both statutory guidance and best practice frameworks (WSP 2019; WTSP 2022). The purpose of the meeting was to clarify the initial information, agree on immediate protective measures, and determine the next steps to gather further evidence in a proportionate and rights-based manner.</w:t>
      </w:r>
    </w:p>
    <w:p w14:paraId="5A57CD76" w14:textId="77777777" w:rsidR="006B23B1" w:rsidRPr="002D22FD" w:rsidRDefault="006B23B1" w:rsidP="006B23B1">
      <w:pPr>
        <w:spacing w:line="360" w:lineRule="auto"/>
      </w:pPr>
      <w:r w:rsidRPr="002D22FD">
        <w:t>During the strategy meeting, it was agreed that immediate actions would involve a joint visit to the care home by me, the IMCA, and the police. The primary objectives were to observe the bruising firsthand, assess the environment, and attempt to gather the views and experiences of 2 in a way that respected his cognitive and communication needs. These actions were informed by the principles of Person-Centred Theory, ensuring that despite the adult’s limited capacity, his dignity, autonomy, and preferences remained central to the safeguarding process (Rogers, 1961). At the same time, the strategy acknowledged systemic considerations from Systems Theory, recognising the interdependencies between care staff, regulatory bodies, family members, and statutory agencies in shaping outcomes for the adult (von Bertalanffy, 1968).</w:t>
      </w:r>
    </w:p>
    <w:p w14:paraId="75721A48" w14:textId="77777777" w:rsidR="006B23B1" w:rsidRPr="002D22FD" w:rsidRDefault="006B23B1" w:rsidP="006B23B1">
      <w:pPr>
        <w:spacing w:line="360" w:lineRule="auto"/>
      </w:pPr>
      <w:r w:rsidRPr="002D22FD">
        <w:t>The strategy meeting highlighted the importance of clear role allocation. As the allocated social worker, I was responsible for liaising with care home staff, coordinating the timing of the visit, and ensuring that all relevant documentation, including care plans and incident logs, was reviewed prior to the visit. The IMCA’s role was to act as an independent advocate for 2, supporting him in expressing any views or preferences and representing his interests in subsequent decision-making. The police officer’s role was to assess whether the bruising might constitute a potential criminal offence and to gather evidence that could inform any future legal proceedings. This distribution of responsibilities exemplifies the statutory emphasis on multi-agency collaboration to protect adults at risk, balancing investigatory, welfare, and advocacy functions within a coherent safeguarding response (SSWBWA 2014; WSP 2019).</w:t>
      </w:r>
    </w:p>
    <w:p w14:paraId="35672402" w14:textId="77777777" w:rsidR="006B23B1" w:rsidRPr="002D22FD" w:rsidRDefault="006B23B1" w:rsidP="006B23B1">
      <w:pPr>
        <w:spacing w:line="360" w:lineRule="auto"/>
      </w:pPr>
      <w:r w:rsidRPr="002D22FD">
        <w:t xml:space="preserve">However, the planned visit encountered significant practical challenges. The morning of the planned visit, 2’s IMCA made contact with me to say she was unable to attend, therefore I gathered information from her before I attended the visit, these included importance factors regarding 2, such as, his preferred language, and if he was a Welsh speaker, I gathered this information to ensure that 2 was given the opportunity to have the discussion in his chosen language and also to actively offer him the opportunity to be spoken to in Welsh if needed, in line with the Welsh Language </w:t>
      </w:r>
      <w:r>
        <w:t xml:space="preserve">(Wales) </w:t>
      </w:r>
      <w:r w:rsidRPr="002D22FD">
        <w:t xml:space="preserve">Measure </w:t>
      </w:r>
      <w:r>
        <w:t xml:space="preserve">(WLM) </w:t>
      </w:r>
      <w:r w:rsidRPr="002D22FD">
        <w:t>(2011) and The Active Offer ‘more than just words’ where someone is automatically offered services in their chosen language as opposed to having to ask for it. This is also underpinned by the Code of Professional Practice (COPP) (2017), which states ‘supporting individuals …to communicate their views and preferences using their preferred method and language’ (SCW, 2017).</w:t>
      </w:r>
    </w:p>
    <w:p w14:paraId="50DD3146" w14:textId="77777777" w:rsidR="006B23B1" w:rsidRPr="002D22FD" w:rsidRDefault="006B23B1" w:rsidP="006B23B1">
      <w:pPr>
        <w:spacing w:line="360" w:lineRule="auto"/>
      </w:pPr>
      <w:r w:rsidRPr="002D22FD">
        <w:t xml:space="preserve">Furthermore, I was informed that 2 was not a Welsh speaker and his only language was English. I also took into consideration 2’s culture and background, recognising the importance of cultural awareness in social work practice in Wales. Given that he had previously lived in an English local authority, which he spoke fondly of and </w:t>
      </w:r>
      <w:r w:rsidRPr="002D22FD">
        <w:lastRenderedPageBreak/>
        <w:t>often mentioned, I was mindful to reference this experience during our interactions to help him feel more comfortable and understood. This approach aligns with the SSBW(W)A 2014, which emphasises person-centred care that considers an individual’s culture, language, and personal history. Additionally, the WLM 2011 reinforces the need for practitioners to respect linguistic preferences and ensure that services are accessible and culturally appropriate, even for those whose first language is English.</w:t>
      </w:r>
    </w:p>
    <w:p w14:paraId="50B82E62" w14:textId="77777777" w:rsidR="006B23B1" w:rsidRPr="002D22FD" w:rsidRDefault="006B23B1" w:rsidP="006B23B1">
      <w:pPr>
        <w:spacing w:line="360" w:lineRule="auto"/>
      </w:pPr>
      <w:r w:rsidRPr="002D22FD">
        <w:t>Upon arrival at the care home, it became apparent that 2 was unable to respond to questions about the bruising due to the severity of his learning disability and the cognitive impact of dementia.</w:t>
      </w:r>
      <w:r w:rsidRPr="002D22FD">
        <w:rPr>
          <w:b/>
          <w:bCs/>
        </w:rPr>
        <w:t xml:space="preserve"> </w:t>
      </w:r>
      <w:r w:rsidRPr="002D22FD">
        <w:t>Despite repeated attempts using simplified language, non-verbal cues, and communication aids, he could not provide meaningful responses regarding how the bruising occurred or whether he had experienced any harm. This presented a key ethical and procedural dilemma: how to ensure that safeguarding decisions remained person-centred when the adult could not actively participate in the enquiry.</w:t>
      </w:r>
      <w:r w:rsidRPr="002D22FD">
        <w:rPr>
          <w:b/>
          <w:bCs/>
        </w:rPr>
        <w:t xml:space="preserve"> </w:t>
      </w:r>
      <w:r w:rsidRPr="002D22FD">
        <w:t>The inability to obtain 2’s views highlighted the importance of advocacy, not only in principle but in practice, as mandated under Part 10 of the SSWBWA 2014. Unfortunately, the IMCA was unable to attend the visit due to unforeseen scheduling conflicts, which meant that 2 did not have an independent representative present to support him during this stage of the process.</w:t>
      </w:r>
    </w:p>
    <w:p w14:paraId="44D84B47" w14:textId="77777777" w:rsidR="006B23B1" w:rsidRPr="002D22FD" w:rsidRDefault="006B23B1" w:rsidP="006B23B1">
      <w:pPr>
        <w:spacing w:line="360" w:lineRule="auto"/>
      </w:pPr>
      <w:r w:rsidRPr="002D22FD">
        <w:t>In the absence of direct input from 2, the safeguarding approach relied heavily on triangulating information from other sources, including care home staff, the family member who had raised the concern, and any available clinical records.</w:t>
      </w:r>
      <w:r w:rsidRPr="002D22FD">
        <w:rPr>
          <w:b/>
          <w:bCs/>
        </w:rPr>
        <w:t xml:space="preserve"> </w:t>
      </w:r>
      <w:r w:rsidRPr="002D22FD">
        <w:t>This reflects guidance emphasising that safeguarding decisions for adults who lack capacity must consider all relevant evidence, including observations, previous patterns of care, and professional judgements, while continuing to uphold the adult’s rights and best interests (MCA 2005; WTSP 2022).</w:t>
      </w:r>
      <w:r w:rsidRPr="002D22FD">
        <w:rPr>
          <w:b/>
          <w:bCs/>
        </w:rPr>
        <w:t xml:space="preserve"> </w:t>
      </w:r>
    </w:p>
    <w:p w14:paraId="38CCCF4A" w14:textId="77777777" w:rsidR="006B23B1" w:rsidRPr="002D22FD" w:rsidRDefault="006B23B1" w:rsidP="006B23B1">
      <w:pPr>
        <w:spacing w:line="360" w:lineRule="auto"/>
      </w:pPr>
      <w:r w:rsidRPr="002D22FD">
        <w:t xml:space="preserve">When analysing the assessment in relation to 2’s safeguarding referral, I first referred to the MCA 2005. Capacity is commonly defined as a person’s ability to understand information relevant to a particular decision and to appreciate the potential consequences of making that decision (Dimond, 2016). </w:t>
      </w:r>
    </w:p>
    <w:p w14:paraId="24392453" w14:textId="77777777" w:rsidR="006B23B1" w:rsidRPr="002D22FD" w:rsidRDefault="006B23B1" w:rsidP="006B23B1">
      <w:pPr>
        <w:spacing w:line="360" w:lineRule="auto"/>
      </w:pPr>
      <w:r w:rsidRPr="002D22FD">
        <w:t xml:space="preserve">The MCA 2005 sets out important principles relevant to this context. Firstly, individuals must be presumed to have capacity unless it is clearly demonstrated otherwise. Secondly, a person’s capacity should not be judged solely </w:t>
      </w:r>
      <w:proofErr w:type="gramStart"/>
      <w:r w:rsidRPr="002D22FD">
        <w:t>on the basis of</w:t>
      </w:r>
      <w:proofErr w:type="gramEnd"/>
      <w:r w:rsidRPr="002D22FD">
        <w:t xml:space="preserve"> their behaviour, as this may result in unfair or inaccurate assumptions. Finally, the Act makes clear that a person should not be regarded as lacking capacity simply because they choose to </w:t>
      </w:r>
      <w:proofErr w:type="gramStart"/>
      <w:r w:rsidRPr="002D22FD">
        <w:t>make a decision</w:t>
      </w:r>
      <w:proofErr w:type="gramEnd"/>
      <w:r w:rsidRPr="002D22FD">
        <w:t xml:space="preserve"> that others consider unwise. However, in 2’s case, following a previous assessment in line with the MCA 2005, it was determined that 2 lacked the capacity to make decisions around his care, support, and accommodation from a previous assessment, which then coordinated the application for his </w:t>
      </w:r>
      <w:proofErr w:type="spellStart"/>
      <w:r w:rsidRPr="002D22FD">
        <w:t>DoLS</w:t>
      </w:r>
      <w:proofErr w:type="spellEnd"/>
      <w:r w:rsidRPr="002D22FD">
        <w:t xml:space="preserve"> application to deprive him of his liberty. Consequently, 2 is legally considered to ‘lack the capacity’ to provide consent in relation to these matters. </w:t>
      </w:r>
    </w:p>
    <w:p w14:paraId="3F3340D8" w14:textId="77777777" w:rsidR="006B23B1" w:rsidRPr="002D22FD" w:rsidRDefault="006B23B1" w:rsidP="006B23B1">
      <w:pPr>
        <w:spacing w:line="360" w:lineRule="auto"/>
      </w:pPr>
      <w:r w:rsidRPr="002D22FD">
        <w:t>In my practice, I have learned that assessments of capacity must be both time- and decision-specific (SCIE, 2023). I recognise that an individual may be unable to make a particular decision if their thinking is affected by illness or disability, whether temporarily or permanently. Following the MCA 2005, it is stated that a person lacks capacity if they cannot understand the information relevant to the decision, retain it long enough to make the decision, weigh that information as part of their decision-making, or communicate their choice in any way (NHS, 2024). This framework has guided my approach to ensuring that decisions are made in the person’s best interests while respecting their autonomy wherever possible.</w:t>
      </w:r>
    </w:p>
    <w:p w14:paraId="2C4B7D41" w14:textId="77777777" w:rsidR="006B23B1" w:rsidRPr="002D22FD" w:rsidRDefault="006B23B1" w:rsidP="006B23B1">
      <w:pPr>
        <w:spacing w:line="360" w:lineRule="auto"/>
      </w:pPr>
      <w:r w:rsidRPr="002D22FD">
        <w:lastRenderedPageBreak/>
        <w:t xml:space="preserve">Subsequently, although 2’s capacity was clouded, we still proceeded to try and speak to 2 about this, to give him the chance to discuss it if </w:t>
      </w:r>
      <w:proofErr w:type="gramStart"/>
      <w:r w:rsidRPr="002D22FD">
        <w:t>possible, and</w:t>
      </w:r>
      <w:proofErr w:type="gramEnd"/>
      <w:r w:rsidRPr="002D22FD">
        <w:t xml:space="preserve"> taking into consideration Article 5 of the European Convention on Human Rights (ECHR) 1950, which declares that "Everyone has the right to liberty and security of person. </w:t>
      </w:r>
    </w:p>
    <w:p w14:paraId="6710F7D5" w14:textId="77777777" w:rsidR="006B23B1" w:rsidRPr="002D22FD" w:rsidRDefault="006B23B1" w:rsidP="006B23B1">
      <w:pPr>
        <w:spacing w:line="360" w:lineRule="auto"/>
      </w:pPr>
      <w:r w:rsidRPr="002D22FD">
        <w:t>Adapting support to meet his understanding and learning needs is also guided by the SSWB(W)A</w:t>
      </w:r>
      <w:r>
        <w:t xml:space="preserve">, </w:t>
      </w:r>
      <w:r w:rsidRPr="002D22FD">
        <w:t xml:space="preserve">2014, specifically </w:t>
      </w:r>
      <w:r>
        <w:t>(</w:t>
      </w:r>
      <w:r w:rsidRPr="002D22FD">
        <w:t>s6</w:t>
      </w:r>
      <w:r>
        <w:t>)</w:t>
      </w:r>
      <w:r w:rsidRPr="002D22FD">
        <w:t>, which highlights the significance of “providing appropriate support to enable the individual to participate in decisions that affect … where the individual’s ability to communicate is limited for any reason” (Welsh Government, 2014). This is guided by 2 having his own IMCA to help express his wishes and feelings and working with individuals in person-centred ways, respecting and, where appropriate, promoting and upholding the rights, values, beliefs, views and wishes of the individual (Welsh Government, 2014, COPP (2017) (S.1.2)).</w:t>
      </w:r>
    </w:p>
    <w:p w14:paraId="1100A2B0" w14:textId="77777777" w:rsidR="006B23B1" w:rsidRPr="002D22FD" w:rsidRDefault="006B23B1" w:rsidP="006B23B1">
      <w:pPr>
        <w:spacing w:line="360" w:lineRule="auto"/>
      </w:pPr>
      <w:r w:rsidRPr="002D22FD">
        <w:t>Reflecting on the visit, several key issues emerged. Firstly, the challenge of engaging with an adult with limited verbal communication reinforced the critical importance of specialist communication strategies. This included using simplified language, visual prompts, gestures, and behaviour-based indicators to interpret distress or discomfort. From a Systems Theory perspective, this underscores how multiple components of the safeguarding system, including professional skills, environmental factors, and organisational support, interact to influence outcomes (</w:t>
      </w:r>
      <w:r>
        <w:t>V</w:t>
      </w:r>
      <w:r w:rsidRPr="002D22FD">
        <w:t>on Bertalanffy, 1968). The effectiveness of any safeguarding intervention depends not only on statutory compliance but also on the capacity of professionals to understand and respond to the adult’s individual needs within a complex care environment (Manthorpe and Martineau, 2018).</w:t>
      </w:r>
    </w:p>
    <w:p w14:paraId="606DFA86" w14:textId="77777777" w:rsidR="006B23B1" w:rsidRPr="002D22FD" w:rsidRDefault="006B23B1" w:rsidP="006B23B1">
      <w:pPr>
        <w:spacing w:line="360" w:lineRule="auto"/>
      </w:pPr>
      <w:r w:rsidRPr="002D22FD">
        <w:t>Secondly, the absence of the IMCA at the visit highlighted a procedural gap in ensuring the adult’s representation during safeguarding processes. While the statutory requirement for advocacy under the MCA 2005 and the MCA 2005 Code of Practice had been acknowledged, the practical challenges of scheduling and coordinating visits across multiple agencies created a scenario where the adult’s voice could not be actively included to what I would have hoped for. This situation emphasises the need for contingency planning in safeguarding practice, ensuring that adults at risk are consistently supported by advocates, particularly when they are unable to communicate their views. In future practice, I reflected that early coordination with IMCAs, including flexible scheduling and remote participation options, could mitigate such gaps.</w:t>
      </w:r>
    </w:p>
    <w:p w14:paraId="7630D68B" w14:textId="77777777" w:rsidR="006B23B1" w:rsidRPr="002D22FD" w:rsidRDefault="006B23B1" w:rsidP="006B23B1">
      <w:pPr>
        <w:spacing w:line="360" w:lineRule="auto"/>
      </w:pPr>
      <w:r w:rsidRPr="002D22FD">
        <w:t xml:space="preserve">The police involvement during the visit also provided important learning. While their role was primarily investigatory, the presence of law enforcement needed to be balanced with the principles of proportionality and least intrusive intervention, consistent with the ethos of the SSWBWA 2014 and Human Rights legislation (HRA 1998; ECHR 1950). This required careful communication to explain the purpose of the visit to care staff, to reassure 2 indirectly through environmental familiarity, and to avoid escalation or distress. The experience illustrated the tension that can arise when protective, investigatory, and advocacy roles intersect, and the professional skill required to navigate these competing demands while maintaining ethical standards. </w:t>
      </w:r>
    </w:p>
    <w:p w14:paraId="4AA399F7" w14:textId="77777777" w:rsidR="006B23B1" w:rsidRPr="002D22FD" w:rsidRDefault="006B23B1" w:rsidP="006B23B1">
      <w:pPr>
        <w:spacing w:line="360" w:lineRule="auto"/>
      </w:pPr>
      <w:r w:rsidRPr="002D22FD">
        <w:t xml:space="preserve">I took into consideration the power imbalance present in this situation, particularly in relation to the incomplete body maps and the need to raise these concerns with management. In social work, power imbalances are a fundamental aspect of practice, as professionals often hold authority over clients, access to resources, and decision-making processes, while clients may be vulnerable due to age, disability, health, or dependency on services. As Fook (2016, p. 52) notes, “power is inherent in professional relationships and must be acknowledged </w:t>
      </w:r>
      <w:r w:rsidRPr="002D22FD">
        <w:lastRenderedPageBreak/>
        <w:t>and managed responsibly to avoid disempowering those we work with.” These imbalances can affect communication, trust, and the client’s ability to influence decisions about their own care.</w:t>
      </w:r>
    </w:p>
    <w:p w14:paraId="01568229" w14:textId="77777777" w:rsidR="006B23B1" w:rsidRPr="002D22FD" w:rsidRDefault="006B23B1" w:rsidP="006B23B1">
      <w:pPr>
        <w:spacing w:line="360" w:lineRule="auto"/>
      </w:pPr>
      <w:r w:rsidRPr="002D22FD">
        <w:t>Reflecting on this, I recognised that the incomplete documentation could unintentionally intensify the adult’s vulnerability, as it may limit their voice in safeguarding processes. Addressing this with management required careful navigation to challenge systemic issues while maintaining professional relationships and advocating for the adult’s rights. It highlighted the importance of self-awareness as a social worker, recognising one’s positional authority, and actively creating opportunities to empower adults at risk.</w:t>
      </w:r>
    </w:p>
    <w:p w14:paraId="6ECC01CF" w14:textId="77777777" w:rsidR="006B23B1" w:rsidRPr="002D22FD" w:rsidRDefault="006B23B1" w:rsidP="006B23B1">
      <w:pPr>
        <w:spacing w:line="360" w:lineRule="auto"/>
      </w:pPr>
      <w:r w:rsidRPr="002D22FD">
        <w:t xml:space="preserve">Following the visit, the safeguarding officer convened a debrief to review findings, consolidate evidence, and plan actions. It was noted that although 2 could not provide his views, the adult’s best interests could still be prioritised through careful monitoring, enhanced documentation, and ongoing collaboration with care home staff and family. </w:t>
      </w:r>
    </w:p>
    <w:p w14:paraId="236E54C5" w14:textId="77777777" w:rsidR="006B23B1" w:rsidRPr="002D22FD" w:rsidRDefault="006B23B1" w:rsidP="006B23B1">
      <w:pPr>
        <w:spacing w:line="360" w:lineRule="auto"/>
      </w:pPr>
      <w:r w:rsidRPr="002D22FD">
        <w:t xml:space="preserve">This supports the empowering of the individual by liaising with reliable professionals and family members who advocate for individuals in their best interests so that they are supported to be active participants in their own lives and care and support needs (Adams, 1996). </w:t>
      </w:r>
    </w:p>
    <w:p w14:paraId="5AB6BE3D" w14:textId="77777777" w:rsidR="006B23B1" w:rsidRPr="002D22FD" w:rsidRDefault="006B23B1" w:rsidP="006B23B1">
      <w:pPr>
        <w:spacing w:line="360" w:lineRule="auto"/>
      </w:pPr>
      <w:r w:rsidRPr="002D22FD">
        <w:t>This aligns with the statutory principle under the MCA 2005</w:t>
      </w:r>
      <w:r>
        <w:t xml:space="preserve"> </w:t>
      </w:r>
      <w:r w:rsidRPr="002D22FD">
        <w:t xml:space="preserve">that decisions on behalf of someone lacking capacity must be made in their best interests (Great Britain, 2005). It was determined that, due to no evidence that the bruising was deliberate, information was passed on to Contract and Commissioning for them to monitor the placement going forward; the report constituted a one-off incident with no impact of harm as per part 1C of the Wales Safeguarding screening decision. As this was a one-off incident with a very low level of repetition risk and no abuse as such, the threshold for Section 126 Safeguarding enquiries was not met in line with the Regional Threshold document. This reflects principles outlined in the safeguarding policy that thresholds should be based on risk, harm, and likelihood of recurrence (Jones </w:t>
      </w:r>
      <w:r w:rsidRPr="002D22FD">
        <w:rPr>
          <w:i/>
          <w:iCs/>
        </w:rPr>
        <w:t>et al.</w:t>
      </w:r>
      <w:r w:rsidRPr="002D22FD">
        <w:t>, 2020).</w:t>
      </w:r>
    </w:p>
    <w:p w14:paraId="2FAD1E9A" w14:textId="77777777" w:rsidR="006B23B1" w:rsidRPr="002D22FD" w:rsidRDefault="006B23B1" w:rsidP="006B23B1">
      <w:pPr>
        <w:spacing w:line="360" w:lineRule="auto"/>
      </w:pPr>
      <w:r w:rsidRPr="002D22FD">
        <w:t>Actions were agreed to ensure regular welfare checks, robust incident reporting, and continued liaison with the IMCA so that advocacy input could be incorporated at the earliest opportunity. This proactive approach reflects both the SSWB(W)A 2014</w:t>
      </w:r>
      <w:r>
        <w:t xml:space="preserve"> </w:t>
      </w:r>
      <w:r w:rsidRPr="002D22FD">
        <w:t>emphasis on prevention and early intervention and the ethical commitment in social work to uphold dignity and autonomy even in the absence of direct communication (Welsh Government, 2014; SCW, 2017; Brammer &amp; Pritchard Jones, 2019). In addition, the process highlighted the importance of multi</w:t>
      </w:r>
      <w:r w:rsidRPr="002D22FD">
        <w:noBreakHyphen/>
        <w:t>agency collaboration: by involving care staff, family members, advocacy services, and commissioning teams, the safeguarding approach ensured that responsibility for monitoring and support was shared, reducing the risk of oversight and reinforcing accountability at organisational and systemic levels, which is a key principle in inter</w:t>
      </w:r>
      <w:r w:rsidRPr="002D22FD">
        <w:noBreakHyphen/>
        <w:t>agency safeguarding frameworks (Keddell, 2016).</w:t>
      </w:r>
    </w:p>
    <w:p w14:paraId="1F7BB7C3" w14:textId="77777777" w:rsidR="006B23B1" w:rsidRPr="002D22FD" w:rsidRDefault="006B23B1" w:rsidP="006B23B1">
      <w:pPr>
        <w:spacing w:line="360" w:lineRule="auto"/>
      </w:pPr>
      <w:r w:rsidRPr="002D22FD">
        <w:t>Reflecting on this case, it became apparent that safeguarding is not solely reactive; it involves anticipating potential risks and implementing strategies to prevent harm before it occurs. The use of structured documentation, such as body maps and incident logs, not only provides evidence for decision</w:t>
      </w:r>
      <w:r w:rsidRPr="002D22FD">
        <w:noBreakHyphen/>
        <w:t xml:space="preserve">making but also supports transparency and professional accountability. Research highlights that comprehensive documentation improves outcomes by enabling clearer communication across services (Taylor &amp; Brice, 2018). Furthermore, this scenario reinforced the significance of ethical reflection in practice. Professionals must continuously consider the balance of power inherent in their role, ensuring that adults at risk are respected and their autonomy supported </w:t>
      </w:r>
      <w:r w:rsidRPr="002D22FD">
        <w:lastRenderedPageBreak/>
        <w:t>wherever possible (Fook, 2016). Even in situations where communication is limited, it is essential to seek alternative methods for the adult to express preferences, such as involving advocates, utilising non</w:t>
      </w:r>
      <w:r w:rsidRPr="002D22FD">
        <w:noBreakHyphen/>
        <w:t>verbal cues, or adapting communication tools and practices supported by both policy and evidence on inclusive decision</w:t>
      </w:r>
      <w:r w:rsidRPr="002D22FD">
        <w:noBreakHyphen/>
        <w:t>making (Graham, 2017).</w:t>
      </w:r>
    </w:p>
    <w:p w14:paraId="6845880F" w14:textId="77777777" w:rsidR="006B23B1" w:rsidRPr="002D22FD" w:rsidRDefault="006B23B1" w:rsidP="006B23B1">
      <w:pPr>
        <w:spacing w:line="360" w:lineRule="auto"/>
      </w:pPr>
      <w:r w:rsidRPr="002D22FD">
        <w:t xml:space="preserve">Critically reflecting on the case, I recognised that working with adults who cannot directly articulate their experiences demands heightened vigilance, creativity, and ethical reasoning. Person-Centred Theory provided a lens to maintain focus on the adult’s rights and preferences, ensuring that every decision considered 2’s individuality and dignity (Rogers, 1961). Systems Theory, in turn, facilitated an understanding of how the wider safeguarding network, comprising family, care staff, statutory agencies, and advocacy services, must operate cohesively to manage risk effectively (von </w:t>
      </w:r>
      <w:proofErr w:type="spellStart"/>
      <w:r w:rsidRPr="002D22FD">
        <w:t>Bertalanffy</w:t>
      </w:r>
      <w:proofErr w:type="spellEnd"/>
      <w:r w:rsidRPr="002D22FD">
        <w:t>, 1968). This dual theoretical perspective emphasised the necessity of balancing micro-level attention to the adult with macro-level awareness of inter-agency processes, statutory obligations, and organisational accountability (Parton, 2014).</w:t>
      </w:r>
    </w:p>
    <w:p w14:paraId="4E818795" w14:textId="77777777" w:rsidR="006B23B1" w:rsidRPr="002D22FD" w:rsidRDefault="006B23B1" w:rsidP="006B23B1">
      <w:pPr>
        <w:spacing w:line="360" w:lineRule="auto"/>
      </w:pPr>
      <w:r w:rsidRPr="002D22FD">
        <w:t>From a personal and professional standpoint, the situation highlighted the emotional complexity inherent in safeguarding work. Witnessing unexplained bruising on a vulnerable adult triggered a sense of urgency and concern, while the inability to obtain the adult’s views or have advocacy representation present evoked anxiety regarding whether the process could fully respect his rights. These reflections reinforced the importance of supervision, peer discussion, and reflective practice in managing the emotional impact of safeguarding cases, consistent with professional standards outlined in the COPP (SCW, 2017). Additionally, the experience enhanced my confidence in applying statutory guidance in practice, interpreting the requirements of the SSWB</w:t>
      </w:r>
      <w:r>
        <w:t>(</w:t>
      </w:r>
      <w:r w:rsidRPr="002D22FD">
        <w:t>W</w:t>
      </w:r>
      <w:r>
        <w:t>)</w:t>
      </w:r>
      <w:r w:rsidRPr="002D22FD">
        <w:t>A</w:t>
      </w:r>
      <w:r>
        <w:t xml:space="preserve"> </w:t>
      </w:r>
      <w:r w:rsidRPr="002D22FD">
        <w:t>2014, MCA 2005, and multi-agency protocols, and integrating theory with professional judgment to ensure proportionate, evidence-informed action.</w:t>
      </w:r>
    </w:p>
    <w:p w14:paraId="5A3B3AB1" w14:textId="77777777" w:rsidR="006B23B1" w:rsidRPr="002D22FD" w:rsidRDefault="006B23B1" w:rsidP="006B23B1">
      <w:pPr>
        <w:spacing w:line="360" w:lineRule="auto"/>
      </w:pPr>
      <w:r w:rsidRPr="002D22FD">
        <w:t>In conclusion, this safeguarding case has reinforced for me the complexity and multifaceted nature of working with adults at risk in Wales. I have seen firsthand the necessity of integrating statutory legislation, professional guidance, and theoretical perspectives to ensure that my interventions are person-centred, proportionate, and rights-based, in line with the SSWB(W)A 2014</w:t>
      </w:r>
      <w:r>
        <w:t xml:space="preserve"> </w:t>
      </w:r>
      <w:r w:rsidRPr="002D22FD">
        <w:t>and the HRA 1998. The experience emphasised for me the critical role of multi-agency collaboration, as I worked alongside advocacy services, care staff, and law enforcement, each contributing unique expertise to safeguard the adult, reflecting the guidance in the (WSP 2019). I also became acutely aware of the importance of understanding 2’s culture, language, and personal history, consistent with the WLM 2011, and I ensured that his communication preferences were respected throughout the safeguarding process.</w:t>
      </w:r>
    </w:p>
    <w:p w14:paraId="2D4770CB" w14:textId="77777777" w:rsidR="006B23B1" w:rsidRPr="002D22FD" w:rsidRDefault="006B23B1" w:rsidP="006B23B1">
      <w:pPr>
        <w:spacing w:line="360" w:lineRule="auto"/>
      </w:pPr>
      <w:r w:rsidRPr="002D22FD">
        <w:t>Practically, I learned that safeguarding adults who cannot fully communicate requires creativity, specialist communication strategies, and careful professional judgment, as emphasised in the SCW 2017. The absence of direct input from 2 and the IMCA at critical points highlighted for me the need for contingency planning and proactive advocacy to uphold the adult’s voice and rights, in accordance with statutory guidance (SSWBWA 2014; WSP 2019). Applying Person-Centred Theory and Systems Theory allowed me to reflect on balancing 2’s individual needs with the broader systemic factors, reinforcing the value of a holistic, evidence-informed approach.</w:t>
      </w:r>
    </w:p>
    <w:p w14:paraId="28BEE314" w14:textId="77777777" w:rsidR="006B23B1" w:rsidRDefault="006B23B1" w:rsidP="006B23B1">
      <w:pPr>
        <w:spacing w:line="360" w:lineRule="auto"/>
      </w:pPr>
      <w:proofErr w:type="gramStart"/>
      <w:r w:rsidRPr="002D22FD">
        <w:lastRenderedPageBreak/>
        <w:t>Personally</w:t>
      </w:r>
      <w:proofErr w:type="gramEnd"/>
      <w:r w:rsidRPr="002D22FD">
        <w:t xml:space="preserve"> and professionally, this case deepened my understanding of ethical reflection, power dynamics, and the emotional demands of safeguarding work. It strengthened my confidence in applying legislation and guidance, making informed decisions, and maintaining professional accountability (SCW, 2017; HRA, 1998). Overall, this experience reinforced for me that safeguarding is not only about responding to harm but also about prevention, vigilance, and creating an environment where adults at risk are supported, empowered, and treated with dignity, in line with Welsh safeguarding legislation and professional standards (SSWBWA 2014; WLM 2011; WSP 2019).</w:t>
      </w:r>
    </w:p>
    <w:p w14:paraId="3E1A4D1C" w14:textId="77777777" w:rsidR="006B23B1" w:rsidRPr="00C90511" w:rsidRDefault="006B23B1" w:rsidP="006B23B1">
      <w:pPr>
        <w:spacing w:line="360" w:lineRule="auto"/>
        <w:rPr>
          <w:i/>
          <w:iCs/>
        </w:rPr>
      </w:pPr>
    </w:p>
    <w:p w14:paraId="120CF2A8" w14:textId="77777777" w:rsidR="006B23B1" w:rsidRPr="00C90511" w:rsidRDefault="006B23B1" w:rsidP="006B23B1">
      <w:pPr>
        <w:spacing w:line="360" w:lineRule="auto"/>
        <w:rPr>
          <w:i/>
          <w:iCs/>
        </w:rPr>
      </w:pPr>
      <w:r w:rsidRPr="00C90511">
        <w:rPr>
          <w:i/>
          <w:iCs/>
        </w:rPr>
        <w:t>Word count 4072</w:t>
      </w: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B10DC" w14:textId="77777777" w:rsidR="00113D9A" w:rsidRDefault="00113D9A">
      <w:r>
        <w:separator/>
      </w:r>
    </w:p>
  </w:endnote>
  <w:endnote w:type="continuationSeparator" w:id="0">
    <w:p w14:paraId="30056B77" w14:textId="77777777" w:rsidR="00113D9A" w:rsidRDefault="00113D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586F0" w14:textId="77777777" w:rsidR="00113D9A" w:rsidRDefault="00113D9A">
      <w:r>
        <w:separator/>
      </w:r>
    </w:p>
  </w:footnote>
  <w:footnote w:type="continuationSeparator" w:id="0">
    <w:p w14:paraId="3FA02CD7" w14:textId="77777777" w:rsidR="00113D9A" w:rsidRDefault="00113D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D68"/>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D9A"/>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2CA1"/>
    <w:rsid w:val="0019496C"/>
    <w:rsid w:val="00194A81"/>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4DC"/>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3B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B12"/>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D42"/>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572"/>
    <w:rsid w:val="00AA666E"/>
    <w:rsid w:val="00AA7960"/>
    <w:rsid w:val="00AB5518"/>
    <w:rsid w:val="00AC336E"/>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511"/>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2E4F"/>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18C3"/>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4273</Words>
  <Characters>25341</Characters>
  <Application>Microsoft Office Word</Application>
  <DocSecurity>0</DocSecurity>
  <Lines>378</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Kayleigh Goodall</cp:lastModifiedBy>
  <cp:revision>11</cp:revision>
  <cp:lastPrinted>2020-02-11T19:20:00Z</cp:lastPrinted>
  <dcterms:created xsi:type="dcterms:W3CDTF">2026-02-03T17:47:00Z</dcterms:created>
  <dcterms:modified xsi:type="dcterms:W3CDTF">2026-02-24T17:15:00Z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