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47984" w14:textId="77777777" w:rsidR="002F76CD" w:rsidRDefault="002F76CD">
      <w:pPr>
        <w:spacing w:after="360"/>
        <w:jc w:val="center"/>
        <w:rPr>
          <w:b/>
          <w:bCs/>
          <w:sz w:val="28"/>
          <w:szCs w:val="28"/>
        </w:rPr>
      </w:pPr>
    </w:p>
    <w:p w14:paraId="2CCD4DB7" w14:textId="77777777" w:rsidR="002F76CD" w:rsidRDefault="002F76CD">
      <w:pPr>
        <w:spacing w:after="360"/>
        <w:jc w:val="center"/>
        <w:rPr>
          <w:b/>
          <w:bCs/>
          <w:sz w:val="28"/>
          <w:szCs w:val="28"/>
        </w:rPr>
      </w:pPr>
    </w:p>
    <w:p w14:paraId="203B173D" w14:textId="77777777" w:rsidR="002F76CD" w:rsidRDefault="002F76CD">
      <w:pPr>
        <w:spacing w:after="360"/>
        <w:jc w:val="center"/>
        <w:rPr>
          <w:b/>
          <w:bCs/>
          <w:sz w:val="28"/>
          <w:szCs w:val="28"/>
        </w:rPr>
      </w:pPr>
    </w:p>
    <w:p w14:paraId="4835FF30" w14:textId="77777777" w:rsidR="002F76CD" w:rsidRDefault="002F76CD">
      <w:pPr>
        <w:spacing w:after="360"/>
        <w:jc w:val="center"/>
        <w:rPr>
          <w:b/>
          <w:bCs/>
          <w:sz w:val="28"/>
          <w:szCs w:val="28"/>
        </w:rPr>
      </w:pPr>
    </w:p>
    <w:p w14:paraId="3B450FFE" w14:textId="77777777" w:rsidR="002F76CD" w:rsidRDefault="002F76CD">
      <w:pPr>
        <w:spacing w:after="360"/>
        <w:jc w:val="center"/>
        <w:rPr>
          <w:b/>
          <w:bCs/>
          <w:sz w:val="28"/>
          <w:szCs w:val="28"/>
        </w:rPr>
      </w:pPr>
    </w:p>
    <w:p w14:paraId="402523E4" w14:textId="77777777" w:rsidR="002F76CD" w:rsidRDefault="002F76CD">
      <w:pPr>
        <w:spacing w:after="360"/>
        <w:jc w:val="center"/>
        <w:rPr>
          <w:b/>
          <w:bCs/>
          <w:sz w:val="28"/>
          <w:szCs w:val="28"/>
        </w:rPr>
      </w:pPr>
    </w:p>
    <w:p w14:paraId="59EF4B02" w14:textId="77777777" w:rsidR="002F76CD" w:rsidRDefault="002F76CD">
      <w:pPr>
        <w:spacing w:after="360"/>
        <w:jc w:val="center"/>
        <w:rPr>
          <w:b/>
          <w:bCs/>
          <w:sz w:val="28"/>
          <w:szCs w:val="28"/>
        </w:rPr>
      </w:pPr>
    </w:p>
    <w:p w14:paraId="218B9DCB" w14:textId="77777777" w:rsidR="002F76CD" w:rsidRDefault="002F76CD">
      <w:pPr>
        <w:spacing w:after="360"/>
        <w:jc w:val="center"/>
        <w:rPr>
          <w:b/>
          <w:bCs/>
          <w:sz w:val="28"/>
          <w:szCs w:val="28"/>
        </w:rPr>
      </w:pPr>
    </w:p>
    <w:p w14:paraId="7158F0E8" w14:textId="06D2EA9E" w:rsidR="002F76CD" w:rsidRDefault="002F76CD">
      <w:pPr>
        <w:spacing w:after="360"/>
        <w:jc w:val="center"/>
        <w:rPr>
          <w:b/>
          <w:bCs/>
          <w:sz w:val="28"/>
          <w:szCs w:val="28"/>
        </w:rPr>
      </w:pPr>
    </w:p>
    <w:p w14:paraId="462F3D7D" w14:textId="77777777" w:rsidR="002F76CD" w:rsidRPr="002F76CD" w:rsidRDefault="002F76CD">
      <w:pPr>
        <w:spacing w:after="360"/>
        <w:jc w:val="center"/>
        <w:rPr>
          <w:b/>
          <w:bCs/>
          <w:sz w:val="22"/>
          <w:szCs w:val="22"/>
        </w:rPr>
      </w:pPr>
    </w:p>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4970"/>
      </w:tblGrid>
      <w:tr w:rsidR="002F76CD" w:rsidRPr="002F76CD" w14:paraId="2DC24B38" w14:textId="77777777" w:rsidTr="002F76CD">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6BD7793A" w14:textId="77777777" w:rsidR="002F76CD" w:rsidRPr="002F76CD" w:rsidRDefault="002F76CD" w:rsidP="007F68F0">
            <w:pPr>
              <w:spacing w:line="360" w:lineRule="auto"/>
              <w:rPr>
                <w:sz w:val="22"/>
                <w:szCs w:val="22"/>
              </w:rPr>
            </w:pPr>
            <w:r w:rsidRPr="002F76CD">
              <w:rPr>
                <w:b/>
                <w:bCs/>
                <w:color w:val="006989"/>
                <w:sz w:val="22"/>
                <w:szCs w:val="22"/>
              </w:rPr>
              <w:t>Name</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44528B99" w14:textId="278CFC82" w:rsidR="002F76CD" w:rsidRPr="002F76CD" w:rsidRDefault="002F76CD" w:rsidP="007F68F0">
            <w:pPr>
              <w:spacing w:line="360" w:lineRule="auto"/>
              <w:rPr>
                <w:sz w:val="22"/>
                <w:szCs w:val="22"/>
              </w:rPr>
            </w:pPr>
            <w:r w:rsidRPr="002F76CD">
              <w:rPr>
                <w:color w:val="222222"/>
                <w:sz w:val="22"/>
                <w:szCs w:val="22"/>
              </w:rPr>
              <w:t xml:space="preserve">Farah Chaudry </w:t>
            </w:r>
          </w:p>
        </w:tc>
      </w:tr>
      <w:tr w:rsidR="002F76CD" w:rsidRPr="002F76CD" w14:paraId="701508AF" w14:textId="77777777" w:rsidTr="002F76CD">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11CC66A2" w14:textId="77777777" w:rsidR="002F76CD" w:rsidRPr="002F76CD" w:rsidRDefault="002F76CD" w:rsidP="007F68F0">
            <w:pPr>
              <w:spacing w:line="360" w:lineRule="auto"/>
              <w:rPr>
                <w:sz w:val="22"/>
                <w:szCs w:val="22"/>
              </w:rPr>
            </w:pPr>
            <w:r w:rsidRPr="002F76CD">
              <w:rPr>
                <w:b/>
                <w:bCs/>
                <w:color w:val="006989"/>
                <w:sz w:val="22"/>
                <w:szCs w:val="22"/>
              </w:rPr>
              <w:t>Student Number</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698A0CAC" w14:textId="3C11E82E" w:rsidR="002F76CD" w:rsidRPr="002F76CD" w:rsidRDefault="002F76CD" w:rsidP="007F68F0">
            <w:pPr>
              <w:spacing w:line="360" w:lineRule="auto"/>
              <w:rPr>
                <w:sz w:val="22"/>
                <w:szCs w:val="22"/>
              </w:rPr>
            </w:pPr>
            <w:r>
              <w:rPr>
                <w:sz w:val="22"/>
                <w:szCs w:val="22"/>
              </w:rPr>
              <w:t>2524561</w:t>
            </w:r>
          </w:p>
        </w:tc>
      </w:tr>
      <w:tr w:rsidR="002F76CD" w:rsidRPr="002F76CD" w14:paraId="6852929F" w14:textId="77777777" w:rsidTr="002F76CD">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71FB187C" w14:textId="77777777" w:rsidR="002F76CD" w:rsidRPr="002F76CD" w:rsidRDefault="002F76CD" w:rsidP="007F68F0">
            <w:pPr>
              <w:spacing w:line="360" w:lineRule="auto"/>
              <w:rPr>
                <w:sz w:val="22"/>
                <w:szCs w:val="22"/>
              </w:rPr>
            </w:pPr>
            <w:r w:rsidRPr="002F76CD">
              <w:rPr>
                <w:b/>
                <w:bCs/>
                <w:color w:val="006989"/>
                <w:sz w:val="22"/>
                <w:szCs w:val="22"/>
              </w:rPr>
              <w:t>Module Code</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48E73113" w14:textId="6835F159" w:rsidR="002F76CD" w:rsidRPr="002F76CD" w:rsidRDefault="002F76CD" w:rsidP="007F68F0">
            <w:pPr>
              <w:spacing w:line="360" w:lineRule="auto"/>
              <w:rPr>
                <w:sz w:val="22"/>
                <w:szCs w:val="22"/>
              </w:rPr>
            </w:pPr>
            <w:r w:rsidRPr="002F76CD">
              <w:rPr>
                <w:color w:val="222222"/>
                <w:sz w:val="22"/>
                <w:szCs w:val="22"/>
              </w:rPr>
              <w:t>LCHS4008</w:t>
            </w:r>
          </w:p>
        </w:tc>
      </w:tr>
      <w:tr w:rsidR="002F76CD" w:rsidRPr="002F76CD" w14:paraId="444F1D69" w14:textId="77777777" w:rsidTr="002F76CD">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42CFCD1B" w14:textId="77777777" w:rsidR="002F76CD" w:rsidRPr="002F76CD" w:rsidRDefault="002F76CD" w:rsidP="007F68F0">
            <w:pPr>
              <w:spacing w:line="360" w:lineRule="auto"/>
              <w:rPr>
                <w:sz w:val="22"/>
                <w:szCs w:val="22"/>
              </w:rPr>
            </w:pPr>
            <w:r w:rsidRPr="002F76CD">
              <w:rPr>
                <w:b/>
                <w:bCs/>
                <w:color w:val="006989"/>
                <w:sz w:val="22"/>
                <w:szCs w:val="22"/>
              </w:rPr>
              <w:t>Module Title</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38FC5B80" w14:textId="6E1CADA2" w:rsidR="002F76CD" w:rsidRPr="002F76CD" w:rsidRDefault="002F76CD" w:rsidP="007F68F0">
            <w:pPr>
              <w:spacing w:line="360" w:lineRule="auto"/>
              <w:rPr>
                <w:bCs/>
                <w:sz w:val="22"/>
                <w:szCs w:val="22"/>
              </w:rPr>
            </w:pPr>
            <w:r w:rsidRPr="002F76CD">
              <w:rPr>
                <w:bCs/>
                <w:sz w:val="22"/>
                <w:szCs w:val="22"/>
              </w:rPr>
              <w:t>Introduction to Public Health</w:t>
            </w:r>
          </w:p>
        </w:tc>
      </w:tr>
      <w:tr w:rsidR="002F76CD" w:rsidRPr="002F76CD" w14:paraId="51CF08B9" w14:textId="77777777" w:rsidTr="002F76CD">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2A280BCE" w14:textId="77777777" w:rsidR="002F76CD" w:rsidRPr="002F76CD" w:rsidRDefault="002F76CD" w:rsidP="007F68F0">
            <w:pPr>
              <w:spacing w:line="360" w:lineRule="auto"/>
              <w:rPr>
                <w:sz w:val="22"/>
                <w:szCs w:val="22"/>
              </w:rPr>
            </w:pPr>
            <w:r w:rsidRPr="002F76CD">
              <w:rPr>
                <w:b/>
                <w:bCs/>
                <w:color w:val="006989"/>
                <w:sz w:val="22"/>
                <w:szCs w:val="22"/>
              </w:rPr>
              <w:t>Lecturer</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5D599C53" w14:textId="07564668" w:rsidR="002F76CD" w:rsidRPr="002F76CD" w:rsidRDefault="002F76CD" w:rsidP="007F68F0">
            <w:pPr>
              <w:spacing w:line="360" w:lineRule="auto"/>
              <w:rPr>
                <w:sz w:val="22"/>
                <w:szCs w:val="22"/>
              </w:rPr>
            </w:pPr>
            <w:r w:rsidRPr="002F76CD">
              <w:rPr>
                <w:sz w:val="22"/>
                <w:szCs w:val="22"/>
              </w:rPr>
              <w:t xml:space="preserve">Rizwan </w:t>
            </w:r>
            <w:r>
              <w:rPr>
                <w:sz w:val="22"/>
                <w:szCs w:val="22"/>
              </w:rPr>
              <w:t>Nadim</w:t>
            </w:r>
          </w:p>
        </w:tc>
      </w:tr>
      <w:tr w:rsidR="002F76CD" w:rsidRPr="002F76CD" w14:paraId="0046CC42" w14:textId="77777777" w:rsidTr="002F76CD">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0E8E829E" w14:textId="77777777" w:rsidR="002F76CD" w:rsidRPr="002F76CD" w:rsidRDefault="002F76CD" w:rsidP="007F68F0">
            <w:pPr>
              <w:spacing w:line="360" w:lineRule="auto"/>
              <w:rPr>
                <w:sz w:val="22"/>
                <w:szCs w:val="22"/>
              </w:rPr>
            </w:pPr>
            <w:r w:rsidRPr="002F76CD">
              <w:rPr>
                <w:b/>
                <w:bCs/>
                <w:color w:val="006989"/>
                <w:sz w:val="22"/>
                <w:szCs w:val="22"/>
              </w:rPr>
              <w:t>Assignment Title</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0C359FF9" w14:textId="773035F6" w:rsidR="002F76CD" w:rsidRPr="002F76CD" w:rsidRDefault="002F76CD" w:rsidP="007F68F0">
            <w:pPr>
              <w:spacing w:line="360" w:lineRule="auto"/>
              <w:rPr>
                <w:sz w:val="22"/>
                <w:szCs w:val="22"/>
                <w:lang w:val="en-US"/>
              </w:rPr>
            </w:pPr>
            <w:r w:rsidRPr="002F76CD">
              <w:rPr>
                <w:sz w:val="22"/>
                <w:szCs w:val="22"/>
                <w:lang w:val="en-US"/>
              </w:rPr>
              <w:t>Assessment 2 -</w:t>
            </w:r>
            <w:r w:rsidRPr="002F76CD">
              <w:rPr>
                <w:sz w:val="22"/>
                <w:szCs w:val="22"/>
              </w:rPr>
              <w:t>Report on a Health Issue</w:t>
            </w:r>
          </w:p>
        </w:tc>
      </w:tr>
      <w:tr w:rsidR="002F76CD" w:rsidRPr="002F76CD" w14:paraId="3821230D" w14:textId="77777777" w:rsidTr="002F76CD">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3716A751" w14:textId="77777777" w:rsidR="002F76CD" w:rsidRPr="002F76CD" w:rsidRDefault="002F76CD" w:rsidP="007F68F0">
            <w:pPr>
              <w:spacing w:line="360" w:lineRule="auto"/>
              <w:rPr>
                <w:sz w:val="22"/>
                <w:szCs w:val="22"/>
              </w:rPr>
            </w:pPr>
            <w:r w:rsidRPr="002F76CD">
              <w:rPr>
                <w:b/>
                <w:bCs/>
                <w:color w:val="006989"/>
                <w:sz w:val="22"/>
                <w:szCs w:val="22"/>
              </w:rPr>
              <w:t>Submission Date</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7B1D8FC3" w14:textId="3C8C3BE6" w:rsidR="002F76CD" w:rsidRPr="002F76CD" w:rsidRDefault="008B6FEC" w:rsidP="007F68F0">
            <w:pPr>
              <w:spacing w:line="360" w:lineRule="auto"/>
              <w:rPr>
                <w:sz w:val="22"/>
                <w:szCs w:val="22"/>
              </w:rPr>
            </w:pPr>
            <w:r>
              <w:rPr>
                <w:color w:val="222222"/>
                <w:sz w:val="22"/>
                <w:szCs w:val="22"/>
              </w:rPr>
              <w:t>15</w:t>
            </w:r>
            <w:r w:rsidRPr="008B6FEC">
              <w:rPr>
                <w:color w:val="222222"/>
                <w:sz w:val="22"/>
                <w:szCs w:val="22"/>
                <w:vertAlign w:val="superscript"/>
              </w:rPr>
              <w:t>th</w:t>
            </w:r>
            <w:r>
              <w:rPr>
                <w:color w:val="222222"/>
                <w:sz w:val="22"/>
                <w:szCs w:val="22"/>
              </w:rPr>
              <w:t xml:space="preserve"> </w:t>
            </w:r>
            <w:r w:rsidR="002F76CD">
              <w:rPr>
                <w:color w:val="222222"/>
                <w:sz w:val="22"/>
                <w:szCs w:val="22"/>
              </w:rPr>
              <w:t>July 2026</w:t>
            </w:r>
          </w:p>
        </w:tc>
      </w:tr>
    </w:tbl>
    <w:p w14:paraId="256B5C4D" w14:textId="77777777" w:rsidR="002F76CD" w:rsidRPr="002F76CD" w:rsidRDefault="002F76CD">
      <w:pPr>
        <w:spacing w:after="360"/>
        <w:jc w:val="center"/>
        <w:rPr>
          <w:b/>
          <w:bCs/>
          <w:sz w:val="22"/>
          <w:szCs w:val="22"/>
        </w:rPr>
      </w:pPr>
    </w:p>
    <w:p w14:paraId="572E100C" w14:textId="77777777" w:rsidR="002F76CD" w:rsidRPr="002F76CD" w:rsidRDefault="002F76CD">
      <w:pPr>
        <w:spacing w:after="360"/>
        <w:jc w:val="center"/>
        <w:rPr>
          <w:b/>
          <w:bCs/>
          <w:sz w:val="22"/>
          <w:szCs w:val="22"/>
        </w:rPr>
      </w:pPr>
    </w:p>
    <w:p w14:paraId="0366B8C9" w14:textId="77777777" w:rsidR="002F76CD" w:rsidRPr="002F76CD" w:rsidRDefault="002F76CD">
      <w:pPr>
        <w:spacing w:after="360"/>
        <w:jc w:val="center"/>
        <w:rPr>
          <w:b/>
          <w:bCs/>
          <w:sz w:val="22"/>
          <w:szCs w:val="22"/>
        </w:rPr>
      </w:pPr>
    </w:p>
    <w:p w14:paraId="1F94CD96" w14:textId="77777777" w:rsidR="002F76CD" w:rsidRPr="002F76CD" w:rsidRDefault="002F76CD">
      <w:pPr>
        <w:spacing w:after="360"/>
        <w:jc w:val="center"/>
        <w:rPr>
          <w:b/>
          <w:bCs/>
          <w:sz w:val="22"/>
          <w:szCs w:val="22"/>
        </w:rPr>
      </w:pPr>
    </w:p>
    <w:p w14:paraId="667EBF97" w14:textId="4882C718" w:rsidR="00355EE6" w:rsidRPr="002F76CD" w:rsidRDefault="00000000" w:rsidP="0087074F">
      <w:pPr>
        <w:spacing w:after="360" w:line="360" w:lineRule="auto"/>
        <w:jc w:val="center"/>
        <w:rPr>
          <w:sz w:val="22"/>
          <w:szCs w:val="22"/>
        </w:rPr>
      </w:pPr>
      <w:r w:rsidRPr="002F76CD">
        <w:rPr>
          <w:b/>
          <w:bCs/>
          <w:sz w:val="22"/>
          <w:szCs w:val="22"/>
        </w:rPr>
        <w:lastRenderedPageBreak/>
        <w:t>Type 1 Diabetes</w:t>
      </w:r>
    </w:p>
    <w:p w14:paraId="2788EC75" w14:textId="77777777" w:rsidR="00355EE6" w:rsidRPr="002F76CD" w:rsidRDefault="00000000" w:rsidP="0087074F">
      <w:pPr>
        <w:pStyle w:val="Heading1"/>
        <w:spacing w:line="360" w:lineRule="auto"/>
        <w:rPr>
          <w:color w:val="auto"/>
          <w:sz w:val="22"/>
          <w:szCs w:val="22"/>
        </w:rPr>
      </w:pPr>
      <w:r w:rsidRPr="002F76CD">
        <w:rPr>
          <w:color w:val="auto"/>
          <w:sz w:val="22"/>
          <w:szCs w:val="22"/>
        </w:rPr>
        <w:t>Introduction</w:t>
      </w:r>
    </w:p>
    <w:p w14:paraId="4AE40DDC" w14:textId="77777777" w:rsidR="00355EE6" w:rsidRPr="002F76CD" w:rsidRDefault="00000000" w:rsidP="0087074F">
      <w:pPr>
        <w:spacing w:after="160" w:line="360" w:lineRule="auto"/>
        <w:jc w:val="both"/>
        <w:rPr>
          <w:sz w:val="22"/>
          <w:szCs w:val="22"/>
        </w:rPr>
      </w:pPr>
      <w:r w:rsidRPr="002F76CD">
        <w:rPr>
          <w:sz w:val="22"/>
          <w:szCs w:val="22"/>
        </w:rPr>
        <w:t>Type 1 diabetes (T1D) is a chronic autoimmune condition in which the immune system destroys the insulin-producing beta cells of the pancreas, leaving the body unable to produce sufficient insulin to regulate blood glucose levels. Unlike type 2 diabetes, it is not linked to lifestyle factors and most commonly develops in childhood or adolescence, although it can present at any age. Without insulin, glucose builds up in the bloodstream rather than being absorbed by cells for energy, leading to hyperglycaemia.</w:t>
      </w:r>
    </w:p>
    <w:p w14:paraId="29F48418" w14:textId="77777777" w:rsidR="00355EE6" w:rsidRPr="002F76CD" w:rsidRDefault="00000000" w:rsidP="0087074F">
      <w:pPr>
        <w:spacing w:after="160" w:line="360" w:lineRule="auto"/>
        <w:jc w:val="both"/>
        <w:rPr>
          <w:sz w:val="22"/>
          <w:szCs w:val="22"/>
        </w:rPr>
      </w:pPr>
      <w:r w:rsidRPr="002F76CD">
        <w:rPr>
          <w:sz w:val="22"/>
          <w:szCs w:val="22"/>
        </w:rPr>
        <w:t>Common signs and symptoms include excessive thirst (polydipsia), frequent urination (polyuria), unexplained weight loss, persistent fatigue, blurred vision and slow wound healing. Some individuals also experience irritability, recurrent infections such as thrush, and a fruity-smelling breath caused by rising ketone levels. Symptoms often develop quickly, over days or weeks, particularly in children. If undiagnosed or untreated, the condition can progress rapidly to diabetic ketoacidosis, a life-threatening emergency requiring urgent hospital treatment.</w:t>
      </w:r>
    </w:p>
    <w:p w14:paraId="247C5806" w14:textId="77777777" w:rsidR="00355EE6" w:rsidRPr="002F76CD" w:rsidRDefault="00000000" w:rsidP="0087074F">
      <w:pPr>
        <w:spacing w:after="160" w:line="360" w:lineRule="auto"/>
        <w:jc w:val="both"/>
        <w:rPr>
          <w:sz w:val="22"/>
          <w:szCs w:val="22"/>
        </w:rPr>
      </w:pPr>
      <w:r w:rsidRPr="002F76CD">
        <w:rPr>
          <w:sz w:val="22"/>
          <w:szCs w:val="22"/>
        </w:rPr>
        <w:t>T1D represents a significant and growing global health burden. The International Diabetes Federation estimates that approximately 9.5 million people were living with T1D worldwide in 2025, a 13% increase since 2021, with around 513,000 new diagnoses occurring that year, of which over 40% were in people under the age of 20. In the United Kingdom, diabetes affects roughly 4.8 million people overall, of whom approximately 10% (around 400,000 people) have type 1 diabetes, placing the UK among the ten countries with the highest national T1D populations. Incidence in high-income countries such as the UK remains among the highest in the world, and prevalence is projected to continue rising over the coming decades. These figures highlight T1D as a serious, lifelong condition requiring sustained clinical and social support.</w:t>
      </w:r>
    </w:p>
    <w:p w14:paraId="5149A6B6" w14:textId="142B52AA" w:rsidR="00355EE6" w:rsidRPr="002F76CD" w:rsidRDefault="00000000" w:rsidP="0087074F">
      <w:pPr>
        <w:pStyle w:val="Heading1"/>
        <w:spacing w:line="360" w:lineRule="auto"/>
        <w:rPr>
          <w:color w:val="auto"/>
          <w:sz w:val="22"/>
          <w:szCs w:val="22"/>
        </w:rPr>
      </w:pPr>
      <w:r w:rsidRPr="002F76CD">
        <w:rPr>
          <w:color w:val="auto"/>
          <w:sz w:val="22"/>
          <w:szCs w:val="22"/>
        </w:rPr>
        <w:t>Main Body</w:t>
      </w:r>
    </w:p>
    <w:p w14:paraId="118D675E" w14:textId="77777777" w:rsidR="00355EE6" w:rsidRPr="002F76CD" w:rsidRDefault="00000000" w:rsidP="0087074F">
      <w:pPr>
        <w:pStyle w:val="Heading2"/>
        <w:spacing w:line="360" w:lineRule="auto"/>
        <w:rPr>
          <w:color w:val="auto"/>
          <w:sz w:val="22"/>
          <w:szCs w:val="22"/>
        </w:rPr>
      </w:pPr>
      <w:r w:rsidRPr="002F76CD">
        <w:rPr>
          <w:color w:val="auto"/>
          <w:sz w:val="22"/>
          <w:szCs w:val="22"/>
        </w:rPr>
        <w:t>Measuring and Monitoring Type 1 Diabetes</w:t>
      </w:r>
    </w:p>
    <w:p w14:paraId="78C32D0E" w14:textId="77777777" w:rsidR="00355EE6" w:rsidRPr="002F76CD" w:rsidRDefault="00000000" w:rsidP="0087074F">
      <w:pPr>
        <w:spacing w:after="160" w:line="360" w:lineRule="auto"/>
        <w:jc w:val="both"/>
        <w:rPr>
          <w:sz w:val="22"/>
          <w:szCs w:val="22"/>
        </w:rPr>
      </w:pPr>
      <w:r w:rsidRPr="002F76CD">
        <w:rPr>
          <w:sz w:val="22"/>
          <w:szCs w:val="22"/>
        </w:rPr>
        <w:t>Accurate monitoring is essential because blood glucose levels in T1D can fluctuate rapidly and dangerously. Several approaches are used in combination:</w:t>
      </w:r>
    </w:p>
    <w:p w14:paraId="72A45CDB"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t>Self-monitoring of blood glucose (SMBG): finger-prick capillary blood tests using a glucometer, traditionally performed several times a day.</w:t>
      </w:r>
    </w:p>
    <w:p w14:paraId="268B379E"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lastRenderedPageBreak/>
        <w:t>Continuous glucose monitoring (CGM): sensors worn on the skin (e.g. Freestyle Libre, Dexcom) that measure interstitial glucose every few minutes and display trends on a smartphone or reader, reducing the burden of repeated finger-pricks and alerting users to highs and lows.</w:t>
      </w:r>
    </w:p>
    <w:p w14:paraId="45E17E31"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t>Flash glucose monitoring: a variant of CGM that the user scans on demand rather than receiving automatic continuous readings.</w:t>
      </w:r>
    </w:p>
    <w:p w14:paraId="76B2F6D0"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t>HbA1c testing: a blood test, usually carried out every three to six months by a clinician, that measures average blood glucose over the preceding two to three months and is used to assess long-term control and adjust treatment plans.</w:t>
      </w:r>
    </w:p>
    <w:p w14:paraId="4AB381AC"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t>Urine or blood ketone testing: used during illness or when glucose is very high, to detect the risk of diabetic ketoacidosis.</w:t>
      </w:r>
    </w:p>
    <w:p w14:paraId="638283EA" w14:textId="77777777" w:rsidR="00355EE6" w:rsidRDefault="00000000" w:rsidP="0087074F">
      <w:pPr>
        <w:spacing w:after="160" w:line="360" w:lineRule="auto"/>
        <w:jc w:val="both"/>
        <w:rPr>
          <w:sz w:val="22"/>
          <w:szCs w:val="22"/>
        </w:rPr>
      </w:pPr>
      <w:r w:rsidRPr="002F76CD">
        <w:rPr>
          <w:sz w:val="22"/>
          <w:szCs w:val="22"/>
        </w:rPr>
        <w:t>Together, these tools allow individuals and healthcare teams to track patterns, anticipate hypoglycaemic or hyperglycaemic episodes, and make informed decisions about insulin dosing, diet and activity. National diabetes audits, such as the National Diabetes Audit in England and Wales, also monitor population-level outcomes, tracking how many people receive recommended annual care processes and complication checks, which helps identify inequalities in care and target service improvements.</w:t>
      </w:r>
    </w:p>
    <w:p w14:paraId="08C3D850" w14:textId="5C4E2BAF" w:rsidR="000139E1" w:rsidRPr="002F76CD" w:rsidRDefault="00000000" w:rsidP="0087074F">
      <w:pPr>
        <w:pStyle w:val="Heading2"/>
        <w:spacing w:line="360" w:lineRule="auto"/>
        <w:rPr>
          <w:color w:val="auto"/>
          <w:sz w:val="22"/>
          <w:szCs w:val="22"/>
        </w:rPr>
      </w:pPr>
      <w:r w:rsidRPr="002F76CD">
        <w:rPr>
          <w:color w:val="auto"/>
          <w:sz w:val="22"/>
          <w:szCs w:val="22"/>
        </w:rPr>
        <w:t>How the Condition Is Controlled</w:t>
      </w:r>
    </w:p>
    <w:p w14:paraId="55F0A06B" w14:textId="77777777" w:rsidR="00355EE6" w:rsidRPr="002F76CD" w:rsidRDefault="00000000" w:rsidP="0087074F">
      <w:pPr>
        <w:spacing w:after="160" w:line="360" w:lineRule="auto"/>
        <w:jc w:val="both"/>
        <w:rPr>
          <w:sz w:val="22"/>
          <w:szCs w:val="22"/>
        </w:rPr>
      </w:pPr>
      <w:r w:rsidRPr="002F76CD">
        <w:rPr>
          <w:sz w:val="22"/>
          <w:szCs w:val="22"/>
        </w:rPr>
        <w:t>As the body can no longer produce its own insulin, lifelong insulin replacement is the cornerstone of management. This is typically delivered through multiple daily injections (a combination of long-acting background insulin and rapid-acting insulin taken with meals) or via an insulin pump, which delivers a continuous, adjustable supply through a small cannula. Increasingly, hybrid closed-loop systems link a CGM sensor to an insulin pump via an algorithm that automatically adjusts insulin delivery, reducing the daily burden of decision-making and improving glucose stability.</w:t>
      </w:r>
    </w:p>
    <w:p w14:paraId="0B471811" w14:textId="77777777" w:rsidR="00355EE6" w:rsidRDefault="00000000" w:rsidP="0087074F">
      <w:pPr>
        <w:spacing w:after="160" w:line="360" w:lineRule="auto"/>
        <w:jc w:val="both"/>
        <w:rPr>
          <w:sz w:val="22"/>
          <w:szCs w:val="22"/>
        </w:rPr>
      </w:pPr>
      <w:r w:rsidRPr="002F76CD">
        <w:rPr>
          <w:sz w:val="22"/>
          <w:szCs w:val="22"/>
        </w:rPr>
        <w:t xml:space="preserve">Effective control also depends on carbohydrate counting to match insulin doses to food intake, regular physical activity (balanced carefully against the risk of hypoglycaemia), and structured education programmes such as DAFNE (Dose Adjustment </w:t>
      </w:r>
      <w:proofErr w:type="gramStart"/>
      <w:r w:rsidRPr="002F76CD">
        <w:rPr>
          <w:sz w:val="22"/>
          <w:szCs w:val="22"/>
        </w:rPr>
        <w:t>For</w:t>
      </w:r>
      <w:proofErr w:type="gramEnd"/>
      <w:r w:rsidRPr="002F76CD">
        <w:rPr>
          <w:sz w:val="22"/>
          <w:szCs w:val="22"/>
        </w:rPr>
        <w:t xml:space="preserve"> Normal Eating) in the UK, which teach people to adjust insulin flexibly around their lifestyle. People with T1D are also taught 'sick day rules' to adjust insulin and monitor ketones during illness, when insulin requirements often rise even if appetite falls. Regular review with a diabetes specialist team, including annual checks for complications affecting the eyes, kidneys, feet and cardiovascular system, forms an essential </w:t>
      </w:r>
      <w:r w:rsidRPr="002F76CD">
        <w:rPr>
          <w:sz w:val="22"/>
          <w:szCs w:val="22"/>
        </w:rPr>
        <w:lastRenderedPageBreak/>
        <w:t>part of ongoing management, alongside support to manage the emotional demands of a condition that requires near-constant decision-making.</w:t>
      </w:r>
    </w:p>
    <w:p w14:paraId="41730CEE" w14:textId="77777777" w:rsidR="00355EE6" w:rsidRPr="002F76CD" w:rsidRDefault="00000000" w:rsidP="0087074F">
      <w:pPr>
        <w:pStyle w:val="Heading2"/>
        <w:spacing w:line="360" w:lineRule="auto"/>
        <w:rPr>
          <w:color w:val="auto"/>
          <w:sz w:val="22"/>
          <w:szCs w:val="22"/>
        </w:rPr>
      </w:pPr>
      <w:r w:rsidRPr="002F76CD">
        <w:rPr>
          <w:color w:val="auto"/>
          <w:sz w:val="22"/>
          <w:szCs w:val="22"/>
        </w:rPr>
        <w:t>Consequences for People in the Community</w:t>
      </w:r>
    </w:p>
    <w:p w14:paraId="75C3EE9C" w14:textId="77777777" w:rsidR="00355EE6" w:rsidRPr="002F76CD" w:rsidRDefault="00000000" w:rsidP="0087074F">
      <w:pPr>
        <w:spacing w:after="160" w:line="360" w:lineRule="auto"/>
        <w:jc w:val="both"/>
        <w:rPr>
          <w:sz w:val="22"/>
          <w:szCs w:val="22"/>
        </w:rPr>
      </w:pPr>
      <w:r w:rsidRPr="002F76CD">
        <w:rPr>
          <w:sz w:val="22"/>
          <w:szCs w:val="22"/>
        </w:rPr>
        <w:t>T1D has wide-ranging effects beyond glucose control. Physically, poorly managed diabetes increases the risk of long-term complications including retinopathy, nephropathy, neuropathy and cardiovascular disease, as well as acute risks such as hypoglycaemia and ketoacidosis. Over time, these complications can lead to reduced mobility, sight loss, kidney failure requiring dialysis, and a higher risk of heart attack or stroke, which can significantly shorten life expectancy if the condition is poorly controlled. The constant vigilance required, sometimes described as a heavy mental and emotional workload, is associated with higher rates of diabetes-related distress, anxiety and depression among those affected, as well as disrupted sleep for both individuals and family members who monitor overnight glucose levels.</w:t>
      </w:r>
    </w:p>
    <w:p w14:paraId="78A5C2F1" w14:textId="77777777" w:rsidR="00355EE6" w:rsidRDefault="00000000" w:rsidP="0087074F">
      <w:pPr>
        <w:spacing w:after="160" w:line="360" w:lineRule="auto"/>
        <w:jc w:val="both"/>
        <w:rPr>
          <w:sz w:val="22"/>
          <w:szCs w:val="22"/>
        </w:rPr>
      </w:pPr>
      <w:r w:rsidRPr="002F76CD">
        <w:rPr>
          <w:sz w:val="22"/>
          <w:szCs w:val="22"/>
        </w:rPr>
        <w:t>Socially and economically, T1D can disrupt education and employment, particularly where schools or workplaces lack understanding of the condition or facilities for monitoring and treatment. Young people may face stigma or exclusion from activities if staff are not trained to support them, while adults may encounter misconceptions linking their condition to lifestyle choices, despite T1D being an autoimmune disease unrelated to diet or weight. Families often take on significant caregiving responsibilities, especially when a child is diagnosed, affecting routines, finances, sleep and emotional wellbeing, with many parents reporting anxiety around overnight hypoglycaemia. There can also be financial costs linked to consumables, technology and, in some cases, missed work, even though insulin and most diabetes care are free at the point of use within the NHS. At a wider level, diabetes places considerable pressure on health services; in the UK it is estimated that around 10% of the NHS budget is spent on diabetes care, much of it on managing avoidable complications, underlining the importance of effective early support.</w:t>
      </w:r>
    </w:p>
    <w:p w14:paraId="0A348387" w14:textId="77777777" w:rsidR="00355EE6" w:rsidRPr="002F76CD" w:rsidRDefault="00000000" w:rsidP="0087074F">
      <w:pPr>
        <w:pStyle w:val="Heading2"/>
        <w:spacing w:line="360" w:lineRule="auto"/>
        <w:rPr>
          <w:color w:val="auto"/>
          <w:sz w:val="22"/>
          <w:szCs w:val="22"/>
        </w:rPr>
      </w:pPr>
      <w:r w:rsidRPr="002F76CD">
        <w:rPr>
          <w:color w:val="auto"/>
          <w:sz w:val="22"/>
          <w:szCs w:val="22"/>
        </w:rPr>
        <w:t>Health and Social Care Support Services</w:t>
      </w:r>
    </w:p>
    <w:p w14:paraId="1BA67BC8" w14:textId="77777777" w:rsidR="00355EE6" w:rsidRPr="002F76CD" w:rsidRDefault="00000000" w:rsidP="0087074F">
      <w:pPr>
        <w:spacing w:after="160" w:line="360" w:lineRule="auto"/>
        <w:jc w:val="both"/>
        <w:rPr>
          <w:sz w:val="22"/>
          <w:szCs w:val="22"/>
        </w:rPr>
      </w:pPr>
      <w:r w:rsidRPr="002F76CD">
        <w:rPr>
          <w:sz w:val="22"/>
          <w:szCs w:val="22"/>
        </w:rPr>
        <w:t>Meeting the needs of people with T1D requires coordinated support across multiple services:</w:t>
      </w:r>
    </w:p>
    <w:p w14:paraId="5CE761CD"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t>Specialist diabetes teams: consultant endocrinologists, diabetes specialist nurses and dietitians providing diagnosis, ongoing review, insulin and technology management, and annual complication screening for eyes, kidneys and feet.</w:t>
      </w:r>
    </w:p>
    <w:p w14:paraId="339FCD84"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lastRenderedPageBreak/>
        <w:t>Primary care (GP services): routine health monitoring, prescriptions, sick-day management advice, vaccinations and referral into specialist hospital services when needed.</w:t>
      </w:r>
    </w:p>
    <w:p w14:paraId="149C04D7"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t>Structured education programmes: courses such as DAFNE that build self-management skills, confidence and flexibility around food, exercise and travel.</w:t>
      </w:r>
    </w:p>
    <w:p w14:paraId="40727550"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t>Psychological support: access to counselling or clinical psychology for diabetes-related distress, anxiety or depression, recognised as an integral part of holistic diabetes care rather than an optional extra.</w:t>
      </w:r>
    </w:p>
    <w:p w14:paraId="020B434D"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t>School and workplace support: individual healthcare plans, staff training, and reasonable adjustments to allow safe monitoring, eating and insulin administration during the day.</w:t>
      </w:r>
    </w:p>
    <w:p w14:paraId="05218E29"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t>Community and voluntary organisations: charities such as Diabetes UK and JDRF provide information, peer support groups, helplines, fundraising for research, and advocacy for better services.</w:t>
      </w:r>
    </w:p>
    <w:p w14:paraId="73575C50" w14:textId="77777777" w:rsidR="00355EE6" w:rsidRPr="002F76CD" w:rsidRDefault="00000000" w:rsidP="0087074F">
      <w:pPr>
        <w:pStyle w:val="ListParagraph"/>
        <w:numPr>
          <w:ilvl w:val="0"/>
          <w:numId w:val="2"/>
        </w:numPr>
        <w:spacing w:after="100" w:line="360" w:lineRule="auto"/>
        <w:rPr>
          <w:sz w:val="22"/>
          <w:szCs w:val="22"/>
        </w:rPr>
      </w:pPr>
      <w:r w:rsidRPr="002F76CD">
        <w:rPr>
          <w:sz w:val="22"/>
          <w:szCs w:val="22"/>
        </w:rPr>
        <w:t>Social care and family support: respite or practical support for families of young children with T1D, and benefits advice (e.g. Disability Living Allowance) where eligible.</w:t>
      </w:r>
    </w:p>
    <w:p w14:paraId="797D5A57" w14:textId="77777777" w:rsidR="00355EE6" w:rsidRPr="002F76CD" w:rsidRDefault="00000000" w:rsidP="0087074F">
      <w:pPr>
        <w:spacing w:after="160" w:line="360" w:lineRule="auto"/>
        <w:jc w:val="both"/>
        <w:rPr>
          <w:sz w:val="22"/>
          <w:szCs w:val="22"/>
        </w:rPr>
      </w:pPr>
      <w:r w:rsidRPr="002F76CD">
        <w:rPr>
          <w:sz w:val="22"/>
          <w:szCs w:val="22"/>
        </w:rPr>
        <w:t>A joined-up, person-centred approach across these services helps individuals manage T1D safely, maintain independence, and reduce the long-term physical and psychological impact of the condition. Transition services that support young people moving from paediatric to adult diabetes care are also important, as this period carries a recognised risk of disengagement from monitoring and treatment. Overall, effective community support requires close collaboration between clinical teams, education and workplace settings, families, and voluntary organisations, ensuring that care extends beyond the clinic and into everyday life.</w:t>
      </w:r>
    </w:p>
    <w:p w14:paraId="58FFC53F" w14:textId="5C970DE3" w:rsidR="00355EE6" w:rsidRPr="002F76CD" w:rsidRDefault="00000000" w:rsidP="0087074F">
      <w:pPr>
        <w:pStyle w:val="Heading1"/>
        <w:spacing w:line="360" w:lineRule="auto"/>
        <w:rPr>
          <w:color w:val="auto"/>
          <w:sz w:val="22"/>
          <w:szCs w:val="22"/>
        </w:rPr>
      </w:pPr>
      <w:r w:rsidRPr="002F76CD">
        <w:rPr>
          <w:color w:val="auto"/>
          <w:sz w:val="22"/>
          <w:szCs w:val="22"/>
        </w:rPr>
        <w:t>Conclusion</w:t>
      </w:r>
    </w:p>
    <w:p w14:paraId="673EF5A6" w14:textId="77777777" w:rsidR="00355EE6" w:rsidRPr="002F76CD" w:rsidRDefault="00000000" w:rsidP="0087074F">
      <w:pPr>
        <w:spacing w:after="160" w:line="360" w:lineRule="auto"/>
        <w:jc w:val="both"/>
        <w:rPr>
          <w:sz w:val="22"/>
          <w:szCs w:val="22"/>
        </w:rPr>
      </w:pPr>
      <w:r w:rsidRPr="002F76CD">
        <w:rPr>
          <w:sz w:val="22"/>
          <w:szCs w:val="22"/>
        </w:rPr>
        <w:t>Type 1 diabetes is a lifelong autoimmune condition with a substantial and rising global and UK prevalence. Effective management depends on accurate glucose monitoring through technologies such as CGM and HbA1c testing, combined with consistent insulin therapy and structured self-management education. The condition carries significant physical, psychological and social consequences for individuals and their families, and places real demands on health and care systems. A coordinated network of specialist clinical care, primary care, psychological support, education, and community and voluntary services is essential to help people with type 1 diabetes lead full, healthy lives while minimising the risk of complications.</w:t>
      </w:r>
    </w:p>
    <w:p w14:paraId="7562D37E" w14:textId="4C7C9C59" w:rsidR="00355EE6" w:rsidRPr="002F76CD" w:rsidRDefault="00000000" w:rsidP="0087074F">
      <w:pPr>
        <w:pStyle w:val="Heading1"/>
        <w:spacing w:line="360" w:lineRule="auto"/>
        <w:rPr>
          <w:color w:val="auto"/>
          <w:sz w:val="22"/>
          <w:szCs w:val="22"/>
        </w:rPr>
      </w:pPr>
      <w:r w:rsidRPr="002F76CD">
        <w:rPr>
          <w:color w:val="auto"/>
          <w:sz w:val="22"/>
          <w:szCs w:val="22"/>
        </w:rPr>
        <w:lastRenderedPageBreak/>
        <w:t>References</w:t>
      </w:r>
    </w:p>
    <w:p w14:paraId="6B588214" w14:textId="77777777" w:rsidR="00355EE6" w:rsidRPr="002F76CD" w:rsidRDefault="00000000" w:rsidP="0087074F">
      <w:pPr>
        <w:spacing w:after="160" w:line="360" w:lineRule="auto"/>
        <w:ind w:left="720" w:hanging="720"/>
        <w:jc w:val="both"/>
        <w:rPr>
          <w:sz w:val="22"/>
          <w:szCs w:val="22"/>
        </w:rPr>
      </w:pPr>
      <w:r w:rsidRPr="002F76CD">
        <w:rPr>
          <w:sz w:val="22"/>
          <w:szCs w:val="22"/>
        </w:rPr>
        <w:t xml:space="preserve">Bell, K.J., Shulman, R., Pasi, K. and Foster, N. (2025) 'The changing epidemiology of type 1 diabetes: a global perspective', Diabetes, Obesity and Metabolism, 27(Suppl. 6), pp. 3-14. </w:t>
      </w:r>
      <w:proofErr w:type="spellStart"/>
      <w:r w:rsidRPr="002F76CD">
        <w:rPr>
          <w:sz w:val="22"/>
          <w:szCs w:val="22"/>
        </w:rPr>
        <w:t>doi</w:t>
      </w:r>
      <w:proofErr w:type="spellEnd"/>
      <w:r w:rsidRPr="002F76CD">
        <w:rPr>
          <w:sz w:val="22"/>
          <w:szCs w:val="22"/>
        </w:rPr>
        <w:t>: 10.1111/dom.16501.</w:t>
      </w:r>
    </w:p>
    <w:p w14:paraId="3D833C77" w14:textId="77777777" w:rsidR="00355EE6" w:rsidRPr="002F76CD" w:rsidRDefault="00000000" w:rsidP="0087074F">
      <w:pPr>
        <w:spacing w:after="160" w:line="360" w:lineRule="auto"/>
        <w:ind w:left="720" w:hanging="720"/>
        <w:jc w:val="both"/>
        <w:rPr>
          <w:sz w:val="22"/>
          <w:szCs w:val="22"/>
        </w:rPr>
      </w:pPr>
      <w:r w:rsidRPr="002F76CD">
        <w:rPr>
          <w:sz w:val="22"/>
          <w:szCs w:val="22"/>
        </w:rPr>
        <w:t>Diabetes UK (2024) Type 1 diabetes. Available at: https://www.diabetes.org.uk/diabetes-the-basics/types-of-diabetes/type-1 (Accessed: 21 June 2026).</w:t>
      </w:r>
    </w:p>
    <w:p w14:paraId="6EB37D2A" w14:textId="77777777" w:rsidR="00355EE6" w:rsidRPr="002F76CD" w:rsidRDefault="00000000" w:rsidP="0087074F">
      <w:pPr>
        <w:spacing w:after="160" w:line="360" w:lineRule="auto"/>
        <w:ind w:left="720" w:hanging="720"/>
        <w:jc w:val="both"/>
        <w:rPr>
          <w:sz w:val="22"/>
          <w:szCs w:val="22"/>
        </w:rPr>
      </w:pPr>
      <w:r w:rsidRPr="002F76CD">
        <w:rPr>
          <w:sz w:val="22"/>
          <w:szCs w:val="22"/>
        </w:rPr>
        <w:t>GOV.UK (2025) Diabetes profile: statistical commentary, March 2025. Available at: https://www.gov.uk/government/statistics/diabetes-profile-update-march-2025/diabetes-profile-statistical-commentary-march-2025 (Accessed: 21 June 2026).</w:t>
      </w:r>
    </w:p>
    <w:p w14:paraId="76D5AF96" w14:textId="4FB5EFCB" w:rsidR="00355EE6" w:rsidRPr="002F76CD" w:rsidRDefault="00000000" w:rsidP="0087074F">
      <w:pPr>
        <w:spacing w:after="160" w:line="360" w:lineRule="auto"/>
        <w:ind w:left="720" w:hanging="720"/>
        <w:jc w:val="both"/>
        <w:rPr>
          <w:sz w:val="22"/>
          <w:szCs w:val="22"/>
        </w:rPr>
      </w:pPr>
      <w:r w:rsidRPr="002F76CD">
        <w:rPr>
          <w:sz w:val="22"/>
          <w:szCs w:val="22"/>
        </w:rPr>
        <w:t>National Institute for Health and Care Excellence (2022) Type 1 diabetes in adults: diagnosis and management (NG17). London: NICE. Available at: https://www.nice.org.uk/guidance/ng17 (Accessed: 21 June 2026).</w:t>
      </w:r>
    </w:p>
    <w:p w14:paraId="7EBE0D17" w14:textId="77777777" w:rsidR="00355EE6" w:rsidRPr="002F76CD" w:rsidRDefault="00000000" w:rsidP="0087074F">
      <w:pPr>
        <w:spacing w:after="160" w:line="360" w:lineRule="auto"/>
        <w:ind w:left="720" w:hanging="720"/>
        <w:jc w:val="both"/>
        <w:rPr>
          <w:sz w:val="22"/>
          <w:szCs w:val="22"/>
        </w:rPr>
      </w:pPr>
      <w:r w:rsidRPr="002F76CD">
        <w:rPr>
          <w:sz w:val="22"/>
          <w:szCs w:val="22"/>
        </w:rPr>
        <w:t>NHS (2023) Type 1 diabetes. Available at: https://www.nhs.uk/conditions/type-1-diabetes/ (Accessed: 21 June 2026).</w:t>
      </w:r>
    </w:p>
    <w:p w14:paraId="5C093872" w14:textId="77777777" w:rsidR="00355EE6" w:rsidRPr="002F76CD" w:rsidRDefault="00000000" w:rsidP="0087074F">
      <w:pPr>
        <w:spacing w:after="160" w:line="360" w:lineRule="auto"/>
        <w:ind w:left="720" w:hanging="720"/>
        <w:jc w:val="both"/>
        <w:rPr>
          <w:sz w:val="22"/>
          <w:szCs w:val="22"/>
        </w:rPr>
      </w:pPr>
      <w:r w:rsidRPr="002F76CD">
        <w:rPr>
          <w:sz w:val="22"/>
          <w:szCs w:val="22"/>
        </w:rPr>
        <w:t xml:space="preserve">Ogle, G.D., Wang, F., Haynes, A., Gregory, G.A., King, T.W., Deng, K., Middlehurst, A.C., Goss, P.W., Atkinson, M.A. and Maniam, J. (2025) 'Global type 1 diabetes prevalence, incidence, and mortality estimates 2025: results from the International Diabetes Federation Atlas, 11th edition, and the T1D Index version 3.0', Diabetes Research and Clinical Practice, 225, 112277. </w:t>
      </w:r>
      <w:proofErr w:type="spellStart"/>
      <w:r w:rsidRPr="002F76CD">
        <w:rPr>
          <w:sz w:val="22"/>
          <w:szCs w:val="22"/>
        </w:rPr>
        <w:t>doi</w:t>
      </w:r>
      <w:proofErr w:type="spellEnd"/>
      <w:r w:rsidRPr="002F76CD">
        <w:rPr>
          <w:sz w:val="22"/>
          <w:szCs w:val="22"/>
        </w:rPr>
        <w:t>: 10.1016/j.diabres.2025.112277.</w:t>
      </w:r>
    </w:p>
    <w:p w14:paraId="68C74873" w14:textId="77777777" w:rsidR="00355EE6" w:rsidRPr="002F76CD" w:rsidRDefault="00000000" w:rsidP="0087074F">
      <w:pPr>
        <w:spacing w:after="160" w:line="360" w:lineRule="auto"/>
        <w:ind w:left="720" w:hanging="720"/>
        <w:jc w:val="both"/>
        <w:rPr>
          <w:sz w:val="22"/>
          <w:szCs w:val="22"/>
        </w:rPr>
      </w:pPr>
      <w:r w:rsidRPr="002F76CD">
        <w:rPr>
          <w:sz w:val="22"/>
          <w:szCs w:val="22"/>
        </w:rPr>
        <w:t xml:space="preserve">Patterson, C.C., </w:t>
      </w:r>
      <w:proofErr w:type="spellStart"/>
      <w:r w:rsidRPr="002F76CD">
        <w:rPr>
          <w:sz w:val="22"/>
          <w:szCs w:val="22"/>
        </w:rPr>
        <w:t>Karuranga</w:t>
      </w:r>
      <w:proofErr w:type="spellEnd"/>
      <w:r w:rsidRPr="002F76CD">
        <w:rPr>
          <w:sz w:val="22"/>
          <w:szCs w:val="22"/>
        </w:rPr>
        <w:t xml:space="preserve">, S., </w:t>
      </w:r>
      <w:proofErr w:type="spellStart"/>
      <w:r w:rsidRPr="002F76CD">
        <w:rPr>
          <w:sz w:val="22"/>
          <w:szCs w:val="22"/>
        </w:rPr>
        <w:t>Salpea</w:t>
      </w:r>
      <w:proofErr w:type="spellEnd"/>
      <w:r w:rsidRPr="002F76CD">
        <w:rPr>
          <w:sz w:val="22"/>
          <w:szCs w:val="22"/>
        </w:rPr>
        <w:t xml:space="preserve">, P., Saeedi, P., Dahlquist, G., Soltesz, G. and Ogle, G.D. (2019) 'Worldwide estimates of incidence, prevalence and mortality of type 1 diabetes in children and adolescents: results from the International Diabetes Federation Diabetes Atlas, 9th edition', Diabetes Research and Clinical Practice, 157, 107842. </w:t>
      </w:r>
      <w:proofErr w:type="spellStart"/>
      <w:r w:rsidRPr="002F76CD">
        <w:rPr>
          <w:sz w:val="22"/>
          <w:szCs w:val="22"/>
        </w:rPr>
        <w:t>doi</w:t>
      </w:r>
      <w:proofErr w:type="spellEnd"/>
      <w:r w:rsidRPr="002F76CD">
        <w:rPr>
          <w:sz w:val="22"/>
          <w:szCs w:val="22"/>
        </w:rPr>
        <w:t>: 10.1016/j.diabres.2019.107842.</w:t>
      </w:r>
    </w:p>
    <w:sectPr w:rsidR="00355EE6" w:rsidRPr="002F76CD">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62E51" w14:textId="77777777" w:rsidR="009B3FE8" w:rsidRDefault="009B3FE8">
      <w:r>
        <w:separator/>
      </w:r>
    </w:p>
  </w:endnote>
  <w:endnote w:type="continuationSeparator" w:id="0">
    <w:p w14:paraId="65D6F0C0" w14:textId="77777777" w:rsidR="009B3FE8" w:rsidRDefault="009B3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23EDA" w14:textId="77777777" w:rsidR="00355EE6" w:rsidRDefault="00000000">
    <w:pPr>
      <w:jc w:val="center"/>
    </w:pPr>
    <w:r>
      <w:rPr>
        <w:sz w:val="18"/>
        <w:szCs w:val="18"/>
      </w:rPr>
      <w:fldChar w:fldCharType="begin"/>
    </w:r>
    <w:r>
      <w:rPr>
        <w:sz w:val="18"/>
        <w:szCs w:val="18"/>
      </w:rPr>
      <w:instrText>PAGE</w:instrText>
    </w:r>
    <w:r>
      <w:rPr>
        <w:sz w:val="18"/>
        <w:szCs w:val="18"/>
      </w:rPr>
      <w:fldChar w:fldCharType="separate"/>
    </w:r>
    <w:r w:rsidR="004B7F4F">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2D631" w14:textId="77777777" w:rsidR="009B3FE8" w:rsidRDefault="009B3FE8">
      <w:r>
        <w:separator/>
      </w:r>
    </w:p>
  </w:footnote>
  <w:footnote w:type="continuationSeparator" w:id="0">
    <w:p w14:paraId="7921B6C0" w14:textId="77777777" w:rsidR="009B3FE8" w:rsidRDefault="009B3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818D0" w14:textId="3943E13F" w:rsidR="00355EE6" w:rsidRDefault="00355EE6">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40048"/>
    <w:multiLevelType w:val="hybridMultilevel"/>
    <w:tmpl w:val="FC201020"/>
    <w:lvl w:ilvl="0" w:tplc="DEDC4040">
      <w:start w:val="1"/>
      <w:numFmt w:val="bullet"/>
      <w:lvlText w:val="•"/>
      <w:lvlJc w:val="left"/>
      <w:pPr>
        <w:ind w:left="720" w:hanging="360"/>
      </w:pPr>
    </w:lvl>
    <w:lvl w:ilvl="1" w:tplc="3604AF86">
      <w:numFmt w:val="decimal"/>
      <w:lvlText w:val=""/>
      <w:lvlJc w:val="left"/>
    </w:lvl>
    <w:lvl w:ilvl="2" w:tplc="1CEE5A42">
      <w:numFmt w:val="decimal"/>
      <w:lvlText w:val=""/>
      <w:lvlJc w:val="left"/>
    </w:lvl>
    <w:lvl w:ilvl="3" w:tplc="10BA2C42">
      <w:numFmt w:val="decimal"/>
      <w:lvlText w:val=""/>
      <w:lvlJc w:val="left"/>
    </w:lvl>
    <w:lvl w:ilvl="4" w:tplc="4C189D12">
      <w:numFmt w:val="decimal"/>
      <w:lvlText w:val=""/>
      <w:lvlJc w:val="left"/>
    </w:lvl>
    <w:lvl w:ilvl="5" w:tplc="2768046C">
      <w:numFmt w:val="decimal"/>
      <w:lvlText w:val=""/>
      <w:lvlJc w:val="left"/>
    </w:lvl>
    <w:lvl w:ilvl="6" w:tplc="00589C92">
      <w:numFmt w:val="decimal"/>
      <w:lvlText w:val=""/>
      <w:lvlJc w:val="left"/>
    </w:lvl>
    <w:lvl w:ilvl="7" w:tplc="FC12FB2A">
      <w:numFmt w:val="decimal"/>
      <w:lvlText w:val=""/>
      <w:lvlJc w:val="left"/>
    </w:lvl>
    <w:lvl w:ilvl="8" w:tplc="308009AE">
      <w:numFmt w:val="decimal"/>
      <w:lvlText w:val=""/>
      <w:lvlJc w:val="left"/>
    </w:lvl>
  </w:abstractNum>
  <w:abstractNum w:abstractNumId="1" w15:restartNumberingAfterBreak="0">
    <w:nsid w:val="78ED75F6"/>
    <w:multiLevelType w:val="hybridMultilevel"/>
    <w:tmpl w:val="46DE163A"/>
    <w:lvl w:ilvl="0" w:tplc="215AE896">
      <w:start w:val="1"/>
      <w:numFmt w:val="bullet"/>
      <w:lvlText w:val="●"/>
      <w:lvlJc w:val="left"/>
      <w:pPr>
        <w:ind w:left="720" w:hanging="360"/>
      </w:pPr>
    </w:lvl>
    <w:lvl w:ilvl="1" w:tplc="4E64BC0A">
      <w:start w:val="1"/>
      <w:numFmt w:val="bullet"/>
      <w:lvlText w:val="○"/>
      <w:lvlJc w:val="left"/>
      <w:pPr>
        <w:ind w:left="1440" w:hanging="360"/>
      </w:pPr>
    </w:lvl>
    <w:lvl w:ilvl="2" w:tplc="70AE54C0">
      <w:start w:val="1"/>
      <w:numFmt w:val="bullet"/>
      <w:lvlText w:val="■"/>
      <w:lvlJc w:val="left"/>
      <w:pPr>
        <w:ind w:left="2160" w:hanging="360"/>
      </w:pPr>
    </w:lvl>
    <w:lvl w:ilvl="3" w:tplc="E5381AB8">
      <w:start w:val="1"/>
      <w:numFmt w:val="bullet"/>
      <w:lvlText w:val="●"/>
      <w:lvlJc w:val="left"/>
      <w:pPr>
        <w:ind w:left="2880" w:hanging="360"/>
      </w:pPr>
    </w:lvl>
    <w:lvl w:ilvl="4" w:tplc="5ACEFE50">
      <w:start w:val="1"/>
      <w:numFmt w:val="bullet"/>
      <w:lvlText w:val="○"/>
      <w:lvlJc w:val="left"/>
      <w:pPr>
        <w:ind w:left="3600" w:hanging="360"/>
      </w:pPr>
    </w:lvl>
    <w:lvl w:ilvl="5" w:tplc="000C1D38">
      <w:start w:val="1"/>
      <w:numFmt w:val="bullet"/>
      <w:lvlText w:val="■"/>
      <w:lvlJc w:val="left"/>
      <w:pPr>
        <w:ind w:left="4320" w:hanging="360"/>
      </w:pPr>
    </w:lvl>
    <w:lvl w:ilvl="6" w:tplc="462099D2">
      <w:start w:val="1"/>
      <w:numFmt w:val="bullet"/>
      <w:lvlText w:val="●"/>
      <w:lvlJc w:val="left"/>
      <w:pPr>
        <w:ind w:left="5040" w:hanging="360"/>
      </w:pPr>
    </w:lvl>
    <w:lvl w:ilvl="7" w:tplc="888281F4">
      <w:start w:val="1"/>
      <w:numFmt w:val="bullet"/>
      <w:lvlText w:val="●"/>
      <w:lvlJc w:val="left"/>
      <w:pPr>
        <w:ind w:left="5760" w:hanging="360"/>
      </w:pPr>
    </w:lvl>
    <w:lvl w:ilvl="8" w:tplc="0D828396">
      <w:start w:val="1"/>
      <w:numFmt w:val="bullet"/>
      <w:lvlText w:val="●"/>
      <w:lvlJc w:val="left"/>
      <w:pPr>
        <w:ind w:left="6480" w:hanging="360"/>
      </w:pPr>
    </w:lvl>
  </w:abstractNum>
  <w:num w:numId="1" w16cid:durableId="923883174">
    <w:abstractNumId w:val="1"/>
    <w:lvlOverride w:ilvl="0">
      <w:startOverride w:val="1"/>
    </w:lvlOverride>
  </w:num>
  <w:num w:numId="2" w16cid:durableId="178738249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EE6"/>
    <w:rsid w:val="000139E1"/>
    <w:rsid w:val="001407C9"/>
    <w:rsid w:val="002F76CD"/>
    <w:rsid w:val="00347118"/>
    <w:rsid w:val="00355EE6"/>
    <w:rsid w:val="003D603E"/>
    <w:rsid w:val="004B7F4F"/>
    <w:rsid w:val="00791C3A"/>
    <w:rsid w:val="007A7DC2"/>
    <w:rsid w:val="007F68F0"/>
    <w:rsid w:val="00800407"/>
    <w:rsid w:val="0087074F"/>
    <w:rsid w:val="008B6FEC"/>
    <w:rsid w:val="0096773D"/>
    <w:rsid w:val="009B3FE8"/>
    <w:rsid w:val="00B956FA"/>
    <w:rsid w:val="00ED7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44C28"/>
  <w15:docId w15:val="{DB0716E6-3039-4596-88CD-065AC2353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200"/>
      <w:outlineLvl w:val="0"/>
    </w:pPr>
    <w:rPr>
      <w:b/>
      <w:bCs/>
      <w:color w:val="1F3864"/>
      <w:sz w:val="30"/>
      <w:szCs w:val="30"/>
    </w:rPr>
  </w:style>
  <w:style w:type="paragraph" w:styleId="Heading2">
    <w:name w:val="heading 2"/>
    <w:uiPriority w:val="9"/>
    <w:unhideWhenUsed/>
    <w:qFormat/>
    <w:pPr>
      <w:spacing w:before="240" w:after="160"/>
      <w:outlineLvl w:val="1"/>
    </w:pPr>
    <w:rPr>
      <w:b/>
      <w:bCs/>
      <w:color w:val="2E539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4B7F4F"/>
    <w:pPr>
      <w:tabs>
        <w:tab w:val="center" w:pos="4513"/>
        <w:tab w:val="right" w:pos="9026"/>
      </w:tabs>
    </w:pPr>
  </w:style>
  <w:style w:type="character" w:customStyle="1" w:styleId="HeaderChar">
    <w:name w:val="Header Char"/>
    <w:basedOn w:val="DefaultParagraphFont"/>
    <w:link w:val="Header"/>
    <w:uiPriority w:val="99"/>
    <w:rsid w:val="004B7F4F"/>
  </w:style>
  <w:style w:type="paragraph" w:styleId="Footer">
    <w:name w:val="footer"/>
    <w:basedOn w:val="Normal"/>
    <w:link w:val="FooterChar"/>
    <w:uiPriority w:val="99"/>
    <w:unhideWhenUsed/>
    <w:rsid w:val="004B7F4F"/>
    <w:pPr>
      <w:tabs>
        <w:tab w:val="center" w:pos="4513"/>
        <w:tab w:val="right" w:pos="9026"/>
      </w:tabs>
    </w:pPr>
  </w:style>
  <w:style w:type="character" w:customStyle="1" w:styleId="FooterChar">
    <w:name w:val="Footer Char"/>
    <w:basedOn w:val="DefaultParagraphFont"/>
    <w:link w:val="Footer"/>
    <w:uiPriority w:val="99"/>
    <w:rsid w:val="004B7F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319</TotalTime>
  <Pages>6</Pages>
  <Words>1748</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abid chaudry</cp:lastModifiedBy>
  <cp:revision>7</cp:revision>
  <dcterms:created xsi:type="dcterms:W3CDTF">2026-06-21T21:37:00Z</dcterms:created>
  <dcterms:modified xsi:type="dcterms:W3CDTF">2026-07-15T21:31:00Z</dcterms:modified>
</cp:coreProperties>
</file>