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lang w:val="en-GB" w:eastAsia="zh-CN"/>
        </w:rPr>
        <w:id w:val="666602435"/>
        <w:docPartObj>
          <w:docPartGallery w:val="Cover Pages"/>
          <w:docPartUnique/>
        </w:docPartObj>
      </w:sdtPr>
      <w:sdtEndPr>
        <w:rPr>
          <w:rFonts w:ascii="Arial" w:eastAsia="Times New Roman" w:hAnsi="Arial" w:cs="Arial"/>
          <w:sz w:val="22"/>
        </w:rPr>
      </w:sdtEndPr>
      <w:sdtContent>
        <w:p w14:paraId="10255BE5" w14:textId="114B613C" w:rsidR="00F56C59" w:rsidRDefault="00F56C59">
          <w:pPr>
            <w:pStyle w:val="NoSpacing"/>
            <w:rPr>
              <w:sz w:val="2"/>
            </w:rPr>
          </w:pPr>
        </w:p>
        <w:p w14:paraId="044323EE" w14:textId="77777777" w:rsidR="00F56C59" w:rsidRDefault="00F56C59">
          <w:r>
            <w:rPr>
              <w:noProof/>
            </w:rPr>
            <mc:AlternateContent>
              <mc:Choice Requires="wps">
                <w:drawing>
                  <wp:anchor distT="0" distB="0" distL="114300" distR="114300" simplePos="0" relativeHeight="251661312" behindDoc="0" locked="0" layoutInCell="1" allowOverlap="1" wp14:anchorId="1EC61CBB" wp14:editId="3148FF6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767171" w:themeColor="background2" w:themeShade="80"/>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30149FB" w14:textId="07DE4D28" w:rsidR="00F56C59" w:rsidRPr="004C60E1" w:rsidRDefault="00F56C59">
                                    <w:pPr>
                                      <w:pStyle w:val="NoSpacing"/>
                                      <w:rPr>
                                        <w:rFonts w:ascii="Arial" w:eastAsiaTheme="majorEastAsia" w:hAnsi="Arial" w:cs="Arial"/>
                                        <w:caps/>
                                        <w:color w:val="767171" w:themeColor="background2" w:themeShade="80"/>
                                        <w:sz w:val="56"/>
                                        <w:szCs w:val="56"/>
                                      </w:rPr>
                                    </w:pPr>
                                    <w:r w:rsidRPr="004C60E1">
                                      <w:rPr>
                                        <w:rFonts w:ascii="Arial" w:eastAsiaTheme="majorEastAsia" w:hAnsi="Arial" w:cs="Arial"/>
                                        <w:caps/>
                                        <w:color w:val="767171" w:themeColor="background2" w:themeShade="80"/>
                                        <w:sz w:val="56"/>
                                        <w:szCs w:val="56"/>
                                      </w:rPr>
                                      <w:t>VULNERABILITY, WELFARE &amp; rISK</w:t>
                                    </w:r>
                                  </w:p>
                                </w:sdtContent>
                              </w:sdt>
                              <w:p w14:paraId="138005C4" w14:textId="5F81B724" w:rsidR="00F56C59" w:rsidRPr="000A3C45" w:rsidRDefault="00D557AE">
                                <w:pPr>
                                  <w:pStyle w:val="NoSpacing"/>
                                  <w:spacing w:before="120"/>
                                  <w:rPr>
                                    <w:color w:val="262626" w:themeColor="text1" w:themeTint="D9"/>
                                    <w:sz w:val="32"/>
                                    <w:szCs w:val="32"/>
                                  </w:rPr>
                                </w:pPr>
                                <w:sdt>
                                  <w:sdtPr>
                                    <w:rPr>
                                      <w:color w:val="262626" w:themeColor="text1" w:themeTint="D9"/>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505B0" w:rsidRPr="000A3C45">
                                      <w:rPr>
                                        <w:color w:val="262626" w:themeColor="text1" w:themeTint="D9"/>
                                        <w:sz w:val="32"/>
                                        <w:szCs w:val="32"/>
                                      </w:rPr>
                                      <w:t>What is ‘</w:t>
                                    </w:r>
                                    <w:r w:rsidR="00F56C59" w:rsidRPr="000A3C45">
                                      <w:rPr>
                                        <w:color w:val="262626" w:themeColor="text1" w:themeTint="D9"/>
                                        <w:sz w:val="32"/>
                                        <w:szCs w:val="32"/>
                                      </w:rPr>
                                      <w:t>Vulnerability</w:t>
                                    </w:r>
                                    <w:r w:rsidR="001505B0" w:rsidRPr="000A3C45">
                                      <w:rPr>
                                        <w:color w:val="262626" w:themeColor="text1" w:themeTint="D9"/>
                                        <w:sz w:val="32"/>
                                        <w:szCs w:val="32"/>
                                      </w:rPr>
                                      <w:t>’</w:t>
                                    </w:r>
                                    <w:r w:rsidR="00F56C59" w:rsidRPr="000A3C45">
                                      <w:rPr>
                                        <w:color w:val="262626" w:themeColor="text1" w:themeTint="D9"/>
                                        <w:sz w:val="32"/>
                                        <w:szCs w:val="32"/>
                                      </w:rPr>
                                      <w:t xml:space="preserve"> in the Content of Operational Policing</w:t>
                                    </w:r>
                                    <w:r w:rsidR="001505B0" w:rsidRPr="000A3C45">
                                      <w:rPr>
                                        <w:color w:val="262626" w:themeColor="text1" w:themeTint="D9"/>
                                        <w:sz w:val="32"/>
                                        <w:szCs w:val="32"/>
                                      </w:rPr>
                                      <w:t>?</w:t>
                                    </w:r>
                                  </w:sdtContent>
                                </w:sdt>
                                <w:r w:rsidR="00F56C59" w:rsidRPr="000A3C45">
                                  <w:rPr>
                                    <w:noProof/>
                                    <w:color w:val="262626" w:themeColor="text1" w:themeTint="D9"/>
                                    <w:sz w:val="20"/>
                                    <w:szCs w:val="20"/>
                                  </w:rPr>
                                  <w:t xml:space="preserve"> </w:t>
                                </w:r>
                              </w:p>
                              <w:p w14:paraId="3169F31E" w14:textId="77777777" w:rsidR="00F56C59" w:rsidRDefault="00F56C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EC61CB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eastAsiaTheme="majorEastAsia" w:hAnsi="Arial" w:cs="Arial"/>
                              <w:caps/>
                              <w:color w:val="767171" w:themeColor="background2" w:themeShade="80"/>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30149FB" w14:textId="07DE4D28" w:rsidR="00F56C59" w:rsidRPr="004C60E1" w:rsidRDefault="00F56C59">
                              <w:pPr>
                                <w:pStyle w:val="NoSpacing"/>
                                <w:rPr>
                                  <w:rFonts w:ascii="Arial" w:eastAsiaTheme="majorEastAsia" w:hAnsi="Arial" w:cs="Arial"/>
                                  <w:caps/>
                                  <w:color w:val="767171" w:themeColor="background2" w:themeShade="80"/>
                                  <w:sz w:val="56"/>
                                  <w:szCs w:val="56"/>
                                </w:rPr>
                              </w:pPr>
                              <w:r w:rsidRPr="004C60E1">
                                <w:rPr>
                                  <w:rFonts w:ascii="Arial" w:eastAsiaTheme="majorEastAsia" w:hAnsi="Arial" w:cs="Arial"/>
                                  <w:caps/>
                                  <w:color w:val="767171" w:themeColor="background2" w:themeShade="80"/>
                                  <w:sz w:val="56"/>
                                  <w:szCs w:val="56"/>
                                </w:rPr>
                                <w:t>VULNERABILITY, WELFARE &amp; rISK</w:t>
                              </w:r>
                            </w:p>
                          </w:sdtContent>
                        </w:sdt>
                        <w:p w14:paraId="138005C4" w14:textId="5F81B724" w:rsidR="00F56C59" w:rsidRPr="000A3C45" w:rsidRDefault="00D557AE">
                          <w:pPr>
                            <w:pStyle w:val="NoSpacing"/>
                            <w:spacing w:before="120"/>
                            <w:rPr>
                              <w:color w:val="262626" w:themeColor="text1" w:themeTint="D9"/>
                              <w:sz w:val="32"/>
                              <w:szCs w:val="32"/>
                            </w:rPr>
                          </w:pPr>
                          <w:sdt>
                            <w:sdtPr>
                              <w:rPr>
                                <w:color w:val="262626" w:themeColor="text1" w:themeTint="D9"/>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505B0" w:rsidRPr="000A3C45">
                                <w:rPr>
                                  <w:color w:val="262626" w:themeColor="text1" w:themeTint="D9"/>
                                  <w:sz w:val="32"/>
                                  <w:szCs w:val="32"/>
                                </w:rPr>
                                <w:t>What is ‘</w:t>
                              </w:r>
                              <w:r w:rsidR="00F56C59" w:rsidRPr="000A3C45">
                                <w:rPr>
                                  <w:color w:val="262626" w:themeColor="text1" w:themeTint="D9"/>
                                  <w:sz w:val="32"/>
                                  <w:szCs w:val="32"/>
                                </w:rPr>
                                <w:t>Vulnerability</w:t>
                              </w:r>
                              <w:r w:rsidR="001505B0" w:rsidRPr="000A3C45">
                                <w:rPr>
                                  <w:color w:val="262626" w:themeColor="text1" w:themeTint="D9"/>
                                  <w:sz w:val="32"/>
                                  <w:szCs w:val="32"/>
                                </w:rPr>
                                <w:t>’</w:t>
                              </w:r>
                              <w:r w:rsidR="00F56C59" w:rsidRPr="000A3C45">
                                <w:rPr>
                                  <w:color w:val="262626" w:themeColor="text1" w:themeTint="D9"/>
                                  <w:sz w:val="32"/>
                                  <w:szCs w:val="32"/>
                                </w:rPr>
                                <w:t xml:space="preserve"> in the Content of Operational Policing</w:t>
                              </w:r>
                              <w:r w:rsidR="001505B0" w:rsidRPr="000A3C45">
                                <w:rPr>
                                  <w:color w:val="262626" w:themeColor="text1" w:themeTint="D9"/>
                                  <w:sz w:val="32"/>
                                  <w:szCs w:val="32"/>
                                </w:rPr>
                                <w:t>?</w:t>
                              </w:r>
                            </w:sdtContent>
                          </w:sdt>
                          <w:r w:rsidR="00F56C59" w:rsidRPr="000A3C45">
                            <w:rPr>
                              <w:noProof/>
                              <w:color w:val="262626" w:themeColor="text1" w:themeTint="D9"/>
                              <w:sz w:val="20"/>
                              <w:szCs w:val="20"/>
                            </w:rPr>
                            <w:t xml:space="preserve"> </w:t>
                          </w:r>
                        </w:p>
                        <w:p w14:paraId="3169F31E" w14:textId="77777777" w:rsidR="00F56C59" w:rsidRDefault="00F56C5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87B31F0" wp14:editId="4BD22DB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63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bg2">
                                <a:lumMod val="25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316CFF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CF7503" wp14:editId="66C8C57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8AFBF8" w14:textId="698CA260" w:rsidR="00F56C59" w:rsidRPr="004C60E1" w:rsidRDefault="00D557AE">
                                <w:pPr>
                                  <w:pStyle w:val="NoSpacing"/>
                                  <w:jc w:val="right"/>
                                  <w:rPr>
                                    <w:color w:val="767171" w:themeColor="background2" w:themeShade="80"/>
                                    <w:sz w:val="36"/>
                                    <w:szCs w:val="36"/>
                                  </w:rPr>
                                </w:pPr>
                                <w:sdt>
                                  <w:sdtPr>
                                    <w:rPr>
                                      <w:color w:val="767171" w:themeColor="background2" w:themeShade="8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16E62" w:rsidRPr="004C60E1">
                                      <w:rPr>
                                        <w:color w:val="767171" w:themeColor="background2" w:themeShade="80"/>
                                        <w:sz w:val="36"/>
                                        <w:szCs w:val="36"/>
                                      </w:rPr>
                                      <w:t>JACK ROBERTS</w:t>
                                    </w:r>
                                  </w:sdtContent>
                                </w:sdt>
                              </w:p>
                              <w:sdt>
                                <w:sdtPr>
                                  <w:rPr>
                                    <w:rFonts w:ascii="Perpetua" w:hAnsi="Perpetua"/>
                                    <w:color w:val="3B3838" w:themeColor="background2" w:themeShade="4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EF127C4" w14:textId="6DC59610" w:rsidR="00F56C59" w:rsidRDefault="00F56C59">
                                    <w:pPr>
                                      <w:pStyle w:val="NoSpacing"/>
                                      <w:jc w:val="right"/>
                                      <w:rPr>
                                        <w:color w:val="4472C4" w:themeColor="accent1"/>
                                        <w:sz w:val="36"/>
                                        <w:szCs w:val="36"/>
                                      </w:rPr>
                                    </w:pPr>
                                    <w:r w:rsidRPr="002470CA">
                                      <w:rPr>
                                        <w:rFonts w:ascii="Perpetua" w:hAnsi="Perpetua"/>
                                        <w:color w:val="3B3838" w:themeColor="background2" w:themeShade="40"/>
                                        <w:sz w:val="36"/>
                                        <w:szCs w:val="36"/>
                                      </w:rPr>
                                      <w:t>2003821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9CF750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08AFBF8" w14:textId="698CA260" w:rsidR="00F56C59" w:rsidRPr="004C60E1" w:rsidRDefault="00D557AE">
                          <w:pPr>
                            <w:pStyle w:val="NoSpacing"/>
                            <w:jc w:val="right"/>
                            <w:rPr>
                              <w:color w:val="767171" w:themeColor="background2" w:themeShade="80"/>
                              <w:sz w:val="36"/>
                              <w:szCs w:val="36"/>
                            </w:rPr>
                          </w:pPr>
                          <w:sdt>
                            <w:sdtPr>
                              <w:rPr>
                                <w:color w:val="767171" w:themeColor="background2" w:themeShade="80"/>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16E62" w:rsidRPr="004C60E1">
                                <w:rPr>
                                  <w:color w:val="767171" w:themeColor="background2" w:themeShade="80"/>
                                  <w:sz w:val="36"/>
                                  <w:szCs w:val="36"/>
                                </w:rPr>
                                <w:t>JACK ROBERTS</w:t>
                              </w:r>
                            </w:sdtContent>
                          </w:sdt>
                        </w:p>
                        <w:sdt>
                          <w:sdtPr>
                            <w:rPr>
                              <w:rFonts w:ascii="Perpetua" w:hAnsi="Perpetua"/>
                              <w:color w:val="3B3838" w:themeColor="background2" w:themeShade="40"/>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EF127C4" w14:textId="6DC59610" w:rsidR="00F56C59" w:rsidRDefault="00F56C59">
                              <w:pPr>
                                <w:pStyle w:val="NoSpacing"/>
                                <w:jc w:val="right"/>
                                <w:rPr>
                                  <w:color w:val="4472C4" w:themeColor="accent1"/>
                                  <w:sz w:val="36"/>
                                  <w:szCs w:val="36"/>
                                </w:rPr>
                              </w:pPr>
                              <w:r w:rsidRPr="002470CA">
                                <w:rPr>
                                  <w:rFonts w:ascii="Perpetua" w:hAnsi="Perpetua"/>
                                  <w:color w:val="3B3838" w:themeColor="background2" w:themeShade="40"/>
                                  <w:sz w:val="36"/>
                                  <w:szCs w:val="36"/>
                                </w:rPr>
                                <w:t>2003821</w:t>
                              </w:r>
                            </w:p>
                          </w:sdtContent>
                        </w:sdt>
                      </w:txbxContent>
                    </v:textbox>
                    <w10:wrap anchorx="page" anchory="margin"/>
                  </v:shape>
                </w:pict>
              </mc:Fallback>
            </mc:AlternateContent>
          </w:r>
        </w:p>
        <w:p w14:paraId="58374C78" w14:textId="1EC72C5E" w:rsidR="00B67FDB" w:rsidRPr="00F56C59" w:rsidRDefault="00F56C59" w:rsidP="00F56C59">
          <w:pPr>
            <w:rPr>
              <w:rFonts w:ascii="Arial" w:eastAsia="Times New Roman" w:hAnsi="Arial" w:cs="Arial"/>
            </w:rPr>
          </w:pPr>
          <w:r>
            <w:rPr>
              <w:rFonts w:ascii="Arial" w:eastAsia="Times New Roman" w:hAnsi="Arial" w:cs="Arial"/>
            </w:rPr>
            <w:br w:type="page"/>
          </w:r>
        </w:p>
      </w:sdtContent>
    </w:sdt>
    <w:p w14:paraId="5C7D8E5B" w14:textId="6A1460B2" w:rsidR="00B67FDB" w:rsidRDefault="00B67FDB" w:rsidP="009B0834">
      <w:pPr>
        <w:spacing w:line="480" w:lineRule="auto"/>
        <w:rPr>
          <w:rFonts w:ascii="Arial" w:hAnsi="Arial" w:cs="Arial"/>
          <w:color w:val="000000" w:themeColor="text1"/>
        </w:rPr>
      </w:pPr>
      <w:r w:rsidRPr="00073BA6">
        <w:rPr>
          <w:rFonts w:cstheme="minorHAnsi"/>
          <w:color w:val="000000" w:themeColor="text1"/>
        </w:rPr>
        <w:lastRenderedPageBreak/>
        <w:t xml:space="preserve">        </w:t>
      </w:r>
      <w:r w:rsidRPr="00073BA6">
        <w:rPr>
          <w:rFonts w:ascii="Arial" w:hAnsi="Arial" w:cs="Arial"/>
          <w:color w:val="000000" w:themeColor="text1"/>
        </w:rPr>
        <w:t>Vulnerability is term used in many ways to label a certain person or group of persons. The Oxford English Dictionary defines vulnerability as ‘</w:t>
      </w:r>
      <w:r w:rsidRPr="00073BA6">
        <w:rPr>
          <w:rFonts w:ascii="Arial" w:hAnsi="Arial" w:cs="Arial"/>
          <w:color w:val="000000" w:themeColor="text1"/>
          <w:shd w:val="clear" w:color="auto" w:fill="FFFFFF"/>
        </w:rPr>
        <w:t xml:space="preserve">the quality or state of being exposed to the possibility of being attacked or harmed, either physically or emotionally.’ Yet, it will become clear throughout this paper that when applied to different organisations and settings, the term is very flexible when considering its meaning and purpose. Dealing with vulnerable people is a </w:t>
      </w:r>
      <w:r w:rsidRPr="00073BA6">
        <w:rPr>
          <w:rFonts w:ascii="Arial" w:hAnsi="Arial" w:cs="Arial"/>
          <w:color w:val="000000" w:themeColor="text1"/>
        </w:rPr>
        <w:t>crucial part of modern-day policing, and understanding what is actually meant by the term in the context of operational policing can help identify how it is being used to define those who the police interact with (College of Policing, 2020). This paper will analyse the meaning of vulnerability when in the context of operational policing and form an opinion on its usage and meaning under this context.</w:t>
      </w:r>
    </w:p>
    <w:p w14:paraId="2ACE6BD3" w14:textId="42C9881E" w:rsidR="00C85B81" w:rsidRPr="00073BA6" w:rsidRDefault="00C85B81" w:rsidP="009B0834">
      <w:pPr>
        <w:spacing w:line="480" w:lineRule="auto"/>
        <w:rPr>
          <w:rFonts w:ascii="Arial" w:hAnsi="Arial" w:cs="Arial"/>
          <w:color w:val="000000" w:themeColor="text1"/>
        </w:rPr>
      </w:pPr>
      <w:r>
        <w:rPr>
          <w:rFonts w:ascii="Arial" w:hAnsi="Arial" w:cs="Arial"/>
          <w:color w:val="000000" w:themeColor="text1"/>
        </w:rPr>
        <w:t xml:space="preserve">        </w:t>
      </w:r>
      <w:r w:rsidR="003B7BDB">
        <w:rPr>
          <w:rFonts w:ascii="Arial" w:hAnsi="Arial" w:cs="Arial"/>
          <w:color w:val="000000" w:themeColor="text1"/>
        </w:rPr>
        <w:t xml:space="preserve">Firstly, it is important to note that the opinions of high-ranking police on the topic of vulnerability have changed since 2016. What were once only </w:t>
      </w:r>
      <w:r w:rsidR="00C12D28">
        <w:rPr>
          <w:rFonts w:ascii="Arial" w:hAnsi="Arial" w:cs="Arial"/>
          <w:color w:val="000000" w:themeColor="text1"/>
        </w:rPr>
        <w:t>clinical interpretations of the word have evolved to carefully considered judgements based on various factors that have come to be the widely accepted signs of a vulnerable person. However, the still prominent confusion of the term can potentially lead to police reinforcing their standpoints when exercising police power (Shannon, 2021).</w:t>
      </w:r>
      <w:r w:rsidR="003B7BDB">
        <w:rPr>
          <w:rFonts w:ascii="Arial" w:hAnsi="Arial" w:cs="Arial"/>
          <w:color w:val="000000" w:themeColor="text1"/>
        </w:rPr>
        <w:t xml:space="preserve"> </w:t>
      </w:r>
      <w:r w:rsidRPr="00073BA6">
        <w:rPr>
          <w:rFonts w:ascii="Arial" w:hAnsi="Arial" w:cs="Arial"/>
          <w:color w:val="000000" w:themeColor="text1"/>
        </w:rPr>
        <w:t xml:space="preserve">Commissioners are actively trying to identify better ways to safeguard vulnerable people when in contact with the police. This has become a priority recently, with a focus on improving the general understanding of vulnerability in British policing. Furthermore, commissioners are demanding forces across England and Wales to constantly provide and show constant improvement related to finding innovative ways to protect groups of people who are deemed as vulnerable within operational policing. This is of course </w:t>
      </w:r>
      <w:r>
        <w:rPr>
          <w:rFonts w:ascii="Arial" w:hAnsi="Arial" w:cs="Arial"/>
          <w:color w:val="000000" w:themeColor="text1"/>
        </w:rPr>
        <w:t>related</w:t>
      </w:r>
      <w:r w:rsidRPr="00073BA6">
        <w:rPr>
          <w:rFonts w:ascii="Arial" w:hAnsi="Arial" w:cs="Arial"/>
          <w:color w:val="000000" w:themeColor="text1"/>
        </w:rPr>
        <w:t xml:space="preserve"> to the overall improvement of British policing and identifying and rectifying issues (Jones and Lister, 2019).</w:t>
      </w:r>
    </w:p>
    <w:p w14:paraId="7CF15389" w14:textId="50CD1909" w:rsidR="00B67FDB" w:rsidRPr="00073BA6" w:rsidRDefault="00B67FDB" w:rsidP="009B0834">
      <w:pPr>
        <w:spacing w:line="480" w:lineRule="auto"/>
        <w:rPr>
          <w:rFonts w:ascii="Arial" w:hAnsi="Arial" w:cs="Arial"/>
          <w:color w:val="000000" w:themeColor="text1"/>
        </w:rPr>
      </w:pPr>
      <w:r w:rsidRPr="00073BA6">
        <w:rPr>
          <w:rFonts w:ascii="Arial" w:hAnsi="Arial" w:cs="Arial"/>
          <w:color w:val="000000" w:themeColor="text1"/>
        </w:rPr>
        <w:t xml:space="preserve">        In recent years, there has been a considerable increase in demand for the police across the UK in dealing with people who are defined as vulnerable. It is evident that the role of a police constable lends itself to a safeguarding and social caring role as much as its crime prevention role far more than it used to. This means that the call for a definition within </w:t>
      </w:r>
      <w:r w:rsidRPr="00073BA6">
        <w:rPr>
          <w:rFonts w:ascii="Arial" w:hAnsi="Arial" w:cs="Arial"/>
          <w:color w:val="000000" w:themeColor="text1"/>
        </w:rPr>
        <w:lastRenderedPageBreak/>
        <w:t>the police for vulnerability was inevitable with the way policing is changing (</w:t>
      </w:r>
      <w:proofErr w:type="spellStart"/>
      <w:r w:rsidRPr="00073BA6">
        <w:rPr>
          <w:rFonts w:ascii="Arial" w:hAnsi="Arial" w:cs="Arial"/>
          <w:color w:val="000000" w:themeColor="text1"/>
        </w:rPr>
        <w:t>Keay</w:t>
      </w:r>
      <w:proofErr w:type="spellEnd"/>
      <w:r w:rsidRPr="00073BA6">
        <w:rPr>
          <w:rFonts w:ascii="Arial" w:hAnsi="Arial" w:cs="Arial"/>
          <w:color w:val="000000" w:themeColor="text1"/>
        </w:rPr>
        <w:t xml:space="preserve"> and Kirby, 2018). Under the National Vulnerability Action Plan (NVAP), the definition of vulnerability from an operational policing perspective is, ‘</w:t>
      </w:r>
      <w:r w:rsidRPr="00073BA6">
        <w:rPr>
          <w:rFonts w:ascii="Arial" w:hAnsi="Arial" w:cs="Arial"/>
          <w:color w:val="000000" w:themeColor="text1"/>
          <w:shd w:val="clear" w:color="auto" w:fill="FFFFFF"/>
        </w:rPr>
        <w:t>a person is vulnerable if, as a result of their situation or circumstances, they are unable to take care of or protect themselves or others from harm or exploitation’, (College of Policing, 2020). When compared to the Oxford dictionary definition previously stated, it is clear that the police definition focuses on the situational aspect of a person and what circumstances they are in at the time of their vulnerability. These circumstances will then affect whether they are able to care for themselves or others.</w:t>
      </w:r>
      <w:r w:rsidR="006B52CA" w:rsidRPr="00073BA6">
        <w:rPr>
          <w:rFonts w:ascii="Arial" w:hAnsi="Arial" w:cs="Arial"/>
          <w:color w:val="000000" w:themeColor="text1"/>
        </w:rPr>
        <w:t xml:space="preserve">       </w:t>
      </w:r>
    </w:p>
    <w:p w14:paraId="3AF692CB" w14:textId="3815350B" w:rsidR="00112966" w:rsidRPr="00073BA6" w:rsidRDefault="00B67FDB" w:rsidP="009B0834">
      <w:pPr>
        <w:spacing w:line="480" w:lineRule="auto"/>
        <w:rPr>
          <w:rFonts w:ascii="Arial" w:hAnsi="Arial" w:cs="Arial"/>
          <w:color w:val="000000" w:themeColor="text1"/>
        </w:rPr>
      </w:pPr>
      <w:r w:rsidRPr="00073BA6">
        <w:rPr>
          <w:rFonts w:ascii="Arial" w:hAnsi="Arial" w:cs="Arial"/>
          <w:color w:val="000000" w:themeColor="text1"/>
        </w:rPr>
        <w:t xml:space="preserve">        </w:t>
      </w:r>
      <w:r w:rsidR="006B52CA" w:rsidRPr="00073BA6">
        <w:rPr>
          <w:rFonts w:ascii="Arial" w:hAnsi="Arial" w:cs="Arial"/>
          <w:color w:val="000000" w:themeColor="text1"/>
        </w:rPr>
        <w:t xml:space="preserve">Farrugia </w:t>
      </w:r>
      <w:r w:rsidR="005512DA" w:rsidRPr="00073BA6">
        <w:rPr>
          <w:rFonts w:ascii="Arial" w:hAnsi="Arial" w:cs="Arial"/>
          <w:color w:val="000000" w:themeColor="text1"/>
        </w:rPr>
        <w:t xml:space="preserve">(2021), </w:t>
      </w:r>
      <w:r w:rsidR="006B52CA" w:rsidRPr="00073BA6">
        <w:rPr>
          <w:rFonts w:ascii="Arial" w:hAnsi="Arial" w:cs="Arial"/>
          <w:color w:val="000000" w:themeColor="text1"/>
        </w:rPr>
        <w:t xml:space="preserve">supports this by </w:t>
      </w:r>
      <w:r w:rsidR="00900AF0">
        <w:rPr>
          <w:rFonts w:ascii="Arial" w:hAnsi="Arial" w:cs="Arial"/>
          <w:color w:val="000000" w:themeColor="text1"/>
        </w:rPr>
        <w:t>explaining</w:t>
      </w:r>
      <w:r w:rsidR="006B52CA" w:rsidRPr="00073BA6">
        <w:rPr>
          <w:rFonts w:ascii="Arial" w:hAnsi="Arial" w:cs="Arial"/>
          <w:color w:val="000000" w:themeColor="text1"/>
        </w:rPr>
        <w:t xml:space="preserve"> that although vulnerable people crossing paths with the criminal justice system isn’t a new trend, it is however evident that the police are increasingly becoming the first point of contact with these groups of people while their principal responsibilities of detecting and investigating criminal activity making space. Many of these people entering the custody of the police suffer from mental</w:t>
      </w:r>
      <w:r w:rsidR="005512DA" w:rsidRPr="00073BA6">
        <w:rPr>
          <w:rFonts w:ascii="Arial" w:hAnsi="Arial" w:cs="Arial"/>
          <w:color w:val="000000" w:themeColor="text1"/>
        </w:rPr>
        <w:t xml:space="preserve"> health issues, this links back to the official College of Policing’s definition of vulnerability where the emphasis is on the circumstances of the individual not being able to make decisions for themselves or others due to these problems.</w:t>
      </w:r>
      <w:r w:rsidR="00B0452B" w:rsidRPr="00073BA6">
        <w:rPr>
          <w:rFonts w:ascii="Arial" w:hAnsi="Arial" w:cs="Arial"/>
          <w:color w:val="000000" w:themeColor="text1"/>
        </w:rPr>
        <w:t xml:space="preserve"> Farrugia and Gabbert (2019) further reinforces this by stating that the increasing number of people with mental disorders coming into with the police means a change in the way police approach these situations involving vulnerable people. This research looks at the interviewing and questioning stage specifically, and how the police have had to adapt to these circumstances through an operational standpoint and determine</w:t>
      </w:r>
      <w:r w:rsidR="00C60570" w:rsidRPr="00073BA6">
        <w:rPr>
          <w:rFonts w:ascii="Arial" w:hAnsi="Arial" w:cs="Arial"/>
          <w:color w:val="000000" w:themeColor="text1"/>
        </w:rPr>
        <w:t xml:space="preserve"> what is deemed as a vulnerable person, especially in such a sensitive stage of investigation</w:t>
      </w:r>
      <w:r w:rsidR="00B0452B" w:rsidRPr="00073BA6">
        <w:rPr>
          <w:rFonts w:ascii="Arial" w:hAnsi="Arial" w:cs="Arial"/>
          <w:color w:val="000000" w:themeColor="text1"/>
        </w:rPr>
        <w:t>.</w:t>
      </w:r>
    </w:p>
    <w:p w14:paraId="166A4056" w14:textId="77777777" w:rsidR="009C5442" w:rsidRDefault="000D7CCF" w:rsidP="009B0834">
      <w:pPr>
        <w:spacing w:line="480" w:lineRule="auto"/>
        <w:rPr>
          <w:rFonts w:ascii="Arial" w:eastAsia="Times New Roman" w:hAnsi="Arial" w:cs="Arial"/>
        </w:rPr>
      </w:pPr>
      <w:r w:rsidRPr="00073BA6">
        <w:rPr>
          <w:rFonts w:ascii="Arial" w:hAnsi="Arial" w:cs="Arial"/>
          <w:color w:val="000000" w:themeColor="text1"/>
        </w:rPr>
        <w:t xml:space="preserve">        </w:t>
      </w:r>
      <w:r w:rsidR="00B23B10">
        <w:rPr>
          <w:rFonts w:ascii="Arial" w:hAnsi="Arial" w:cs="Arial"/>
          <w:color w:val="000000" w:themeColor="text1"/>
        </w:rPr>
        <w:t xml:space="preserve">Asquith and </w:t>
      </w:r>
      <w:proofErr w:type="spellStart"/>
      <w:r w:rsidR="00B23B10" w:rsidRPr="00B23B10">
        <w:rPr>
          <w:rFonts w:ascii="Arial" w:eastAsia="Times New Roman" w:hAnsi="Arial" w:cs="Arial"/>
        </w:rPr>
        <w:t>Bartkowiak-Théron</w:t>
      </w:r>
      <w:proofErr w:type="spellEnd"/>
      <w:r w:rsidR="00B23B10">
        <w:rPr>
          <w:rFonts w:ascii="Arial" w:eastAsia="Times New Roman" w:hAnsi="Arial" w:cs="Arial"/>
        </w:rPr>
        <w:t xml:space="preserve"> (2021) highlight</w:t>
      </w:r>
      <w:r w:rsidR="00AE3C35">
        <w:rPr>
          <w:rFonts w:ascii="Arial" w:eastAsia="Times New Roman" w:hAnsi="Arial" w:cs="Arial"/>
        </w:rPr>
        <w:t>s</w:t>
      </w:r>
      <w:r w:rsidR="00B23B10">
        <w:rPr>
          <w:rFonts w:ascii="Arial" w:eastAsia="Times New Roman" w:hAnsi="Arial" w:cs="Arial"/>
        </w:rPr>
        <w:t xml:space="preserve"> the importance of the custody stage when analysing vulnerability in the policing process and describing it as the ‘tipping point’ in policing vulnerability. The idea of offenders entering custody and not being particularly vulnerable, yet the environment and situation offenders are put under ultimately creates a </w:t>
      </w:r>
      <w:r w:rsidR="00B23B10">
        <w:rPr>
          <w:rFonts w:ascii="Arial" w:eastAsia="Times New Roman" w:hAnsi="Arial" w:cs="Arial"/>
        </w:rPr>
        <w:lastRenderedPageBreak/>
        <w:t>vulnerable person. This is problematic, as much of the attention on recent protests and movements are fuelled by the mishandling of what would be deemed as a systematically-created vulnerability from custody.</w:t>
      </w:r>
      <w:r w:rsidR="00914F95">
        <w:rPr>
          <w:rFonts w:ascii="Arial" w:eastAsia="Times New Roman" w:hAnsi="Arial" w:cs="Arial"/>
        </w:rPr>
        <w:t xml:space="preserve"> Following a miscarriage of justice</w:t>
      </w:r>
      <w:r w:rsidR="006A4C29">
        <w:rPr>
          <w:rFonts w:ascii="Arial" w:eastAsia="Times New Roman" w:hAnsi="Arial" w:cs="Arial"/>
        </w:rPr>
        <w:t xml:space="preserve"> in 1972, the Police and Criminal Evidence Act 1984 (PACE) introduced the concept of Appropriate Adults (AA), to ensure vulnerable people in police custody are treated fairly and are represented in accordance with the law. PACE also introduced legislation that aimed to regulate the police’s use of power and the procedures in which they operated. As mentioned, AA was a way to regulate the rights of the suspects during their time in police custody (</w:t>
      </w:r>
      <w:r w:rsidR="006A4C29" w:rsidRPr="00073BA6">
        <w:rPr>
          <w:rFonts w:ascii="Arial" w:hAnsi="Arial" w:cs="Arial"/>
          <w:color w:val="000000" w:themeColor="text1"/>
        </w:rPr>
        <w:t>Dehaghani</w:t>
      </w:r>
      <w:r w:rsidR="006A4C29">
        <w:rPr>
          <w:rFonts w:ascii="Arial" w:hAnsi="Arial" w:cs="Arial"/>
          <w:color w:val="000000" w:themeColor="text1"/>
        </w:rPr>
        <w:t>, 2020)</w:t>
      </w:r>
      <w:r w:rsidR="006A4C29">
        <w:rPr>
          <w:rFonts w:ascii="Arial" w:eastAsia="Times New Roman" w:hAnsi="Arial" w:cs="Arial"/>
        </w:rPr>
        <w:t xml:space="preserve">. However, according to Pierpoint (2000) recently after the implementation of the AA legislation, </w:t>
      </w:r>
      <w:r w:rsidR="003D0684">
        <w:rPr>
          <w:rFonts w:ascii="Arial" w:eastAsia="Times New Roman" w:hAnsi="Arial" w:cs="Arial"/>
        </w:rPr>
        <w:t xml:space="preserve">it did not prove as effective as some may believe. Research that was funded by The Royal Commission on Criminal Justice (1993), found that the AA scheme was not working as intended and the idea of it fixing the police’s issue of dealing with vulnerable people in custody was not proving effective. Recommendations were made and forwarded for review, one being the idea of local appropriate adult panels where those who felt strongly to volunteer could do so for their community. With all this being said, the question of whether the </w:t>
      </w:r>
      <w:r w:rsidR="007A4587">
        <w:rPr>
          <w:rFonts w:ascii="Arial" w:eastAsia="Times New Roman" w:hAnsi="Arial" w:cs="Arial"/>
        </w:rPr>
        <w:t>introduction of AA’s has proven to be as effective as they were once thought to be is still a widely debated topic.</w:t>
      </w:r>
      <w:r w:rsidR="003D0684">
        <w:rPr>
          <w:rFonts w:ascii="Arial" w:eastAsia="Times New Roman" w:hAnsi="Arial" w:cs="Arial"/>
        </w:rPr>
        <w:t xml:space="preserve"> </w:t>
      </w:r>
    </w:p>
    <w:p w14:paraId="043BDFE7" w14:textId="4E0BC763" w:rsidR="00E1477B" w:rsidRDefault="009C5442" w:rsidP="009B0834">
      <w:pPr>
        <w:spacing w:line="480" w:lineRule="auto"/>
        <w:rPr>
          <w:rFonts w:ascii="Arial" w:eastAsia="Times New Roman" w:hAnsi="Arial" w:cs="Arial"/>
        </w:rPr>
      </w:pPr>
      <w:r>
        <w:rPr>
          <w:rFonts w:ascii="Arial" w:eastAsia="Times New Roman" w:hAnsi="Arial" w:cs="Arial"/>
        </w:rPr>
        <w:t xml:space="preserve">        </w:t>
      </w:r>
      <w:r w:rsidR="006A46D1">
        <w:rPr>
          <w:rFonts w:ascii="Arial" w:eastAsia="Times New Roman" w:hAnsi="Arial" w:cs="Arial"/>
        </w:rPr>
        <w:t>More recently, the issue of vulnerable people with mental health disorders</w:t>
      </w:r>
      <w:r>
        <w:rPr>
          <w:rFonts w:ascii="Arial" w:eastAsia="Times New Roman" w:hAnsi="Arial" w:cs="Arial"/>
        </w:rPr>
        <w:t xml:space="preserve"> such as autism</w:t>
      </w:r>
      <w:r w:rsidR="006A46D1">
        <w:rPr>
          <w:rFonts w:ascii="Arial" w:eastAsia="Times New Roman" w:hAnsi="Arial" w:cs="Arial"/>
        </w:rPr>
        <w:t xml:space="preserve"> and disabilities related to the role of AA has been raised and how this might affect custodial fairness for those who need it. </w:t>
      </w:r>
      <w:r>
        <w:rPr>
          <w:rFonts w:ascii="Arial" w:eastAsia="Times New Roman" w:hAnsi="Arial" w:cs="Arial"/>
        </w:rPr>
        <w:t>According to Richards and Milne (2020),</w:t>
      </w:r>
      <w:r w:rsidR="00045830">
        <w:rPr>
          <w:rFonts w:ascii="Arial" w:eastAsia="Times New Roman" w:hAnsi="Arial" w:cs="Arial"/>
        </w:rPr>
        <w:t xml:space="preserve"> although </w:t>
      </w:r>
      <w:r w:rsidR="00D41636">
        <w:rPr>
          <w:rFonts w:ascii="Arial" w:eastAsia="Times New Roman" w:hAnsi="Arial" w:cs="Arial"/>
        </w:rPr>
        <w:t>AAs are brought in to intervene in criminal investigations, it was highlighted that the need for further training around Autistic Spectrum Disorder (ASD) is urgently needed</w:t>
      </w:r>
      <w:r w:rsidR="00343300">
        <w:rPr>
          <w:rFonts w:ascii="Arial" w:eastAsia="Times New Roman" w:hAnsi="Arial" w:cs="Arial"/>
        </w:rPr>
        <w:t>.</w:t>
      </w:r>
      <w:r w:rsidR="00E1477B">
        <w:rPr>
          <w:rFonts w:ascii="Arial" w:eastAsia="Times New Roman" w:hAnsi="Arial" w:cs="Arial"/>
        </w:rPr>
        <w:t xml:space="preserve"> </w:t>
      </w:r>
      <w:r w:rsidR="00D41636">
        <w:rPr>
          <w:rFonts w:ascii="Arial" w:eastAsia="Times New Roman" w:hAnsi="Arial" w:cs="Arial"/>
        </w:rPr>
        <w:t>This training would help create strategies and improve the overall process for those with ASD while in police custody and provide the support that is needed.</w:t>
      </w:r>
      <w:r w:rsidR="00F616A3">
        <w:rPr>
          <w:rFonts w:ascii="Arial" w:eastAsia="Times New Roman" w:hAnsi="Arial" w:cs="Arial"/>
        </w:rPr>
        <w:t xml:space="preserve"> It focuses mainly around helping engagement with the criminal justice system in the form of the police, to help these vulnerable people understand the nature of the interview environment.</w:t>
      </w:r>
      <w:r w:rsidR="00D41636">
        <w:rPr>
          <w:rFonts w:ascii="Arial" w:eastAsia="Times New Roman" w:hAnsi="Arial" w:cs="Arial"/>
        </w:rPr>
        <w:t xml:space="preserve"> </w:t>
      </w:r>
      <w:proofErr w:type="spellStart"/>
      <w:r w:rsidR="00E1477B" w:rsidRPr="00073BA6">
        <w:rPr>
          <w:rFonts w:ascii="Arial" w:hAnsi="Arial" w:cs="Arial"/>
          <w:color w:val="000000" w:themeColor="text1"/>
        </w:rPr>
        <w:t>Chown</w:t>
      </w:r>
      <w:proofErr w:type="spellEnd"/>
      <w:r w:rsidR="00E1477B" w:rsidRPr="00073BA6">
        <w:rPr>
          <w:rFonts w:ascii="Arial" w:hAnsi="Arial" w:cs="Arial"/>
          <w:color w:val="000000" w:themeColor="text1"/>
        </w:rPr>
        <w:t xml:space="preserve">, </w:t>
      </w:r>
      <w:r w:rsidR="00E1477B" w:rsidRPr="00B23B10">
        <w:rPr>
          <w:rFonts w:ascii="Arial" w:hAnsi="Arial" w:cs="Arial"/>
          <w:i/>
          <w:iCs/>
          <w:color w:val="000000" w:themeColor="text1"/>
        </w:rPr>
        <w:t>et al</w:t>
      </w:r>
      <w:r w:rsidR="00E1477B" w:rsidRPr="00073BA6">
        <w:rPr>
          <w:rFonts w:ascii="Arial" w:hAnsi="Arial" w:cs="Arial"/>
          <w:color w:val="000000" w:themeColor="text1"/>
        </w:rPr>
        <w:t>., (2021)</w:t>
      </w:r>
      <w:r w:rsidR="00E1477B">
        <w:rPr>
          <w:rFonts w:ascii="Arial" w:hAnsi="Arial" w:cs="Arial"/>
          <w:color w:val="000000" w:themeColor="text1"/>
        </w:rPr>
        <w:t xml:space="preserve"> supports</w:t>
      </w:r>
      <w:r w:rsidR="00E1477B">
        <w:rPr>
          <w:rFonts w:ascii="Arial" w:eastAsia="Times New Roman" w:hAnsi="Arial" w:cs="Arial"/>
        </w:rPr>
        <w:t xml:space="preserve"> Richards and Milne and also</w:t>
      </w:r>
      <w:r w:rsidR="00E1477B" w:rsidRPr="00073BA6">
        <w:rPr>
          <w:rFonts w:ascii="Arial" w:hAnsi="Arial" w:cs="Arial"/>
          <w:color w:val="000000" w:themeColor="text1"/>
        </w:rPr>
        <w:t xml:space="preserve"> looks at operational policing related to Autism and </w:t>
      </w:r>
      <w:r w:rsidR="00E1477B" w:rsidRPr="00073BA6">
        <w:rPr>
          <w:rFonts w:ascii="Arial" w:hAnsi="Arial" w:cs="Arial"/>
          <w:color w:val="000000" w:themeColor="text1"/>
        </w:rPr>
        <w:lastRenderedPageBreak/>
        <w:t>how police officers respond and deal with autistic adults and children.</w:t>
      </w:r>
      <w:r w:rsidR="00C10160">
        <w:rPr>
          <w:rFonts w:ascii="Arial" w:hAnsi="Arial" w:cs="Arial"/>
          <w:color w:val="000000" w:themeColor="text1"/>
        </w:rPr>
        <w:t xml:space="preserve"> </w:t>
      </w:r>
      <w:r w:rsidR="00E1477B" w:rsidRPr="00073BA6">
        <w:rPr>
          <w:rFonts w:ascii="Arial" w:hAnsi="Arial" w:cs="Arial"/>
          <w:color w:val="000000" w:themeColor="text1"/>
        </w:rPr>
        <w:t xml:space="preserve">The research found that a call for an improvement/implementation of training involving the dealing with autistic adults and children is urgently needed. This importance of developing and understanding such a large and vital group of vulnerable people that interact with the police is crucial when considering gaining a further understanding of vulnerability within operational policing. </w:t>
      </w:r>
      <w:r w:rsidR="00C10160">
        <w:rPr>
          <w:rFonts w:ascii="Arial" w:hAnsi="Arial" w:cs="Arial"/>
          <w:color w:val="000000" w:themeColor="text1"/>
        </w:rPr>
        <w:t xml:space="preserve">The difference with the two academic sources seems to be who needs the training more. Where </w:t>
      </w:r>
      <w:proofErr w:type="spellStart"/>
      <w:r w:rsidR="00C10160" w:rsidRPr="00073BA6">
        <w:rPr>
          <w:rFonts w:ascii="Arial" w:hAnsi="Arial" w:cs="Arial"/>
          <w:color w:val="000000" w:themeColor="text1"/>
        </w:rPr>
        <w:t>Chown</w:t>
      </w:r>
      <w:proofErr w:type="spellEnd"/>
      <w:r w:rsidR="00C10160" w:rsidRPr="00073BA6">
        <w:rPr>
          <w:rFonts w:ascii="Arial" w:hAnsi="Arial" w:cs="Arial"/>
          <w:color w:val="000000" w:themeColor="text1"/>
        </w:rPr>
        <w:t xml:space="preserve">, </w:t>
      </w:r>
      <w:r w:rsidR="00C10160" w:rsidRPr="00B23B10">
        <w:rPr>
          <w:rFonts w:ascii="Arial" w:hAnsi="Arial" w:cs="Arial"/>
          <w:i/>
          <w:iCs/>
          <w:color w:val="000000" w:themeColor="text1"/>
        </w:rPr>
        <w:t>et al</w:t>
      </w:r>
      <w:r w:rsidR="001073AE">
        <w:rPr>
          <w:rFonts w:ascii="Arial" w:hAnsi="Arial" w:cs="Arial"/>
          <w:i/>
          <w:iCs/>
          <w:color w:val="000000" w:themeColor="text1"/>
        </w:rPr>
        <w:t>.,</w:t>
      </w:r>
      <w:r w:rsidR="00C10160" w:rsidRPr="00073BA6">
        <w:rPr>
          <w:rFonts w:ascii="Arial" w:hAnsi="Arial" w:cs="Arial"/>
          <w:color w:val="000000" w:themeColor="text1"/>
        </w:rPr>
        <w:t xml:space="preserve"> </w:t>
      </w:r>
      <w:r w:rsidR="00C10160">
        <w:rPr>
          <w:rFonts w:ascii="Arial" w:hAnsi="Arial" w:cs="Arial"/>
          <w:color w:val="000000" w:themeColor="text1"/>
        </w:rPr>
        <w:t xml:space="preserve">states that the police are in urgent need of training, </w:t>
      </w:r>
      <w:r w:rsidR="00C10160">
        <w:rPr>
          <w:rFonts w:ascii="Arial" w:eastAsia="Times New Roman" w:hAnsi="Arial" w:cs="Arial"/>
        </w:rPr>
        <w:t>Richards and Milne</w:t>
      </w:r>
      <w:r w:rsidR="00C10160" w:rsidRPr="00073BA6">
        <w:rPr>
          <w:rFonts w:ascii="Arial" w:hAnsi="Arial" w:cs="Arial"/>
          <w:color w:val="000000" w:themeColor="text1"/>
        </w:rPr>
        <w:t xml:space="preserve"> </w:t>
      </w:r>
      <w:r w:rsidR="00C10160">
        <w:rPr>
          <w:rFonts w:ascii="Arial" w:hAnsi="Arial" w:cs="Arial"/>
          <w:color w:val="000000" w:themeColor="text1"/>
        </w:rPr>
        <w:t>lean towards AAs needing the training. It can be said that both are valid assessments and can link together with</w:t>
      </w:r>
      <w:r w:rsidR="00E1477B" w:rsidRPr="00073BA6">
        <w:rPr>
          <w:rFonts w:ascii="Arial" w:hAnsi="Arial" w:cs="Arial"/>
          <w:color w:val="000000" w:themeColor="text1"/>
        </w:rPr>
        <w:t xml:space="preserve"> this core research by Jones and Lister (2019), that a constant improvement from forces when developing their abilities to better the overall success of British policing, especially in the context of vulnerability. This</w:t>
      </w:r>
      <w:r w:rsidR="00C10160">
        <w:rPr>
          <w:rFonts w:ascii="Arial" w:hAnsi="Arial" w:cs="Arial"/>
          <w:color w:val="000000" w:themeColor="text1"/>
        </w:rPr>
        <w:t xml:space="preserve"> idea of</w:t>
      </w:r>
      <w:r w:rsidR="00E1477B" w:rsidRPr="00073BA6">
        <w:rPr>
          <w:rFonts w:ascii="Arial" w:hAnsi="Arial" w:cs="Arial"/>
          <w:color w:val="000000" w:themeColor="text1"/>
        </w:rPr>
        <w:t xml:space="preserve"> training police surrounding autistic adults and children put forward by </w:t>
      </w:r>
      <w:proofErr w:type="spellStart"/>
      <w:r w:rsidR="00E1477B" w:rsidRPr="00073BA6">
        <w:rPr>
          <w:rFonts w:ascii="Arial" w:hAnsi="Arial" w:cs="Arial"/>
          <w:color w:val="000000" w:themeColor="text1"/>
        </w:rPr>
        <w:t>Chown</w:t>
      </w:r>
      <w:proofErr w:type="spellEnd"/>
      <w:r w:rsidR="00E1477B" w:rsidRPr="00073BA6">
        <w:rPr>
          <w:rFonts w:ascii="Arial" w:hAnsi="Arial" w:cs="Arial"/>
          <w:color w:val="000000" w:themeColor="text1"/>
        </w:rPr>
        <w:t xml:space="preserve">, </w:t>
      </w:r>
      <w:r w:rsidR="00E1477B" w:rsidRPr="00B23B10">
        <w:rPr>
          <w:rFonts w:ascii="Arial" w:hAnsi="Arial" w:cs="Arial"/>
          <w:i/>
          <w:iCs/>
          <w:color w:val="000000" w:themeColor="text1"/>
        </w:rPr>
        <w:t>et al</w:t>
      </w:r>
      <w:r w:rsidR="00E1477B" w:rsidRPr="00073BA6">
        <w:rPr>
          <w:rFonts w:ascii="Arial" w:hAnsi="Arial" w:cs="Arial"/>
          <w:color w:val="000000" w:themeColor="text1"/>
        </w:rPr>
        <w:t>., will contribute to this effort and help get a better understanding of the question at hand.</w:t>
      </w:r>
      <w:r w:rsidR="00E1477B">
        <w:rPr>
          <w:rFonts w:ascii="Arial" w:hAnsi="Arial" w:cs="Arial"/>
          <w:color w:val="000000" w:themeColor="text1"/>
        </w:rPr>
        <w:t xml:space="preserve"> </w:t>
      </w:r>
      <w:r w:rsidR="00E1477B">
        <w:rPr>
          <w:rFonts w:ascii="Arial" w:eastAsia="Times New Roman" w:hAnsi="Arial" w:cs="Arial"/>
        </w:rPr>
        <w:t xml:space="preserve">The viewpoint regarding the police’s involvement with vulnerable people, especially those with ASD is reinforced throughout the paper and appears to be a common theme. </w:t>
      </w:r>
      <w:r w:rsidR="00D41636">
        <w:rPr>
          <w:rFonts w:ascii="Arial" w:eastAsia="Times New Roman" w:hAnsi="Arial" w:cs="Arial"/>
        </w:rPr>
        <w:t>When examined next to Pierpoint (200</w:t>
      </w:r>
      <w:r w:rsidR="00343300">
        <w:rPr>
          <w:rFonts w:ascii="Arial" w:eastAsia="Times New Roman" w:hAnsi="Arial" w:cs="Arial"/>
        </w:rPr>
        <w:t>0</w:t>
      </w:r>
      <w:r w:rsidR="00D41636">
        <w:rPr>
          <w:rFonts w:ascii="Arial" w:eastAsia="Times New Roman" w:hAnsi="Arial" w:cs="Arial"/>
        </w:rPr>
        <w:t xml:space="preserve">), it is clear that even now in recent years the intervention of the AA scheme shows signs of weakness and many years on needs improvements for police to better deal with vulnerability during custody. </w:t>
      </w:r>
    </w:p>
    <w:p w14:paraId="2AE4D488" w14:textId="36811C9E" w:rsidR="00D911EE" w:rsidRPr="00073BA6" w:rsidRDefault="00E1477B" w:rsidP="009B0834">
      <w:pPr>
        <w:spacing w:line="480" w:lineRule="auto"/>
        <w:rPr>
          <w:rFonts w:ascii="Arial" w:hAnsi="Arial" w:cs="Arial"/>
          <w:color w:val="000000" w:themeColor="text1"/>
        </w:rPr>
      </w:pPr>
      <w:r>
        <w:rPr>
          <w:rFonts w:ascii="Arial" w:eastAsia="Times New Roman" w:hAnsi="Arial" w:cs="Arial"/>
        </w:rPr>
        <w:t xml:space="preserve">        </w:t>
      </w:r>
      <w:r w:rsidR="000D7CCF" w:rsidRPr="00073BA6">
        <w:rPr>
          <w:rFonts w:ascii="Arial" w:hAnsi="Arial" w:cs="Arial"/>
          <w:color w:val="000000" w:themeColor="text1"/>
        </w:rPr>
        <w:t>Dehaghani (201</w:t>
      </w:r>
      <w:r w:rsidR="006A46D1">
        <w:rPr>
          <w:rFonts w:ascii="Arial" w:hAnsi="Arial" w:cs="Arial"/>
          <w:color w:val="000000" w:themeColor="text1"/>
        </w:rPr>
        <w:t>7</w:t>
      </w:r>
      <w:r w:rsidR="000D7CCF" w:rsidRPr="00073BA6">
        <w:rPr>
          <w:rFonts w:ascii="Arial" w:hAnsi="Arial" w:cs="Arial"/>
          <w:color w:val="000000" w:themeColor="text1"/>
        </w:rPr>
        <w:t xml:space="preserve">), looks at how custody officers are understanding vulnerability especially in juvenile offenders when in custody. This is very much an insight into the vulnerable by law, not nature perspective. Young offenders receiving support from </w:t>
      </w:r>
      <w:r w:rsidR="00914F95">
        <w:rPr>
          <w:rFonts w:ascii="Arial" w:hAnsi="Arial" w:cs="Arial"/>
          <w:color w:val="000000" w:themeColor="text1"/>
        </w:rPr>
        <w:t>AA</w:t>
      </w:r>
      <w:r w:rsidR="000D7CCF" w:rsidRPr="00073BA6">
        <w:rPr>
          <w:rFonts w:ascii="Arial" w:hAnsi="Arial" w:cs="Arial"/>
          <w:color w:val="000000" w:themeColor="text1"/>
        </w:rPr>
        <w:t xml:space="preserve"> when being questioned in custody are at the forefront of vulnerability in the criminal justice system and how custody </w:t>
      </w:r>
      <w:r w:rsidR="000A44BA" w:rsidRPr="00073BA6">
        <w:rPr>
          <w:rFonts w:ascii="Arial" w:hAnsi="Arial" w:cs="Arial"/>
          <w:color w:val="000000" w:themeColor="text1"/>
        </w:rPr>
        <w:t>officers’</w:t>
      </w:r>
      <w:r w:rsidR="000D7CCF" w:rsidRPr="00073BA6">
        <w:rPr>
          <w:rFonts w:ascii="Arial" w:hAnsi="Arial" w:cs="Arial"/>
          <w:color w:val="000000" w:themeColor="text1"/>
        </w:rPr>
        <w:t xml:space="preserve"> approach and deal with these people is of great interest when considering the research question.</w:t>
      </w:r>
      <w:r w:rsidR="000A44BA" w:rsidRPr="00073BA6">
        <w:rPr>
          <w:rFonts w:ascii="Arial" w:hAnsi="Arial" w:cs="Arial"/>
          <w:color w:val="000000" w:themeColor="text1"/>
        </w:rPr>
        <w:t xml:space="preserve"> Dehaghani found that a high percentage of young offenders have a natural defence approach when in situations involving the police. Approximately two fifths of juvenile offenders in custody have experienced some form of abuse, loss or neglect in their life. Therefore, they may not feel particularly vulnerable, yet </w:t>
      </w:r>
      <w:r w:rsidR="000A44BA" w:rsidRPr="00073BA6">
        <w:rPr>
          <w:rFonts w:ascii="Arial" w:hAnsi="Arial" w:cs="Arial"/>
          <w:color w:val="000000" w:themeColor="text1"/>
        </w:rPr>
        <w:lastRenderedPageBreak/>
        <w:t>they fall into the vulnerable group very clearly. Custody officers and the criminal justice system in general need to realise the level of vulnerability entering custody and work to improve their approach to dealing with them. These statistics are also noted to be underestimates, which further emphasises the need for recognition.</w:t>
      </w:r>
      <w:r w:rsidR="00C85B81">
        <w:rPr>
          <w:rFonts w:ascii="Arial" w:hAnsi="Arial" w:cs="Arial"/>
          <w:color w:val="000000" w:themeColor="text1"/>
        </w:rPr>
        <w:t xml:space="preserve"> </w:t>
      </w:r>
      <w:r w:rsidR="00C85B81" w:rsidRPr="00073BA6">
        <w:rPr>
          <w:rFonts w:ascii="Arial" w:hAnsi="Arial" w:cs="Arial"/>
          <w:color w:val="000000" w:themeColor="text1"/>
        </w:rPr>
        <w:t xml:space="preserve">This can link to </w:t>
      </w:r>
      <w:r w:rsidR="00C85B81">
        <w:rPr>
          <w:rFonts w:ascii="Arial" w:hAnsi="Arial" w:cs="Arial"/>
          <w:color w:val="000000" w:themeColor="text1"/>
        </w:rPr>
        <w:t xml:space="preserve">Jones and Lister </w:t>
      </w:r>
      <w:r w:rsidR="00C85B81" w:rsidRPr="00073BA6">
        <w:rPr>
          <w:rFonts w:ascii="Arial" w:hAnsi="Arial" w:cs="Arial"/>
          <w:color w:val="000000" w:themeColor="text1"/>
        </w:rPr>
        <w:t>(201</w:t>
      </w:r>
      <w:r w:rsidR="00C85B81">
        <w:rPr>
          <w:rFonts w:ascii="Arial" w:hAnsi="Arial" w:cs="Arial"/>
          <w:color w:val="000000" w:themeColor="text1"/>
        </w:rPr>
        <w:t>9</w:t>
      </w:r>
      <w:r w:rsidR="00C85B81" w:rsidRPr="00073BA6">
        <w:rPr>
          <w:rFonts w:ascii="Arial" w:hAnsi="Arial" w:cs="Arial"/>
          <w:color w:val="000000" w:themeColor="text1"/>
        </w:rPr>
        <w:t>), with the need of a better understanding of vulnerable people as an improvement of methods and attitude towards the larger picture of British policing and improving it in any area it can better deal with vulnerable people</w:t>
      </w:r>
      <w:r w:rsidR="00C85B81">
        <w:rPr>
          <w:rFonts w:ascii="Arial" w:hAnsi="Arial" w:cs="Arial"/>
          <w:color w:val="000000" w:themeColor="text1"/>
        </w:rPr>
        <w:t xml:space="preserve">. </w:t>
      </w:r>
      <w:r w:rsidR="00C10160">
        <w:rPr>
          <w:rFonts w:ascii="Arial" w:hAnsi="Arial" w:cs="Arial"/>
          <w:color w:val="000000" w:themeColor="text1"/>
        </w:rPr>
        <w:t>The points</w:t>
      </w:r>
      <w:r w:rsidR="00C85B81">
        <w:rPr>
          <w:rFonts w:ascii="Arial" w:hAnsi="Arial" w:cs="Arial"/>
          <w:color w:val="000000" w:themeColor="text1"/>
        </w:rPr>
        <w:t xml:space="preserve"> covered</w:t>
      </w:r>
      <w:r w:rsidR="00C10160">
        <w:rPr>
          <w:rFonts w:ascii="Arial" w:hAnsi="Arial" w:cs="Arial"/>
          <w:color w:val="000000" w:themeColor="text1"/>
        </w:rPr>
        <w:t xml:space="preserve"> regarding police custody related to vulnerability from people with ASD and juvenile offenders help gain an understanding when answering the research question. Vulnerability is a wide area to cover and evidently, custody appears to be a good </w:t>
      </w:r>
      <w:r w:rsidR="00A12F6F">
        <w:rPr>
          <w:rFonts w:ascii="Arial" w:hAnsi="Arial" w:cs="Arial"/>
          <w:color w:val="000000" w:themeColor="text1"/>
        </w:rPr>
        <w:t xml:space="preserve">focus area to understand how the police </w:t>
      </w:r>
      <w:r w:rsidR="00BE65FF">
        <w:rPr>
          <w:rFonts w:ascii="Arial" w:hAnsi="Arial" w:cs="Arial"/>
          <w:color w:val="000000" w:themeColor="text1"/>
        </w:rPr>
        <w:t>as an institution</w:t>
      </w:r>
      <w:r w:rsidR="00954F75">
        <w:rPr>
          <w:rFonts w:ascii="Arial" w:hAnsi="Arial" w:cs="Arial"/>
          <w:color w:val="000000" w:themeColor="text1"/>
        </w:rPr>
        <w:t xml:space="preserve"> identify, </w:t>
      </w:r>
      <w:r w:rsidR="00A12F6F">
        <w:rPr>
          <w:rFonts w:ascii="Arial" w:hAnsi="Arial" w:cs="Arial"/>
          <w:color w:val="000000" w:themeColor="text1"/>
        </w:rPr>
        <w:t>respond and react to vulnerability as a whole.</w:t>
      </w:r>
    </w:p>
    <w:p w14:paraId="0464396D" w14:textId="45A90692" w:rsidR="00970606" w:rsidRDefault="00970606" w:rsidP="009B0834">
      <w:pPr>
        <w:spacing w:line="480" w:lineRule="auto"/>
        <w:rPr>
          <w:rFonts w:ascii="Arial" w:hAnsi="Arial" w:cs="Arial"/>
          <w:color w:val="000000" w:themeColor="text1"/>
        </w:rPr>
      </w:pPr>
      <w:r w:rsidRPr="00073BA6">
        <w:rPr>
          <w:rFonts w:ascii="Arial" w:hAnsi="Arial" w:cs="Arial"/>
          <w:color w:val="000000" w:themeColor="text1"/>
        </w:rPr>
        <w:t xml:space="preserve">        It is important to reference not only the vulnerabilities that the police work with, but also the vulnerabilities that the police face as an institution</w:t>
      </w:r>
      <w:r w:rsidR="00DF17BC">
        <w:rPr>
          <w:rFonts w:ascii="Arial" w:hAnsi="Arial" w:cs="Arial"/>
          <w:color w:val="000000" w:themeColor="text1"/>
        </w:rPr>
        <w:t xml:space="preserve"> as this brings another meaning to the term</w:t>
      </w:r>
      <w:r w:rsidRPr="00073BA6">
        <w:rPr>
          <w:rFonts w:ascii="Arial" w:hAnsi="Arial" w:cs="Arial"/>
          <w:color w:val="000000" w:themeColor="text1"/>
        </w:rPr>
        <w:t>. Society has been exposed to a new form of communication through social media and the internet, allowing for content manipulation and pressure on the police to appear a certain way. As mentioned, digital manipulation of content can make the police appear a certain way online. It can further force opinions on people with biased views out of moral disagreement with the police. This problem makes the reputation of the police and its online footprint very vulnerable, which can have a massive effect on the operational policing conducted on a day-to-day basis (Goldsmith and McLaughlin, 2021).</w:t>
      </w:r>
    </w:p>
    <w:p w14:paraId="265AC229" w14:textId="17364CB7" w:rsidR="00AA7C0F" w:rsidRDefault="003A69D9" w:rsidP="009B0834">
      <w:pPr>
        <w:spacing w:line="480" w:lineRule="auto"/>
        <w:rPr>
          <w:rFonts w:ascii="Arial" w:hAnsi="Arial" w:cs="Arial"/>
          <w:color w:val="000000" w:themeColor="text1"/>
        </w:rPr>
      </w:pPr>
      <w:r>
        <w:rPr>
          <w:rFonts w:ascii="Arial" w:hAnsi="Arial" w:cs="Arial"/>
          <w:color w:val="000000" w:themeColor="text1"/>
        </w:rPr>
        <w:t xml:space="preserve">        Going even wider than the forefront of policing, areas such as counter terrorism can be analysed to truly understand the meaning of vulnerability to the police when operating in different areas of policing.</w:t>
      </w:r>
      <w:r w:rsidR="00AF03FC">
        <w:rPr>
          <w:rFonts w:ascii="Arial" w:hAnsi="Arial" w:cs="Arial"/>
          <w:color w:val="000000" w:themeColor="text1"/>
        </w:rPr>
        <w:t xml:space="preserve"> </w:t>
      </w:r>
      <w:r w:rsidR="00AF03FC" w:rsidRPr="00521C05">
        <w:rPr>
          <w:rFonts w:ascii="Arial" w:eastAsia="Times New Roman" w:hAnsi="Arial" w:cs="Arial"/>
          <w:color w:val="000000" w:themeColor="text1"/>
        </w:rPr>
        <w:t>Augestad Knudsen</w:t>
      </w:r>
      <w:r w:rsidR="00AB5A15">
        <w:rPr>
          <w:rFonts w:ascii="Arial" w:eastAsia="Times New Roman" w:hAnsi="Arial" w:cs="Arial"/>
          <w:color w:val="000000" w:themeColor="text1"/>
        </w:rPr>
        <w:t xml:space="preserve"> </w:t>
      </w:r>
      <w:r w:rsidR="00AF03FC">
        <w:rPr>
          <w:rFonts w:ascii="Arial" w:eastAsia="Times New Roman" w:hAnsi="Arial" w:cs="Arial"/>
          <w:color w:val="000000" w:themeColor="text1"/>
        </w:rPr>
        <w:t>(2020)</w:t>
      </w:r>
      <w:r w:rsidR="00AB5A15">
        <w:rPr>
          <w:rFonts w:ascii="Arial" w:eastAsia="Times New Roman" w:hAnsi="Arial" w:cs="Arial"/>
          <w:color w:val="000000" w:themeColor="text1"/>
        </w:rPr>
        <w:t>,</w:t>
      </w:r>
      <w:r w:rsidR="00AF03FC">
        <w:rPr>
          <w:rFonts w:ascii="Arial" w:eastAsia="Times New Roman" w:hAnsi="Arial" w:cs="Arial"/>
          <w:color w:val="000000" w:themeColor="text1"/>
        </w:rPr>
        <w:t xml:space="preserve"> explains the vulnerability of those whose who have been radicalised into extremism most commonly, against their own will has been an academically debated topic for many years in regards to the link to mental health and how they fit into the category of vulnerable people. There are several issues in relation to those who are involved in terror-related activities, being whether they are able to </w:t>
      </w:r>
      <w:r w:rsidR="00AF03FC">
        <w:rPr>
          <w:rFonts w:ascii="Arial" w:eastAsia="Times New Roman" w:hAnsi="Arial" w:cs="Arial"/>
          <w:color w:val="000000" w:themeColor="text1"/>
        </w:rPr>
        <w:lastRenderedPageBreak/>
        <w:t>represent themselves in police custody</w:t>
      </w:r>
      <w:r w:rsidR="008D0666">
        <w:rPr>
          <w:rFonts w:ascii="Arial" w:eastAsia="Times New Roman" w:hAnsi="Arial" w:cs="Arial"/>
          <w:color w:val="000000" w:themeColor="text1"/>
        </w:rPr>
        <w:t xml:space="preserve"> when questioned.</w:t>
      </w:r>
      <w:r w:rsidR="003678A1">
        <w:rPr>
          <w:rFonts w:ascii="Arial" w:eastAsia="Times New Roman" w:hAnsi="Arial" w:cs="Arial"/>
          <w:color w:val="000000" w:themeColor="text1"/>
        </w:rPr>
        <w:t xml:space="preserve"> It was apparent that in the </w:t>
      </w:r>
      <w:r w:rsidR="00C911AC">
        <w:rPr>
          <w:rFonts w:ascii="Arial" w:eastAsia="Times New Roman" w:hAnsi="Arial" w:cs="Arial"/>
          <w:color w:val="000000" w:themeColor="text1"/>
        </w:rPr>
        <w:t>‘</w:t>
      </w:r>
      <w:r w:rsidR="003678A1">
        <w:rPr>
          <w:rFonts w:ascii="Arial" w:eastAsia="Times New Roman" w:hAnsi="Arial" w:cs="Arial"/>
          <w:color w:val="000000" w:themeColor="text1"/>
        </w:rPr>
        <w:t>CONTEST</w:t>
      </w:r>
      <w:r w:rsidR="00C911AC">
        <w:rPr>
          <w:rFonts w:ascii="Arial" w:eastAsia="Times New Roman" w:hAnsi="Arial" w:cs="Arial"/>
          <w:color w:val="000000" w:themeColor="text1"/>
        </w:rPr>
        <w:t>’</w:t>
      </w:r>
      <w:r w:rsidR="003678A1">
        <w:rPr>
          <w:rFonts w:ascii="Arial" w:eastAsia="Times New Roman" w:hAnsi="Arial" w:cs="Arial"/>
          <w:color w:val="000000" w:themeColor="text1"/>
        </w:rPr>
        <w:t xml:space="preserve"> strategy that was created in order to combat terrorism</w:t>
      </w:r>
      <w:r w:rsidR="00C65434">
        <w:rPr>
          <w:rFonts w:ascii="Arial" w:eastAsia="Times New Roman" w:hAnsi="Arial" w:cs="Arial"/>
          <w:color w:val="000000" w:themeColor="text1"/>
        </w:rPr>
        <w:t>,</w:t>
      </w:r>
      <w:r w:rsidR="003678A1">
        <w:rPr>
          <w:rFonts w:ascii="Arial" w:eastAsia="Times New Roman" w:hAnsi="Arial" w:cs="Arial"/>
          <w:color w:val="000000" w:themeColor="text1"/>
        </w:rPr>
        <w:t xml:space="preserve"> heavily focused</w:t>
      </w:r>
      <w:r w:rsidR="00C65434">
        <w:rPr>
          <w:rFonts w:ascii="Arial" w:eastAsia="Times New Roman" w:hAnsi="Arial" w:cs="Arial"/>
          <w:color w:val="000000" w:themeColor="text1"/>
        </w:rPr>
        <w:t xml:space="preserve"> on the concept of safeguarding being a crucial part of counter-terrorism and becoming a key principle moving forward.</w:t>
      </w:r>
      <w:r w:rsidR="00995534">
        <w:rPr>
          <w:rFonts w:ascii="Arial" w:eastAsia="Times New Roman" w:hAnsi="Arial" w:cs="Arial"/>
          <w:color w:val="000000" w:themeColor="text1"/>
        </w:rPr>
        <w:t xml:space="preserve"> </w:t>
      </w:r>
      <w:r w:rsidR="00C911AC">
        <w:rPr>
          <w:rFonts w:ascii="Arial" w:eastAsia="Times New Roman" w:hAnsi="Arial" w:cs="Arial"/>
          <w:color w:val="000000" w:themeColor="text1"/>
        </w:rPr>
        <w:t>‘</w:t>
      </w:r>
      <w:r w:rsidR="00995534">
        <w:rPr>
          <w:rFonts w:ascii="Arial" w:eastAsia="Times New Roman" w:hAnsi="Arial" w:cs="Arial"/>
          <w:color w:val="000000" w:themeColor="text1"/>
        </w:rPr>
        <w:t>CONTEST</w:t>
      </w:r>
      <w:r w:rsidR="00C911AC">
        <w:rPr>
          <w:rFonts w:ascii="Arial" w:eastAsia="Times New Roman" w:hAnsi="Arial" w:cs="Arial"/>
          <w:color w:val="000000" w:themeColor="text1"/>
        </w:rPr>
        <w:t>’</w:t>
      </w:r>
      <w:r w:rsidR="00995534">
        <w:rPr>
          <w:rFonts w:ascii="Arial" w:eastAsia="Times New Roman" w:hAnsi="Arial" w:cs="Arial"/>
          <w:color w:val="000000" w:themeColor="text1"/>
        </w:rPr>
        <w:t xml:space="preserve"> states under its ‘prevent’ section, that to stop those that are vulnerable radicalisation they will do a number of things including the refocus of attention on areas that are at the highest risk of radicalisation and early signs of extremism and to also create better relationships with communities and other groups (</w:t>
      </w:r>
      <w:r w:rsidR="006F3FFB">
        <w:rPr>
          <w:rFonts w:ascii="Arial" w:eastAsia="Times New Roman" w:hAnsi="Arial" w:cs="Arial"/>
          <w:color w:val="000000" w:themeColor="text1"/>
        </w:rPr>
        <w:t>UK Government</w:t>
      </w:r>
      <w:r w:rsidR="00995534">
        <w:rPr>
          <w:rFonts w:ascii="Arial" w:eastAsia="Times New Roman" w:hAnsi="Arial" w:cs="Arial"/>
          <w:color w:val="000000" w:themeColor="text1"/>
        </w:rPr>
        <w:t>, 2018) just to name a few.</w:t>
      </w:r>
      <w:r w:rsidR="00616E62">
        <w:rPr>
          <w:rFonts w:ascii="Arial" w:eastAsia="Times New Roman" w:hAnsi="Arial" w:cs="Arial"/>
          <w:color w:val="000000" w:themeColor="text1"/>
        </w:rPr>
        <w:t xml:space="preserve"> According to </w:t>
      </w:r>
      <w:proofErr w:type="spellStart"/>
      <w:r w:rsidR="00616E62">
        <w:rPr>
          <w:rFonts w:ascii="Arial" w:eastAsia="Times New Roman" w:hAnsi="Arial" w:cs="Arial"/>
          <w:color w:val="000000" w:themeColor="text1"/>
        </w:rPr>
        <w:t>Aked</w:t>
      </w:r>
      <w:proofErr w:type="spellEnd"/>
      <w:r w:rsidR="00616E62">
        <w:rPr>
          <w:rFonts w:ascii="Arial" w:eastAsia="Times New Roman" w:hAnsi="Arial" w:cs="Arial"/>
          <w:color w:val="000000" w:themeColor="text1"/>
        </w:rPr>
        <w:t xml:space="preserve"> (2021), </w:t>
      </w:r>
      <w:r w:rsidR="00742C2C">
        <w:rPr>
          <w:rFonts w:ascii="Arial" w:eastAsia="Times New Roman" w:hAnsi="Arial" w:cs="Arial"/>
          <w:color w:val="000000" w:themeColor="text1"/>
        </w:rPr>
        <w:t xml:space="preserve">from 2016, counterterrorism police have ensured that mental health professionals are actively working in ‘Vulnerability Support Hubs’. This strengthens the ideas that the </w:t>
      </w:r>
      <w:r w:rsidR="00C911AC">
        <w:rPr>
          <w:rFonts w:ascii="Arial" w:eastAsia="Times New Roman" w:hAnsi="Arial" w:cs="Arial"/>
          <w:color w:val="000000" w:themeColor="text1"/>
        </w:rPr>
        <w:t>‘</w:t>
      </w:r>
      <w:r w:rsidR="00742C2C">
        <w:rPr>
          <w:rFonts w:ascii="Arial" w:eastAsia="Times New Roman" w:hAnsi="Arial" w:cs="Arial"/>
          <w:color w:val="000000" w:themeColor="text1"/>
        </w:rPr>
        <w:t>CONTEST</w:t>
      </w:r>
      <w:r w:rsidR="00C911AC">
        <w:rPr>
          <w:rFonts w:ascii="Arial" w:eastAsia="Times New Roman" w:hAnsi="Arial" w:cs="Arial"/>
          <w:color w:val="000000" w:themeColor="text1"/>
        </w:rPr>
        <w:t>’</w:t>
      </w:r>
      <w:r w:rsidR="00742C2C">
        <w:rPr>
          <w:rFonts w:ascii="Arial" w:eastAsia="Times New Roman" w:hAnsi="Arial" w:cs="Arial"/>
          <w:color w:val="000000" w:themeColor="text1"/>
        </w:rPr>
        <w:t xml:space="preserve"> strategy put forward surrounding this new safeguarding principle and how it is being put into practise in helping those who are at risk to </w:t>
      </w:r>
      <w:r w:rsidR="00024B69">
        <w:rPr>
          <w:rFonts w:ascii="Arial" w:eastAsia="Times New Roman" w:hAnsi="Arial" w:cs="Arial"/>
          <w:color w:val="000000" w:themeColor="text1"/>
        </w:rPr>
        <w:t>radicalisation</w:t>
      </w:r>
      <w:r w:rsidR="00742C2C">
        <w:rPr>
          <w:rFonts w:ascii="Arial" w:eastAsia="Times New Roman" w:hAnsi="Arial" w:cs="Arial"/>
          <w:color w:val="000000" w:themeColor="text1"/>
        </w:rPr>
        <w:t>.</w:t>
      </w:r>
      <w:r w:rsidR="008E133A">
        <w:rPr>
          <w:rFonts w:ascii="Arial" w:eastAsia="Times New Roman" w:hAnsi="Arial" w:cs="Arial"/>
          <w:color w:val="000000" w:themeColor="text1"/>
        </w:rPr>
        <w:t xml:space="preserve"> ‘Prevent’, is </w:t>
      </w:r>
      <w:r w:rsidR="00144645">
        <w:rPr>
          <w:rFonts w:ascii="Arial" w:eastAsia="Times New Roman" w:hAnsi="Arial" w:cs="Arial"/>
          <w:color w:val="000000" w:themeColor="text1"/>
        </w:rPr>
        <w:t xml:space="preserve">the section of the </w:t>
      </w:r>
      <w:r w:rsidR="00C911AC">
        <w:rPr>
          <w:rFonts w:ascii="Arial" w:eastAsia="Times New Roman" w:hAnsi="Arial" w:cs="Arial"/>
          <w:color w:val="000000" w:themeColor="text1"/>
        </w:rPr>
        <w:t>‘</w:t>
      </w:r>
      <w:r w:rsidR="00144645">
        <w:rPr>
          <w:rFonts w:ascii="Arial" w:eastAsia="Times New Roman" w:hAnsi="Arial" w:cs="Arial"/>
          <w:color w:val="000000" w:themeColor="text1"/>
        </w:rPr>
        <w:t>CONTEST</w:t>
      </w:r>
      <w:r w:rsidR="00C911AC">
        <w:rPr>
          <w:rFonts w:ascii="Arial" w:eastAsia="Times New Roman" w:hAnsi="Arial" w:cs="Arial"/>
          <w:color w:val="000000" w:themeColor="text1"/>
        </w:rPr>
        <w:t>’</w:t>
      </w:r>
      <w:r w:rsidR="008E133A">
        <w:rPr>
          <w:rFonts w:ascii="Arial" w:eastAsia="Times New Roman" w:hAnsi="Arial" w:cs="Arial"/>
          <w:color w:val="000000" w:themeColor="text1"/>
        </w:rPr>
        <w:t xml:space="preserve"> strategy put forward by the government with the sole purpose to stop the spread</w:t>
      </w:r>
      <w:r w:rsidR="00144645">
        <w:rPr>
          <w:rFonts w:ascii="Arial" w:eastAsia="Times New Roman" w:hAnsi="Arial" w:cs="Arial"/>
          <w:color w:val="000000" w:themeColor="text1"/>
        </w:rPr>
        <w:t xml:space="preserve"> and support</w:t>
      </w:r>
      <w:r w:rsidR="008E133A">
        <w:rPr>
          <w:rFonts w:ascii="Arial" w:eastAsia="Times New Roman" w:hAnsi="Arial" w:cs="Arial"/>
          <w:color w:val="000000" w:themeColor="text1"/>
        </w:rPr>
        <w:t xml:space="preserve"> of radicalisation and to help those who are easily influenced by radical ideologies</w:t>
      </w:r>
      <w:r w:rsidR="00BA1CA4">
        <w:rPr>
          <w:rFonts w:ascii="Arial" w:eastAsia="Times New Roman" w:hAnsi="Arial" w:cs="Arial"/>
          <w:color w:val="000000" w:themeColor="text1"/>
        </w:rPr>
        <w:t xml:space="preserve"> (UK Government, 2011)</w:t>
      </w:r>
      <w:r w:rsidR="008E133A">
        <w:rPr>
          <w:rFonts w:ascii="Arial" w:eastAsia="Times New Roman" w:hAnsi="Arial" w:cs="Arial"/>
          <w:color w:val="000000" w:themeColor="text1"/>
        </w:rPr>
        <w:t xml:space="preserve">. </w:t>
      </w:r>
      <w:r w:rsidR="00144645">
        <w:rPr>
          <w:rFonts w:ascii="Arial" w:eastAsia="Times New Roman" w:hAnsi="Arial" w:cs="Arial"/>
          <w:color w:val="000000" w:themeColor="text1"/>
        </w:rPr>
        <w:t xml:space="preserve">As </w:t>
      </w:r>
      <w:proofErr w:type="spellStart"/>
      <w:r w:rsidR="00144645">
        <w:rPr>
          <w:rFonts w:ascii="Arial" w:eastAsia="Times New Roman" w:hAnsi="Arial" w:cs="Arial"/>
          <w:color w:val="000000" w:themeColor="text1"/>
        </w:rPr>
        <w:t>Aked</w:t>
      </w:r>
      <w:proofErr w:type="spellEnd"/>
      <w:r w:rsidR="004E3359">
        <w:rPr>
          <w:rFonts w:ascii="Arial" w:eastAsia="Times New Roman" w:hAnsi="Arial" w:cs="Arial"/>
          <w:color w:val="000000" w:themeColor="text1"/>
        </w:rPr>
        <w:t xml:space="preserve"> (2021)</w:t>
      </w:r>
      <w:r w:rsidR="00144645">
        <w:rPr>
          <w:rFonts w:ascii="Arial" w:eastAsia="Times New Roman" w:hAnsi="Arial" w:cs="Arial"/>
          <w:color w:val="000000" w:themeColor="text1"/>
        </w:rPr>
        <w:t xml:space="preserve"> explains, medical professionals have</w:t>
      </w:r>
      <w:r w:rsidR="00DF3372">
        <w:rPr>
          <w:rFonts w:ascii="Arial" w:eastAsia="Times New Roman" w:hAnsi="Arial" w:cs="Arial"/>
          <w:color w:val="000000" w:themeColor="text1"/>
        </w:rPr>
        <w:t xml:space="preserve"> more recently</w:t>
      </w:r>
      <w:r w:rsidR="00144645">
        <w:rPr>
          <w:rFonts w:ascii="Arial" w:eastAsia="Times New Roman" w:hAnsi="Arial" w:cs="Arial"/>
          <w:color w:val="000000" w:themeColor="text1"/>
        </w:rPr>
        <w:t xml:space="preserve"> been instructed to view </w:t>
      </w:r>
      <w:r w:rsidR="00C911AC">
        <w:rPr>
          <w:rFonts w:ascii="Arial" w:eastAsia="Times New Roman" w:hAnsi="Arial" w:cs="Arial"/>
          <w:color w:val="000000" w:themeColor="text1"/>
        </w:rPr>
        <w:t>‘</w:t>
      </w:r>
      <w:r w:rsidR="00144645">
        <w:rPr>
          <w:rFonts w:ascii="Arial" w:eastAsia="Times New Roman" w:hAnsi="Arial" w:cs="Arial"/>
          <w:color w:val="000000" w:themeColor="text1"/>
        </w:rPr>
        <w:t>Prevent</w:t>
      </w:r>
      <w:r w:rsidR="00C911AC">
        <w:rPr>
          <w:rFonts w:ascii="Arial" w:eastAsia="Times New Roman" w:hAnsi="Arial" w:cs="Arial"/>
          <w:color w:val="000000" w:themeColor="text1"/>
        </w:rPr>
        <w:t>’</w:t>
      </w:r>
      <w:r w:rsidR="00144645">
        <w:rPr>
          <w:rFonts w:ascii="Arial" w:eastAsia="Times New Roman" w:hAnsi="Arial" w:cs="Arial"/>
          <w:color w:val="000000" w:themeColor="text1"/>
        </w:rPr>
        <w:t xml:space="preserve"> as a safeguarding measure rather than a security measure. This is an example of how this</w:t>
      </w:r>
      <w:r w:rsidR="00DF3372">
        <w:rPr>
          <w:rFonts w:ascii="Arial" w:eastAsia="Times New Roman" w:hAnsi="Arial" w:cs="Arial"/>
          <w:color w:val="000000" w:themeColor="text1"/>
        </w:rPr>
        <w:t xml:space="preserve"> particular</w:t>
      </w:r>
      <w:r w:rsidR="00144645">
        <w:rPr>
          <w:rFonts w:ascii="Arial" w:eastAsia="Times New Roman" w:hAnsi="Arial" w:cs="Arial"/>
          <w:color w:val="000000" w:themeColor="text1"/>
        </w:rPr>
        <w:t xml:space="preserve"> field of policing has tried to </w:t>
      </w:r>
      <w:r w:rsidR="00DF3372">
        <w:rPr>
          <w:rFonts w:ascii="Arial" w:eastAsia="Times New Roman" w:hAnsi="Arial" w:cs="Arial"/>
          <w:color w:val="000000" w:themeColor="text1"/>
        </w:rPr>
        <w:t>confine the boundaries of vulnerability by changing what was once seen as something to work alongside safeguarding</w:t>
      </w:r>
      <w:r w:rsidR="00C911AC">
        <w:rPr>
          <w:rFonts w:ascii="Arial" w:eastAsia="Times New Roman" w:hAnsi="Arial" w:cs="Arial"/>
          <w:color w:val="000000" w:themeColor="text1"/>
        </w:rPr>
        <w:t>, now being ‘watered down’ by ‘Prevent’ to work in the wider language of vulnerability.</w:t>
      </w:r>
    </w:p>
    <w:p w14:paraId="26586C03" w14:textId="7EDD5C3A" w:rsidR="00AA7C0F" w:rsidRPr="00073BA6" w:rsidRDefault="00AA7C0F" w:rsidP="009B0834">
      <w:pPr>
        <w:spacing w:line="480" w:lineRule="auto"/>
        <w:rPr>
          <w:rFonts w:ascii="Arial" w:hAnsi="Arial" w:cs="Arial"/>
          <w:color w:val="000000" w:themeColor="text1"/>
        </w:rPr>
      </w:pPr>
      <w:r>
        <w:rPr>
          <w:rFonts w:ascii="Arial" w:hAnsi="Arial" w:cs="Arial"/>
          <w:color w:val="000000" w:themeColor="text1"/>
        </w:rPr>
        <w:t xml:space="preserve">        In conclusion, it is evident that the concept of vulnerability is not set in stone across the police and is a very flexible term. From those with mental health issues and juveniles, to extremists and terrorists, many different groups of people </w:t>
      </w:r>
      <w:r w:rsidR="00742C2C">
        <w:rPr>
          <w:rFonts w:ascii="Arial" w:hAnsi="Arial" w:cs="Arial"/>
          <w:color w:val="000000" w:themeColor="text1"/>
        </w:rPr>
        <w:t xml:space="preserve">that </w:t>
      </w:r>
      <w:r>
        <w:rPr>
          <w:rFonts w:ascii="Arial" w:hAnsi="Arial" w:cs="Arial"/>
          <w:color w:val="000000" w:themeColor="text1"/>
        </w:rPr>
        <w:t>the police come into contact can be labelled as vulnerable.</w:t>
      </w:r>
      <w:r w:rsidR="005F4175">
        <w:rPr>
          <w:rFonts w:ascii="Arial" w:hAnsi="Arial" w:cs="Arial"/>
          <w:color w:val="000000" w:themeColor="text1"/>
        </w:rPr>
        <w:t xml:space="preserve"> When looking once again at the College of Policing’s definition of vulnerability </w:t>
      </w:r>
      <w:r w:rsidR="0024136B">
        <w:rPr>
          <w:rFonts w:ascii="Arial" w:hAnsi="Arial" w:cs="Arial"/>
          <w:color w:val="000000" w:themeColor="text1"/>
        </w:rPr>
        <w:t>withi</w:t>
      </w:r>
      <w:r w:rsidR="005F4175">
        <w:rPr>
          <w:rFonts w:ascii="Arial" w:hAnsi="Arial" w:cs="Arial"/>
          <w:color w:val="000000" w:themeColor="text1"/>
        </w:rPr>
        <w:t>n the police</w:t>
      </w:r>
      <w:r w:rsidR="0024136B">
        <w:rPr>
          <w:rFonts w:ascii="Arial" w:hAnsi="Arial" w:cs="Arial"/>
          <w:color w:val="000000" w:themeColor="text1"/>
        </w:rPr>
        <w:t>;</w:t>
      </w:r>
      <w:r w:rsidR="005F4175">
        <w:rPr>
          <w:rFonts w:ascii="Arial" w:hAnsi="Arial" w:cs="Arial"/>
          <w:color w:val="000000" w:themeColor="text1"/>
        </w:rPr>
        <w:t xml:space="preserve"> ‘</w:t>
      </w:r>
      <w:r w:rsidR="005F4175" w:rsidRPr="00073BA6">
        <w:rPr>
          <w:rFonts w:ascii="Arial" w:hAnsi="Arial" w:cs="Arial"/>
          <w:color w:val="000000" w:themeColor="text1"/>
          <w:shd w:val="clear" w:color="auto" w:fill="FFFFFF"/>
        </w:rPr>
        <w:t>a person is vulnerable if, as a result of their situation or circumstances, they are unable to take care of or protect themselves or others from harm or exploitation’</w:t>
      </w:r>
      <w:r w:rsidR="005F4175">
        <w:rPr>
          <w:rFonts w:ascii="Arial" w:hAnsi="Arial" w:cs="Arial"/>
          <w:color w:val="000000" w:themeColor="text1"/>
          <w:shd w:val="clear" w:color="auto" w:fill="FFFFFF"/>
        </w:rPr>
        <w:t xml:space="preserve"> (College of Policing, 2022), it becomes clear that as an overall definition of vulnerability from a policing perspective, it proves effective in encapsulating the </w:t>
      </w:r>
      <w:r w:rsidR="005F4175">
        <w:rPr>
          <w:rFonts w:ascii="Arial" w:hAnsi="Arial" w:cs="Arial"/>
          <w:color w:val="000000" w:themeColor="text1"/>
          <w:shd w:val="clear" w:color="auto" w:fill="FFFFFF"/>
        </w:rPr>
        <w:lastRenderedPageBreak/>
        <w:t>many different forms of vulnerability explored in this research paper and putting them under a manageable category to constantly work on</w:t>
      </w:r>
      <w:r w:rsidR="00C8583C">
        <w:rPr>
          <w:rFonts w:ascii="Arial" w:hAnsi="Arial" w:cs="Arial"/>
          <w:color w:val="000000" w:themeColor="text1"/>
          <w:shd w:val="clear" w:color="auto" w:fill="FFFFFF"/>
        </w:rPr>
        <w:t xml:space="preserve"> and</w:t>
      </w:r>
      <w:r w:rsidR="005F4175">
        <w:rPr>
          <w:rFonts w:ascii="Arial" w:hAnsi="Arial" w:cs="Arial"/>
          <w:color w:val="000000" w:themeColor="text1"/>
          <w:shd w:val="clear" w:color="auto" w:fill="FFFFFF"/>
        </w:rPr>
        <w:t xml:space="preserve"> to improve the service and experience for those who fall under this category when </w:t>
      </w:r>
      <w:r w:rsidR="00C8583C">
        <w:rPr>
          <w:rFonts w:ascii="Arial" w:hAnsi="Arial" w:cs="Arial"/>
          <w:color w:val="000000" w:themeColor="text1"/>
          <w:shd w:val="clear" w:color="auto" w:fill="FFFFFF"/>
        </w:rPr>
        <w:t xml:space="preserve">coming into contact with the </w:t>
      </w:r>
      <w:r w:rsidR="005F4175">
        <w:rPr>
          <w:rFonts w:ascii="Arial" w:hAnsi="Arial" w:cs="Arial"/>
          <w:color w:val="000000" w:themeColor="text1"/>
          <w:shd w:val="clear" w:color="auto" w:fill="FFFFFF"/>
        </w:rPr>
        <w:t>police.</w:t>
      </w:r>
    </w:p>
    <w:p w14:paraId="09BA19E9" w14:textId="79A74525" w:rsidR="00101689" w:rsidRDefault="00101689">
      <w:pPr>
        <w:rPr>
          <w:rFonts w:ascii="Arial" w:hAnsi="Arial" w:cs="Arial"/>
          <w:b/>
          <w:bCs/>
        </w:rPr>
      </w:pPr>
    </w:p>
    <w:p w14:paraId="211486FE" w14:textId="2B8B7D24" w:rsidR="00790C5D" w:rsidRDefault="00790C5D">
      <w:pPr>
        <w:rPr>
          <w:rFonts w:ascii="Arial" w:hAnsi="Arial" w:cs="Arial"/>
          <w:b/>
          <w:bCs/>
        </w:rPr>
      </w:pPr>
    </w:p>
    <w:p w14:paraId="214C90C4" w14:textId="115A7C02" w:rsidR="00790C5D" w:rsidRDefault="00790C5D">
      <w:pPr>
        <w:rPr>
          <w:rFonts w:ascii="Arial" w:hAnsi="Arial" w:cs="Arial"/>
          <w:b/>
          <w:bCs/>
        </w:rPr>
      </w:pPr>
    </w:p>
    <w:p w14:paraId="5754132B" w14:textId="4F704C89" w:rsidR="00790C5D" w:rsidRDefault="00790C5D">
      <w:pPr>
        <w:rPr>
          <w:rFonts w:ascii="Arial" w:hAnsi="Arial" w:cs="Arial"/>
          <w:b/>
          <w:bCs/>
        </w:rPr>
      </w:pPr>
    </w:p>
    <w:p w14:paraId="2234FD89" w14:textId="65EF3B79" w:rsidR="00790C5D" w:rsidRDefault="00790C5D">
      <w:pPr>
        <w:rPr>
          <w:rFonts w:ascii="Arial" w:hAnsi="Arial" w:cs="Arial"/>
          <w:b/>
          <w:bCs/>
        </w:rPr>
      </w:pPr>
    </w:p>
    <w:p w14:paraId="25C96E78" w14:textId="3B9FBF72" w:rsidR="00790C5D" w:rsidRDefault="00790C5D">
      <w:pPr>
        <w:rPr>
          <w:rFonts w:ascii="Arial" w:hAnsi="Arial" w:cs="Arial"/>
          <w:b/>
          <w:bCs/>
        </w:rPr>
      </w:pPr>
    </w:p>
    <w:p w14:paraId="7A8047AF" w14:textId="264B0B86" w:rsidR="00790C5D" w:rsidRDefault="00790C5D">
      <w:pPr>
        <w:rPr>
          <w:rFonts w:ascii="Arial" w:hAnsi="Arial" w:cs="Arial"/>
          <w:b/>
          <w:bCs/>
        </w:rPr>
      </w:pPr>
    </w:p>
    <w:p w14:paraId="2805CC67" w14:textId="017F5228" w:rsidR="00790C5D" w:rsidRDefault="00790C5D">
      <w:pPr>
        <w:rPr>
          <w:rFonts w:ascii="Arial" w:hAnsi="Arial" w:cs="Arial"/>
          <w:b/>
          <w:bCs/>
        </w:rPr>
      </w:pPr>
    </w:p>
    <w:p w14:paraId="0C7F67A1" w14:textId="0EB74D94" w:rsidR="00790C5D" w:rsidRDefault="00790C5D">
      <w:pPr>
        <w:rPr>
          <w:rFonts w:ascii="Arial" w:hAnsi="Arial" w:cs="Arial"/>
          <w:b/>
          <w:bCs/>
        </w:rPr>
      </w:pPr>
    </w:p>
    <w:p w14:paraId="2927EDB0" w14:textId="7BD63CA2" w:rsidR="00790C5D" w:rsidRDefault="00790C5D">
      <w:pPr>
        <w:rPr>
          <w:rFonts w:ascii="Arial" w:hAnsi="Arial" w:cs="Arial"/>
          <w:b/>
          <w:bCs/>
        </w:rPr>
      </w:pPr>
    </w:p>
    <w:p w14:paraId="64E1042E" w14:textId="276A3B8B" w:rsidR="00790C5D" w:rsidRDefault="00790C5D">
      <w:pPr>
        <w:rPr>
          <w:rFonts w:ascii="Arial" w:hAnsi="Arial" w:cs="Arial"/>
          <w:b/>
          <w:bCs/>
        </w:rPr>
      </w:pPr>
    </w:p>
    <w:p w14:paraId="317B0D60" w14:textId="58BCF976" w:rsidR="00790C5D" w:rsidRDefault="00790C5D">
      <w:pPr>
        <w:rPr>
          <w:rFonts w:ascii="Arial" w:hAnsi="Arial" w:cs="Arial"/>
          <w:b/>
          <w:bCs/>
        </w:rPr>
      </w:pPr>
    </w:p>
    <w:p w14:paraId="64BAF8AF" w14:textId="73E34316" w:rsidR="00790C5D" w:rsidRDefault="00790C5D">
      <w:pPr>
        <w:rPr>
          <w:rFonts w:ascii="Arial" w:hAnsi="Arial" w:cs="Arial"/>
          <w:b/>
          <w:bCs/>
        </w:rPr>
      </w:pPr>
    </w:p>
    <w:p w14:paraId="7091AA4F" w14:textId="1F3F9AB4" w:rsidR="00790C5D" w:rsidRDefault="00790C5D">
      <w:pPr>
        <w:rPr>
          <w:rFonts w:ascii="Arial" w:hAnsi="Arial" w:cs="Arial"/>
          <w:b/>
          <w:bCs/>
        </w:rPr>
      </w:pPr>
    </w:p>
    <w:p w14:paraId="661EA48F" w14:textId="409BF27E" w:rsidR="00790C5D" w:rsidRDefault="00790C5D">
      <w:pPr>
        <w:rPr>
          <w:rFonts w:ascii="Arial" w:hAnsi="Arial" w:cs="Arial"/>
          <w:b/>
          <w:bCs/>
        </w:rPr>
      </w:pPr>
    </w:p>
    <w:p w14:paraId="39B29EDF" w14:textId="14859559" w:rsidR="00790C5D" w:rsidRDefault="00790C5D">
      <w:pPr>
        <w:rPr>
          <w:rFonts w:ascii="Arial" w:hAnsi="Arial" w:cs="Arial"/>
          <w:b/>
          <w:bCs/>
        </w:rPr>
      </w:pPr>
    </w:p>
    <w:p w14:paraId="63BF43FB" w14:textId="3B9FED6B" w:rsidR="00790C5D" w:rsidRDefault="00790C5D">
      <w:pPr>
        <w:rPr>
          <w:rFonts w:ascii="Arial" w:hAnsi="Arial" w:cs="Arial"/>
          <w:b/>
          <w:bCs/>
        </w:rPr>
      </w:pPr>
    </w:p>
    <w:p w14:paraId="0163F7AB" w14:textId="73210DC5" w:rsidR="00790C5D" w:rsidRDefault="00790C5D">
      <w:pPr>
        <w:rPr>
          <w:rFonts w:ascii="Arial" w:hAnsi="Arial" w:cs="Arial"/>
          <w:b/>
          <w:bCs/>
        </w:rPr>
      </w:pPr>
    </w:p>
    <w:p w14:paraId="561A36AD" w14:textId="46B076D2" w:rsidR="00790C5D" w:rsidRDefault="00790C5D">
      <w:pPr>
        <w:rPr>
          <w:rFonts w:ascii="Arial" w:hAnsi="Arial" w:cs="Arial"/>
          <w:b/>
          <w:bCs/>
        </w:rPr>
      </w:pPr>
    </w:p>
    <w:p w14:paraId="7ACB264F" w14:textId="5E89A49A" w:rsidR="00790C5D" w:rsidRDefault="00790C5D">
      <w:pPr>
        <w:rPr>
          <w:rFonts w:ascii="Arial" w:hAnsi="Arial" w:cs="Arial"/>
          <w:b/>
          <w:bCs/>
        </w:rPr>
      </w:pPr>
    </w:p>
    <w:p w14:paraId="617C842E" w14:textId="00E7C98F" w:rsidR="00790C5D" w:rsidRDefault="00790C5D">
      <w:pPr>
        <w:rPr>
          <w:rFonts w:ascii="Arial" w:hAnsi="Arial" w:cs="Arial"/>
          <w:b/>
          <w:bCs/>
        </w:rPr>
      </w:pPr>
    </w:p>
    <w:p w14:paraId="572C1531" w14:textId="5135D304" w:rsidR="00790C5D" w:rsidRDefault="00790C5D">
      <w:pPr>
        <w:rPr>
          <w:rFonts w:ascii="Arial" w:hAnsi="Arial" w:cs="Arial"/>
          <w:b/>
          <w:bCs/>
        </w:rPr>
      </w:pPr>
    </w:p>
    <w:p w14:paraId="18ED1A12" w14:textId="5B0DE14E" w:rsidR="00790C5D" w:rsidRDefault="00790C5D">
      <w:pPr>
        <w:rPr>
          <w:rFonts w:ascii="Arial" w:hAnsi="Arial" w:cs="Arial"/>
          <w:b/>
          <w:bCs/>
        </w:rPr>
      </w:pPr>
    </w:p>
    <w:p w14:paraId="3E895317" w14:textId="35456675" w:rsidR="00790C5D" w:rsidRDefault="00790C5D">
      <w:pPr>
        <w:rPr>
          <w:rFonts w:ascii="Arial" w:hAnsi="Arial" w:cs="Arial"/>
          <w:b/>
          <w:bCs/>
        </w:rPr>
      </w:pPr>
    </w:p>
    <w:p w14:paraId="42786CD2" w14:textId="20F397B9" w:rsidR="00790C5D" w:rsidRDefault="00790C5D">
      <w:pPr>
        <w:rPr>
          <w:rFonts w:ascii="Arial" w:hAnsi="Arial" w:cs="Arial"/>
          <w:b/>
          <w:bCs/>
        </w:rPr>
      </w:pPr>
    </w:p>
    <w:p w14:paraId="3C10491B" w14:textId="57D173CA" w:rsidR="00790C5D" w:rsidRDefault="00790C5D">
      <w:pPr>
        <w:rPr>
          <w:rFonts w:ascii="Arial" w:hAnsi="Arial" w:cs="Arial"/>
          <w:b/>
          <w:bCs/>
        </w:rPr>
      </w:pPr>
    </w:p>
    <w:p w14:paraId="1953E434" w14:textId="77777777" w:rsidR="00790C5D" w:rsidRDefault="00790C5D">
      <w:pPr>
        <w:rPr>
          <w:rFonts w:ascii="Arial" w:hAnsi="Arial" w:cs="Arial"/>
          <w:b/>
          <w:bCs/>
        </w:rPr>
      </w:pPr>
    </w:p>
    <w:p w14:paraId="159F6BEF" w14:textId="77777777" w:rsidR="008260D3" w:rsidRPr="00FB63FA" w:rsidRDefault="008260D3">
      <w:pPr>
        <w:rPr>
          <w:rFonts w:ascii="Arial" w:hAnsi="Arial" w:cs="Arial"/>
          <w:b/>
          <w:bCs/>
        </w:rPr>
      </w:pPr>
    </w:p>
    <w:p w14:paraId="7D121E2A" w14:textId="304D9E8A" w:rsidR="000D7CCF" w:rsidRDefault="00FB63FA">
      <w:pPr>
        <w:rPr>
          <w:rFonts w:ascii="Arial" w:hAnsi="Arial" w:cs="Arial"/>
          <w:b/>
          <w:bCs/>
        </w:rPr>
      </w:pPr>
      <w:r w:rsidRPr="00FB63FA">
        <w:rPr>
          <w:rFonts w:ascii="Arial" w:hAnsi="Arial" w:cs="Arial"/>
          <w:b/>
          <w:bCs/>
        </w:rPr>
        <w:lastRenderedPageBreak/>
        <w:t>REFERENCE LIST</w:t>
      </w:r>
    </w:p>
    <w:p w14:paraId="2CC7E701" w14:textId="77777777" w:rsidR="008D5DBC" w:rsidRPr="001D2DAE" w:rsidRDefault="008D5DBC">
      <w:pPr>
        <w:rPr>
          <w:rFonts w:ascii="Arial" w:hAnsi="Arial" w:cs="Arial"/>
          <w:b/>
          <w:bCs/>
        </w:rPr>
      </w:pPr>
    </w:p>
    <w:p w14:paraId="6CC7659A" w14:textId="77777777" w:rsidR="001073AE" w:rsidRPr="00521C05" w:rsidRDefault="001073AE" w:rsidP="00790C5D">
      <w:pPr>
        <w:spacing w:line="360" w:lineRule="auto"/>
        <w:rPr>
          <w:rFonts w:ascii="Arial" w:eastAsia="Times New Roman" w:hAnsi="Arial" w:cs="Arial"/>
          <w:color w:val="000000" w:themeColor="text1"/>
        </w:rPr>
      </w:pPr>
      <w:proofErr w:type="spellStart"/>
      <w:r w:rsidRPr="00521C05">
        <w:rPr>
          <w:rFonts w:ascii="Arial" w:eastAsia="Times New Roman" w:hAnsi="Arial" w:cs="Arial"/>
          <w:color w:val="000000" w:themeColor="text1"/>
        </w:rPr>
        <w:t>Aked</w:t>
      </w:r>
      <w:proofErr w:type="spellEnd"/>
      <w:r w:rsidRPr="00521C05">
        <w:rPr>
          <w:rFonts w:ascii="Arial" w:eastAsia="Times New Roman" w:hAnsi="Arial" w:cs="Arial"/>
          <w:color w:val="000000" w:themeColor="text1"/>
        </w:rPr>
        <w:t>, H. (2021). “‘</w:t>
      </w:r>
      <w:r>
        <w:rPr>
          <w:rFonts w:ascii="Arial" w:eastAsia="Times New Roman" w:hAnsi="Arial" w:cs="Arial"/>
          <w:color w:val="000000" w:themeColor="text1"/>
        </w:rPr>
        <w:t>M</w:t>
      </w:r>
      <w:r w:rsidRPr="00521C05">
        <w:rPr>
          <w:rFonts w:ascii="Arial" w:eastAsia="Times New Roman" w:hAnsi="Arial" w:cs="Arial"/>
          <w:color w:val="000000" w:themeColor="text1"/>
        </w:rPr>
        <w:t xml:space="preserve">ad’, bad or Muslim? the UK's vulnerability support hubs and the nexus of Mental Health, counterterrorism and racism,” </w:t>
      </w:r>
      <w:r w:rsidRPr="00521C05">
        <w:rPr>
          <w:rFonts w:ascii="Arial" w:eastAsia="Times New Roman" w:hAnsi="Arial" w:cs="Arial"/>
          <w:i/>
          <w:iCs/>
          <w:color w:val="000000" w:themeColor="text1"/>
        </w:rPr>
        <w:t>Bioethics</w:t>
      </w:r>
      <w:r w:rsidRPr="00521C05">
        <w:rPr>
          <w:rFonts w:ascii="Arial" w:eastAsia="Times New Roman" w:hAnsi="Arial" w:cs="Arial"/>
          <w:color w:val="000000" w:themeColor="text1"/>
        </w:rPr>
        <w:t>, 36(3), pp. 290–297. Available at: https://doi.org/10.1111/bioe.12983.</w:t>
      </w:r>
    </w:p>
    <w:p w14:paraId="3891A53B"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 xml:space="preserve">Asquith, N.L., </w:t>
      </w:r>
      <w:proofErr w:type="spellStart"/>
      <w:r w:rsidRPr="00521C05">
        <w:rPr>
          <w:rFonts w:ascii="Arial" w:eastAsia="Times New Roman" w:hAnsi="Arial" w:cs="Arial"/>
          <w:color w:val="000000" w:themeColor="text1"/>
        </w:rPr>
        <w:t>Bartkowiak-Théron</w:t>
      </w:r>
      <w:proofErr w:type="spellEnd"/>
      <w:r w:rsidRPr="00521C05">
        <w:rPr>
          <w:rFonts w:ascii="Arial" w:eastAsia="Times New Roman" w:hAnsi="Arial" w:cs="Arial"/>
          <w:color w:val="000000" w:themeColor="text1"/>
        </w:rPr>
        <w:t xml:space="preserve">, I. (2021). Working with Vulnerable Offenders. In: Policing Practices and Vulnerable People. Palgrave Macmillan, Cham. </w:t>
      </w:r>
      <w:hyperlink r:id="rId6" w:history="1">
        <w:r w:rsidRPr="00521C05">
          <w:rPr>
            <w:rStyle w:val="Hyperlink"/>
            <w:rFonts w:ascii="Arial" w:eastAsia="Times New Roman" w:hAnsi="Arial" w:cs="Arial"/>
            <w:color w:val="000000" w:themeColor="text1"/>
            <w:u w:val="none"/>
          </w:rPr>
          <w:t>https://doi.org/10.1007/978-3-030-62870-3_6</w:t>
        </w:r>
      </w:hyperlink>
    </w:p>
    <w:p w14:paraId="467C8BA5"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 xml:space="preserve">Augestad Knudsen, R. (2020). “Between vulnerability and risk? mental health in UK counter-terrorism,” </w:t>
      </w:r>
      <w:r w:rsidRPr="00521C05">
        <w:rPr>
          <w:rFonts w:ascii="Arial" w:eastAsia="Times New Roman" w:hAnsi="Arial" w:cs="Arial"/>
          <w:i/>
          <w:iCs/>
          <w:color w:val="000000" w:themeColor="text1"/>
        </w:rPr>
        <w:t>Behavioural Sciences of Terrorism and Political Aggression</w:t>
      </w:r>
      <w:r w:rsidRPr="00521C05">
        <w:rPr>
          <w:rFonts w:ascii="Arial" w:eastAsia="Times New Roman" w:hAnsi="Arial" w:cs="Arial"/>
          <w:color w:val="000000" w:themeColor="text1"/>
        </w:rPr>
        <w:t xml:space="preserve">, 13(1), pp. 43–61. Available at: </w:t>
      </w:r>
      <w:hyperlink r:id="rId7" w:history="1">
        <w:r w:rsidRPr="00521C05">
          <w:rPr>
            <w:rStyle w:val="Hyperlink"/>
            <w:rFonts w:ascii="Arial" w:eastAsia="Times New Roman" w:hAnsi="Arial" w:cs="Arial"/>
            <w:color w:val="000000" w:themeColor="text1"/>
            <w:u w:val="none"/>
          </w:rPr>
          <w:t>https://doi.org/10.1080/19434472.2019.1703782</w:t>
        </w:r>
      </w:hyperlink>
      <w:r w:rsidRPr="00521C05">
        <w:rPr>
          <w:rFonts w:ascii="Arial" w:eastAsia="Times New Roman" w:hAnsi="Arial" w:cs="Arial"/>
          <w:color w:val="000000" w:themeColor="text1"/>
        </w:rPr>
        <w:t>.</w:t>
      </w:r>
    </w:p>
    <w:p w14:paraId="33061029" w14:textId="77777777" w:rsidR="001073AE" w:rsidRPr="00521C05" w:rsidRDefault="001073AE" w:rsidP="00790C5D">
      <w:pPr>
        <w:spacing w:line="360" w:lineRule="auto"/>
        <w:rPr>
          <w:rFonts w:ascii="Arial" w:eastAsia="Times New Roman" w:hAnsi="Arial" w:cs="Arial"/>
          <w:color w:val="000000" w:themeColor="text1"/>
        </w:rPr>
      </w:pPr>
      <w:proofErr w:type="spellStart"/>
      <w:r w:rsidRPr="00521C05">
        <w:rPr>
          <w:rFonts w:ascii="Arial" w:eastAsia="Times New Roman" w:hAnsi="Arial" w:cs="Arial"/>
          <w:color w:val="000000" w:themeColor="text1"/>
        </w:rPr>
        <w:t>Chown</w:t>
      </w:r>
      <w:proofErr w:type="spellEnd"/>
      <w:r w:rsidRPr="00521C05">
        <w:rPr>
          <w:rFonts w:ascii="Arial" w:eastAsia="Times New Roman" w:hAnsi="Arial" w:cs="Arial"/>
          <w:color w:val="000000" w:themeColor="text1"/>
        </w:rPr>
        <w:t xml:space="preserve">, N. </w:t>
      </w:r>
      <w:r w:rsidRPr="00521C05">
        <w:rPr>
          <w:rFonts w:ascii="Arial" w:eastAsia="Times New Roman" w:hAnsi="Arial" w:cs="Arial"/>
          <w:i/>
          <w:iCs/>
          <w:color w:val="000000" w:themeColor="text1"/>
        </w:rPr>
        <w:t>et al.</w:t>
      </w:r>
      <w:r w:rsidRPr="00521C05">
        <w:rPr>
          <w:rFonts w:ascii="Arial" w:eastAsia="Times New Roman" w:hAnsi="Arial" w:cs="Arial"/>
          <w:color w:val="000000" w:themeColor="text1"/>
        </w:rPr>
        <w:t xml:space="preserve"> (2021). “Autism and operational policing,” </w:t>
      </w:r>
      <w:r w:rsidRPr="00521C05">
        <w:rPr>
          <w:rFonts w:ascii="Arial" w:eastAsia="Times New Roman" w:hAnsi="Arial" w:cs="Arial"/>
          <w:i/>
          <w:iCs/>
          <w:color w:val="000000" w:themeColor="text1"/>
        </w:rPr>
        <w:t>Handbook of Autism Spectrum Disorder and the Law</w:t>
      </w:r>
      <w:r w:rsidRPr="00521C05">
        <w:rPr>
          <w:rFonts w:ascii="Arial" w:eastAsia="Times New Roman" w:hAnsi="Arial" w:cs="Arial"/>
          <w:color w:val="000000" w:themeColor="text1"/>
        </w:rPr>
        <w:t xml:space="preserve">, pp. 471–500. Available at: https://doi.org/10.1007/978-3-030-70913-6_23. </w:t>
      </w:r>
    </w:p>
    <w:p w14:paraId="0AA6B8DC"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College of Policing, (2020). National Vulnerability Action Plan (NVAP) Revised 2020-2022 v2. Accessed on November 7 2022. Available at https://www.npcc.police.uk/Crime%20Ops%20Committee/NVAP.pdf</w:t>
      </w:r>
    </w:p>
    <w:p w14:paraId="390E79BC" w14:textId="77777777" w:rsidR="001073AE" w:rsidRDefault="001073AE" w:rsidP="00790C5D">
      <w:pPr>
        <w:spacing w:line="360" w:lineRule="auto"/>
        <w:rPr>
          <w:rFonts w:ascii="Arial" w:eastAsia="Times New Roman" w:hAnsi="Arial" w:cs="Arial"/>
        </w:rPr>
      </w:pPr>
      <w:r w:rsidRPr="000A44BA">
        <w:rPr>
          <w:rFonts w:ascii="Arial" w:eastAsia="Times New Roman" w:hAnsi="Arial" w:cs="Arial"/>
        </w:rPr>
        <w:t>Dehaghani, R. (2017)</w:t>
      </w:r>
      <w:r>
        <w:rPr>
          <w:rFonts w:ascii="Arial" w:eastAsia="Times New Roman" w:hAnsi="Arial" w:cs="Arial"/>
        </w:rPr>
        <w:t>.</w:t>
      </w:r>
      <w:r w:rsidRPr="000A44BA">
        <w:rPr>
          <w:rFonts w:ascii="Arial" w:eastAsia="Times New Roman" w:hAnsi="Arial" w:cs="Arial"/>
        </w:rPr>
        <w:t xml:space="preserve"> “‘vulnerable by law (but not by nature)’: Examining perceptions of youth and childhood ‘vulnerability’ in the context of police custody,” </w:t>
      </w:r>
      <w:r w:rsidRPr="000A44BA">
        <w:rPr>
          <w:rFonts w:ascii="Arial" w:eastAsia="Times New Roman" w:hAnsi="Arial" w:cs="Arial"/>
          <w:i/>
          <w:iCs/>
        </w:rPr>
        <w:t>Journal of Social Welfare and Family Law</w:t>
      </w:r>
      <w:r w:rsidRPr="000A44BA">
        <w:rPr>
          <w:rFonts w:ascii="Arial" w:eastAsia="Times New Roman" w:hAnsi="Arial" w:cs="Arial"/>
        </w:rPr>
        <w:t xml:space="preserve">, 39(4), pp. 454–472. Available at: https://doi.org/10.1080/09649069.2017.1390279. </w:t>
      </w:r>
    </w:p>
    <w:p w14:paraId="7B60E268"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 xml:space="preserve">Dehaghani, R. (2020). “Interrogating vulnerability: Reframing the vulnerable suspect in police custody,” Social &amp;amp; Legal Studies, 30(2), pp. 251–271. Available at: </w:t>
      </w:r>
      <w:hyperlink r:id="rId8" w:history="1">
        <w:r w:rsidRPr="00521C05">
          <w:rPr>
            <w:rStyle w:val="Hyperlink"/>
            <w:rFonts w:ascii="Arial" w:eastAsia="Times New Roman" w:hAnsi="Arial" w:cs="Arial"/>
            <w:color w:val="000000" w:themeColor="text1"/>
            <w:u w:val="none"/>
          </w:rPr>
          <w:t>https://doi.org/10.1177/0964663920921921</w:t>
        </w:r>
      </w:hyperlink>
      <w:r w:rsidRPr="00521C05">
        <w:rPr>
          <w:rFonts w:ascii="Arial" w:eastAsia="Times New Roman" w:hAnsi="Arial" w:cs="Arial"/>
          <w:color w:val="000000" w:themeColor="text1"/>
        </w:rPr>
        <w:t>.</w:t>
      </w:r>
    </w:p>
    <w:p w14:paraId="4EDAAA10" w14:textId="77777777" w:rsidR="001073AE" w:rsidRDefault="001073AE" w:rsidP="00790C5D">
      <w:pPr>
        <w:spacing w:line="360" w:lineRule="auto"/>
        <w:rPr>
          <w:rFonts w:ascii="Arial" w:eastAsia="Times New Roman" w:hAnsi="Arial" w:cs="Arial"/>
        </w:rPr>
      </w:pPr>
      <w:r w:rsidRPr="00112966">
        <w:rPr>
          <w:rFonts w:ascii="Arial" w:eastAsia="Times New Roman" w:hAnsi="Arial" w:cs="Arial"/>
        </w:rPr>
        <w:t>Farrugia, L. (2021)</w:t>
      </w:r>
      <w:r>
        <w:rPr>
          <w:rFonts w:ascii="Arial" w:eastAsia="Times New Roman" w:hAnsi="Arial" w:cs="Arial"/>
        </w:rPr>
        <w:t>.</w:t>
      </w:r>
      <w:r w:rsidRPr="00112966">
        <w:rPr>
          <w:rFonts w:ascii="Arial" w:eastAsia="Times New Roman" w:hAnsi="Arial" w:cs="Arial"/>
        </w:rPr>
        <w:t xml:space="preserve"> “Identifying vulnerability in police custody: Making sense of information provided to custody officers,” </w:t>
      </w:r>
      <w:r w:rsidRPr="00112966">
        <w:rPr>
          <w:rFonts w:ascii="Arial" w:eastAsia="Times New Roman" w:hAnsi="Arial" w:cs="Arial"/>
          <w:i/>
          <w:iCs/>
        </w:rPr>
        <w:t>Journal of Forensic and Legal Medicine</w:t>
      </w:r>
      <w:r w:rsidRPr="00112966">
        <w:rPr>
          <w:rFonts w:ascii="Arial" w:eastAsia="Times New Roman" w:hAnsi="Arial" w:cs="Arial"/>
        </w:rPr>
        <w:t xml:space="preserve">, 80, p. 102169. Available at: </w:t>
      </w:r>
      <w:hyperlink r:id="rId9" w:history="1">
        <w:r w:rsidRPr="00112966">
          <w:rPr>
            <w:rStyle w:val="Hyperlink"/>
            <w:rFonts w:ascii="Arial" w:eastAsia="Times New Roman" w:hAnsi="Arial" w:cs="Arial"/>
            <w:color w:val="auto"/>
            <w:u w:val="none"/>
          </w:rPr>
          <w:t>https://doi.org/10.1016/j.jflm.2021.102169</w:t>
        </w:r>
      </w:hyperlink>
      <w:r w:rsidRPr="00112966">
        <w:rPr>
          <w:rFonts w:ascii="Arial" w:eastAsia="Times New Roman" w:hAnsi="Arial" w:cs="Arial"/>
        </w:rPr>
        <w:t>.</w:t>
      </w:r>
    </w:p>
    <w:p w14:paraId="35BB1270" w14:textId="77777777" w:rsidR="001073AE" w:rsidRDefault="001073AE" w:rsidP="00790C5D">
      <w:pPr>
        <w:spacing w:line="360" w:lineRule="auto"/>
        <w:rPr>
          <w:rFonts w:ascii="Arial" w:eastAsia="Times New Roman" w:hAnsi="Arial" w:cs="Arial"/>
        </w:rPr>
      </w:pPr>
      <w:r w:rsidRPr="0045788A">
        <w:rPr>
          <w:rFonts w:ascii="Arial" w:eastAsia="Times New Roman" w:hAnsi="Arial" w:cs="Arial"/>
        </w:rPr>
        <w:t>Farrugia, L. and Gabbert, F. (2019)</w:t>
      </w:r>
      <w:r>
        <w:rPr>
          <w:rFonts w:ascii="Arial" w:eastAsia="Times New Roman" w:hAnsi="Arial" w:cs="Arial"/>
        </w:rPr>
        <w:t>.</w:t>
      </w:r>
      <w:r w:rsidRPr="0045788A">
        <w:rPr>
          <w:rFonts w:ascii="Arial" w:eastAsia="Times New Roman" w:hAnsi="Arial" w:cs="Arial"/>
        </w:rPr>
        <w:t xml:space="preserve"> “Vulnerable suspects in police interviews: Exploring current practice in England and Wales,” </w:t>
      </w:r>
      <w:r w:rsidRPr="0045788A">
        <w:rPr>
          <w:rFonts w:ascii="Arial" w:eastAsia="Times New Roman" w:hAnsi="Arial" w:cs="Arial"/>
          <w:i/>
          <w:iCs/>
        </w:rPr>
        <w:t>Journal of Investigative Psychology and Offender Profiling</w:t>
      </w:r>
      <w:r w:rsidRPr="0045788A">
        <w:rPr>
          <w:rFonts w:ascii="Arial" w:eastAsia="Times New Roman" w:hAnsi="Arial" w:cs="Arial"/>
        </w:rPr>
        <w:t xml:space="preserve">, 17(1), pp. 17–30. Available at: https://doi.org/10.1002/jip.1537. </w:t>
      </w:r>
    </w:p>
    <w:p w14:paraId="64BF185E"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 xml:space="preserve">Goldsmith, A. and McLaughlin, E. (2021). “Policing’s new vulnerability re-envisioning local accountability in an era of global outrage,” </w:t>
      </w:r>
      <w:r w:rsidRPr="00521C05">
        <w:rPr>
          <w:rFonts w:ascii="Arial" w:eastAsia="Times New Roman" w:hAnsi="Arial" w:cs="Arial"/>
          <w:i/>
          <w:iCs/>
          <w:color w:val="000000" w:themeColor="text1"/>
        </w:rPr>
        <w:t>The British Journal of Criminology</w:t>
      </w:r>
      <w:r w:rsidRPr="00521C05">
        <w:rPr>
          <w:rFonts w:ascii="Arial" w:eastAsia="Times New Roman" w:hAnsi="Arial" w:cs="Arial"/>
          <w:color w:val="000000" w:themeColor="text1"/>
        </w:rPr>
        <w:t xml:space="preserve">, 62(3), pp. 716–733. Available at: </w:t>
      </w:r>
      <w:hyperlink r:id="rId10" w:history="1">
        <w:r w:rsidRPr="00521C05">
          <w:rPr>
            <w:rStyle w:val="Hyperlink"/>
            <w:rFonts w:ascii="Arial" w:eastAsia="Times New Roman" w:hAnsi="Arial" w:cs="Arial"/>
            <w:color w:val="000000" w:themeColor="text1"/>
            <w:u w:val="none"/>
          </w:rPr>
          <w:t>https://doi.org/10.1093/bjc/azab073</w:t>
        </w:r>
      </w:hyperlink>
      <w:r w:rsidRPr="00521C05">
        <w:rPr>
          <w:rFonts w:ascii="Arial" w:eastAsia="Times New Roman" w:hAnsi="Arial" w:cs="Arial"/>
          <w:color w:val="000000" w:themeColor="text1"/>
        </w:rPr>
        <w:t xml:space="preserve">. </w:t>
      </w:r>
    </w:p>
    <w:p w14:paraId="1216CB82"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lastRenderedPageBreak/>
        <w:t xml:space="preserve">Home Office, (2014). </w:t>
      </w:r>
      <w:r w:rsidRPr="00521C05">
        <w:rPr>
          <w:rFonts w:ascii="Arial" w:eastAsia="Times New Roman" w:hAnsi="Arial" w:cs="Arial"/>
          <w:i/>
          <w:iCs/>
          <w:color w:val="000000" w:themeColor="text1"/>
        </w:rPr>
        <w:t>Revised Code of Practice for the Detention, Treatment and Questioning of Persons by Police Officers Police and Criminal Evidence Act 1984 (PACE) - Code C</w:t>
      </w:r>
      <w:r w:rsidRPr="00521C05">
        <w:rPr>
          <w:rFonts w:ascii="Arial" w:eastAsia="Times New Roman" w:hAnsi="Arial" w:cs="Arial"/>
          <w:color w:val="000000" w:themeColor="text1"/>
        </w:rPr>
        <w:t>. Williams Lea Group.</w:t>
      </w:r>
    </w:p>
    <w:p w14:paraId="0F89E949"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 xml:space="preserve">Jones, T. and Lister, S. (2019). “Localism and police governance in England &amp; Wales: Exploring continuity and change,” </w:t>
      </w:r>
      <w:r w:rsidRPr="00521C05">
        <w:rPr>
          <w:rFonts w:ascii="Arial" w:eastAsia="Times New Roman" w:hAnsi="Arial" w:cs="Arial"/>
          <w:i/>
          <w:iCs/>
          <w:color w:val="000000" w:themeColor="text1"/>
        </w:rPr>
        <w:t>European Journal of Criminology</w:t>
      </w:r>
      <w:r w:rsidRPr="00521C05">
        <w:rPr>
          <w:rFonts w:ascii="Arial" w:eastAsia="Times New Roman" w:hAnsi="Arial" w:cs="Arial"/>
          <w:color w:val="000000" w:themeColor="text1"/>
        </w:rPr>
        <w:t xml:space="preserve">, 16(5), pp. 552–572. Available at: https://doi.org/10.1177/1477370819860689. </w:t>
      </w:r>
    </w:p>
    <w:p w14:paraId="38C74BB2" w14:textId="77777777" w:rsidR="001073AE" w:rsidRPr="00521C05" w:rsidRDefault="001073AE" w:rsidP="00790C5D">
      <w:pPr>
        <w:spacing w:line="360" w:lineRule="auto"/>
        <w:rPr>
          <w:rFonts w:ascii="Arial" w:eastAsia="Times New Roman" w:hAnsi="Arial" w:cs="Arial"/>
          <w:color w:val="000000" w:themeColor="text1"/>
        </w:rPr>
      </w:pPr>
      <w:proofErr w:type="spellStart"/>
      <w:r w:rsidRPr="00521C05">
        <w:rPr>
          <w:rFonts w:ascii="Arial" w:eastAsia="Times New Roman" w:hAnsi="Arial" w:cs="Arial"/>
          <w:color w:val="000000" w:themeColor="text1"/>
        </w:rPr>
        <w:t>Pierpoint</w:t>
      </w:r>
      <w:proofErr w:type="spellEnd"/>
      <w:r w:rsidRPr="00521C05">
        <w:rPr>
          <w:rFonts w:ascii="Arial" w:eastAsia="Times New Roman" w:hAnsi="Arial" w:cs="Arial"/>
          <w:color w:val="000000" w:themeColor="text1"/>
        </w:rPr>
        <w:t xml:space="preserve">, H. (2000). “How appropriate are volunteers as 'appropriate adults' for young suspects? the 'appropriate adult' system and human rights,” </w:t>
      </w:r>
      <w:r w:rsidRPr="00521C05">
        <w:rPr>
          <w:rFonts w:ascii="Arial" w:eastAsia="Times New Roman" w:hAnsi="Arial" w:cs="Arial"/>
          <w:i/>
          <w:iCs/>
          <w:color w:val="000000" w:themeColor="text1"/>
        </w:rPr>
        <w:t>Journal of Social Welfare and Family Law</w:t>
      </w:r>
      <w:r w:rsidRPr="00521C05">
        <w:rPr>
          <w:rFonts w:ascii="Arial" w:eastAsia="Times New Roman" w:hAnsi="Arial" w:cs="Arial"/>
          <w:color w:val="000000" w:themeColor="text1"/>
        </w:rPr>
        <w:t xml:space="preserve">, 22(4), pp. 383–400. Available at: </w:t>
      </w:r>
      <w:hyperlink r:id="rId11" w:history="1">
        <w:r w:rsidRPr="00521C05">
          <w:rPr>
            <w:rStyle w:val="Hyperlink"/>
            <w:rFonts w:ascii="Arial" w:eastAsia="Times New Roman" w:hAnsi="Arial" w:cs="Arial"/>
            <w:color w:val="000000" w:themeColor="text1"/>
            <w:u w:val="none"/>
          </w:rPr>
          <w:t>https://doi.org/10.1080/014180300750051898</w:t>
        </w:r>
      </w:hyperlink>
      <w:r w:rsidRPr="00521C05">
        <w:rPr>
          <w:rFonts w:ascii="Arial" w:eastAsia="Times New Roman" w:hAnsi="Arial" w:cs="Arial"/>
          <w:color w:val="000000" w:themeColor="text1"/>
        </w:rPr>
        <w:t>.</w:t>
      </w:r>
    </w:p>
    <w:p w14:paraId="50AFABA7" w14:textId="77777777" w:rsidR="001073AE" w:rsidRPr="00521C05"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 xml:space="preserve">Richards, J. and Milne, R. (2020). “Appropriate adults: Their experiences and understanding of autism spectrum disorder,” Research in Developmental Disabilities, 103, p. 103675. Available at: </w:t>
      </w:r>
      <w:hyperlink r:id="rId12" w:history="1">
        <w:r w:rsidRPr="00521C05">
          <w:rPr>
            <w:rStyle w:val="Hyperlink"/>
            <w:rFonts w:ascii="Arial" w:eastAsia="Times New Roman" w:hAnsi="Arial" w:cs="Arial"/>
            <w:color w:val="000000" w:themeColor="text1"/>
            <w:u w:val="none"/>
          </w:rPr>
          <w:t>https://doi.org/10.1016/j.ridd.2020.103675</w:t>
        </w:r>
      </w:hyperlink>
      <w:r w:rsidRPr="00521C05">
        <w:rPr>
          <w:rFonts w:ascii="Arial" w:eastAsia="Times New Roman" w:hAnsi="Arial" w:cs="Arial"/>
          <w:color w:val="000000" w:themeColor="text1"/>
        </w:rPr>
        <w:t>.</w:t>
      </w:r>
    </w:p>
    <w:p w14:paraId="7E590426" w14:textId="77777777" w:rsidR="001073AE" w:rsidRPr="00B6700E" w:rsidRDefault="001073AE" w:rsidP="00790C5D">
      <w:pPr>
        <w:spacing w:line="360" w:lineRule="auto"/>
        <w:rPr>
          <w:rFonts w:ascii="Arial" w:eastAsia="Times New Roman" w:hAnsi="Arial" w:cs="Arial"/>
          <w:color w:val="000000" w:themeColor="text1"/>
        </w:rPr>
      </w:pPr>
      <w:r w:rsidRPr="00C12D28">
        <w:rPr>
          <w:rFonts w:ascii="Arial" w:eastAsia="Times New Roman" w:hAnsi="Arial" w:cs="Arial"/>
          <w:color w:val="000000" w:themeColor="text1"/>
        </w:rPr>
        <w:t>Shannon, I. (2021) “Protecting people, particularly the most vulnerable,” Palgrave's Critical Policing Studies, pp. 81–128. Available at: https://doi.org/10.1007/978-3-030-85879-7_4.</w:t>
      </w:r>
    </w:p>
    <w:p w14:paraId="380127E2" w14:textId="77777777" w:rsidR="001073AE" w:rsidRDefault="001073AE" w:rsidP="00790C5D">
      <w:pPr>
        <w:spacing w:line="360" w:lineRule="auto"/>
        <w:rPr>
          <w:rFonts w:ascii="Arial" w:eastAsia="Times New Roman" w:hAnsi="Arial" w:cs="Arial"/>
          <w:color w:val="000000" w:themeColor="text1"/>
        </w:rPr>
      </w:pPr>
      <w:r w:rsidRPr="00521C05">
        <w:rPr>
          <w:rFonts w:ascii="Arial" w:eastAsia="Times New Roman" w:hAnsi="Arial" w:cs="Arial"/>
          <w:color w:val="000000" w:themeColor="text1"/>
        </w:rPr>
        <w:t>UK Government, (20</w:t>
      </w:r>
      <w:r>
        <w:rPr>
          <w:rFonts w:ascii="Arial" w:eastAsia="Times New Roman" w:hAnsi="Arial" w:cs="Arial"/>
          <w:color w:val="000000" w:themeColor="text1"/>
        </w:rPr>
        <w:t>11</w:t>
      </w:r>
      <w:r w:rsidRPr="00521C05">
        <w:rPr>
          <w:rFonts w:ascii="Arial" w:eastAsia="Times New Roman" w:hAnsi="Arial" w:cs="Arial"/>
          <w:color w:val="000000" w:themeColor="text1"/>
        </w:rPr>
        <w:t xml:space="preserve">). </w:t>
      </w:r>
      <w:r w:rsidRPr="00521C05">
        <w:rPr>
          <w:rFonts w:ascii="Arial" w:eastAsia="Times New Roman" w:hAnsi="Arial" w:cs="Arial"/>
          <w:i/>
          <w:iCs/>
          <w:color w:val="000000" w:themeColor="text1"/>
        </w:rPr>
        <w:t>Prevent Strategy</w:t>
      </w:r>
      <w:r w:rsidRPr="00521C05">
        <w:rPr>
          <w:rFonts w:ascii="Arial" w:eastAsia="Times New Roman" w:hAnsi="Arial" w:cs="Arial"/>
          <w:color w:val="000000" w:themeColor="text1"/>
        </w:rPr>
        <w:t xml:space="preserve">. Available at </w:t>
      </w:r>
      <w:hyperlink r:id="rId13" w:history="1">
        <w:r w:rsidRPr="00521C05">
          <w:rPr>
            <w:rStyle w:val="Hyperlink"/>
            <w:rFonts w:ascii="Arial" w:eastAsia="Times New Roman" w:hAnsi="Arial" w:cs="Arial"/>
            <w:color w:val="000000" w:themeColor="text1"/>
            <w:u w:val="none"/>
          </w:rPr>
          <w:t>https://assets.publishing.service.gov.uk/government/uploads/system/uploads/attachment_data/file/97976/prevent-strategy-review.pdf</w:t>
        </w:r>
      </w:hyperlink>
      <w:r w:rsidRPr="00521C05">
        <w:rPr>
          <w:rFonts w:ascii="Arial" w:eastAsia="Times New Roman" w:hAnsi="Arial" w:cs="Arial"/>
          <w:color w:val="000000" w:themeColor="text1"/>
        </w:rPr>
        <w:t xml:space="preserve"> Accessed on November 8 2022. </w:t>
      </w:r>
    </w:p>
    <w:p w14:paraId="312D7178" w14:textId="40A9C5E7" w:rsidR="00E272D1" w:rsidRPr="00790C5D" w:rsidRDefault="001073AE" w:rsidP="00790C5D">
      <w:pPr>
        <w:spacing w:line="360" w:lineRule="auto"/>
        <w:rPr>
          <w:rFonts w:ascii="Arial" w:eastAsia="Times New Roman" w:hAnsi="Arial" w:cs="Arial"/>
          <w:color w:val="000000" w:themeColor="text1"/>
        </w:rPr>
      </w:pPr>
      <w:r>
        <w:rPr>
          <w:rFonts w:ascii="Arial" w:eastAsia="Times New Roman" w:hAnsi="Arial" w:cs="Arial"/>
          <w:color w:val="000000" w:themeColor="text1"/>
        </w:rPr>
        <w:t>UK Government, (2018). CONTEST</w:t>
      </w:r>
      <w:r w:rsidR="00790C5D">
        <w:rPr>
          <w:rFonts w:ascii="Arial" w:eastAsia="Times New Roman" w:hAnsi="Arial" w:cs="Arial"/>
          <w:color w:val="000000" w:themeColor="text1"/>
        </w:rPr>
        <w:t>:</w:t>
      </w:r>
      <w:r>
        <w:rPr>
          <w:rFonts w:ascii="Arial" w:eastAsia="Times New Roman" w:hAnsi="Arial" w:cs="Arial"/>
          <w:color w:val="000000" w:themeColor="text1"/>
        </w:rPr>
        <w:t xml:space="preserve"> </w:t>
      </w:r>
      <w:r w:rsidRPr="00B6700E">
        <w:rPr>
          <w:rFonts w:ascii="Arial" w:eastAsia="Times New Roman" w:hAnsi="Arial" w:cs="Arial"/>
          <w:i/>
          <w:iCs/>
          <w:color w:val="000000" w:themeColor="text1"/>
        </w:rPr>
        <w:t xml:space="preserve">The United Kingdom’s Strategy for Countering Terrorism. </w:t>
      </w:r>
      <w:r w:rsidRPr="00B6700E">
        <w:rPr>
          <w:rFonts w:ascii="Arial" w:eastAsia="Times New Roman" w:hAnsi="Arial" w:cs="Arial"/>
          <w:color w:val="000000" w:themeColor="text1"/>
        </w:rPr>
        <w:t xml:space="preserve">Available at </w:t>
      </w:r>
      <w:hyperlink r:id="rId14" w:history="1">
        <w:r w:rsidRPr="00B6700E">
          <w:rPr>
            <w:rStyle w:val="Hyperlink"/>
            <w:rFonts w:ascii="Arial" w:eastAsia="Times New Roman" w:hAnsi="Arial" w:cs="Arial"/>
            <w:color w:val="000000" w:themeColor="text1"/>
            <w:u w:val="none"/>
          </w:rPr>
          <w:t>https://assets.publishing.service.gov.uk/government/uploads/system/uploads/attachment_data/file/716907/140618_CCS207_CCS0218929798-1_CONTEST_3.0_WEB.pdf</w:t>
        </w:r>
      </w:hyperlink>
      <w:r w:rsidRPr="00B6700E">
        <w:rPr>
          <w:rFonts w:ascii="Arial" w:eastAsia="Times New Roman" w:hAnsi="Arial" w:cs="Arial"/>
          <w:color w:val="000000" w:themeColor="text1"/>
        </w:rPr>
        <w:t xml:space="preserve"> Accessed on November 8 2022.</w:t>
      </w:r>
    </w:p>
    <w:sectPr w:rsidR="00E272D1" w:rsidRPr="00790C5D" w:rsidSect="00F56C59">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6D85F" w14:textId="77777777" w:rsidR="00D13514" w:rsidRDefault="00D13514" w:rsidP="001D2DAE">
      <w:pPr>
        <w:spacing w:after="0" w:line="240" w:lineRule="auto"/>
      </w:pPr>
      <w:r>
        <w:separator/>
      </w:r>
    </w:p>
  </w:endnote>
  <w:endnote w:type="continuationSeparator" w:id="0">
    <w:p w14:paraId="4764E6A5" w14:textId="77777777" w:rsidR="00D13514" w:rsidRDefault="00D13514" w:rsidP="001D2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Perpetua">
    <w:panose1 w:val="02020502060401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021881"/>
      <w:docPartObj>
        <w:docPartGallery w:val="Page Numbers (Bottom of Page)"/>
        <w:docPartUnique/>
      </w:docPartObj>
    </w:sdtPr>
    <w:sdtEndPr>
      <w:rPr>
        <w:noProof/>
      </w:rPr>
    </w:sdtEndPr>
    <w:sdtContent>
      <w:p w14:paraId="41187CFD" w14:textId="3B73F1DA" w:rsidR="001D2DAE" w:rsidRDefault="001D2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219497" w14:textId="77777777" w:rsidR="001D2DAE" w:rsidRDefault="001D2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2886F4" w14:textId="77777777" w:rsidR="00D13514" w:rsidRDefault="00D13514" w:rsidP="001D2DAE">
      <w:pPr>
        <w:spacing w:after="0" w:line="240" w:lineRule="auto"/>
      </w:pPr>
      <w:r>
        <w:separator/>
      </w:r>
    </w:p>
  </w:footnote>
  <w:footnote w:type="continuationSeparator" w:id="0">
    <w:p w14:paraId="6E200F4D" w14:textId="77777777" w:rsidR="00D13514" w:rsidRDefault="00D13514" w:rsidP="001D2D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AFB6F" w14:textId="14E23676" w:rsidR="00F56C59" w:rsidRDefault="004C60E1" w:rsidP="004C60E1">
    <w:pPr>
      <w:pStyle w:val="Header"/>
    </w:pPr>
    <w:r>
      <w:t>Jack Roberts (2003821)</w:t>
    </w:r>
    <w:r>
      <w:tab/>
    </w:r>
    <w:r>
      <w:tab/>
    </w:r>
    <w:r w:rsidR="00F56C59">
      <w:t>Vulnerability, Welfare &amp; Risk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2CA"/>
    <w:rsid w:val="0001017C"/>
    <w:rsid w:val="00017980"/>
    <w:rsid w:val="00024B69"/>
    <w:rsid w:val="00024E8B"/>
    <w:rsid w:val="00045830"/>
    <w:rsid w:val="000612FB"/>
    <w:rsid w:val="00073BA6"/>
    <w:rsid w:val="00083744"/>
    <w:rsid w:val="000A3C45"/>
    <w:rsid w:val="000A44BA"/>
    <w:rsid w:val="000D7CCF"/>
    <w:rsid w:val="00101689"/>
    <w:rsid w:val="001073AE"/>
    <w:rsid w:val="00112966"/>
    <w:rsid w:val="001436A7"/>
    <w:rsid w:val="00144645"/>
    <w:rsid w:val="001505B0"/>
    <w:rsid w:val="0016739D"/>
    <w:rsid w:val="001D2DAE"/>
    <w:rsid w:val="0024136B"/>
    <w:rsid w:val="002470CA"/>
    <w:rsid w:val="002671D2"/>
    <w:rsid w:val="002C3102"/>
    <w:rsid w:val="00343300"/>
    <w:rsid w:val="0036318F"/>
    <w:rsid w:val="003678A1"/>
    <w:rsid w:val="00372B34"/>
    <w:rsid w:val="003A109C"/>
    <w:rsid w:val="003A69D9"/>
    <w:rsid w:val="003B7BDB"/>
    <w:rsid w:val="003D0684"/>
    <w:rsid w:val="004410A6"/>
    <w:rsid w:val="0045788A"/>
    <w:rsid w:val="00496145"/>
    <w:rsid w:val="004B1CFA"/>
    <w:rsid w:val="004B56BE"/>
    <w:rsid w:val="004C60E1"/>
    <w:rsid w:val="004E3359"/>
    <w:rsid w:val="00521C05"/>
    <w:rsid w:val="00542CA0"/>
    <w:rsid w:val="005512DA"/>
    <w:rsid w:val="0057491A"/>
    <w:rsid w:val="005F4175"/>
    <w:rsid w:val="00616E62"/>
    <w:rsid w:val="006A2938"/>
    <w:rsid w:val="006A46D1"/>
    <w:rsid w:val="006A4C29"/>
    <w:rsid w:val="006B52CA"/>
    <w:rsid w:val="006F3FFB"/>
    <w:rsid w:val="00741A7D"/>
    <w:rsid w:val="00742C2C"/>
    <w:rsid w:val="00790C5D"/>
    <w:rsid w:val="007A4587"/>
    <w:rsid w:val="007B1314"/>
    <w:rsid w:val="00804745"/>
    <w:rsid w:val="00822918"/>
    <w:rsid w:val="008260D3"/>
    <w:rsid w:val="00832583"/>
    <w:rsid w:val="008D0666"/>
    <w:rsid w:val="008D5DBC"/>
    <w:rsid w:val="008D6B71"/>
    <w:rsid w:val="008E133A"/>
    <w:rsid w:val="00900AF0"/>
    <w:rsid w:val="00912725"/>
    <w:rsid w:val="00914F95"/>
    <w:rsid w:val="009150CF"/>
    <w:rsid w:val="00954F75"/>
    <w:rsid w:val="00970606"/>
    <w:rsid w:val="00995534"/>
    <w:rsid w:val="009B0834"/>
    <w:rsid w:val="009C5442"/>
    <w:rsid w:val="009C7ABD"/>
    <w:rsid w:val="00A12F6F"/>
    <w:rsid w:val="00A21032"/>
    <w:rsid w:val="00A67951"/>
    <w:rsid w:val="00AA0684"/>
    <w:rsid w:val="00AA7C0F"/>
    <w:rsid w:val="00AB5A15"/>
    <w:rsid w:val="00AE3C35"/>
    <w:rsid w:val="00AF03FC"/>
    <w:rsid w:val="00B0452B"/>
    <w:rsid w:val="00B23B10"/>
    <w:rsid w:val="00B33B94"/>
    <w:rsid w:val="00B51415"/>
    <w:rsid w:val="00B6700E"/>
    <w:rsid w:val="00B67FDB"/>
    <w:rsid w:val="00BA1CA4"/>
    <w:rsid w:val="00BB3ACE"/>
    <w:rsid w:val="00BE65FF"/>
    <w:rsid w:val="00C10160"/>
    <w:rsid w:val="00C12D28"/>
    <w:rsid w:val="00C60570"/>
    <w:rsid w:val="00C60638"/>
    <w:rsid w:val="00C65434"/>
    <w:rsid w:val="00C8583C"/>
    <w:rsid w:val="00C85B81"/>
    <w:rsid w:val="00C911AC"/>
    <w:rsid w:val="00CD10FD"/>
    <w:rsid w:val="00D13514"/>
    <w:rsid w:val="00D41636"/>
    <w:rsid w:val="00D557AE"/>
    <w:rsid w:val="00D85541"/>
    <w:rsid w:val="00D911EE"/>
    <w:rsid w:val="00DF17BC"/>
    <w:rsid w:val="00DF3372"/>
    <w:rsid w:val="00E1477B"/>
    <w:rsid w:val="00E272D1"/>
    <w:rsid w:val="00E71FEA"/>
    <w:rsid w:val="00F56C59"/>
    <w:rsid w:val="00F616A3"/>
    <w:rsid w:val="00F6729E"/>
    <w:rsid w:val="00FB63FA"/>
    <w:rsid w:val="00FE6F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F9C5D"/>
  <w15:chartTrackingRefBased/>
  <w15:docId w15:val="{E3B1B879-8A63-46D2-A7B1-FB7690D33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1296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5788A"/>
    <w:rPr>
      <w:color w:val="0563C1" w:themeColor="hyperlink"/>
      <w:u w:val="single"/>
    </w:rPr>
  </w:style>
  <w:style w:type="character" w:styleId="UnresolvedMention">
    <w:name w:val="Unresolved Mention"/>
    <w:basedOn w:val="DefaultParagraphFont"/>
    <w:uiPriority w:val="99"/>
    <w:semiHidden/>
    <w:unhideWhenUsed/>
    <w:rsid w:val="0045788A"/>
    <w:rPr>
      <w:color w:val="605E5C"/>
      <w:shd w:val="clear" w:color="auto" w:fill="E1DFDD"/>
    </w:rPr>
  </w:style>
  <w:style w:type="paragraph" w:styleId="Header">
    <w:name w:val="header"/>
    <w:basedOn w:val="Normal"/>
    <w:link w:val="HeaderChar"/>
    <w:uiPriority w:val="99"/>
    <w:unhideWhenUsed/>
    <w:rsid w:val="001D2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DAE"/>
  </w:style>
  <w:style w:type="paragraph" w:styleId="Footer">
    <w:name w:val="footer"/>
    <w:basedOn w:val="Normal"/>
    <w:link w:val="FooterChar"/>
    <w:uiPriority w:val="99"/>
    <w:unhideWhenUsed/>
    <w:rsid w:val="001D2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DAE"/>
  </w:style>
  <w:style w:type="character" w:styleId="FollowedHyperlink">
    <w:name w:val="FollowedHyperlink"/>
    <w:basedOn w:val="DefaultParagraphFont"/>
    <w:uiPriority w:val="99"/>
    <w:semiHidden/>
    <w:unhideWhenUsed/>
    <w:rsid w:val="004410A6"/>
    <w:rPr>
      <w:color w:val="954F72" w:themeColor="followedHyperlink"/>
      <w:u w:val="single"/>
    </w:rPr>
  </w:style>
  <w:style w:type="paragraph" w:styleId="NoSpacing">
    <w:name w:val="No Spacing"/>
    <w:link w:val="NoSpacingChar"/>
    <w:uiPriority w:val="1"/>
    <w:qFormat/>
    <w:rsid w:val="00F56C59"/>
    <w:pPr>
      <w:spacing w:after="0" w:line="240" w:lineRule="auto"/>
    </w:pPr>
    <w:rPr>
      <w:lang w:val="en-US" w:eastAsia="en-US"/>
    </w:rPr>
  </w:style>
  <w:style w:type="character" w:customStyle="1" w:styleId="NoSpacingChar">
    <w:name w:val="No Spacing Char"/>
    <w:basedOn w:val="DefaultParagraphFont"/>
    <w:link w:val="NoSpacing"/>
    <w:uiPriority w:val="1"/>
    <w:rsid w:val="00F56C59"/>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75803">
      <w:bodyDiv w:val="1"/>
      <w:marLeft w:val="0"/>
      <w:marRight w:val="0"/>
      <w:marTop w:val="0"/>
      <w:marBottom w:val="0"/>
      <w:divBdr>
        <w:top w:val="none" w:sz="0" w:space="0" w:color="auto"/>
        <w:left w:val="none" w:sz="0" w:space="0" w:color="auto"/>
        <w:bottom w:val="none" w:sz="0" w:space="0" w:color="auto"/>
        <w:right w:val="none" w:sz="0" w:space="0" w:color="auto"/>
      </w:divBdr>
    </w:div>
    <w:div w:id="85929447">
      <w:bodyDiv w:val="1"/>
      <w:marLeft w:val="0"/>
      <w:marRight w:val="0"/>
      <w:marTop w:val="0"/>
      <w:marBottom w:val="0"/>
      <w:divBdr>
        <w:top w:val="none" w:sz="0" w:space="0" w:color="auto"/>
        <w:left w:val="none" w:sz="0" w:space="0" w:color="auto"/>
        <w:bottom w:val="none" w:sz="0" w:space="0" w:color="auto"/>
        <w:right w:val="none" w:sz="0" w:space="0" w:color="auto"/>
      </w:divBdr>
    </w:div>
    <w:div w:id="126050595">
      <w:bodyDiv w:val="1"/>
      <w:marLeft w:val="0"/>
      <w:marRight w:val="0"/>
      <w:marTop w:val="0"/>
      <w:marBottom w:val="0"/>
      <w:divBdr>
        <w:top w:val="none" w:sz="0" w:space="0" w:color="auto"/>
        <w:left w:val="none" w:sz="0" w:space="0" w:color="auto"/>
        <w:bottom w:val="none" w:sz="0" w:space="0" w:color="auto"/>
        <w:right w:val="none" w:sz="0" w:space="0" w:color="auto"/>
      </w:divBdr>
    </w:div>
    <w:div w:id="209197974">
      <w:bodyDiv w:val="1"/>
      <w:marLeft w:val="0"/>
      <w:marRight w:val="0"/>
      <w:marTop w:val="0"/>
      <w:marBottom w:val="0"/>
      <w:divBdr>
        <w:top w:val="none" w:sz="0" w:space="0" w:color="auto"/>
        <w:left w:val="none" w:sz="0" w:space="0" w:color="auto"/>
        <w:bottom w:val="none" w:sz="0" w:space="0" w:color="auto"/>
        <w:right w:val="none" w:sz="0" w:space="0" w:color="auto"/>
      </w:divBdr>
    </w:div>
    <w:div w:id="510874707">
      <w:bodyDiv w:val="1"/>
      <w:marLeft w:val="0"/>
      <w:marRight w:val="0"/>
      <w:marTop w:val="0"/>
      <w:marBottom w:val="0"/>
      <w:divBdr>
        <w:top w:val="none" w:sz="0" w:space="0" w:color="auto"/>
        <w:left w:val="none" w:sz="0" w:space="0" w:color="auto"/>
        <w:bottom w:val="none" w:sz="0" w:space="0" w:color="auto"/>
        <w:right w:val="none" w:sz="0" w:space="0" w:color="auto"/>
      </w:divBdr>
    </w:div>
    <w:div w:id="559947810">
      <w:bodyDiv w:val="1"/>
      <w:marLeft w:val="0"/>
      <w:marRight w:val="0"/>
      <w:marTop w:val="0"/>
      <w:marBottom w:val="0"/>
      <w:divBdr>
        <w:top w:val="none" w:sz="0" w:space="0" w:color="auto"/>
        <w:left w:val="none" w:sz="0" w:space="0" w:color="auto"/>
        <w:bottom w:val="none" w:sz="0" w:space="0" w:color="auto"/>
        <w:right w:val="none" w:sz="0" w:space="0" w:color="auto"/>
      </w:divBdr>
    </w:div>
    <w:div w:id="585189155">
      <w:bodyDiv w:val="1"/>
      <w:marLeft w:val="0"/>
      <w:marRight w:val="0"/>
      <w:marTop w:val="0"/>
      <w:marBottom w:val="0"/>
      <w:divBdr>
        <w:top w:val="none" w:sz="0" w:space="0" w:color="auto"/>
        <w:left w:val="none" w:sz="0" w:space="0" w:color="auto"/>
        <w:bottom w:val="none" w:sz="0" w:space="0" w:color="auto"/>
        <w:right w:val="none" w:sz="0" w:space="0" w:color="auto"/>
      </w:divBdr>
    </w:div>
    <w:div w:id="617686288">
      <w:bodyDiv w:val="1"/>
      <w:marLeft w:val="0"/>
      <w:marRight w:val="0"/>
      <w:marTop w:val="0"/>
      <w:marBottom w:val="0"/>
      <w:divBdr>
        <w:top w:val="none" w:sz="0" w:space="0" w:color="auto"/>
        <w:left w:val="none" w:sz="0" w:space="0" w:color="auto"/>
        <w:bottom w:val="none" w:sz="0" w:space="0" w:color="auto"/>
        <w:right w:val="none" w:sz="0" w:space="0" w:color="auto"/>
      </w:divBdr>
    </w:div>
    <w:div w:id="675884046">
      <w:bodyDiv w:val="1"/>
      <w:marLeft w:val="0"/>
      <w:marRight w:val="0"/>
      <w:marTop w:val="0"/>
      <w:marBottom w:val="0"/>
      <w:divBdr>
        <w:top w:val="none" w:sz="0" w:space="0" w:color="auto"/>
        <w:left w:val="none" w:sz="0" w:space="0" w:color="auto"/>
        <w:bottom w:val="none" w:sz="0" w:space="0" w:color="auto"/>
        <w:right w:val="none" w:sz="0" w:space="0" w:color="auto"/>
      </w:divBdr>
    </w:div>
    <w:div w:id="888105254">
      <w:bodyDiv w:val="1"/>
      <w:marLeft w:val="0"/>
      <w:marRight w:val="0"/>
      <w:marTop w:val="0"/>
      <w:marBottom w:val="0"/>
      <w:divBdr>
        <w:top w:val="none" w:sz="0" w:space="0" w:color="auto"/>
        <w:left w:val="none" w:sz="0" w:space="0" w:color="auto"/>
        <w:bottom w:val="none" w:sz="0" w:space="0" w:color="auto"/>
        <w:right w:val="none" w:sz="0" w:space="0" w:color="auto"/>
      </w:divBdr>
    </w:div>
    <w:div w:id="1223713231">
      <w:bodyDiv w:val="1"/>
      <w:marLeft w:val="0"/>
      <w:marRight w:val="0"/>
      <w:marTop w:val="0"/>
      <w:marBottom w:val="0"/>
      <w:divBdr>
        <w:top w:val="none" w:sz="0" w:space="0" w:color="auto"/>
        <w:left w:val="none" w:sz="0" w:space="0" w:color="auto"/>
        <w:bottom w:val="none" w:sz="0" w:space="0" w:color="auto"/>
        <w:right w:val="none" w:sz="0" w:space="0" w:color="auto"/>
      </w:divBdr>
    </w:div>
    <w:div w:id="1224487835">
      <w:bodyDiv w:val="1"/>
      <w:marLeft w:val="0"/>
      <w:marRight w:val="0"/>
      <w:marTop w:val="0"/>
      <w:marBottom w:val="0"/>
      <w:divBdr>
        <w:top w:val="none" w:sz="0" w:space="0" w:color="auto"/>
        <w:left w:val="none" w:sz="0" w:space="0" w:color="auto"/>
        <w:bottom w:val="none" w:sz="0" w:space="0" w:color="auto"/>
        <w:right w:val="none" w:sz="0" w:space="0" w:color="auto"/>
      </w:divBdr>
    </w:div>
    <w:div w:id="1236936120">
      <w:bodyDiv w:val="1"/>
      <w:marLeft w:val="0"/>
      <w:marRight w:val="0"/>
      <w:marTop w:val="0"/>
      <w:marBottom w:val="0"/>
      <w:divBdr>
        <w:top w:val="none" w:sz="0" w:space="0" w:color="auto"/>
        <w:left w:val="none" w:sz="0" w:space="0" w:color="auto"/>
        <w:bottom w:val="none" w:sz="0" w:space="0" w:color="auto"/>
        <w:right w:val="none" w:sz="0" w:space="0" w:color="auto"/>
      </w:divBdr>
    </w:div>
    <w:div w:id="1263611179">
      <w:bodyDiv w:val="1"/>
      <w:marLeft w:val="0"/>
      <w:marRight w:val="0"/>
      <w:marTop w:val="0"/>
      <w:marBottom w:val="0"/>
      <w:divBdr>
        <w:top w:val="none" w:sz="0" w:space="0" w:color="auto"/>
        <w:left w:val="none" w:sz="0" w:space="0" w:color="auto"/>
        <w:bottom w:val="none" w:sz="0" w:space="0" w:color="auto"/>
        <w:right w:val="none" w:sz="0" w:space="0" w:color="auto"/>
      </w:divBdr>
    </w:div>
    <w:div w:id="1465852751">
      <w:bodyDiv w:val="1"/>
      <w:marLeft w:val="0"/>
      <w:marRight w:val="0"/>
      <w:marTop w:val="0"/>
      <w:marBottom w:val="0"/>
      <w:divBdr>
        <w:top w:val="none" w:sz="0" w:space="0" w:color="auto"/>
        <w:left w:val="none" w:sz="0" w:space="0" w:color="auto"/>
        <w:bottom w:val="none" w:sz="0" w:space="0" w:color="auto"/>
        <w:right w:val="none" w:sz="0" w:space="0" w:color="auto"/>
      </w:divBdr>
    </w:div>
    <w:div w:id="1630042473">
      <w:bodyDiv w:val="1"/>
      <w:marLeft w:val="0"/>
      <w:marRight w:val="0"/>
      <w:marTop w:val="0"/>
      <w:marBottom w:val="0"/>
      <w:divBdr>
        <w:top w:val="none" w:sz="0" w:space="0" w:color="auto"/>
        <w:left w:val="none" w:sz="0" w:space="0" w:color="auto"/>
        <w:bottom w:val="none" w:sz="0" w:space="0" w:color="auto"/>
        <w:right w:val="none" w:sz="0" w:space="0" w:color="auto"/>
      </w:divBdr>
    </w:div>
    <w:div w:id="1755710532">
      <w:bodyDiv w:val="1"/>
      <w:marLeft w:val="0"/>
      <w:marRight w:val="0"/>
      <w:marTop w:val="0"/>
      <w:marBottom w:val="0"/>
      <w:divBdr>
        <w:top w:val="none" w:sz="0" w:space="0" w:color="auto"/>
        <w:left w:val="none" w:sz="0" w:space="0" w:color="auto"/>
        <w:bottom w:val="none" w:sz="0" w:space="0" w:color="auto"/>
        <w:right w:val="none" w:sz="0" w:space="0" w:color="auto"/>
      </w:divBdr>
    </w:div>
    <w:div w:id="1966110371">
      <w:bodyDiv w:val="1"/>
      <w:marLeft w:val="0"/>
      <w:marRight w:val="0"/>
      <w:marTop w:val="0"/>
      <w:marBottom w:val="0"/>
      <w:divBdr>
        <w:top w:val="none" w:sz="0" w:space="0" w:color="auto"/>
        <w:left w:val="none" w:sz="0" w:space="0" w:color="auto"/>
        <w:bottom w:val="none" w:sz="0" w:space="0" w:color="auto"/>
        <w:right w:val="none" w:sz="0" w:space="0" w:color="auto"/>
      </w:divBdr>
    </w:div>
    <w:div w:id="204093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64663920921921" TargetMode="External"/><Relationship Id="rId13" Type="http://schemas.openxmlformats.org/officeDocument/2006/relationships/hyperlink" Target="https://assets.publishing.service.gov.uk/government/uploads/system/uploads/attachment_data/file/97976/prevent-strategy-review.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80/19434472.2019.1703782" TargetMode="External"/><Relationship Id="rId12" Type="http://schemas.openxmlformats.org/officeDocument/2006/relationships/hyperlink" Target="https://doi.org/10.1016/j.ridd.2020.103675"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doi.org/10.1007/978-3-030-62870-3_6" TargetMode="External"/><Relationship Id="rId11" Type="http://schemas.openxmlformats.org/officeDocument/2006/relationships/hyperlink" Target="https://doi.org/10.1080/014180300750051898"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doi.org/10.1093/bjc/azab073" TargetMode="External"/><Relationship Id="rId4" Type="http://schemas.openxmlformats.org/officeDocument/2006/relationships/footnotes" Target="footnotes.xml"/><Relationship Id="rId9" Type="http://schemas.openxmlformats.org/officeDocument/2006/relationships/hyperlink" Target="https://doi.org/10.1016/j.jflm.2021.102169" TargetMode="External"/><Relationship Id="rId14" Type="http://schemas.openxmlformats.org/officeDocument/2006/relationships/hyperlink" Target="https://assets.publishing.service.gov.uk/government/uploads/system/uploads/attachment_data/file/716907/140618_CCS207_CCS0218929798-1_CONTEST_3.0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VULNERABILITY, WELFARE &amp; rISK</vt:lpstr>
    </vt:vector>
  </TitlesOfParts>
  <Company>JACK ROBERTS</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VULNERABILITY, WELFARE &amp; rISK</dc:title>
  <dc:subject>What is ‘Vulnerability’ in the Content of Operational Policing?</dc:subject>
  <dc:creator>Jack</dc:creator>
  <cp:keywords/>
  <dc:description/>
  <cp:lastModifiedBy>Jack Roberts</cp:lastModifiedBy>
  <cp:revision>2</cp:revision>
  <dcterms:created xsi:type="dcterms:W3CDTF">2022-11-11T19:30:00Z</dcterms:created>
  <dcterms:modified xsi:type="dcterms:W3CDTF">2022-11-11T19:30:00Z</dcterms:modified>
  <cp:category>2003821</cp:category>
</cp:coreProperties>
</file>