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F6F" w:rsidRPr="00205ADF" w:rsidRDefault="00E83F6F" w:rsidP="00E83F6F">
      <w:pPr>
        <w:jc w:val="center"/>
        <w:rPr>
          <w:b/>
          <w:bCs/>
          <w:sz w:val="36"/>
          <w:szCs w:val="36"/>
        </w:rPr>
      </w:pPr>
    </w:p>
    <w:p w:rsidR="00E83F6F" w:rsidRPr="00205ADF" w:rsidRDefault="00E83F6F" w:rsidP="00E83F6F">
      <w:pPr>
        <w:jc w:val="center"/>
        <w:rPr>
          <w:b/>
          <w:bCs/>
          <w:sz w:val="36"/>
          <w:szCs w:val="36"/>
        </w:rPr>
      </w:pPr>
    </w:p>
    <w:p w:rsidR="00E83F6F" w:rsidRPr="00205ADF" w:rsidRDefault="00E83F6F" w:rsidP="00E83F6F">
      <w:pPr>
        <w:jc w:val="center"/>
        <w:rPr>
          <w:b/>
          <w:bCs/>
          <w:sz w:val="36"/>
          <w:szCs w:val="36"/>
        </w:rPr>
      </w:pPr>
    </w:p>
    <w:p w:rsidR="00E83F6F" w:rsidRPr="00205ADF" w:rsidRDefault="00E83F6F" w:rsidP="00E83F6F">
      <w:pPr>
        <w:jc w:val="center"/>
        <w:rPr>
          <w:b/>
          <w:bCs/>
          <w:sz w:val="36"/>
          <w:szCs w:val="36"/>
        </w:rPr>
      </w:pPr>
    </w:p>
    <w:p w:rsidR="00E83F6F" w:rsidRPr="00205ADF" w:rsidRDefault="00E83F6F" w:rsidP="00E83F6F">
      <w:pPr>
        <w:jc w:val="center"/>
        <w:rPr>
          <w:b/>
          <w:bCs/>
          <w:sz w:val="36"/>
          <w:szCs w:val="36"/>
        </w:rPr>
      </w:pPr>
    </w:p>
    <w:p w:rsidR="00E83F6F" w:rsidRPr="00205ADF" w:rsidRDefault="00E83F6F" w:rsidP="00E83F6F">
      <w:pPr>
        <w:jc w:val="center"/>
        <w:rPr>
          <w:b/>
          <w:bCs/>
          <w:sz w:val="36"/>
          <w:szCs w:val="36"/>
        </w:rPr>
      </w:pPr>
    </w:p>
    <w:p w:rsidR="00E83F6F" w:rsidRPr="00205ADF" w:rsidRDefault="00E83F6F" w:rsidP="00E83F6F">
      <w:pPr>
        <w:jc w:val="center"/>
        <w:rPr>
          <w:b/>
          <w:bCs/>
          <w:sz w:val="36"/>
          <w:szCs w:val="36"/>
        </w:rPr>
      </w:pPr>
    </w:p>
    <w:p w:rsidR="00F538D6" w:rsidRPr="00205ADF" w:rsidRDefault="00FC5C42" w:rsidP="00E83F6F">
      <w:pPr>
        <w:jc w:val="center"/>
        <w:rPr>
          <w:b/>
          <w:bCs/>
          <w:sz w:val="36"/>
          <w:szCs w:val="36"/>
        </w:rPr>
      </w:pPr>
      <w:r w:rsidRPr="00205ADF">
        <w:rPr>
          <w:b/>
          <w:bCs/>
          <w:sz w:val="36"/>
          <w:szCs w:val="36"/>
        </w:rPr>
        <w:t>Module Name: Managing People</w:t>
      </w:r>
    </w:p>
    <w:p w:rsidR="00F538D6" w:rsidRPr="00205ADF" w:rsidRDefault="00FC5C42" w:rsidP="00E83F6F">
      <w:pPr>
        <w:jc w:val="center"/>
        <w:rPr>
          <w:b/>
          <w:bCs/>
          <w:sz w:val="36"/>
          <w:szCs w:val="36"/>
        </w:rPr>
      </w:pPr>
      <w:r w:rsidRPr="00205ADF">
        <w:rPr>
          <w:b/>
          <w:bCs/>
          <w:sz w:val="36"/>
          <w:szCs w:val="36"/>
        </w:rPr>
        <w:t>Module code: LCBB5004</w:t>
      </w:r>
    </w:p>
    <w:p w:rsidR="00F538D6" w:rsidRPr="00205ADF" w:rsidRDefault="00FC5C42" w:rsidP="00E83F6F">
      <w:pPr>
        <w:jc w:val="center"/>
        <w:rPr>
          <w:b/>
          <w:bCs/>
          <w:sz w:val="36"/>
          <w:szCs w:val="36"/>
        </w:rPr>
      </w:pPr>
      <w:r w:rsidRPr="00205ADF">
        <w:rPr>
          <w:b/>
          <w:bCs/>
          <w:sz w:val="36"/>
          <w:szCs w:val="36"/>
        </w:rPr>
        <w:t>Title of the assignment: Assessment 2</w:t>
      </w:r>
    </w:p>
    <w:p w:rsidR="00F538D6" w:rsidRPr="00205ADF" w:rsidRDefault="00FC5C42" w:rsidP="00E83F6F">
      <w:pPr>
        <w:jc w:val="center"/>
        <w:rPr>
          <w:b/>
          <w:bCs/>
          <w:sz w:val="36"/>
          <w:szCs w:val="36"/>
        </w:rPr>
      </w:pPr>
      <w:r w:rsidRPr="00205ADF">
        <w:rPr>
          <w:b/>
          <w:bCs/>
          <w:sz w:val="36"/>
          <w:szCs w:val="36"/>
        </w:rPr>
        <w:t>Student Name:</w:t>
      </w:r>
    </w:p>
    <w:p w:rsidR="00F538D6" w:rsidRPr="00205ADF" w:rsidRDefault="00FC5C42" w:rsidP="00E83F6F">
      <w:pPr>
        <w:jc w:val="center"/>
        <w:rPr>
          <w:b/>
          <w:bCs/>
          <w:sz w:val="36"/>
          <w:szCs w:val="36"/>
        </w:rPr>
      </w:pPr>
      <w:r w:rsidRPr="00205ADF">
        <w:rPr>
          <w:b/>
          <w:bCs/>
          <w:sz w:val="36"/>
          <w:szCs w:val="36"/>
        </w:rPr>
        <w:t>Submission date:</w:t>
      </w:r>
    </w:p>
    <w:p w:rsidR="00E83F6F" w:rsidRPr="00205ADF" w:rsidRDefault="00FC5C42" w:rsidP="00E83F6F">
      <w:pPr>
        <w:jc w:val="center"/>
        <w:rPr>
          <w:b/>
          <w:bCs/>
          <w:sz w:val="36"/>
          <w:szCs w:val="36"/>
        </w:rPr>
      </w:pPr>
      <w:r w:rsidRPr="00205ADF">
        <w:rPr>
          <w:b/>
          <w:bCs/>
          <w:sz w:val="36"/>
          <w:szCs w:val="36"/>
        </w:rPr>
        <w:t>Word Count:</w:t>
      </w:r>
    </w:p>
    <w:p w:rsidR="00E83F6F" w:rsidRPr="00205ADF" w:rsidRDefault="00FC5C42" w:rsidP="00E83F6F">
      <w:pPr>
        <w:spacing w:line="276" w:lineRule="auto"/>
        <w:rPr>
          <w:b/>
          <w:bCs/>
          <w:sz w:val="36"/>
          <w:szCs w:val="36"/>
        </w:rPr>
      </w:pPr>
      <w:r w:rsidRPr="00205ADF">
        <w:rPr>
          <w:b/>
          <w:bCs/>
          <w:sz w:val="36"/>
          <w:szCs w:val="36"/>
        </w:rPr>
        <w:br w:type="page"/>
      </w:r>
    </w:p>
    <w:sdt>
      <w:sdtPr>
        <w:rPr>
          <w:rFonts w:ascii="Arial" w:eastAsia="Arial" w:hAnsi="Arial" w:cs="Arial"/>
          <w:color w:val="auto"/>
          <w:sz w:val="22"/>
          <w:szCs w:val="22"/>
          <w:lang w:val="en-GB"/>
        </w:rPr>
        <w:id w:val="-90787506"/>
        <w:docPartObj>
          <w:docPartGallery w:val="Table of Contents"/>
          <w:docPartUnique/>
        </w:docPartObj>
      </w:sdtPr>
      <w:sdtEndPr>
        <w:rPr>
          <w:b/>
          <w:bCs/>
          <w:noProof/>
        </w:rPr>
      </w:sdtEndPr>
      <w:sdtContent>
        <w:p w:rsidR="00E83F6F" w:rsidRPr="00205ADF" w:rsidRDefault="00FC5C42" w:rsidP="00E83F6F">
          <w:pPr>
            <w:pStyle w:val="TOCHeading"/>
            <w:jc w:val="center"/>
            <w:rPr>
              <w:rFonts w:ascii="Arial" w:hAnsi="Arial" w:cs="Arial"/>
              <w:b/>
              <w:bCs/>
              <w:color w:val="000000" w:themeColor="text1"/>
              <w:sz w:val="22"/>
              <w:szCs w:val="22"/>
              <w:lang w:val="en-GB"/>
            </w:rPr>
          </w:pPr>
          <w:r w:rsidRPr="00205ADF">
            <w:rPr>
              <w:rFonts w:ascii="Arial" w:hAnsi="Arial" w:cs="Arial"/>
              <w:b/>
              <w:bCs/>
              <w:color w:val="000000" w:themeColor="text1"/>
              <w:sz w:val="22"/>
              <w:szCs w:val="22"/>
              <w:lang w:val="en-GB"/>
            </w:rPr>
            <w:t>Table of Contents</w:t>
          </w:r>
        </w:p>
        <w:p w:rsidR="00E83F6F" w:rsidRPr="00205ADF" w:rsidRDefault="00AF0BF4">
          <w:pPr>
            <w:pStyle w:val="TOC1"/>
            <w:tabs>
              <w:tab w:val="right" w:leader="dot" w:pos="9019"/>
            </w:tabs>
            <w:rPr>
              <w:noProof/>
            </w:rPr>
          </w:pPr>
          <w:r w:rsidRPr="00205ADF">
            <w:fldChar w:fldCharType="begin"/>
          </w:r>
          <w:r w:rsidR="00FC5C42" w:rsidRPr="00205ADF">
            <w:instrText xml:space="preserve"> TOC \o "1-3" \h \z \u </w:instrText>
          </w:r>
          <w:r w:rsidRPr="00205ADF">
            <w:fldChar w:fldCharType="separate"/>
          </w:r>
          <w:hyperlink w:anchor="_Toc88511789" w:history="1">
            <w:r w:rsidR="00FC5C42" w:rsidRPr="00205ADF">
              <w:rPr>
                <w:rStyle w:val="Hyperlink"/>
                <w:noProof/>
              </w:rPr>
              <w:t>Introduction</w:t>
            </w:r>
            <w:r w:rsidR="00FC5C42" w:rsidRPr="00205ADF">
              <w:rPr>
                <w:noProof/>
                <w:webHidden/>
              </w:rPr>
              <w:tab/>
            </w:r>
            <w:r w:rsidRPr="00205ADF">
              <w:rPr>
                <w:noProof/>
                <w:webHidden/>
              </w:rPr>
              <w:fldChar w:fldCharType="begin"/>
            </w:r>
            <w:r w:rsidR="00FC5C42" w:rsidRPr="00205ADF">
              <w:rPr>
                <w:noProof/>
                <w:webHidden/>
              </w:rPr>
              <w:instrText xml:space="preserve"> PAGEREF _Toc88511789 \h </w:instrText>
            </w:r>
            <w:r w:rsidRPr="00205ADF">
              <w:rPr>
                <w:noProof/>
                <w:webHidden/>
              </w:rPr>
            </w:r>
            <w:r w:rsidRPr="00205ADF">
              <w:rPr>
                <w:noProof/>
                <w:webHidden/>
              </w:rPr>
              <w:fldChar w:fldCharType="separate"/>
            </w:r>
            <w:r w:rsidR="00FC5C42" w:rsidRPr="00205ADF">
              <w:rPr>
                <w:noProof/>
                <w:webHidden/>
              </w:rPr>
              <w:t>3</w:t>
            </w:r>
            <w:r w:rsidRPr="00205ADF">
              <w:rPr>
                <w:noProof/>
                <w:webHidden/>
              </w:rPr>
              <w:fldChar w:fldCharType="end"/>
            </w:r>
          </w:hyperlink>
        </w:p>
        <w:p w:rsidR="00E83F6F" w:rsidRPr="00205ADF" w:rsidRDefault="00AF0BF4">
          <w:pPr>
            <w:pStyle w:val="TOC1"/>
            <w:tabs>
              <w:tab w:val="right" w:leader="dot" w:pos="9019"/>
            </w:tabs>
            <w:rPr>
              <w:noProof/>
            </w:rPr>
          </w:pPr>
          <w:hyperlink w:anchor="_Toc88511790" w:history="1">
            <w:r w:rsidR="00FC5C42" w:rsidRPr="00205ADF">
              <w:rPr>
                <w:rStyle w:val="Hyperlink"/>
                <w:noProof/>
              </w:rPr>
              <w:t>The concept and drivers of employee engagement</w:t>
            </w:r>
            <w:r w:rsidR="00FC5C42" w:rsidRPr="00205ADF">
              <w:rPr>
                <w:noProof/>
                <w:webHidden/>
              </w:rPr>
              <w:tab/>
            </w:r>
            <w:r w:rsidRPr="00205ADF">
              <w:rPr>
                <w:noProof/>
                <w:webHidden/>
              </w:rPr>
              <w:fldChar w:fldCharType="begin"/>
            </w:r>
            <w:r w:rsidR="00FC5C42" w:rsidRPr="00205ADF">
              <w:rPr>
                <w:noProof/>
                <w:webHidden/>
              </w:rPr>
              <w:instrText xml:space="preserve"> PAGEREF _Toc88511790 \h </w:instrText>
            </w:r>
            <w:r w:rsidRPr="00205ADF">
              <w:rPr>
                <w:noProof/>
                <w:webHidden/>
              </w:rPr>
            </w:r>
            <w:r w:rsidRPr="00205ADF">
              <w:rPr>
                <w:noProof/>
                <w:webHidden/>
              </w:rPr>
              <w:fldChar w:fldCharType="separate"/>
            </w:r>
            <w:r w:rsidR="00FC5C42" w:rsidRPr="00205ADF">
              <w:rPr>
                <w:noProof/>
                <w:webHidden/>
              </w:rPr>
              <w:t>3</w:t>
            </w:r>
            <w:r w:rsidRPr="00205ADF">
              <w:rPr>
                <w:noProof/>
                <w:webHidden/>
              </w:rPr>
              <w:fldChar w:fldCharType="end"/>
            </w:r>
          </w:hyperlink>
        </w:p>
        <w:p w:rsidR="00E83F6F" w:rsidRPr="00205ADF" w:rsidRDefault="00AF0BF4">
          <w:pPr>
            <w:pStyle w:val="TOC1"/>
            <w:tabs>
              <w:tab w:val="right" w:leader="dot" w:pos="9019"/>
            </w:tabs>
            <w:rPr>
              <w:noProof/>
            </w:rPr>
          </w:pPr>
          <w:hyperlink w:anchor="_Toc88511791" w:history="1">
            <w:r w:rsidR="00FC5C42" w:rsidRPr="00205ADF">
              <w:rPr>
                <w:rStyle w:val="Hyperlink"/>
                <w:noProof/>
              </w:rPr>
              <w:t>Evaluation of diagnostic tools to measure the engagement</w:t>
            </w:r>
            <w:r w:rsidR="00FC5C42" w:rsidRPr="00205ADF">
              <w:rPr>
                <w:noProof/>
                <w:webHidden/>
              </w:rPr>
              <w:tab/>
            </w:r>
            <w:r w:rsidRPr="00205ADF">
              <w:rPr>
                <w:noProof/>
                <w:webHidden/>
              </w:rPr>
              <w:fldChar w:fldCharType="begin"/>
            </w:r>
            <w:r w:rsidR="00FC5C42" w:rsidRPr="00205ADF">
              <w:rPr>
                <w:noProof/>
                <w:webHidden/>
              </w:rPr>
              <w:instrText xml:space="preserve"> PAGEREF _Toc88511791 \h </w:instrText>
            </w:r>
            <w:r w:rsidRPr="00205ADF">
              <w:rPr>
                <w:noProof/>
                <w:webHidden/>
              </w:rPr>
            </w:r>
            <w:r w:rsidRPr="00205ADF">
              <w:rPr>
                <w:noProof/>
                <w:webHidden/>
              </w:rPr>
              <w:fldChar w:fldCharType="separate"/>
            </w:r>
            <w:r w:rsidR="00FC5C42" w:rsidRPr="00205ADF">
              <w:rPr>
                <w:noProof/>
                <w:webHidden/>
              </w:rPr>
              <w:t>4</w:t>
            </w:r>
            <w:r w:rsidRPr="00205ADF">
              <w:rPr>
                <w:noProof/>
                <w:webHidden/>
              </w:rPr>
              <w:fldChar w:fldCharType="end"/>
            </w:r>
          </w:hyperlink>
        </w:p>
        <w:p w:rsidR="00E83F6F" w:rsidRPr="00205ADF" w:rsidRDefault="00AF0BF4">
          <w:pPr>
            <w:pStyle w:val="TOC1"/>
            <w:tabs>
              <w:tab w:val="right" w:leader="dot" w:pos="9019"/>
            </w:tabs>
            <w:rPr>
              <w:noProof/>
            </w:rPr>
          </w:pPr>
          <w:hyperlink w:anchor="_Toc88511792" w:history="1">
            <w:r w:rsidR="00FC5C42" w:rsidRPr="00205ADF">
              <w:rPr>
                <w:rStyle w:val="Hyperlink"/>
                <w:noProof/>
              </w:rPr>
              <w:t>Construction of an employee value proposition</w:t>
            </w:r>
            <w:r w:rsidR="00FC5C42" w:rsidRPr="00205ADF">
              <w:rPr>
                <w:noProof/>
                <w:webHidden/>
              </w:rPr>
              <w:tab/>
            </w:r>
            <w:r w:rsidRPr="00205ADF">
              <w:rPr>
                <w:noProof/>
                <w:webHidden/>
              </w:rPr>
              <w:fldChar w:fldCharType="begin"/>
            </w:r>
            <w:r w:rsidR="00FC5C42" w:rsidRPr="00205ADF">
              <w:rPr>
                <w:noProof/>
                <w:webHidden/>
              </w:rPr>
              <w:instrText xml:space="preserve"> P</w:instrText>
            </w:r>
            <w:r w:rsidR="00FC5C42" w:rsidRPr="00205ADF">
              <w:rPr>
                <w:noProof/>
                <w:webHidden/>
              </w:rPr>
              <w:instrText xml:space="preserve">AGEREF _Toc88511792 \h </w:instrText>
            </w:r>
            <w:r w:rsidRPr="00205ADF">
              <w:rPr>
                <w:noProof/>
                <w:webHidden/>
              </w:rPr>
            </w:r>
            <w:r w:rsidRPr="00205ADF">
              <w:rPr>
                <w:noProof/>
                <w:webHidden/>
              </w:rPr>
              <w:fldChar w:fldCharType="separate"/>
            </w:r>
            <w:r w:rsidR="00FC5C42" w:rsidRPr="00205ADF">
              <w:rPr>
                <w:noProof/>
                <w:webHidden/>
              </w:rPr>
              <w:t>5</w:t>
            </w:r>
            <w:r w:rsidRPr="00205ADF">
              <w:rPr>
                <w:noProof/>
                <w:webHidden/>
              </w:rPr>
              <w:fldChar w:fldCharType="end"/>
            </w:r>
          </w:hyperlink>
        </w:p>
        <w:p w:rsidR="00E83F6F" w:rsidRPr="00205ADF" w:rsidRDefault="00AF0BF4">
          <w:pPr>
            <w:pStyle w:val="TOC1"/>
            <w:tabs>
              <w:tab w:val="right" w:leader="dot" w:pos="9019"/>
            </w:tabs>
            <w:rPr>
              <w:noProof/>
            </w:rPr>
          </w:pPr>
          <w:hyperlink w:anchor="_Toc88511793" w:history="1">
            <w:r w:rsidR="00FC5C42" w:rsidRPr="00205ADF">
              <w:rPr>
                <w:rStyle w:val="Hyperlink"/>
                <w:noProof/>
              </w:rPr>
              <w:t>Conclusion</w:t>
            </w:r>
            <w:r w:rsidR="00FC5C42" w:rsidRPr="00205ADF">
              <w:rPr>
                <w:noProof/>
                <w:webHidden/>
              </w:rPr>
              <w:tab/>
            </w:r>
            <w:r w:rsidRPr="00205ADF">
              <w:rPr>
                <w:noProof/>
                <w:webHidden/>
              </w:rPr>
              <w:fldChar w:fldCharType="begin"/>
            </w:r>
            <w:r w:rsidR="00FC5C42" w:rsidRPr="00205ADF">
              <w:rPr>
                <w:noProof/>
                <w:webHidden/>
              </w:rPr>
              <w:instrText xml:space="preserve"> PAGEREF _Toc88511793 \h </w:instrText>
            </w:r>
            <w:r w:rsidRPr="00205ADF">
              <w:rPr>
                <w:noProof/>
                <w:webHidden/>
              </w:rPr>
            </w:r>
            <w:r w:rsidRPr="00205ADF">
              <w:rPr>
                <w:noProof/>
                <w:webHidden/>
              </w:rPr>
              <w:fldChar w:fldCharType="separate"/>
            </w:r>
            <w:r w:rsidR="00FC5C42" w:rsidRPr="00205ADF">
              <w:rPr>
                <w:noProof/>
                <w:webHidden/>
              </w:rPr>
              <w:t>7</w:t>
            </w:r>
            <w:r w:rsidRPr="00205ADF">
              <w:rPr>
                <w:noProof/>
                <w:webHidden/>
              </w:rPr>
              <w:fldChar w:fldCharType="end"/>
            </w:r>
          </w:hyperlink>
        </w:p>
        <w:p w:rsidR="00E83F6F" w:rsidRPr="00205ADF" w:rsidRDefault="00AF0BF4">
          <w:pPr>
            <w:pStyle w:val="TOC1"/>
            <w:tabs>
              <w:tab w:val="right" w:leader="dot" w:pos="9019"/>
            </w:tabs>
            <w:rPr>
              <w:noProof/>
            </w:rPr>
          </w:pPr>
          <w:hyperlink w:anchor="_Toc88511794" w:history="1">
            <w:r w:rsidR="00FC5C42" w:rsidRPr="00205ADF">
              <w:rPr>
                <w:rStyle w:val="Hyperlink"/>
                <w:noProof/>
              </w:rPr>
              <w:t>Reference List</w:t>
            </w:r>
            <w:r w:rsidR="00FC5C42" w:rsidRPr="00205ADF">
              <w:rPr>
                <w:noProof/>
                <w:webHidden/>
              </w:rPr>
              <w:tab/>
            </w:r>
            <w:r w:rsidRPr="00205ADF">
              <w:rPr>
                <w:noProof/>
                <w:webHidden/>
              </w:rPr>
              <w:fldChar w:fldCharType="begin"/>
            </w:r>
            <w:r w:rsidR="00FC5C42" w:rsidRPr="00205ADF">
              <w:rPr>
                <w:noProof/>
                <w:webHidden/>
              </w:rPr>
              <w:instrText xml:space="preserve"> PAGEREF _Toc88511794 \h </w:instrText>
            </w:r>
            <w:r w:rsidRPr="00205ADF">
              <w:rPr>
                <w:noProof/>
                <w:webHidden/>
              </w:rPr>
            </w:r>
            <w:r w:rsidRPr="00205ADF">
              <w:rPr>
                <w:noProof/>
                <w:webHidden/>
              </w:rPr>
              <w:fldChar w:fldCharType="separate"/>
            </w:r>
            <w:r w:rsidR="00FC5C42" w:rsidRPr="00205ADF">
              <w:rPr>
                <w:noProof/>
                <w:webHidden/>
              </w:rPr>
              <w:t>8</w:t>
            </w:r>
            <w:r w:rsidRPr="00205ADF">
              <w:rPr>
                <w:noProof/>
                <w:webHidden/>
              </w:rPr>
              <w:fldChar w:fldCharType="end"/>
            </w:r>
          </w:hyperlink>
        </w:p>
        <w:p w:rsidR="00E83F6F" w:rsidRPr="00205ADF" w:rsidRDefault="00AF0BF4">
          <w:r w:rsidRPr="00205ADF">
            <w:rPr>
              <w:b/>
              <w:bCs/>
              <w:noProof/>
            </w:rPr>
            <w:fldChar w:fldCharType="end"/>
          </w:r>
        </w:p>
      </w:sdtContent>
    </w:sdt>
    <w:p w:rsidR="00F538D6" w:rsidRPr="00205ADF" w:rsidRDefault="00FC5C42" w:rsidP="00E83F6F">
      <w:pPr>
        <w:spacing w:line="276" w:lineRule="auto"/>
        <w:rPr>
          <w:b/>
          <w:bCs/>
          <w:sz w:val="36"/>
          <w:szCs w:val="36"/>
        </w:rPr>
      </w:pPr>
      <w:r w:rsidRPr="00205ADF">
        <w:rPr>
          <w:b/>
          <w:bCs/>
          <w:sz w:val="36"/>
          <w:szCs w:val="36"/>
        </w:rPr>
        <w:br w:type="page"/>
      </w:r>
    </w:p>
    <w:p w:rsidR="00F538D6" w:rsidRPr="00205ADF" w:rsidRDefault="00FC5C42" w:rsidP="00E83F6F">
      <w:pPr>
        <w:pStyle w:val="Heading1"/>
      </w:pPr>
      <w:bookmarkStart w:id="0" w:name="_Toc88511789"/>
      <w:r w:rsidRPr="00205ADF">
        <w:lastRenderedPageBreak/>
        <w:t>Introduction</w:t>
      </w:r>
      <w:bookmarkEnd w:id="0"/>
    </w:p>
    <w:p w:rsidR="00F538D6" w:rsidRPr="00205ADF" w:rsidRDefault="00FC5C42">
      <w:r w:rsidRPr="00205ADF">
        <w:t xml:space="preserve">The present study will attempt to measure and determine the employee engagement of the Royal Dutch Shell in the past and in </w:t>
      </w:r>
      <w:r w:rsidRPr="00205ADF">
        <w:t>recent times with the onset of COVID-19. Along with the facilities of working from home and ensuring flexible hours the study will highlight other strategies that can be implemented by the organisation to enhance the growth and expansion of the organisatio</w:t>
      </w:r>
      <w:r w:rsidRPr="00205ADF">
        <w:t>n. The study will define and address the concepts as well as the drivers that are closely associated with employee engagement of Royal Dutch Shell. Further, the report will provide an evaluation of the tools that are effective in measuring the engagement o</w:t>
      </w:r>
      <w:r w:rsidRPr="00205ADF">
        <w:t xml:space="preserve">f employees. The study ends with shedding light on the construction of employee value proposition and other related concepts. </w:t>
      </w:r>
    </w:p>
    <w:p w:rsidR="00F538D6" w:rsidRPr="00205ADF" w:rsidRDefault="00FC5C42" w:rsidP="00E83F6F">
      <w:pPr>
        <w:pStyle w:val="Heading1"/>
      </w:pPr>
      <w:bookmarkStart w:id="1" w:name="_Toc88511790"/>
      <w:r w:rsidRPr="00205ADF">
        <w:t>The concept and drivers of employee engagement</w:t>
      </w:r>
      <w:bookmarkEnd w:id="1"/>
    </w:p>
    <w:p w:rsidR="00F538D6" w:rsidRPr="00205ADF" w:rsidRDefault="00FC5C42">
      <w:pPr>
        <w:rPr>
          <w:b/>
        </w:rPr>
      </w:pPr>
      <w:r w:rsidRPr="00205ADF">
        <w:t xml:space="preserve">The concept of engagement of employees can be defined by analysing and estimating </w:t>
      </w:r>
      <w:r w:rsidRPr="00205ADF">
        <w:t>the extent to which the workers of the organisation feel motivated and invested by the assigned work. The levels of satisfaction and productivity of the employees of the organisation can be reached and enhanced when the employees are more engaged and effic</w:t>
      </w:r>
      <w:r w:rsidRPr="00205ADF">
        <w:t>ient in delivering their performance and achieving the set objectives of the organisation. The key drivers of employee engagement involve including meaningful work and ensuring the career growth of the workers (Osborne and Hammound, 2017). Employee engagem</w:t>
      </w:r>
      <w:r w:rsidRPr="00205ADF">
        <w:t>ent in Royal Dutch Shell can be achieved by creating a sense of belongingness and fulfilling the work relationships within the business organisation. The engagement of employees highlights and sheds light on the concept of human resources and is essentiall</w:t>
      </w:r>
      <w:r w:rsidRPr="00205ADF">
        <w:t>y involved in describing and assessing the levels of dedication and enthusiasm that an employee feels about his/her job (Mazzetti</w:t>
      </w:r>
      <w:r w:rsidRPr="00205ADF">
        <w:rPr>
          <w:i/>
        </w:rPr>
        <w:t>et al</w:t>
      </w:r>
      <w:r w:rsidRPr="00205ADF">
        <w:t xml:space="preserve">., 2019). The engaged employees are determined and focused to deliver care concerning their and performance and feel that </w:t>
      </w:r>
      <w:r w:rsidRPr="00205ADF">
        <w:t xml:space="preserve">their hard work </w:t>
      </w:r>
      <w:r w:rsidR="00E83F6F" w:rsidRPr="00205ADF">
        <w:t>is</w:t>
      </w:r>
      <w:r w:rsidRPr="00205ADF">
        <w:t xml:space="preserve"> capable of bringing a difference in the growth and expansion of the organisation. The four divers that are associated with the engagement of employees in the Royal Dutch Shell include the concepts of strategic narrative that focuses on l</w:t>
      </w:r>
      <w:r w:rsidRPr="00205ADF">
        <w:t>eadership, engaging leaders, as well as integrity and voice of the employee. The organisation should be efficient in providing executive and participation among the employees and align the goals of the employees with the goals of the business. Employee eng</w:t>
      </w:r>
      <w:r w:rsidRPr="00205ADF">
        <w:t>agement in recent times keeping in mind the effects of COVID-19 should serve an essential purpose for any organisation as it is useful for the retention of employees in the long run and improving the quality of work that is delivered by the organisation an</w:t>
      </w:r>
      <w:r w:rsidRPr="00205ADF">
        <w:t>d gain higher levels of efficiency and productivity (Shell, 2021). This model ensures in implementing strategies that ensure in the creation of better work and customer relationships and reduce the turnovers of the employees of the organisation. Employee e</w:t>
      </w:r>
      <w:r w:rsidRPr="00205ADF">
        <w:t xml:space="preserve">ngagement in </w:t>
      </w:r>
      <w:r w:rsidRPr="00205ADF">
        <w:lastRenderedPageBreak/>
        <w:t xml:space="preserve">Shell can be influenced by the communication adopted by the organisation and the managerial styles that are implemented to gain the respect and trust of the employees of the organisation (Ahuja </w:t>
      </w:r>
      <w:r w:rsidRPr="00205ADF">
        <w:rPr>
          <w:i/>
        </w:rPr>
        <w:t>et al</w:t>
      </w:r>
      <w:r w:rsidRPr="00205ADF">
        <w:t>., 2019). The leadership skills and the repu</w:t>
      </w:r>
      <w:r w:rsidRPr="00205ADF">
        <w:t>tation of the Royal Dutch Shell also plays a significant role in determining and estimating employee engagement. With the onset of a pandemic, the strategy of employee engagement should analyse and estimate the existing problems and make use of appropriate</w:t>
      </w:r>
      <w:r w:rsidRPr="00205ADF">
        <w:t xml:space="preserve"> strategies to work with the employees of the company to bring out the most effective solutions and apply the modifications and changes to foster enhancing the satisfaction of the employees of the organisation. Opportunities provided for growth and develop</w:t>
      </w:r>
      <w:r w:rsidRPr="00205ADF">
        <w:t>ment of skills are important drivers of employee engagement and serve meaningfulness to the working conditions of the Shell. Royal Dutch Shell should work for having active engagement and make sure that the workers of the company are passionate about their</w:t>
      </w:r>
      <w:r w:rsidRPr="00205ADF">
        <w:t xml:space="preserve"> job role and are committed to fulfilling and achieving the mission and goals of the organisation (Manzie, 2018). The Shell in recent times in the COVID situation should understand that the employees are essential for the organisation as they ensure strate</w:t>
      </w:r>
      <w:r w:rsidRPr="00205ADF">
        <w:t>gies that are appropriate and sufficient for driving revenue. The workers should be provided with proper guidance and tools and treated with respect and care to make sure that the sales and the profit margins of the organisation are increased and maximised</w:t>
      </w:r>
      <w:r w:rsidRPr="00205ADF">
        <w:t>.</w:t>
      </w:r>
    </w:p>
    <w:p w:rsidR="00F538D6" w:rsidRPr="00205ADF" w:rsidRDefault="00FC5C42" w:rsidP="00E83F6F">
      <w:pPr>
        <w:pStyle w:val="Heading1"/>
      </w:pPr>
      <w:bookmarkStart w:id="2" w:name="_Toc88511791"/>
      <w:r w:rsidRPr="00205ADF">
        <w:t>Evaluation of diagnostic tools to measure the engagement</w:t>
      </w:r>
      <w:bookmarkEnd w:id="2"/>
    </w:p>
    <w:p w:rsidR="00F538D6" w:rsidRPr="00205ADF" w:rsidRDefault="00FC5C42">
      <w:r w:rsidRPr="00205ADF">
        <w:t>Employee engagement in Royal Dutch Shell can be measured and evaluated by conducting surveys and feedback forms that are given to the employees of the organisation. The survey will help Shell to id</w:t>
      </w:r>
      <w:r w:rsidRPr="00205ADF">
        <w:t>entify and assess the problems that are taking place within the organisation and will be effective for the company to retain its employees and take appropriate measures in time. The interviews and the annual surveys are the most widely used method to get f</w:t>
      </w:r>
      <w:r w:rsidRPr="00205ADF">
        <w:t>eedback for estimating the attitudes and feelings of the employees towards an organisation. The survey can be conducted by thinking about the purpose of the organisation and crafting questions accordingly that hold the interest of Shell. Further, the compa</w:t>
      </w:r>
      <w:r w:rsidRPr="00205ADF">
        <w:t>ny should be successful in getting everyone involved and providing the employees of the organisation sufficient time to answer the questions. The employees of the Royal Dutch Shell should be encouraged to do better and once the survey is conducted the resu</w:t>
      </w:r>
      <w:r w:rsidRPr="00205ADF">
        <w:t>lts should be analysed and the most appropriate strategies should be implemented by the organisation to meet the basic requirements of the employees (Yakovlevicha</w:t>
      </w:r>
      <w:r w:rsidRPr="00205ADF">
        <w:rPr>
          <w:i/>
        </w:rPr>
        <w:t>et al</w:t>
      </w:r>
      <w:r w:rsidRPr="00205ADF">
        <w:t>., 2019). The engagement survey must be able to accomplish the components that are in clo</w:t>
      </w:r>
      <w:r w:rsidRPr="00205ADF">
        <w:t xml:space="preserve">se relation with the satisfaction of the employees, alignment and the future desires and goals of the Shell. The key findings of the survey must be shared with employees and the company must </w:t>
      </w:r>
      <w:r w:rsidRPr="00205ADF">
        <w:lastRenderedPageBreak/>
        <w:t>ensure open discussion and involvement in making plans and acting</w:t>
      </w:r>
      <w:r w:rsidRPr="00205ADF">
        <w:t xml:space="preserve"> on the plans to be successful and efficient in communicating the actions daily. The Royal Dutch Shell can enhance the levels of efficiency by conducting the surveys anonymously which will further increase the rates of participation. Anonymous surveys will</w:t>
      </w:r>
      <w:r w:rsidRPr="00205ADF">
        <w:t xml:space="preserve"> create opportunities for collecting honest responses from the employees. The organisation needs to track the employees to critically evaluate and determine whether the workers of the company are happy with the policies and programs of the company and how </w:t>
      </w:r>
      <w:r w:rsidRPr="00205ADF">
        <w:t>long they are willing to stay in the company. The online company rates and turnover rates of the employees can serve as key determinants to measure the engagement of the employees (Jiang and Shen, 2018). The shell can measure employee engagement by estimat</w:t>
      </w:r>
      <w:r w:rsidRPr="00205ADF">
        <w:t>ing the referrals and rates of replenishment. Other than surveys the authorities of the organisation can involve in having informal and informal chats with the members of different teams. This method in the contemporary situation may be more beneficial for</w:t>
      </w:r>
      <w:r w:rsidRPr="00205ADF">
        <w:t xml:space="preserve"> the company as it requires less time and the company will be able to receive minute details about the problems faced by the workers of the company. The shell can measure employee engagement by reviewing the performance of the employees and by conducting d</w:t>
      </w:r>
      <w:r w:rsidRPr="00205ADF">
        <w:t>epartment meetings at regular intervals (Riksen</w:t>
      </w:r>
      <w:r w:rsidRPr="00205ADF">
        <w:rPr>
          <w:i/>
        </w:rPr>
        <w:t>et al</w:t>
      </w:r>
      <w:r w:rsidRPr="00205ADF">
        <w:t>., 2020). Employee engagement can be measured as well as nurtured by the organisation by setting employment rewards and programs for recognising the skilful and potential employees of the organisation. In</w:t>
      </w:r>
      <w:r w:rsidRPr="00205ADF">
        <w:t xml:space="preserve">terviews should be conducted that focus and highlight the exist and stay of the employees. Measuring the productivity metrics may be useful for Shell to estimate employee engagement. Engagement outcomes must be analysed and determined by the company along </w:t>
      </w:r>
      <w:r w:rsidRPr="00205ADF">
        <w:t xml:space="preserve">with identifying what is useful and important for the employees of the company. The Royal Dutch Shell can measure the engagement of the employees by creating and developing a listening strategy that is continuous and effective. The absenteeism rate of the </w:t>
      </w:r>
      <w:r w:rsidRPr="00205ADF">
        <w:t xml:space="preserve">employee and the score of the employer net promoter are among other significant and effective measures to understand and regulate employee engagement (Baehre </w:t>
      </w:r>
      <w:r w:rsidRPr="00205ADF">
        <w:rPr>
          <w:i/>
        </w:rPr>
        <w:t>et al</w:t>
      </w:r>
      <w:r w:rsidRPr="00205ADF">
        <w:t xml:space="preserve">., 2021). </w:t>
      </w:r>
    </w:p>
    <w:p w:rsidR="00F538D6" w:rsidRPr="00205ADF" w:rsidRDefault="00FC5C42" w:rsidP="00E83F6F">
      <w:pPr>
        <w:pStyle w:val="Heading1"/>
      </w:pPr>
      <w:bookmarkStart w:id="3" w:name="_Toc88511792"/>
      <w:r w:rsidRPr="00205ADF">
        <w:t>Construction of an employee value proposition</w:t>
      </w:r>
      <w:bookmarkEnd w:id="3"/>
    </w:p>
    <w:p w:rsidR="00F538D6" w:rsidRPr="00205ADF" w:rsidRDefault="00FC5C42" w:rsidP="00E83F6F">
      <w:r w:rsidRPr="00205ADF">
        <w:t>The employee value proposition encom</w:t>
      </w:r>
      <w:r w:rsidRPr="00205ADF">
        <w:t xml:space="preserve">passes and highlights everything the employers of the company are performing and determining to attract the employees and successfully retain them in the pandemic situation (Monteiro </w:t>
      </w:r>
      <w:r w:rsidRPr="00205ADF">
        <w:rPr>
          <w:i/>
        </w:rPr>
        <w:t>et al</w:t>
      </w:r>
      <w:r w:rsidRPr="00205ADF">
        <w:t>., 2020). The primary focus of the proposition of Shell is to shed l</w:t>
      </w:r>
      <w:r w:rsidRPr="00205ADF">
        <w:t>ight on the benefits and the perks that an individual will receive as an employer of the organisation and the unique value that will be provided by the company to the workers. With the onset of COVID-19, the value proposition can be stated by identifying t</w:t>
      </w:r>
      <w:r w:rsidRPr="00205ADF">
        <w:t xml:space="preserve">he main problem of the employees and describing the benefits that are offered by </w:t>
      </w:r>
      <w:r w:rsidRPr="00205ADF">
        <w:lastRenderedPageBreak/>
        <w:t>the Royal Dutch Shell and why they are considered valuable. The shell must be able to differentiate itself from others and highlight what makes them the most preferred provide</w:t>
      </w:r>
      <w:r w:rsidRPr="00205ADF">
        <w:t xml:space="preserve">r. The employees made me feel valued by offering packages that ensure good compensation and provide work that is meaningful and serves the purpose of developing the personal growth of the employees. The achievements of the workers should be celebrated and </w:t>
      </w:r>
      <w:r w:rsidRPr="00205ADF">
        <w:t>the company should engage in providing performance pay and bonuses (Spisakova, 2019). The construction of the proposition is the most significant and crucial part of the process of recruitment and it tells why an individual should be applying for the parti</w:t>
      </w:r>
      <w:r w:rsidRPr="00205ADF">
        <w:t>cular job profile and why it is the most appropriate for them. The companies possessing a good employee value proposition have high rates of retention among the employees with good quality and skills (Antony, 2018). The value proposition of the Royal Dutch</w:t>
      </w:r>
      <w:r w:rsidRPr="00205ADF">
        <w:t xml:space="preserve"> Shell can be assessed by determining what the organisation offers in recent times and the impact of the offers on the employees. The shell can construct the value proposition by conducting interviews of the existing and the old employees of the company. T</w:t>
      </w:r>
      <w:r w:rsidRPr="00205ADF">
        <w:t xml:space="preserve">he key components and related concepts of the employee value proposition should be clearly defined and stated by the organisation (Wessel </w:t>
      </w:r>
      <w:r w:rsidRPr="00205ADF">
        <w:rPr>
          <w:i/>
        </w:rPr>
        <w:t>et al</w:t>
      </w:r>
      <w:r w:rsidRPr="00205ADF">
        <w:t>., 2021). The value proposition can be further provided to the employees in written form and be promoted and ackn</w:t>
      </w:r>
      <w:r w:rsidRPr="00205ADF">
        <w:t xml:space="preserve">owledged through the right channels. The results must be examined and critically evaluated by the organisation. The company can sure good employee value proposition by engaging in actions that are successful in generating the maximum returns and should be </w:t>
      </w:r>
      <w:r w:rsidRPr="00205ADF">
        <w:t>contributing in building around traits and attributes that are capable of attracting, retaining and engaging talent that is appropriate and effective for the organisation. The value proposition must be consistent in creating and developing the strategies a</w:t>
      </w:r>
      <w:r w:rsidRPr="00205ADF">
        <w:t>nd objectives of the Shell. This model should be capable of demonstrating the uniqueness of the employee value proposition and driving the strategy of the business organisation straightforwardly. The employee value proposition can be brought into effect by</w:t>
      </w:r>
      <w:r w:rsidRPr="00205ADF">
        <w:t xml:space="preserve"> aligning with the values and the vision of the company and being successful in enhancing the culture of the organisation (Carlini</w:t>
      </w:r>
      <w:r w:rsidRPr="00205ADF">
        <w:rPr>
          <w:i/>
        </w:rPr>
        <w:t>et al</w:t>
      </w:r>
      <w:r w:rsidRPr="00205ADF">
        <w:t>., 2019). The Royal Dutch Shell should be honest in its approach and not engage in falsely advertising to the employees o</w:t>
      </w:r>
      <w:r w:rsidRPr="00205ADF">
        <w:t>f the organisation. In recent times, the company should be efficient in linking the strategies to the plans in the workforce and ensure that the most relevant employees are hired by the organisation and effective measures are undertaken to attract and reta</w:t>
      </w:r>
      <w:r w:rsidRPr="00205ADF">
        <w:t>in them. The organisation must be capable of adopting and implementing plans that are innovative and attractive to drive a competitive advantage in the market (Wang, 2019). The right way to communicate the value proposition is by applying consistent intern</w:t>
      </w:r>
      <w:r w:rsidRPr="00205ADF">
        <w:t xml:space="preserve">al communication with the employees and making the most appropriate use of newsletters, blogs of the company and emails to create awareness of the attractive offers that the company is willing to pay for the employers. The </w:t>
      </w:r>
      <w:r w:rsidRPr="00205ADF">
        <w:lastRenderedPageBreak/>
        <w:t>main aim of this strategy is to c</w:t>
      </w:r>
      <w:r w:rsidRPr="00205ADF">
        <w:t xml:space="preserve">reate and develop a brand that is favoured by most of the employers within the Shell. </w:t>
      </w:r>
    </w:p>
    <w:p w:rsidR="00F538D6" w:rsidRPr="00205ADF" w:rsidRDefault="00FC5C42" w:rsidP="00E83F6F">
      <w:pPr>
        <w:pStyle w:val="Heading1"/>
      </w:pPr>
      <w:bookmarkStart w:id="4" w:name="_Toc88511793"/>
      <w:r w:rsidRPr="00205ADF">
        <w:t>Conclusion</w:t>
      </w:r>
      <w:bookmarkEnd w:id="4"/>
    </w:p>
    <w:p w:rsidR="00E83F6F" w:rsidRPr="00205ADF" w:rsidRDefault="00FC5C42" w:rsidP="00E83F6F">
      <w:r w:rsidRPr="00205ADF">
        <w:t>The study has provided a detailed analysis of the new approaches and methods that need to be adopted by the Royal Dutch Shell to overcome the challenges of th</w:t>
      </w:r>
      <w:r w:rsidRPr="00205ADF">
        <w:t>e pandemic. The study has addressed the strategies that need to be implemented by the chief executive of the organisation. The study has provided a detailed analysis of the concept of employee engagement and how it influences the growth of Shell. The repor</w:t>
      </w:r>
      <w:r w:rsidRPr="00205ADF">
        <w:t xml:space="preserve">t has critically evaluated the different diagnostic tools for estimating engagement. Lastly, the study has analysed and assessed the strategies that are essential for the construction of the value proposition. </w:t>
      </w:r>
    </w:p>
    <w:p w:rsidR="00F538D6" w:rsidRPr="00205ADF" w:rsidRDefault="00FC5C42" w:rsidP="00E83F6F">
      <w:pPr>
        <w:spacing w:line="276" w:lineRule="auto"/>
      </w:pPr>
      <w:r w:rsidRPr="00205ADF">
        <w:br w:type="page"/>
      </w:r>
    </w:p>
    <w:p w:rsidR="00E83F6F" w:rsidRPr="00205ADF" w:rsidRDefault="00FC5C42" w:rsidP="00E83F6F">
      <w:pPr>
        <w:pStyle w:val="Heading1"/>
      </w:pPr>
      <w:bookmarkStart w:id="5" w:name="_Toc88511794"/>
      <w:r w:rsidRPr="00205ADF">
        <w:lastRenderedPageBreak/>
        <w:t>Reference List</w:t>
      </w:r>
      <w:bookmarkEnd w:id="5"/>
    </w:p>
    <w:p w:rsidR="00E83F6F" w:rsidRPr="00205ADF" w:rsidRDefault="00FC5C42" w:rsidP="00E83F6F">
      <w:pPr>
        <w:rPr>
          <w:highlight w:val="white"/>
        </w:rPr>
      </w:pPr>
      <w:r w:rsidRPr="00205ADF">
        <w:rPr>
          <w:highlight w:val="white"/>
        </w:rPr>
        <w:t>Ahuja, J., Panda, T.K., Luth</w:t>
      </w:r>
      <w:r w:rsidRPr="00205ADF">
        <w:rPr>
          <w:highlight w:val="white"/>
        </w:rPr>
        <w:t xml:space="preserve">ra, S., Kumar, A., Choudhary, S. and Garza-Reyes, J.A., 2019. Do human critical success factors matter in the adoption of sustainable manufacturing practices? An influential mapping analysis of multi-company perspective. </w:t>
      </w:r>
      <w:r w:rsidRPr="00205ADF">
        <w:rPr>
          <w:i/>
          <w:highlight w:val="white"/>
        </w:rPr>
        <w:t>Journal of Cleaner Production</w:t>
      </w:r>
      <w:r w:rsidRPr="00205ADF">
        <w:rPr>
          <w:highlight w:val="white"/>
        </w:rPr>
        <w:t xml:space="preserve">, </w:t>
      </w:r>
      <w:r w:rsidRPr="00205ADF">
        <w:rPr>
          <w:i/>
          <w:highlight w:val="white"/>
        </w:rPr>
        <w:t>239</w:t>
      </w:r>
      <w:r w:rsidRPr="00205ADF">
        <w:rPr>
          <w:highlight w:val="white"/>
        </w:rPr>
        <w:t>,</w:t>
      </w:r>
      <w:r w:rsidRPr="00205ADF">
        <w:rPr>
          <w:highlight w:val="white"/>
        </w:rPr>
        <w:t xml:space="preserve"> p.117981.</w:t>
      </w:r>
    </w:p>
    <w:p w:rsidR="00E83F6F" w:rsidRPr="00205ADF" w:rsidRDefault="00FC5C42" w:rsidP="00E83F6F">
      <w:pPr>
        <w:rPr>
          <w:highlight w:val="white"/>
        </w:rPr>
      </w:pPr>
      <w:r w:rsidRPr="00205ADF">
        <w:rPr>
          <w:highlight w:val="white"/>
        </w:rPr>
        <w:t xml:space="preserve">Antony, M.R., 2018. Paradigm shift in employee engagement–A critical analysis on the drivers of employee engagement. </w:t>
      </w:r>
      <w:r w:rsidRPr="00205ADF">
        <w:rPr>
          <w:i/>
          <w:highlight w:val="white"/>
        </w:rPr>
        <w:t>International Journal of Information, Business and Management</w:t>
      </w:r>
      <w:r w:rsidRPr="00205ADF">
        <w:rPr>
          <w:highlight w:val="white"/>
        </w:rPr>
        <w:t xml:space="preserve">, </w:t>
      </w:r>
      <w:r w:rsidRPr="00205ADF">
        <w:rPr>
          <w:i/>
          <w:highlight w:val="white"/>
        </w:rPr>
        <w:t>10</w:t>
      </w:r>
      <w:r w:rsidRPr="00205ADF">
        <w:rPr>
          <w:highlight w:val="white"/>
        </w:rPr>
        <w:t>(2), pp.32-46.</w:t>
      </w:r>
    </w:p>
    <w:p w:rsidR="00E83F6F" w:rsidRPr="00205ADF" w:rsidRDefault="00FC5C42" w:rsidP="00E83F6F">
      <w:pPr>
        <w:rPr>
          <w:highlight w:val="white"/>
        </w:rPr>
      </w:pPr>
      <w:r w:rsidRPr="00205ADF">
        <w:rPr>
          <w:highlight w:val="white"/>
        </w:rPr>
        <w:t>Baehre, S., O’Dwyer, M., O’Malley, L. and Lee, N</w:t>
      </w:r>
      <w:r w:rsidRPr="00205ADF">
        <w:rPr>
          <w:highlight w:val="white"/>
        </w:rPr>
        <w:t xml:space="preserve">., 2021. The use of Net Promoter Score (NPS) to predict sales growth: insights from an empirical investigation. </w:t>
      </w:r>
      <w:r w:rsidRPr="00205ADF">
        <w:rPr>
          <w:i/>
          <w:highlight w:val="white"/>
        </w:rPr>
        <w:t>Journal of the Academy of Marketing Science</w:t>
      </w:r>
      <w:r w:rsidRPr="00205ADF">
        <w:rPr>
          <w:highlight w:val="white"/>
        </w:rPr>
        <w:t>, pp.1-18.</w:t>
      </w:r>
    </w:p>
    <w:p w:rsidR="00E83F6F" w:rsidRPr="00205ADF" w:rsidRDefault="00FC5C42" w:rsidP="00E83F6F">
      <w:pPr>
        <w:rPr>
          <w:highlight w:val="white"/>
        </w:rPr>
      </w:pPr>
      <w:r w:rsidRPr="00205ADF">
        <w:rPr>
          <w:highlight w:val="white"/>
        </w:rPr>
        <w:t>Carlini, J., Grace, D., France, C. and Lo Iacono</w:t>
      </w:r>
      <w:r w:rsidRPr="00205ADF">
        <w:rPr>
          <w:highlight w:val="white"/>
        </w:rPr>
        <w:t xml:space="preserve">, J., 2019. The corporate social responsibility (CSR) employer brand process: integrative review and comprehensive model. </w:t>
      </w:r>
      <w:r w:rsidRPr="00205ADF">
        <w:rPr>
          <w:i/>
          <w:highlight w:val="white"/>
        </w:rPr>
        <w:t>Journal of Marketing Management</w:t>
      </w:r>
      <w:r w:rsidRPr="00205ADF">
        <w:rPr>
          <w:highlight w:val="white"/>
        </w:rPr>
        <w:t xml:space="preserve">, </w:t>
      </w:r>
      <w:r w:rsidRPr="00205ADF">
        <w:rPr>
          <w:i/>
          <w:highlight w:val="white"/>
        </w:rPr>
        <w:t>35</w:t>
      </w:r>
      <w:r w:rsidRPr="00205ADF">
        <w:rPr>
          <w:highlight w:val="white"/>
        </w:rPr>
        <w:t>(1-2), pp.182-205.</w:t>
      </w:r>
    </w:p>
    <w:p w:rsidR="00E83F6F" w:rsidRPr="00205ADF" w:rsidRDefault="00FC5C42" w:rsidP="00E83F6F">
      <w:pPr>
        <w:rPr>
          <w:highlight w:val="white"/>
        </w:rPr>
      </w:pPr>
      <w:r w:rsidRPr="00205ADF">
        <w:rPr>
          <w:highlight w:val="white"/>
        </w:rPr>
        <w:t>Jiang, H. and Shen, H., 2018. Supportive organizational environment, work-life e</w:t>
      </w:r>
      <w:r w:rsidRPr="00205ADF">
        <w:rPr>
          <w:highlight w:val="white"/>
        </w:rPr>
        <w:t xml:space="preserve">nrichment, trust and turnover intention: A national survey of PRSA membership. </w:t>
      </w:r>
      <w:r w:rsidRPr="00205ADF">
        <w:rPr>
          <w:i/>
          <w:highlight w:val="white"/>
        </w:rPr>
        <w:t>Public Relations Review</w:t>
      </w:r>
      <w:r w:rsidRPr="00205ADF">
        <w:rPr>
          <w:highlight w:val="white"/>
        </w:rPr>
        <w:t xml:space="preserve">, </w:t>
      </w:r>
      <w:r w:rsidRPr="00205ADF">
        <w:rPr>
          <w:i/>
          <w:highlight w:val="white"/>
        </w:rPr>
        <w:t>44</w:t>
      </w:r>
      <w:r w:rsidRPr="00205ADF">
        <w:rPr>
          <w:highlight w:val="white"/>
        </w:rPr>
        <w:t>(5), pp.681-689.</w:t>
      </w:r>
    </w:p>
    <w:p w:rsidR="00E83F6F" w:rsidRPr="00205ADF" w:rsidRDefault="00FC5C42" w:rsidP="00E83F6F">
      <w:pPr>
        <w:rPr>
          <w:highlight w:val="white"/>
        </w:rPr>
      </w:pPr>
      <w:r w:rsidRPr="00205ADF">
        <w:rPr>
          <w:highlight w:val="white"/>
        </w:rPr>
        <w:t>Manzie, V.D., 2018. Applying the rhetoric of renewal model in a contemporary African context: Lessons learned from the Royal Dutch Sh</w:t>
      </w:r>
      <w:r w:rsidRPr="00205ADF">
        <w:rPr>
          <w:highlight w:val="white"/>
        </w:rPr>
        <w:t xml:space="preserve">ell oil crisis in Nigeria. </w:t>
      </w:r>
      <w:r w:rsidRPr="00205ADF">
        <w:rPr>
          <w:i/>
          <w:highlight w:val="white"/>
        </w:rPr>
        <w:t>Journal of International Crisis and Risk Communication Research</w:t>
      </w:r>
      <w:r w:rsidRPr="00205ADF">
        <w:rPr>
          <w:highlight w:val="white"/>
        </w:rPr>
        <w:t xml:space="preserve">, </w:t>
      </w:r>
      <w:r w:rsidRPr="00205ADF">
        <w:rPr>
          <w:i/>
          <w:highlight w:val="white"/>
        </w:rPr>
        <w:t>1</w:t>
      </w:r>
      <w:r w:rsidRPr="00205ADF">
        <w:rPr>
          <w:highlight w:val="white"/>
        </w:rPr>
        <w:t>(2), p.2.</w:t>
      </w:r>
    </w:p>
    <w:p w:rsidR="00E83F6F" w:rsidRPr="00205ADF" w:rsidRDefault="00FC5C42" w:rsidP="00E83F6F">
      <w:pPr>
        <w:rPr>
          <w:highlight w:val="white"/>
        </w:rPr>
      </w:pPr>
      <w:r w:rsidRPr="00205ADF">
        <w:rPr>
          <w:highlight w:val="white"/>
        </w:rPr>
        <w:t>Mazzetti, G., Vignoli, M., Petruzziello, G. and Palareti, L., 2019. The hardier you are, the healthier you become. May hardiness and engagement explain t</w:t>
      </w:r>
      <w:r w:rsidRPr="00205ADF">
        <w:rPr>
          <w:highlight w:val="white"/>
        </w:rPr>
        <w:t>he relationship between leadership and employees’ health?.</w:t>
      </w:r>
      <w:r w:rsidRPr="00205ADF">
        <w:rPr>
          <w:i/>
          <w:highlight w:val="white"/>
        </w:rPr>
        <w:t>Frontiers in psychology</w:t>
      </w:r>
      <w:r w:rsidRPr="00205ADF">
        <w:rPr>
          <w:highlight w:val="white"/>
        </w:rPr>
        <w:t xml:space="preserve">, </w:t>
      </w:r>
      <w:r w:rsidRPr="00205ADF">
        <w:rPr>
          <w:i/>
          <w:highlight w:val="white"/>
        </w:rPr>
        <w:t>9</w:t>
      </w:r>
      <w:r w:rsidRPr="00205ADF">
        <w:rPr>
          <w:highlight w:val="white"/>
        </w:rPr>
        <w:t>, p.2784.</w:t>
      </w:r>
    </w:p>
    <w:p w:rsidR="00E83F6F" w:rsidRPr="00205ADF" w:rsidRDefault="00FC5C42" w:rsidP="00E83F6F">
      <w:pPr>
        <w:rPr>
          <w:highlight w:val="white"/>
        </w:rPr>
      </w:pPr>
      <w:r w:rsidRPr="00205ADF">
        <w:rPr>
          <w:highlight w:val="white"/>
        </w:rPr>
        <w:t>Monteiro, B., Santos, V., Reis, I., Sampaio, M.C., Sousa, B., Martinho, F., José Sousa, M. and Au-Yong-Oliveira, M., 2020. Employer branding applied to SMEs: A pi</w:t>
      </w:r>
      <w:r w:rsidRPr="00205ADF">
        <w:rPr>
          <w:highlight w:val="white"/>
        </w:rPr>
        <w:t xml:space="preserve">oneering model proposal for attracting and retaining talent. </w:t>
      </w:r>
      <w:r w:rsidRPr="00205ADF">
        <w:rPr>
          <w:i/>
          <w:highlight w:val="white"/>
        </w:rPr>
        <w:t>Information</w:t>
      </w:r>
      <w:r w:rsidRPr="00205ADF">
        <w:rPr>
          <w:highlight w:val="white"/>
        </w:rPr>
        <w:t xml:space="preserve">, </w:t>
      </w:r>
      <w:r w:rsidRPr="00205ADF">
        <w:rPr>
          <w:i/>
          <w:highlight w:val="white"/>
        </w:rPr>
        <w:t>11</w:t>
      </w:r>
      <w:r w:rsidRPr="00205ADF">
        <w:rPr>
          <w:highlight w:val="white"/>
        </w:rPr>
        <w:t>(12), p.574.</w:t>
      </w:r>
    </w:p>
    <w:p w:rsidR="00E83F6F" w:rsidRPr="00205ADF" w:rsidRDefault="00FC5C42" w:rsidP="00E83F6F">
      <w:pPr>
        <w:rPr>
          <w:highlight w:val="white"/>
        </w:rPr>
      </w:pPr>
      <w:r w:rsidRPr="00205ADF">
        <w:rPr>
          <w:highlight w:val="white"/>
        </w:rPr>
        <w:t xml:space="preserve">Osborne, S. and Hammoud, M.S., 2017. Effective employee engagement in the workplace. </w:t>
      </w:r>
      <w:r w:rsidRPr="00205ADF">
        <w:rPr>
          <w:i/>
          <w:highlight w:val="white"/>
        </w:rPr>
        <w:t>International Journal of Applied Management and Technology</w:t>
      </w:r>
      <w:r w:rsidRPr="00205ADF">
        <w:rPr>
          <w:highlight w:val="white"/>
        </w:rPr>
        <w:t xml:space="preserve">, </w:t>
      </w:r>
      <w:r w:rsidRPr="00205ADF">
        <w:rPr>
          <w:i/>
          <w:highlight w:val="white"/>
        </w:rPr>
        <w:t>16</w:t>
      </w:r>
      <w:r w:rsidRPr="00205ADF">
        <w:rPr>
          <w:highlight w:val="white"/>
        </w:rPr>
        <w:t>(1), p.4.</w:t>
      </w:r>
    </w:p>
    <w:p w:rsidR="00E83F6F" w:rsidRPr="00205ADF" w:rsidRDefault="00FC5C42" w:rsidP="00E83F6F">
      <w:pPr>
        <w:rPr>
          <w:highlight w:val="white"/>
        </w:rPr>
      </w:pPr>
      <w:r w:rsidRPr="00205ADF">
        <w:rPr>
          <w:highlight w:val="white"/>
        </w:rPr>
        <w:t>Riksen, S.</w:t>
      </w:r>
      <w:r w:rsidRPr="00205ADF">
        <w:rPr>
          <w:highlight w:val="white"/>
        </w:rPr>
        <w:t xml:space="preserve">, Pols, T., Sexton, K., Sanchez, M. and Berg, J., 2020, July. Learnings from a Worker Welfare Program Implementation for Employees. In </w:t>
      </w:r>
      <w:r w:rsidRPr="00205ADF">
        <w:rPr>
          <w:i/>
          <w:highlight w:val="white"/>
        </w:rPr>
        <w:t>SPE International Conference and Exhibition on Health, Safety, Environment, and Sustainability</w:t>
      </w:r>
      <w:r w:rsidRPr="00205ADF">
        <w:rPr>
          <w:highlight w:val="white"/>
        </w:rPr>
        <w:t>. OnePetro.</w:t>
      </w:r>
    </w:p>
    <w:p w:rsidR="00E83F6F" w:rsidRPr="00205ADF" w:rsidRDefault="00AF0BF4" w:rsidP="00E83F6F">
      <w:pPr>
        <w:rPr>
          <w:rFonts w:ascii="Times New Roman" w:eastAsia="Times New Roman" w:hAnsi="Times New Roman" w:cs="Times New Roman"/>
          <w:sz w:val="24"/>
          <w:szCs w:val="24"/>
          <w:highlight w:val="white"/>
        </w:rPr>
      </w:pPr>
      <w:hyperlink r:id="rId7" w:history="1">
        <w:r w:rsidR="00FC5C42" w:rsidRPr="00205ADF">
          <w:rPr>
            <w:rFonts w:ascii="Times New Roman" w:eastAsia="Times New Roman" w:hAnsi="Times New Roman" w:cs="Times New Roman"/>
            <w:sz w:val="24"/>
            <w:szCs w:val="24"/>
            <w:highlight w:val="white"/>
          </w:rPr>
          <w:t>Shell.com</w:t>
        </w:r>
      </w:hyperlink>
      <w:r w:rsidR="00FC5C42" w:rsidRPr="00205ADF">
        <w:rPr>
          <w:rFonts w:ascii="Times New Roman" w:eastAsia="Times New Roman" w:hAnsi="Times New Roman" w:cs="Times New Roman"/>
          <w:sz w:val="24"/>
          <w:szCs w:val="24"/>
          <w:highlight w:val="white"/>
        </w:rPr>
        <w:t xml:space="preserve">. 2021. </w:t>
      </w:r>
      <w:r w:rsidR="00FC5C42" w:rsidRPr="00205ADF">
        <w:rPr>
          <w:rFonts w:ascii="Times New Roman" w:eastAsia="Times New Roman" w:hAnsi="Times New Roman" w:cs="Times New Roman"/>
          <w:i/>
          <w:sz w:val="24"/>
          <w:szCs w:val="24"/>
          <w:highlight w:val="white"/>
        </w:rPr>
        <w:t xml:space="preserve">WHAT WE DO. </w:t>
      </w:r>
      <w:r w:rsidR="00FC5C42" w:rsidRPr="00205ADF">
        <w:rPr>
          <w:rFonts w:ascii="Times New Roman" w:eastAsia="Times New Roman" w:hAnsi="Times New Roman" w:cs="Times New Roman"/>
          <w:sz w:val="24"/>
          <w:szCs w:val="24"/>
          <w:highlight w:val="white"/>
        </w:rPr>
        <w:t xml:space="preserve">[Online] Adapted at </w:t>
      </w:r>
      <w:hyperlink r:id="rId8" w:history="1">
        <w:r w:rsidR="00FC5C42" w:rsidRPr="00205ADF">
          <w:rPr>
            <w:rFonts w:ascii="Times New Roman" w:eastAsia="Times New Roman" w:hAnsi="Times New Roman" w:cs="Times New Roman"/>
            <w:sz w:val="24"/>
            <w:szCs w:val="24"/>
            <w:highlight w:val="white"/>
          </w:rPr>
          <w:t>https://www.shell.com/about-us/what-we-do.html</w:t>
        </w:r>
      </w:hyperlink>
      <w:r w:rsidR="00FC5C42" w:rsidRPr="00205ADF">
        <w:rPr>
          <w:rFonts w:ascii="Times New Roman" w:eastAsia="Times New Roman" w:hAnsi="Times New Roman" w:cs="Times New Roman"/>
          <w:sz w:val="24"/>
          <w:szCs w:val="24"/>
          <w:highlight w:val="white"/>
        </w:rPr>
        <w:t xml:space="preserve"> [Accessed on 22nd November 2021]</w:t>
      </w:r>
    </w:p>
    <w:p w:rsidR="00E83F6F" w:rsidRPr="00205ADF" w:rsidRDefault="00FC5C42" w:rsidP="00E83F6F">
      <w:pPr>
        <w:rPr>
          <w:highlight w:val="white"/>
        </w:rPr>
      </w:pPr>
      <w:r w:rsidRPr="00205ADF">
        <w:rPr>
          <w:highlight w:val="white"/>
        </w:rPr>
        <w:t>Spisakova, E.D., 201</w:t>
      </w:r>
      <w:r w:rsidRPr="00205ADF">
        <w:rPr>
          <w:highlight w:val="white"/>
        </w:rPr>
        <w:t xml:space="preserve">9. Position of employee benefits in remuneration structure. </w:t>
      </w:r>
      <w:r w:rsidRPr="00205ADF">
        <w:rPr>
          <w:i/>
          <w:highlight w:val="white"/>
        </w:rPr>
        <w:t>Transformations in Business &amp; Economics</w:t>
      </w:r>
      <w:r w:rsidRPr="00205ADF">
        <w:rPr>
          <w:highlight w:val="white"/>
        </w:rPr>
        <w:t xml:space="preserve">, </w:t>
      </w:r>
      <w:r w:rsidRPr="00205ADF">
        <w:rPr>
          <w:i/>
          <w:highlight w:val="white"/>
        </w:rPr>
        <w:t>18</w:t>
      </w:r>
      <w:r w:rsidRPr="00205ADF">
        <w:rPr>
          <w:highlight w:val="white"/>
        </w:rPr>
        <w:t>(2), p.47.</w:t>
      </w:r>
    </w:p>
    <w:p w:rsidR="00E83F6F" w:rsidRPr="00205ADF" w:rsidRDefault="00FC5C42" w:rsidP="00E83F6F">
      <w:pPr>
        <w:rPr>
          <w:highlight w:val="white"/>
        </w:rPr>
      </w:pPr>
      <w:r w:rsidRPr="00205ADF">
        <w:rPr>
          <w:highlight w:val="white"/>
        </w:rPr>
        <w:lastRenderedPageBreak/>
        <w:t>Wang, C.H., 2019. How organizational green culture influences green performance and competitive advantage: The mediating role of green innovat</w:t>
      </w:r>
      <w:r w:rsidRPr="00205ADF">
        <w:rPr>
          <w:highlight w:val="white"/>
        </w:rPr>
        <w:t xml:space="preserve">ion. </w:t>
      </w:r>
      <w:r w:rsidRPr="00205ADF">
        <w:rPr>
          <w:i/>
          <w:highlight w:val="white"/>
        </w:rPr>
        <w:t>Journal of Manufacturing Technology Management</w:t>
      </w:r>
      <w:r w:rsidRPr="00205ADF">
        <w:rPr>
          <w:highlight w:val="white"/>
        </w:rPr>
        <w:t>.</w:t>
      </w:r>
    </w:p>
    <w:p w:rsidR="00E83F6F" w:rsidRPr="00205ADF" w:rsidRDefault="00FC5C42" w:rsidP="00E83F6F">
      <w:pPr>
        <w:rPr>
          <w:highlight w:val="white"/>
        </w:rPr>
      </w:pPr>
      <w:r w:rsidRPr="00205ADF">
        <w:rPr>
          <w:highlight w:val="white"/>
        </w:rPr>
        <w:t xml:space="preserve">Wessel, L., Baiyere, A., Ologeanu-Taddei, R., Cha, J. and Blegind-Jensen, T., 2021. Unpacking the difference between digital transformation and IT-enabled organizational transformation. </w:t>
      </w:r>
      <w:r w:rsidRPr="00205ADF">
        <w:rPr>
          <w:i/>
          <w:highlight w:val="white"/>
        </w:rPr>
        <w:t>Journal of the As</w:t>
      </w:r>
      <w:r w:rsidRPr="00205ADF">
        <w:rPr>
          <w:i/>
          <w:highlight w:val="white"/>
        </w:rPr>
        <w:t>sociation for Information Systems</w:t>
      </w:r>
      <w:r w:rsidRPr="00205ADF">
        <w:rPr>
          <w:highlight w:val="white"/>
        </w:rPr>
        <w:t xml:space="preserve">, </w:t>
      </w:r>
      <w:r w:rsidRPr="00205ADF">
        <w:rPr>
          <w:i/>
          <w:highlight w:val="white"/>
        </w:rPr>
        <w:t>22</w:t>
      </w:r>
      <w:r w:rsidRPr="00205ADF">
        <w:rPr>
          <w:highlight w:val="white"/>
        </w:rPr>
        <w:t>(1), pp.102-129.</w:t>
      </w:r>
    </w:p>
    <w:p w:rsidR="00E83F6F" w:rsidRPr="00205ADF" w:rsidRDefault="00FC5C42" w:rsidP="00E83F6F">
      <w:pPr>
        <w:rPr>
          <w:highlight w:val="white"/>
        </w:rPr>
      </w:pPr>
      <w:r w:rsidRPr="00205ADF">
        <w:rPr>
          <w:highlight w:val="white"/>
        </w:rPr>
        <w:t xml:space="preserve">Yakovlevicha, B.A., Sergeevichb, K.N. and Mikhailovichc, P.V., 2019. Investment Strategies of International Oil and Gas Companies. </w:t>
      </w:r>
      <w:r w:rsidRPr="00205ADF">
        <w:rPr>
          <w:i/>
          <w:highlight w:val="white"/>
        </w:rPr>
        <w:t>International Journal of Innovation, Creativity and Change</w:t>
      </w:r>
      <w:r w:rsidRPr="00205ADF">
        <w:rPr>
          <w:highlight w:val="white"/>
        </w:rPr>
        <w:t xml:space="preserve">, </w:t>
      </w:r>
      <w:r w:rsidRPr="00205ADF">
        <w:rPr>
          <w:i/>
          <w:highlight w:val="white"/>
        </w:rPr>
        <w:t>8</w:t>
      </w:r>
      <w:r w:rsidRPr="00205ADF">
        <w:rPr>
          <w:highlight w:val="white"/>
        </w:rPr>
        <w:t>(5), pp.63</w:t>
      </w:r>
      <w:r w:rsidRPr="00205ADF">
        <w:rPr>
          <w:highlight w:val="white"/>
        </w:rPr>
        <w:t>-69.</w:t>
      </w:r>
    </w:p>
    <w:sectPr w:rsidR="00E83F6F" w:rsidRPr="00205ADF" w:rsidSect="00AF0BF4">
      <w:footerReference w:type="default" r:id="rId9"/>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5C42" w:rsidRDefault="00FC5C42" w:rsidP="00AF0BF4">
      <w:pPr>
        <w:spacing w:line="240" w:lineRule="auto"/>
      </w:pPr>
      <w:r>
        <w:separator/>
      </w:r>
    </w:p>
  </w:endnote>
  <w:endnote w:type="continuationSeparator" w:id="1">
    <w:p w:rsidR="00FC5C42" w:rsidRDefault="00FC5C42" w:rsidP="00AF0BF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5757516"/>
      <w:docPartObj>
        <w:docPartGallery w:val="Page Numbers (Bottom of Page)"/>
        <w:docPartUnique/>
      </w:docPartObj>
    </w:sdtPr>
    <w:sdtEndPr>
      <w:rPr>
        <w:noProof/>
      </w:rPr>
    </w:sdtEndPr>
    <w:sdtContent>
      <w:p w:rsidR="00E83F6F" w:rsidRDefault="00AF0BF4">
        <w:pPr>
          <w:pStyle w:val="Footer"/>
          <w:jc w:val="right"/>
        </w:pPr>
        <w:r>
          <w:fldChar w:fldCharType="begin"/>
        </w:r>
        <w:r w:rsidR="00FC5C42">
          <w:instrText xml:space="preserve"> PAGE   \* MERGEFORMAT </w:instrText>
        </w:r>
        <w:r>
          <w:fldChar w:fldCharType="separate"/>
        </w:r>
        <w:r w:rsidR="00205ADF">
          <w:rPr>
            <w:noProof/>
          </w:rPr>
          <w:t>1</w:t>
        </w:r>
        <w:r>
          <w:rPr>
            <w:noProof/>
          </w:rPr>
          <w:fldChar w:fldCharType="end"/>
        </w:r>
      </w:p>
    </w:sdtContent>
  </w:sdt>
  <w:p w:rsidR="00E83F6F" w:rsidRDefault="00E83F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5C42" w:rsidRDefault="00FC5C42" w:rsidP="00AF0BF4">
      <w:pPr>
        <w:spacing w:line="240" w:lineRule="auto"/>
      </w:pPr>
      <w:r>
        <w:separator/>
      </w:r>
    </w:p>
  </w:footnote>
  <w:footnote w:type="continuationSeparator" w:id="1">
    <w:p w:rsidR="00FC5C42" w:rsidRDefault="00FC5C42" w:rsidP="00AF0BF4">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F538D6"/>
    <w:rsid w:val="00205ADF"/>
    <w:rsid w:val="00AF0BF4"/>
    <w:rsid w:val="00C32842"/>
    <w:rsid w:val="00E83F6F"/>
    <w:rsid w:val="00EE07AB"/>
    <w:rsid w:val="00F538D6"/>
    <w:rsid w:val="00FC5C42"/>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F6F"/>
    <w:pPr>
      <w:spacing w:line="360" w:lineRule="auto"/>
    </w:pPr>
  </w:style>
  <w:style w:type="paragraph" w:styleId="Heading1">
    <w:name w:val="heading 1"/>
    <w:basedOn w:val="Normal"/>
    <w:next w:val="Normal"/>
    <w:uiPriority w:val="9"/>
    <w:qFormat/>
    <w:rsid w:val="00E83F6F"/>
    <w:pPr>
      <w:keepNext/>
      <w:keepLines/>
      <w:spacing w:before="400" w:after="120"/>
      <w:jc w:val="both"/>
      <w:outlineLvl w:val="0"/>
    </w:pPr>
    <w:rPr>
      <w:b/>
      <w:szCs w:val="40"/>
    </w:rPr>
  </w:style>
  <w:style w:type="paragraph" w:styleId="Heading2">
    <w:name w:val="heading 2"/>
    <w:basedOn w:val="Normal"/>
    <w:next w:val="Normal"/>
    <w:uiPriority w:val="9"/>
    <w:semiHidden/>
    <w:unhideWhenUsed/>
    <w:qFormat/>
    <w:rsid w:val="00AF0BF4"/>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AF0BF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AF0BF4"/>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AF0BF4"/>
    <w:pPr>
      <w:keepNext/>
      <w:keepLines/>
      <w:spacing w:before="240" w:after="80"/>
      <w:outlineLvl w:val="4"/>
    </w:pPr>
    <w:rPr>
      <w:color w:val="666666"/>
    </w:rPr>
  </w:style>
  <w:style w:type="paragraph" w:styleId="Heading6">
    <w:name w:val="heading 6"/>
    <w:basedOn w:val="Normal"/>
    <w:next w:val="Normal"/>
    <w:uiPriority w:val="9"/>
    <w:semiHidden/>
    <w:unhideWhenUsed/>
    <w:qFormat/>
    <w:rsid w:val="00AF0BF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F0BF4"/>
    <w:pPr>
      <w:keepNext/>
      <w:keepLines/>
      <w:spacing w:after="60"/>
    </w:pPr>
    <w:rPr>
      <w:sz w:val="52"/>
      <w:szCs w:val="52"/>
    </w:rPr>
  </w:style>
  <w:style w:type="paragraph" w:styleId="Subtitle">
    <w:name w:val="Subtitle"/>
    <w:basedOn w:val="Normal"/>
    <w:next w:val="Normal"/>
    <w:uiPriority w:val="11"/>
    <w:qFormat/>
    <w:rsid w:val="00AF0BF4"/>
    <w:pPr>
      <w:keepNext/>
      <w:keepLines/>
      <w:spacing w:after="320"/>
    </w:pPr>
    <w:rPr>
      <w:color w:val="666666"/>
      <w:sz w:val="30"/>
      <w:szCs w:val="30"/>
    </w:rPr>
  </w:style>
  <w:style w:type="paragraph" w:styleId="Header">
    <w:name w:val="header"/>
    <w:basedOn w:val="Normal"/>
    <w:link w:val="HeaderChar"/>
    <w:uiPriority w:val="99"/>
    <w:unhideWhenUsed/>
    <w:rsid w:val="00E83F6F"/>
    <w:pPr>
      <w:tabs>
        <w:tab w:val="center" w:pos="4680"/>
        <w:tab w:val="right" w:pos="9360"/>
      </w:tabs>
      <w:spacing w:line="240" w:lineRule="auto"/>
    </w:pPr>
  </w:style>
  <w:style w:type="character" w:customStyle="1" w:styleId="HeaderChar">
    <w:name w:val="Header Char"/>
    <w:basedOn w:val="DefaultParagraphFont"/>
    <w:link w:val="Header"/>
    <w:uiPriority w:val="99"/>
    <w:rsid w:val="00E83F6F"/>
  </w:style>
  <w:style w:type="paragraph" w:styleId="Footer">
    <w:name w:val="footer"/>
    <w:basedOn w:val="Normal"/>
    <w:link w:val="FooterChar"/>
    <w:uiPriority w:val="99"/>
    <w:unhideWhenUsed/>
    <w:rsid w:val="00E83F6F"/>
    <w:pPr>
      <w:tabs>
        <w:tab w:val="center" w:pos="4680"/>
        <w:tab w:val="right" w:pos="9360"/>
      </w:tabs>
      <w:spacing w:line="240" w:lineRule="auto"/>
    </w:pPr>
  </w:style>
  <w:style w:type="character" w:customStyle="1" w:styleId="FooterChar">
    <w:name w:val="Footer Char"/>
    <w:basedOn w:val="DefaultParagraphFont"/>
    <w:link w:val="Footer"/>
    <w:uiPriority w:val="99"/>
    <w:rsid w:val="00E83F6F"/>
  </w:style>
  <w:style w:type="paragraph" w:styleId="TOCHeading">
    <w:name w:val="TOC Heading"/>
    <w:basedOn w:val="Heading1"/>
    <w:next w:val="Normal"/>
    <w:uiPriority w:val="39"/>
    <w:unhideWhenUsed/>
    <w:qFormat/>
    <w:rsid w:val="00E83F6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83F6F"/>
    <w:pPr>
      <w:spacing w:after="100"/>
    </w:pPr>
  </w:style>
  <w:style w:type="character" w:styleId="Hyperlink">
    <w:name w:val="Hyperlink"/>
    <w:basedOn w:val="DefaultParagraphFont"/>
    <w:uiPriority w:val="99"/>
    <w:unhideWhenUsed/>
    <w:rsid w:val="00E83F6F"/>
    <w:rPr>
      <w:color w:val="0000FF" w:themeColor="hyperlink"/>
      <w:u w:val="single"/>
    </w:rPr>
  </w:style>
  <w:style w:type="paragraph" w:styleId="BalloonText">
    <w:name w:val="Balloon Text"/>
    <w:basedOn w:val="Normal"/>
    <w:link w:val="BalloonTextChar"/>
    <w:uiPriority w:val="99"/>
    <w:semiHidden/>
    <w:unhideWhenUsed/>
    <w:rsid w:val="00205AD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A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shell.com/about-us/what-we-do.html" TargetMode="External"/><Relationship Id="rId3" Type="http://schemas.openxmlformats.org/officeDocument/2006/relationships/settings" Target="settings.xml"/><Relationship Id="rId7" Type="http://schemas.openxmlformats.org/officeDocument/2006/relationships/hyperlink" Target="https://www.shell.com/about-us/what-we-do.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6721F-DDF2-44F2-A563-94C80FA4F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2533</Words>
  <Characters>14440</Characters>
  <Application>Microsoft Office Word</Application>
  <DocSecurity>0</DocSecurity>
  <Lines>120</Lines>
  <Paragraphs>33</Paragraphs>
  <ScaleCrop>false</ScaleCrop>
  <Company/>
  <LinksUpToDate>false</LinksUpToDate>
  <CharactersWithSpaces>16940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2021-11-22T16:41:00Z</dcterms:created>
  <dcterms:modified xsi:type="dcterms:W3CDTF">2021-11-22T17:43:00Z</dcterms:modified>
</cp:coreProperties>
</file>