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24155F" w14:textId="07961634" w:rsidR="008F02BD" w:rsidRDefault="006A1483">
      <w:r>
        <w:rPr>
          <w:noProof/>
        </w:rPr>
        <w:drawing>
          <wp:inline distT="0" distB="0" distL="0" distR="0" wp14:anchorId="23DE874F" wp14:editId="2AF9A0F1">
            <wp:extent cx="5647467" cy="1098550"/>
            <wp:effectExtent l="0" t="0" r="0" b="6350"/>
            <wp:docPr id="1028" name="Picture 4" descr="Logo of UWTSD Moodle 2022/23">
              <a:extLst xmlns:a="http://schemas.openxmlformats.org/drawingml/2006/main">
                <a:ext uri="{FF2B5EF4-FFF2-40B4-BE49-F238E27FC236}">
                  <a16:creationId xmlns:a16="http://schemas.microsoft.com/office/drawing/2014/main" id="{30FEFA47-1952-AB44-9D78-43A83C5C72F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4" descr="Logo of UWTSD Moodle 2022/23">
                      <a:extLst>
                        <a:ext uri="{FF2B5EF4-FFF2-40B4-BE49-F238E27FC236}">
                          <a16:creationId xmlns:a16="http://schemas.microsoft.com/office/drawing/2014/main" id="{30FEFA47-1952-AB44-9D78-43A83C5C72F7}"/>
                        </a:ext>
                      </a:extLst>
                    </pic:cNvPr>
                    <pic:cNvPicPr>
                      <a:picLocks noChangeAspect="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22286" cy="1152008"/>
                    </a:xfrm>
                    <a:prstGeom prst="rect">
                      <a:avLst/>
                    </a:prstGeom>
                    <a:noFill/>
                  </pic:spPr>
                </pic:pic>
              </a:graphicData>
            </a:graphic>
          </wp:inline>
        </w:drawing>
      </w:r>
    </w:p>
    <w:p w14:paraId="636B4A82" w14:textId="77777777" w:rsidR="006A1483" w:rsidRDefault="006A1483" w:rsidP="006A1483">
      <w:pPr>
        <w:rPr>
          <w:rFonts w:ascii="Times New Roman" w:hAnsi="Times New Roman" w:cs="Times New Roman"/>
          <w:sz w:val="56"/>
          <w:szCs w:val="56"/>
        </w:rPr>
      </w:pPr>
    </w:p>
    <w:p w14:paraId="1C173127" w14:textId="75E8149A" w:rsidR="006A1483" w:rsidRPr="00D27BDC" w:rsidRDefault="006A1483" w:rsidP="006A1483">
      <w:pPr>
        <w:rPr>
          <w:rFonts w:ascii="Times New Roman" w:hAnsi="Times New Roman" w:cs="Times New Roman"/>
          <w:b/>
          <w:bCs/>
          <w:sz w:val="52"/>
          <w:szCs w:val="52"/>
        </w:rPr>
      </w:pPr>
      <w:r>
        <w:rPr>
          <w:rFonts w:ascii="Times New Roman" w:hAnsi="Times New Roman" w:cs="Times New Roman"/>
          <w:sz w:val="56"/>
          <w:szCs w:val="56"/>
        </w:rPr>
        <w:t xml:space="preserve">  </w:t>
      </w:r>
      <w:r w:rsidRPr="00D27BDC">
        <w:rPr>
          <w:rFonts w:ascii="Times New Roman" w:hAnsi="Times New Roman" w:cs="Times New Roman"/>
          <w:b/>
          <w:bCs/>
          <w:sz w:val="52"/>
          <w:szCs w:val="52"/>
        </w:rPr>
        <w:t>University of Wales Trinity St. David</w:t>
      </w:r>
    </w:p>
    <w:p w14:paraId="40C558DE" w14:textId="77777777" w:rsidR="006A1483" w:rsidRDefault="006A1483" w:rsidP="006A1483">
      <w:pPr>
        <w:rPr>
          <w:rFonts w:ascii="Times New Roman" w:hAnsi="Times New Roman" w:cs="Times New Roman"/>
          <w:sz w:val="44"/>
          <w:szCs w:val="44"/>
        </w:rPr>
      </w:pPr>
      <w:r w:rsidRPr="00D27BDC">
        <w:rPr>
          <w:rFonts w:ascii="Times New Roman" w:hAnsi="Times New Roman" w:cs="Times New Roman"/>
          <w:sz w:val="44"/>
          <w:szCs w:val="44"/>
        </w:rPr>
        <w:t>BA (Hons) Leadership and Management Skills for</w:t>
      </w:r>
      <w:r>
        <w:rPr>
          <w:rFonts w:ascii="Times New Roman" w:hAnsi="Times New Roman" w:cs="Times New Roman"/>
          <w:sz w:val="44"/>
          <w:szCs w:val="44"/>
        </w:rPr>
        <w:t xml:space="preserve"> </w:t>
      </w:r>
    </w:p>
    <w:p w14:paraId="6DEF2339" w14:textId="77777777" w:rsidR="006A1483" w:rsidRDefault="006A1483" w:rsidP="006A1483">
      <w:pPr>
        <w:rPr>
          <w:rFonts w:ascii="Times New Roman" w:hAnsi="Times New Roman" w:cs="Times New Roman"/>
          <w:sz w:val="44"/>
          <w:szCs w:val="44"/>
        </w:rPr>
      </w:pPr>
      <w:r>
        <w:rPr>
          <w:rFonts w:ascii="Times New Roman" w:hAnsi="Times New Roman" w:cs="Times New Roman"/>
          <w:sz w:val="44"/>
          <w:szCs w:val="44"/>
        </w:rPr>
        <w:t xml:space="preserve">                        </w:t>
      </w:r>
      <w:r w:rsidRPr="00D27BDC">
        <w:rPr>
          <w:rFonts w:ascii="Times New Roman" w:hAnsi="Times New Roman" w:cs="Times New Roman"/>
          <w:sz w:val="44"/>
          <w:szCs w:val="44"/>
        </w:rPr>
        <w:t xml:space="preserve"> </w:t>
      </w:r>
      <w:r>
        <w:rPr>
          <w:rFonts w:ascii="Times New Roman" w:hAnsi="Times New Roman" w:cs="Times New Roman"/>
          <w:sz w:val="44"/>
          <w:szCs w:val="44"/>
        </w:rPr>
        <w:t xml:space="preserve">   </w:t>
      </w:r>
      <w:r w:rsidRPr="00D27BDC">
        <w:rPr>
          <w:rFonts w:ascii="Times New Roman" w:hAnsi="Times New Roman" w:cs="Times New Roman"/>
          <w:sz w:val="44"/>
          <w:szCs w:val="44"/>
        </w:rPr>
        <w:t>the Workplace</w:t>
      </w:r>
    </w:p>
    <w:p w14:paraId="0A27351A" w14:textId="77777777" w:rsidR="006A1483" w:rsidRDefault="006A1483" w:rsidP="006A1483">
      <w:pPr>
        <w:rPr>
          <w:rFonts w:ascii="Times New Roman" w:hAnsi="Times New Roman" w:cs="Times New Roman"/>
          <w:b/>
          <w:bCs/>
          <w:sz w:val="52"/>
          <w:szCs w:val="52"/>
        </w:rPr>
      </w:pPr>
      <w:r w:rsidRPr="00D27BDC">
        <w:rPr>
          <w:rFonts w:ascii="Times New Roman" w:hAnsi="Times New Roman" w:cs="Times New Roman"/>
          <w:b/>
          <w:bCs/>
          <w:sz w:val="52"/>
          <w:szCs w:val="52"/>
        </w:rPr>
        <w:t xml:space="preserve">Workplace Culture and its impact on </w:t>
      </w:r>
    </w:p>
    <w:p w14:paraId="1D2CCF6F" w14:textId="77777777" w:rsidR="006A1483" w:rsidRDefault="006A1483" w:rsidP="006A1483">
      <w:pPr>
        <w:rPr>
          <w:rFonts w:ascii="Times New Roman" w:hAnsi="Times New Roman" w:cs="Times New Roman"/>
          <w:b/>
          <w:bCs/>
          <w:sz w:val="52"/>
          <w:szCs w:val="52"/>
        </w:rPr>
      </w:pPr>
      <w:r>
        <w:rPr>
          <w:rFonts w:ascii="Times New Roman" w:hAnsi="Times New Roman" w:cs="Times New Roman"/>
          <w:b/>
          <w:bCs/>
          <w:sz w:val="52"/>
          <w:szCs w:val="52"/>
        </w:rPr>
        <w:t xml:space="preserve">         </w:t>
      </w:r>
      <w:r w:rsidRPr="00D27BDC">
        <w:rPr>
          <w:rFonts w:ascii="Times New Roman" w:hAnsi="Times New Roman" w:cs="Times New Roman"/>
          <w:b/>
          <w:bCs/>
          <w:sz w:val="52"/>
          <w:szCs w:val="52"/>
        </w:rPr>
        <w:t>Organisational Efficiency</w:t>
      </w:r>
    </w:p>
    <w:p w14:paraId="5B1E9683" w14:textId="77777777" w:rsidR="006A1483" w:rsidRPr="000A29D2" w:rsidRDefault="006A1483" w:rsidP="006A1483">
      <w:pPr>
        <w:rPr>
          <w:rFonts w:ascii="Times New Roman" w:hAnsi="Times New Roman" w:cs="Times New Roman"/>
          <w:b/>
          <w:bCs/>
          <w:sz w:val="52"/>
          <w:szCs w:val="52"/>
        </w:rPr>
      </w:pPr>
      <w:r>
        <w:t xml:space="preserve">                                                              </w:t>
      </w:r>
      <w:r w:rsidRPr="000A29D2">
        <w:rPr>
          <w:sz w:val="52"/>
          <w:szCs w:val="52"/>
        </w:rPr>
        <w:t xml:space="preserve"> BMSW5105</w:t>
      </w:r>
    </w:p>
    <w:p w14:paraId="25AED70B" w14:textId="2707B9FD" w:rsidR="006A1483" w:rsidRDefault="006A1483" w:rsidP="006A1483">
      <w:pPr>
        <w:jc w:val="center"/>
        <w:rPr>
          <w:sz w:val="40"/>
          <w:szCs w:val="40"/>
        </w:rPr>
      </w:pPr>
      <w:r w:rsidRPr="006A1483">
        <w:rPr>
          <w:sz w:val="40"/>
          <w:szCs w:val="40"/>
        </w:rPr>
        <w:t>Reflective model Gibbs (500 words)</w:t>
      </w:r>
    </w:p>
    <w:p w14:paraId="6AF9EDC1" w14:textId="77777777" w:rsidR="006A1483" w:rsidRDefault="006A1483" w:rsidP="006A1483">
      <w:pPr>
        <w:jc w:val="center"/>
        <w:rPr>
          <w:sz w:val="40"/>
          <w:szCs w:val="40"/>
        </w:rPr>
      </w:pPr>
    </w:p>
    <w:p w14:paraId="06847247" w14:textId="77777777" w:rsidR="006A1483" w:rsidRDefault="006A1483" w:rsidP="006A1483">
      <w:pPr>
        <w:jc w:val="center"/>
        <w:rPr>
          <w:sz w:val="40"/>
          <w:szCs w:val="40"/>
        </w:rPr>
      </w:pPr>
    </w:p>
    <w:p w14:paraId="3DD99FEB" w14:textId="77777777" w:rsidR="006A1483" w:rsidRDefault="006A1483" w:rsidP="006A1483">
      <w:pPr>
        <w:rPr>
          <w:rFonts w:ascii="Times New Roman" w:hAnsi="Times New Roman" w:cs="Times New Roman"/>
          <w:color w:val="242130"/>
          <w:sz w:val="44"/>
          <w:szCs w:val="44"/>
          <w:shd w:val="clear" w:color="auto" w:fill="FFFFFF"/>
        </w:rPr>
      </w:pPr>
      <w:r w:rsidRPr="000A29D2">
        <w:rPr>
          <w:rFonts w:ascii="Times New Roman" w:hAnsi="Times New Roman" w:cs="Times New Roman"/>
          <w:sz w:val="44"/>
          <w:szCs w:val="44"/>
        </w:rPr>
        <w:t xml:space="preserve">Andrea Pisanti </w:t>
      </w:r>
      <w:r w:rsidRPr="000A29D2">
        <w:rPr>
          <w:rFonts w:ascii="Times New Roman" w:hAnsi="Times New Roman" w:cs="Times New Roman"/>
          <w:color w:val="242130"/>
          <w:sz w:val="44"/>
          <w:szCs w:val="44"/>
          <w:shd w:val="clear" w:color="auto" w:fill="FFFFFF"/>
        </w:rPr>
        <w:t>2111539</w:t>
      </w:r>
    </w:p>
    <w:p w14:paraId="60D8BD6E" w14:textId="77777777" w:rsidR="006A1483" w:rsidRPr="00580ADD" w:rsidRDefault="006A1483" w:rsidP="006A1483">
      <w:pPr>
        <w:rPr>
          <w:rFonts w:ascii="Times New Roman" w:hAnsi="Times New Roman" w:cs="Times New Roman"/>
          <w:color w:val="242130"/>
          <w:sz w:val="44"/>
          <w:szCs w:val="44"/>
          <w:shd w:val="clear" w:color="auto" w:fill="FFFFFF"/>
        </w:rPr>
      </w:pPr>
      <w:r w:rsidRPr="00580ADD">
        <w:rPr>
          <w:rFonts w:ascii="Times New Roman" w:hAnsi="Times New Roman" w:cs="Times New Roman"/>
          <w:color w:val="242130"/>
          <w:sz w:val="44"/>
          <w:szCs w:val="44"/>
          <w:shd w:val="clear" w:color="auto" w:fill="FFFFFF"/>
        </w:rPr>
        <w:t xml:space="preserve">Lecturer: </w:t>
      </w:r>
      <w:r>
        <w:rPr>
          <w:rFonts w:ascii="Times New Roman" w:hAnsi="Times New Roman" w:cs="Times New Roman"/>
          <w:color w:val="242130"/>
          <w:sz w:val="44"/>
          <w:szCs w:val="44"/>
          <w:shd w:val="clear" w:color="auto" w:fill="FFFFFF"/>
        </w:rPr>
        <w:t xml:space="preserve">Richard </w:t>
      </w:r>
      <w:proofErr w:type="spellStart"/>
      <w:r>
        <w:rPr>
          <w:rFonts w:ascii="Times New Roman" w:hAnsi="Times New Roman" w:cs="Times New Roman"/>
          <w:color w:val="242130"/>
          <w:sz w:val="44"/>
          <w:szCs w:val="44"/>
          <w:shd w:val="clear" w:color="auto" w:fill="FFFFFF"/>
        </w:rPr>
        <w:t>Ashaye</w:t>
      </w:r>
      <w:proofErr w:type="spellEnd"/>
    </w:p>
    <w:p w14:paraId="5F9A4F1B" w14:textId="77777777" w:rsidR="006A1483" w:rsidRDefault="006A1483" w:rsidP="006A1483">
      <w:pPr>
        <w:rPr>
          <w:sz w:val="40"/>
          <w:szCs w:val="40"/>
        </w:rPr>
      </w:pPr>
    </w:p>
    <w:p w14:paraId="417E687B" w14:textId="77777777" w:rsidR="006A1483" w:rsidRDefault="006A1483" w:rsidP="006A1483">
      <w:pPr>
        <w:rPr>
          <w:sz w:val="40"/>
          <w:szCs w:val="40"/>
        </w:rPr>
      </w:pPr>
    </w:p>
    <w:p w14:paraId="7021C2C4" w14:textId="77777777" w:rsidR="006A1483" w:rsidRDefault="006A1483" w:rsidP="006A1483">
      <w:pPr>
        <w:rPr>
          <w:sz w:val="40"/>
          <w:szCs w:val="40"/>
        </w:rPr>
      </w:pPr>
    </w:p>
    <w:p w14:paraId="74512AD3" w14:textId="77777777" w:rsidR="006A1483" w:rsidRDefault="006A1483" w:rsidP="006A1483">
      <w:pPr>
        <w:rPr>
          <w:sz w:val="40"/>
          <w:szCs w:val="40"/>
        </w:rPr>
      </w:pPr>
    </w:p>
    <w:sdt>
      <w:sdtPr>
        <w:id w:val="583813570"/>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1B263CE3" w14:textId="7F6D1F93" w:rsidR="00C867EC" w:rsidRDefault="00C867EC">
          <w:pPr>
            <w:pStyle w:val="TOCHeading"/>
          </w:pPr>
          <w:r>
            <w:t>Table of Contents</w:t>
          </w:r>
        </w:p>
        <w:p w14:paraId="1F73A702" w14:textId="42379376" w:rsidR="00C70F08" w:rsidRDefault="00C867E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3185578" w:history="1">
            <w:r w:rsidR="00C70F08" w:rsidRPr="00113642">
              <w:rPr>
                <w:rStyle w:val="Hyperlink"/>
                <w:b/>
                <w:bCs/>
                <w:noProo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Gibbs reflective cycle</w:t>
            </w:r>
            <w:r w:rsidR="00C70F08">
              <w:rPr>
                <w:noProof/>
                <w:webHidden/>
              </w:rPr>
              <w:tab/>
            </w:r>
            <w:r w:rsidR="00C70F08">
              <w:rPr>
                <w:noProof/>
                <w:webHidden/>
              </w:rPr>
              <w:fldChar w:fldCharType="begin"/>
            </w:r>
            <w:r w:rsidR="00C70F08">
              <w:rPr>
                <w:noProof/>
                <w:webHidden/>
              </w:rPr>
              <w:instrText xml:space="preserve"> PAGEREF _Toc143185578 \h </w:instrText>
            </w:r>
            <w:r w:rsidR="00C70F08">
              <w:rPr>
                <w:noProof/>
                <w:webHidden/>
              </w:rPr>
            </w:r>
            <w:r w:rsidR="00C70F08">
              <w:rPr>
                <w:noProof/>
                <w:webHidden/>
              </w:rPr>
              <w:fldChar w:fldCharType="separate"/>
            </w:r>
            <w:r w:rsidR="00C70F08">
              <w:rPr>
                <w:noProof/>
                <w:webHidden/>
              </w:rPr>
              <w:t>3</w:t>
            </w:r>
            <w:r w:rsidR="00C70F08">
              <w:rPr>
                <w:noProof/>
                <w:webHidden/>
              </w:rPr>
              <w:fldChar w:fldCharType="end"/>
            </w:r>
          </w:hyperlink>
        </w:p>
        <w:p w14:paraId="32DABEC2" w14:textId="75B09199" w:rsidR="00C70F08" w:rsidRDefault="00C70F08">
          <w:pPr>
            <w:pStyle w:val="TOC1"/>
            <w:tabs>
              <w:tab w:val="right" w:leader="dot" w:pos="9016"/>
            </w:tabs>
            <w:rPr>
              <w:rFonts w:eastAsiaTheme="minorEastAsia"/>
              <w:noProof/>
              <w:lang w:eastAsia="en-GB"/>
            </w:rPr>
          </w:pPr>
          <w:hyperlink w:anchor="_Toc143185579" w:history="1">
            <w:r w:rsidRPr="00113642">
              <w:rPr>
                <w:rStyle w:val="Hyperlink"/>
                <w:noProof/>
              </w:rPr>
              <w:t>References</w:t>
            </w:r>
            <w:r>
              <w:rPr>
                <w:noProof/>
                <w:webHidden/>
              </w:rPr>
              <w:tab/>
            </w:r>
            <w:r>
              <w:rPr>
                <w:noProof/>
                <w:webHidden/>
              </w:rPr>
              <w:fldChar w:fldCharType="begin"/>
            </w:r>
            <w:r>
              <w:rPr>
                <w:noProof/>
                <w:webHidden/>
              </w:rPr>
              <w:instrText xml:space="preserve"> PAGEREF _Toc143185579 \h </w:instrText>
            </w:r>
            <w:r>
              <w:rPr>
                <w:noProof/>
                <w:webHidden/>
              </w:rPr>
            </w:r>
            <w:r>
              <w:rPr>
                <w:noProof/>
                <w:webHidden/>
              </w:rPr>
              <w:fldChar w:fldCharType="separate"/>
            </w:r>
            <w:r>
              <w:rPr>
                <w:noProof/>
                <w:webHidden/>
              </w:rPr>
              <w:t>5</w:t>
            </w:r>
            <w:r>
              <w:rPr>
                <w:noProof/>
                <w:webHidden/>
              </w:rPr>
              <w:fldChar w:fldCharType="end"/>
            </w:r>
          </w:hyperlink>
        </w:p>
        <w:p w14:paraId="24FA9447" w14:textId="0CD4F9D0" w:rsidR="00C867EC" w:rsidRDefault="00C867EC">
          <w:r>
            <w:rPr>
              <w:b/>
              <w:bCs/>
              <w:noProof/>
            </w:rPr>
            <w:fldChar w:fldCharType="end"/>
          </w:r>
        </w:p>
      </w:sdtContent>
    </w:sdt>
    <w:p w14:paraId="2D6DFBEF" w14:textId="77777777" w:rsidR="006A1483" w:rsidRDefault="006A1483" w:rsidP="006A1483">
      <w:pPr>
        <w:rPr>
          <w:sz w:val="40"/>
          <w:szCs w:val="40"/>
        </w:rPr>
      </w:pPr>
    </w:p>
    <w:p w14:paraId="54E1E126" w14:textId="77777777" w:rsidR="006A1483" w:rsidRDefault="006A1483" w:rsidP="006A1483">
      <w:pPr>
        <w:rPr>
          <w:sz w:val="40"/>
          <w:szCs w:val="40"/>
        </w:rPr>
      </w:pPr>
    </w:p>
    <w:p w14:paraId="79F1E87D" w14:textId="77777777" w:rsidR="006A1483" w:rsidRDefault="006A1483" w:rsidP="006A1483">
      <w:pPr>
        <w:rPr>
          <w:sz w:val="40"/>
          <w:szCs w:val="40"/>
        </w:rPr>
      </w:pPr>
    </w:p>
    <w:p w14:paraId="19348057" w14:textId="77777777" w:rsidR="006A1483" w:rsidRDefault="006A1483" w:rsidP="006A1483">
      <w:pPr>
        <w:rPr>
          <w:sz w:val="40"/>
          <w:szCs w:val="40"/>
        </w:rPr>
      </w:pPr>
    </w:p>
    <w:p w14:paraId="51BA459A" w14:textId="77777777" w:rsidR="006A1483" w:rsidRDefault="006A1483" w:rsidP="006A1483">
      <w:pPr>
        <w:rPr>
          <w:sz w:val="40"/>
          <w:szCs w:val="40"/>
        </w:rPr>
      </w:pPr>
    </w:p>
    <w:p w14:paraId="79D8FCB2" w14:textId="77777777" w:rsidR="006A1483" w:rsidRDefault="006A1483" w:rsidP="006A1483">
      <w:pPr>
        <w:rPr>
          <w:sz w:val="40"/>
          <w:szCs w:val="40"/>
        </w:rPr>
      </w:pPr>
    </w:p>
    <w:p w14:paraId="3A14163A" w14:textId="77777777" w:rsidR="006A1483" w:rsidRDefault="006A1483" w:rsidP="006A1483">
      <w:pPr>
        <w:rPr>
          <w:sz w:val="40"/>
          <w:szCs w:val="40"/>
        </w:rPr>
      </w:pPr>
    </w:p>
    <w:p w14:paraId="7DFAB35F" w14:textId="77777777" w:rsidR="006A1483" w:rsidRDefault="006A1483" w:rsidP="006A1483">
      <w:pPr>
        <w:rPr>
          <w:sz w:val="40"/>
          <w:szCs w:val="40"/>
        </w:rPr>
      </w:pPr>
    </w:p>
    <w:p w14:paraId="0B76FAB8" w14:textId="77777777" w:rsidR="006A1483" w:rsidRDefault="006A1483" w:rsidP="006A1483">
      <w:pPr>
        <w:rPr>
          <w:sz w:val="40"/>
          <w:szCs w:val="40"/>
        </w:rPr>
      </w:pPr>
    </w:p>
    <w:p w14:paraId="4DD90D74" w14:textId="77777777" w:rsidR="006A1483" w:rsidRDefault="006A1483" w:rsidP="006A1483">
      <w:pPr>
        <w:rPr>
          <w:sz w:val="40"/>
          <w:szCs w:val="40"/>
        </w:rPr>
      </w:pPr>
    </w:p>
    <w:p w14:paraId="064CAC52" w14:textId="77777777" w:rsidR="006A1483" w:rsidRDefault="006A1483" w:rsidP="006A1483">
      <w:pPr>
        <w:rPr>
          <w:sz w:val="40"/>
          <w:szCs w:val="40"/>
        </w:rPr>
      </w:pPr>
    </w:p>
    <w:p w14:paraId="09C578EE" w14:textId="77777777" w:rsidR="006A1483" w:rsidRDefault="006A1483" w:rsidP="006A1483">
      <w:pPr>
        <w:rPr>
          <w:sz w:val="40"/>
          <w:szCs w:val="40"/>
        </w:rPr>
      </w:pPr>
    </w:p>
    <w:p w14:paraId="28CBF77F" w14:textId="77777777" w:rsidR="006A1483" w:rsidRDefault="006A1483" w:rsidP="006A1483">
      <w:pPr>
        <w:rPr>
          <w:sz w:val="40"/>
          <w:szCs w:val="40"/>
        </w:rPr>
      </w:pPr>
    </w:p>
    <w:p w14:paraId="16260615" w14:textId="77777777" w:rsidR="006A1483" w:rsidRDefault="006A1483" w:rsidP="006A1483">
      <w:pPr>
        <w:rPr>
          <w:sz w:val="40"/>
          <w:szCs w:val="40"/>
        </w:rPr>
      </w:pPr>
    </w:p>
    <w:p w14:paraId="3DC100E8" w14:textId="77777777" w:rsidR="006A1483" w:rsidRDefault="006A1483" w:rsidP="006A1483">
      <w:pPr>
        <w:rPr>
          <w:sz w:val="40"/>
          <w:szCs w:val="40"/>
        </w:rPr>
      </w:pPr>
    </w:p>
    <w:p w14:paraId="0707552E" w14:textId="77777777" w:rsidR="006A1483" w:rsidRDefault="006A1483" w:rsidP="006A1483">
      <w:pPr>
        <w:rPr>
          <w:sz w:val="40"/>
          <w:szCs w:val="40"/>
        </w:rPr>
      </w:pPr>
    </w:p>
    <w:p w14:paraId="30A4565F" w14:textId="77777777" w:rsidR="006A1483" w:rsidRDefault="006A1483" w:rsidP="006A1483">
      <w:pPr>
        <w:rPr>
          <w:sz w:val="40"/>
          <w:szCs w:val="40"/>
        </w:rPr>
      </w:pPr>
    </w:p>
    <w:p w14:paraId="2872CA18" w14:textId="77777777" w:rsidR="006A1483" w:rsidRDefault="006A1483" w:rsidP="006A1483">
      <w:pPr>
        <w:rPr>
          <w:sz w:val="40"/>
          <w:szCs w:val="40"/>
        </w:rPr>
      </w:pPr>
    </w:p>
    <w:p w14:paraId="13313E57" w14:textId="77777777" w:rsidR="006A1483" w:rsidRDefault="006A1483" w:rsidP="006A1483">
      <w:pPr>
        <w:rPr>
          <w:sz w:val="40"/>
          <w:szCs w:val="40"/>
        </w:rPr>
      </w:pPr>
    </w:p>
    <w:p w14:paraId="293E7CF1" w14:textId="77777777" w:rsidR="006A1483" w:rsidRDefault="006A1483" w:rsidP="006A1483">
      <w:pPr>
        <w:rPr>
          <w:sz w:val="40"/>
          <w:szCs w:val="40"/>
        </w:rPr>
      </w:pPr>
    </w:p>
    <w:p w14:paraId="58454322" w14:textId="38C4A155" w:rsidR="006A1483" w:rsidRDefault="00345E39" w:rsidP="00345E39">
      <w:pPr>
        <w:pStyle w:val="Heading1"/>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0" w:name="_Toc143185578"/>
      <w:r w:rsidRPr="00345E39">
        <w:rPr>
          <w:b/>
          <w:b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Gibbs reflective cycle</w:t>
      </w:r>
      <w:bookmarkEnd w:id="0"/>
    </w:p>
    <w:p w14:paraId="1F4AC493" w14:textId="77777777" w:rsidR="00345E39" w:rsidRDefault="00345E39" w:rsidP="00345E39"/>
    <w:p w14:paraId="516715C0" w14:textId="5B389BB9" w:rsidR="009F005C" w:rsidRPr="009F005C" w:rsidRDefault="009F005C" w:rsidP="009F005C">
      <w:pPr>
        <w:rPr>
          <w:rFonts w:ascii="Arial" w:hAnsi="Arial" w:cs="Arial"/>
          <w:sz w:val="24"/>
          <w:szCs w:val="24"/>
        </w:rPr>
      </w:pPr>
      <w:r w:rsidRPr="009F005C">
        <w:rPr>
          <w:rFonts w:ascii="Arial" w:hAnsi="Arial" w:cs="Arial"/>
          <w:sz w:val="24"/>
          <w:szCs w:val="24"/>
        </w:rPr>
        <w:t xml:space="preserve">Undertaking an exploration into EasyJet Plc's workplace culture and its impact on organizational efficiency has been an enlightening experience. The use of the Gibbs Reflective Model, chosen for its structured framework, has allowed me to systematically </w:t>
      </w:r>
      <w:proofErr w:type="spellStart"/>
      <w:r w:rsidRPr="009F005C">
        <w:rPr>
          <w:rFonts w:ascii="Arial" w:hAnsi="Arial" w:cs="Arial"/>
          <w:sz w:val="24"/>
          <w:szCs w:val="24"/>
        </w:rPr>
        <w:t>analyze</w:t>
      </w:r>
      <w:proofErr w:type="spellEnd"/>
      <w:r w:rsidRPr="009F005C">
        <w:rPr>
          <w:rFonts w:ascii="Arial" w:hAnsi="Arial" w:cs="Arial"/>
          <w:sz w:val="24"/>
          <w:szCs w:val="24"/>
        </w:rPr>
        <w:t xml:space="preserve"> and reflect upon this complex topic. This model comprises six stages that facilitate a comprehensive examination of the subject matter, encouraging a deeper understanding of its nuances.</w:t>
      </w:r>
      <w:sdt>
        <w:sdtPr>
          <w:rPr>
            <w:rFonts w:ascii="Arial" w:hAnsi="Arial" w:cs="Arial"/>
            <w:sz w:val="24"/>
            <w:szCs w:val="24"/>
          </w:rPr>
          <w:id w:val="-1071812003"/>
          <w:citation/>
        </w:sdtPr>
        <w:sdtContent>
          <w:r w:rsidR="00755CE2">
            <w:rPr>
              <w:rFonts w:ascii="Arial" w:hAnsi="Arial" w:cs="Arial"/>
              <w:sz w:val="24"/>
              <w:szCs w:val="24"/>
            </w:rPr>
            <w:fldChar w:fldCharType="begin"/>
          </w:r>
          <w:r w:rsidR="00755CE2">
            <w:rPr>
              <w:rFonts w:ascii="Arial" w:hAnsi="Arial" w:cs="Arial"/>
              <w:sz w:val="24"/>
              <w:szCs w:val="24"/>
              <w:lang w:val="en-US"/>
            </w:rPr>
            <w:instrText xml:space="preserve"> CITATION Nic23 \l 1033 </w:instrText>
          </w:r>
          <w:r w:rsidR="00755CE2">
            <w:rPr>
              <w:rFonts w:ascii="Arial" w:hAnsi="Arial" w:cs="Arial"/>
              <w:sz w:val="24"/>
              <w:szCs w:val="24"/>
            </w:rPr>
            <w:fldChar w:fldCharType="separate"/>
          </w:r>
          <w:r w:rsidR="00755CE2">
            <w:rPr>
              <w:rFonts w:ascii="Arial" w:hAnsi="Arial" w:cs="Arial"/>
              <w:noProof/>
              <w:sz w:val="24"/>
              <w:szCs w:val="24"/>
              <w:lang w:val="en-US"/>
            </w:rPr>
            <w:t xml:space="preserve"> </w:t>
          </w:r>
          <w:r w:rsidR="00755CE2" w:rsidRPr="00755CE2">
            <w:rPr>
              <w:rFonts w:ascii="Arial" w:hAnsi="Arial" w:cs="Arial"/>
              <w:noProof/>
              <w:sz w:val="24"/>
              <w:szCs w:val="24"/>
              <w:lang w:val="en-US"/>
            </w:rPr>
            <w:t>(Brown, 2023)</w:t>
          </w:r>
          <w:r w:rsidR="00755CE2">
            <w:rPr>
              <w:rFonts w:ascii="Arial" w:hAnsi="Arial" w:cs="Arial"/>
              <w:sz w:val="24"/>
              <w:szCs w:val="24"/>
            </w:rPr>
            <w:fldChar w:fldCharType="end"/>
          </w:r>
        </w:sdtContent>
      </w:sdt>
    </w:p>
    <w:p w14:paraId="597D0DCC" w14:textId="6B826CB6" w:rsidR="009F005C" w:rsidRDefault="009F005C" w:rsidP="009F005C">
      <w:pPr>
        <w:rPr>
          <w:rFonts w:ascii="Arial" w:hAnsi="Arial" w:cs="Arial"/>
          <w:sz w:val="24"/>
          <w:szCs w:val="24"/>
        </w:rPr>
      </w:pPr>
      <w:r w:rsidRPr="009F005C">
        <w:rPr>
          <w:rFonts w:ascii="Arial" w:hAnsi="Arial" w:cs="Arial"/>
          <w:sz w:val="24"/>
          <w:szCs w:val="24"/>
        </w:rPr>
        <w:t xml:space="preserve">The first stage, "Description," involved laying the groundwork by introducing EasyJet's history, cultural attributes, and operational scope. This allowed me to establish a solid foundation for the subsequent analysis. </w:t>
      </w:r>
      <w:sdt>
        <w:sdtPr>
          <w:rPr>
            <w:rFonts w:ascii="Arial" w:hAnsi="Arial" w:cs="Arial"/>
            <w:sz w:val="24"/>
            <w:szCs w:val="24"/>
          </w:rPr>
          <w:id w:val="1912044735"/>
          <w:citation/>
        </w:sdtPr>
        <w:sdtContent>
          <w:r w:rsidR="00C70F08">
            <w:rPr>
              <w:rFonts w:ascii="Arial" w:hAnsi="Arial" w:cs="Arial"/>
              <w:sz w:val="24"/>
              <w:szCs w:val="24"/>
            </w:rPr>
            <w:fldChar w:fldCharType="begin"/>
          </w:r>
          <w:r w:rsidR="00C70F08">
            <w:rPr>
              <w:rFonts w:ascii="Arial" w:hAnsi="Arial" w:cs="Arial"/>
              <w:sz w:val="24"/>
              <w:szCs w:val="24"/>
              <w:lang w:val="en-US"/>
            </w:rPr>
            <w:instrText xml:space="preserve"> CITATION eas22 \l 1033 </w:instrText>
          </w:r>
          <w:r w:rsidR="00C70F08">
            <w:rPr>
              <w:rFonts w:ascii="Arial" w:hAnsi="Arial" w:cs="Arial"/>
              <w:sz w:val="24"/>
              <w:szCs w:val="24"/>
            </w:rPr>
            <w:fldChar w:fldCharType="separate"/>
          </w:r>
          <w:r w:rsidR="00C70F08" w:rsidRPr="00C70F08">
            <w:rPr>
              <w:rFonts w:ascii="Arial" w:hAnsi="Arial" w:cs="Arial"/>
              <w:noProof/>
              <w:sz w:val="24"/>
              <w:szCs w:val="24"/>
              <w:lang w:val="en-US"/>
            </w:rPr>
            <w:t>(easyjet, 2022)</w:t>
          </w:r>
          <w:r w:rsidR="00C70F08">
            <w:rPr>
              <w:rFonts w:ascii="Arial" w:hAnsi="Arial" w:cs="Arial"/>
              <w:sz w:val="24"/>
              <w:szCs w:val="24"/>
            </w:rPr>
            <w:fldChar w:fldCharType="end"/>
          </w:r>
        </w:sdtContent>
      </w:sdt>
    </w:p>
    <w:p w14:paraId="3A71F060" w14:textId="504F178A" w:rsidR="009F005C" w:rsidRPr="009F005C" w:rsidRDefault="00C70F08" w:rsidP="009F005C">
      <w:pPr>
        <w:rPr>
          <w:rFonts w:ascii="Arial" w:hAnsi="Arial" w:cs="Arial"/>
          <w:sz w:val="24"/>
          <w:szCs w:val="24"/>
        </w:rPr>
      </w:pPr>
      <w:r>
        <w:rPr>
          <w:rFonts w:ascii="Arial" w:hAnsi="Arial" w:cs="Arial"/>
          <w:sz w:val="24"/>
          <w:szCs w:val="24"/>
        </w:rPr>
        <w:t>My feelings</w:t>
      </w:r>
      <w:r w:rsidR="009F005C">
        <w:rPr>
          <w:rFonts w:ascii="Arial" w:hAnsi="Arial" w:cs="Arial"/>
          <w:sz w:val="24"/>
          <w:szCs w:val="24"/>
        </w:rPr>
        <w:t xml:space="preserve"> when I wrote the report were </w:t>
      </w:r>
      <w:r w:rsidR="009F005C" w:rsidRPr="009F005C">
        <w:rPr>
          <w:rFonts w:ascii="Arial" w:hAnsi="Arial" w:cs="Arial"/>
          <w:sz w:val="24"/>
          <w:szCs w:val="24"/>
        </w:rPr>
        <w:t xml:space="preserve">a mix of curiosity, fascination, and contemplation. Initially, </w:t>
      </w:r>
      <w:r>
        <w:rPr>
          <w:rFonts w:ascii="Arial" w:hAnsi="Arial" w:cs="Arial"/>
          <w:sz w:val="24"/>
          <w:szCs w:val="24"/>
        </w:rPr>
        <w:t>the airline's transformative influence on the aviation industry and its unique cultural attributes initially intrigued me</w:t>
      </w:r>
      <w:r w:rsidR="009F005C" w:rsidRPr="009F005C">
        <w:rPr>
          <w:rFonts w:ascii="Arial" w:hAnsi="Arial" w:cs="Arial"/>
          <w:sz w:val="24"/>
          <w:szCs w:val="24"/>
        </w:rPr>
        <w:t>. Learning about EasyJet's commitment to safety, decentralization, and innovation sparked my interest in understanding how these values translate into tangible operational outcomes.</w:t>
      </w:r>
    </w:p>
    <w:p w14:paraId="376A2FE1" w14:textId="3BF4AD90" w:rsidR="009F005C" w:rsidRPr="009F005C" w:rsidRDefault="009F005C" w:rsidP="009F005C">
      <w:pPr>
        <w:rPr>
          <w:rFonts w:ascii="Arial" w:hAnsi="Arial" w:cs="Arial"/>
          <w:sz w:val="24"/>
          <w:szCs w:val="24"/>
        </w:rPr>
      </w:pPr>
      <w:r w:rsidRPr="009F005C">
        <w:rPr>
          <w:rFonts w:ascii="Arial" w:hAnsi="Arial" w:cs="Arial"/>
          <w:sz w:val="24"/>
          <w:szCs w:val="24"/>
        </w:rPr>
        <w:t>Moving to the "Evaluation" stage, the application of strategic management tools like PESTEL, Porter's Five Forces, and the Cultural Web provided a structured approach to critically assessing the external and internal factors impacting EasyJet's operations. These tools deepened my understanding of the interconnectedness between the macro-environment and the organization's culture, aligning with the reflective process.</w:t>
      </w:r>
      <w:sdt>
        <w:sdtPr>
          <w:rPr>
            <w:rFonts w:ascii="Arial" w:hAnsi="Arial" w:cs="Arial"/>
            <w:sz w:val="24"/>
            <w:szCs w:val="24"/>
          </w:rPr>
          <w:id w:val="1708919283"/>
          <w:citation/>
        </w:sdtPr>
        <w:sdtContent>
          <w:r w:rsidR="00C70F08">
            <w:rPr>
              <w:rFonts w:ascii="Arial" w:hAnsi="Arial" w:cs="Arial"/>
              <w:sz w:val="24"/>
              <w:szCs w:val="24"/>
            </w:rPr>
            <w:fldChar w:fldCharType="begin"/>
          </w:r>
          <w:r w:rsidR="00C70F08">
            <w:rPr>
              <w:rFonts w:ascii="Arial" w:hAnsi="Arial" w:cs="Arial"/>
              <w:sz w:val="24"/>
              <w:szCs w:val="24"/>
              <w:lang w:val="en-US"/>
            </w:rPr>
            <w:instrText xml:space="preserve"> CITATION Mic14 \l 1033 </w:instrText>
          </w:r>
          <w:r w:rsidR="00C70F08">
            <w:rPr>
              <w:rFonts w:ascii="Arial" w:hAnsi="Arial" w:cs="Arial"/>
              <w:sz w:val="24"/>
              <w:szCs w:val="24"/>
            </w:rPr>
            <w:fldChar w:fldCharType="separate"/>
          </w:r>
          <w:r w:rsidR="00C70F08">
            <w:rPr>
              <w:rFonts w:ascii="Arial" w:hAnsi="Arial" w:cs="Arial"/>
              <w:noProof/>
              <w:sz w:val="24"/>
              <w:szCs w:val="24"/>
              <w:lang w:val="en-US"/>
            </w:rPr>
            <w:t xml:space="preserve"> </w:t>
          </w:r>
          <w:r w:rsidR="00C70F08" w:rsidRPr="00C70F08">
            <w:rPr>
              <w:rFonts w:ascii="Arial" w:hAnsi="Arial" w:cs="Arial"/>
              <w:noProof/>
              <w:sz w:val="24"/>
              <w:szCs w:val="24"/>
              <w:lang w:val="en-US"/>
            </w:rPr>
            <w:t>(Dobbs, 2014)</w:t>
          </w:r>
          <w:r w:rsidR="00C70F08">
            <w:rPr>
              <w:rFonts w:ascii="Arial" w:hAnsi="Arial" w:cs="Arial"/>
              <w:sz w:val="24"/>
              <w:szCs w:val="24"/>
            </w:rPr>
            <w:fldChar w:fldCharType="end"/>
          </w:r>
        </w:sdtContent>
      </w:sdt>
    </w:p>
    <w:p w14:paraId="1882B36F" w14:textId="2463E27B" w:rsidR="009F005C" w:rsidRDefault="009F005C" w:rsidP="009F005C">
      <w:pPr>
        <w:rPr>
          <w:rFonts w:ascii="Arial" w:hAnsi="Arial" w:cs="Arial"/>
          <w:sz w:val="24"/>
          <w:szCs w:val="24"/>
        </w:rPr>
      </w:pPr>
      <w:r w:rsidRPr="009F005C">
        <w:rPr>
          <w:rFonts w:ascii="Arial" w:hAnsi="Arial" w:cs="Arial"/>
          <w:sz w:val="24"/>
          <w:szCs w:val="24"/>
        </w:rPr>
        <w:t>The "Analysis" stage allowed me to delve into ethical dilemmas encountered by EasyJet, particularly in the context of the COVID-19 pandemic. This prompted a contemplation of the ethical landscape that modern organizations navigate, making me realize the complexities of balancing ethical considerations with financial stability.</w:t>
      </w:r>
      <w:sdt>
        <w:sdtPr>
          <w:rPr>
            <w:rFonts w:ascii="Arial" w:hAnsi="Arial" w:cs="Arial"/>
            <w:sz w:val="24"/>
            <w:szCs w:val="24"/>
          </w:rPr>
          <w:id w:val="-637110349"/>
          <w:citation/>
        </w:sdtPr>
        <w:sdtContent>
          <w:r w:rsidR="00C70F08">
            <w:rPr>
              <w:rFonts w:ascii="Arial" w:hAnsi="Arial" w:cs="Arial"/>
              <w:sz w:val="24"/>
              <w:szCs w:val="24"/>
            </w:rPr>
            <w:fldChar w:fldCharType="begin"/>
          </w:r>
          <w:r w:rsidR="00C70F08">
            <w:rPr>
              <w:rFonts w:ascii="Arial" w:hAnsi="Arial" w:cs="Arial"/>
              <w:sz w:val="24"/>
              <w:szCs w:val="24"/>
              <w:lang w:val="en-US"/>
            </w:rPr>
            <w:instrText xml:space="preserve"> CITATION Sas20 \l 1033 </w:instrText>
          </w:r>
          <w:r w:rsidR="00C70F08">
            <w:rPr>
              <w:rFonts w:ascii="Arial" w:hAnsi="Arial" w:cs="Arial"/>
              <w:sz w:val="24"/>
              <w:szCs w:val="24"/>
            </w:rPr>
            <w:fldChar w:fldCharType="separate"/>
          </w:r>
          <w:r w:rsidR="00C70F08">
            <w:rPr>
              <w:rFonts w:ascii="Arial" w:hAnsi="Arial" w:cs="Arial"/>
              <w:noProof/>
              <w:sz w:val="24"/>
              <w:szCs w:val="24"/>
              <w:lang w:val="en-US"/>
            </w:rPr>
            <w:t xml:space="preserve"> </w:t>
          </w:r>
          <w:r w:rsidR="00C70F08" w:rsidRPr="00C70F08">
            <w:rPr>
              <w:rFonts w:ascii="Arial" w:hAnsi="Arial" w:cs="Arial"/>
              <w:noProof/>
              <w:sz w:val="24"/>
              <w:szCs w:val="24"/>
              <w:lang w:val="en-US"/>
            </w:rPr>
            <w:t>(Sascha Albers, 2020)</w:t>
          </w:r>
          <w:r w:rsidR="00C70F08">
            <w:rPr>
              <w:rFonts w:ascii="Arial" w:hAnsi="Arial" w:cs="Arial"/>
              <w:sz w:val="24"/>
              <w:szCs w:val="24"/>
            </w:rPr>
            <w:fldChar w:fldCharType="end"/>
          </w:r>
        </w:sdtContent>
      </w:sdt>
      <w:r w:rsidRPr="009F005C">
        <w:rPr>
          <w:rFonts w:ascii="Arial" w:hAnsi="Arial" w:cs="Arial"/>
          <w:sz w:val="24"/>
          <w:szCs w:val="24"/>
        </w:rPr>
        <w:t xml:space="preserve"> </w:t>
      </w:r>
    </w:p>
    <w:p w14:paraId="58E57EA2" w14:textId="4D2ED3DD" w:rsidR="009F005C" w:rsidRPr="009F005C" w:rsidRDefault="009F005C" w:rsidP="009F005C">
      <w:pPr>
        <w:rPr>
          <w:rFonts w:ascii="Arial" w:hAnsi="Arial" w:cs="Arial"/>
          <w:sz w:val="24"/>
          <w:szCs w:val="24"/>
        </w:rPr>
      </w:pPr>
      <w:r w:rsidRPr="009F005C">
        <w:rPr>
          <w:rFonts w:ascii="Arial" w:hAnsi="Arial" w:cs="Arial"/>
          <w:sz w:val="24"/>
          <w:szCs w:val="24"/>
        </w:rPr>
        <w:t>The subsequent "Conclusion" stage brought together the insights gathered, emphasizing the significance of organizational culture as a driving force in shaping strategic choices and operational outcomes.</w:t>
      </w:r>
    </w:p>
    <w:p w14:paraId="35D66EC5" w14:textId="77777777" w:rsidR="009F005C" w:rsidRPr="009F005C" w:rsidRDefault="009F005C" w:rsidP="009F005C">
      <w:pPr>
        <w:rPr>
          <w:rFonts w:ascii="Arial" w:hAnsi="Arial" w:cs="Arial"/>
          <w:sz w:val="24"/>
          <w:szCs w:val="24"/>
        </w:rPr>
      </w:pPr>
      <w:r w:rsidRPr="009F005C">
        <w:rPr>
          <w:rFonts w:ascii="Arial" w:hAnsi="Arial" w:cs="Arial"/>
          <w:sz w:val="24"/>
          <w:szCs w:val="24"/>
        </w:rPr>
        <w:t>The final stage, "Action Plan," generated pragmatic recommendations to enhance EasyJet's performance and address the identified challenges. These recommendations were derived from a synthesis of insights gathered throughout the reflective process. They underscored the importance of adaptability, sustainability integration, and collaborative decision-making in the face of evolving external factors.</w:t>
      </w:r>
    </w:p>
    <w:p w14:paraId="66227702" w14:textId="77777777" w:rsidR="009F005C" w:rsidRPr="009F005C" w:rsidRDefault="009F005C" w:rsidP="009F005C">
      <w:pPr>
        <w:rPr>
          <w:rFonts w:ascii="Arial" w:hAnsi="Arial" w:cs="Arial"/>
          <w:sz w:val="24"/>
          <w:szCs w:val="24"/>
        </w:rPr>
      </w:pPr>
      <w:r w:rsidRPr="009F005C">
        <w:rPr>
          <w:rFonts w:ascii="Arial" w:hAnsi="Arial" w:cs="Arial"/>
          <w:sz w:val="24"/>
          <w:szCs w:val="24"/>
        </w:rPr>
        <w:lastRenderedPageBreak/>
        <w:t>The selection of the Gibbs Reflective Model proved beneficial in several ways. Its systematic structure guided me through a comprehensive exploration of the topic, enabling a deeper grasp of the subject matter. The model's iterative nature allowed me to revisit and revise my understanding as I progressed through its stages, fostering a more nuanced perspective. Additionally, the model's emphasis on action planning ensured that the insights gained were translated into practical recommendations, reinforcing its relevance for real-world scenarios.</w:t>
      </w:r>
    </w:p>
    <w:p w14:paraId="533C7B0A" w14:textId="77777777" w:rsidR="009F005C" w:rsidRPr="009F005C" w:rsidRDefault="009F005C" w:rsidP="009F005C">
      <w:pPr>
        <w:rPr>
          <w:rFonts w:ascii="Arial" w:hAnsi="Arial" w:cs="Arial"/>
          <w:sz w:val="24"/>
          <w:szCs w:val="24"/>
        </w:rPr>
      </w:pPr>
    </w:p>
    <w:p w14:paraId="21FA9AF1" w14:textId="52491D60" w:rsidR="00345E39" w:rsidRDefault="009F005C" w:rsidP="009F005C">
      <w:pPr>
        <w:rPr>
          <w:rFonts w:ascii="Arial" w:hAnsi="Arial" w:cs="Arial"/>
          <w:sz w:val="24"/>
          <w:szCs w:val="24"/>
        </w:rPr>
      </w:pPr>
      <w:r w:rsidRPr="009F005C">
        <w:rPr>
          <w:rFonts w:ascii="Arial" w:hAnsi="Arial" w:cs="Arial"/>
          <w:sz w:val="24"/>
          <w:szCs w:val="24"/>
        </w:rPr>
        <w:t xml:space="preserve">In conclusion, the utilization of the Gibbs Reflective Model has enabled me to </w:t>
      </w:r>
      <w:proofErr w:type="spellStart"/>
      <w:r w:rsidRPr="009F005C">
        <w:rPr>
          <w:rFonts w:ascii="Arial" w:hAnsi="Arial" w:cs="Arial"/>
          <w:sz w:val="24"/>
          <w:szCs w:val="24"/>
        </w:rPr>
        <w:t>analyze</w:t>
      </w:r>
      <w:proofErr w:type="spellEnd"/>
      <w:r w:rsidRPr="009F005C">
        <w:rPr>
          <w:rFonts w:ascii="Arial" w:hAnsi="Arial" w:cs="Arial"/>
          <w:sz w:val="24"/>
          <w:szCs w:val="24"/>
        </w:rPr>
        <w:t xml:space="preserve"> EasyJet's organizational culture and its impact on efficiency in a methodical and insightful manner. This experience has heightened my awareness of the intricate relationship between culture, strategy, and performance within organizations. As I continue my academic journey, the lessons learned from this reflective exercise will undoubtedly shape my perception of organizational dynamics and their role in achieving sustainable success.</w:t>
      </w:r>
    </w:p>
    <w:p w14:paraId="06E7D234" w14:textId="77777777" w:rsidR="00C70F08" w:rsidRDefault="00C70F08" w:rsidP="009F005C">
      <w:pPr>
        <w:rPr>
          <w:rFonts w:ascii="Arial" w:hAnsi="Arial" w:cs="Arial"/>
          <w:sz w:val="24"/>
          <w:szCs w:val="24"/>
        </w:rPr>
      </w:pPr>
    </w:p>
    <w:p w14:paraId="3B3A9C3C" w14:textId="77777777" w:rsidR="00C70F08" w:rsidRDefault="00C70F08" w:rsidP="009F005C">
      <w:pPr>
        <w:rPr>
          <w:rFonts w:ascii="Arial" w:hAnsi="Arial" w:cs="Arial"/>
          <w:sz w:val="24"/>
          <w:szCs w:val="24"/>
        </w:rPr>
      </w:pPr>
    </w:p>
    <w:p w14:paraId="5BE981F8" w14:textId="77777777" w:rsidR="00C70F08" w:rsidRDefault="00C70F08" w:rsidP="009F005C">
      <w:pPr>
        <w:rPr>
          <w:rFonts w:ascii="Arial" w:hAnsi="Arial" w:cs="Arial"/>
          <w:sz w:val="24"/>
          <w:szCs w:val="24"/>
        </w:rPr>
      </w:pPr>
    </w:p>
    <w:p w14:paraId="38F06503" w14:textId="77777777" w:rsidR="00C70F08" w:rsidRDefault="00C70F08" w:rsidP="009F005C">
      <w:pPr>
        <w:rPr>
          <w:rFonts w:ascii="Arial" w:hAnsi="Arial" w:cs="Arial"/>
          <w:sz w:val="24"/>
          <w:szCs w:val="24"/>
        </w:rPr>
      </w:pPr>
    </w:p>
    <w:p w14:paraId="6FB7C67F" w14:textId="77777777" w:rsidR="00C70F08" w:rsidRDefault="00C70F08" w:rsidP="009F005C">
      <w:pPr>
        <w:rPr>
          <w:rFonts w:ascii="Arial" w:hAnsi="Arial" w:cs="Arial"/>
          <w:sz w:val="24"/>
          <w:szCs w:val="24"/>
        </w:rPr>
      </w:pPr>
    </w:p>
    <w:p w14:paraId="53B04D02" w14:textId="77777777" w:rsidR="00C70F08" w:rsidRDefault="00C70F08" w:rsidP="009F005C">
      <w:pPr>
        <w:rPr>
          <w:rFonts w:ascii="Arial" w:hAnsi="Arial" w:cs="Arial"/>
          <w:sz w:val="24"/>
          <w:szCs w:val="24"/>
        </w:rPr>
      </w:pPr>
    </w:p>
    <w:p w14:paraId="36B2AE3E" w14:textId="77777777" w:rsidR="00C70F08" w:rsidRDefault="00C70F08" w:rsidP="009F005C">
      <w:pPr>
        <w:rPr>
          <w:rFonts w:ascii="Arial" w:hAnsi="Arial" w:cs="Arial"/>
          <w:sz w:val="24"/>
          <w:szCs w:val="24"/>
        </w:rPr>
      </w:pPr>
    </w:p>
    <w:p w14:paraId="674D5557" w14:textId="77777777" w:rsidR="00C70F08" w:rsidRDefault="00C70F08" w:rsidP="009F005C">
      <w:pPr>
        <w:rPr>
          <w:rFonts w:ascii="Arial" w:hAnsi="Arial" w:cs="Arial"/>
          <w:sz w:val="24"/>
          <w:szCs w:val="24"/>
        </w:rPr>
      </w:pPr>
    </w:p>
    <w:p w14:paraId="6A73924A" w14:textId="77777777" w:rsidR="00C70F08" w:rsidRDefault="00C70F08" w:rsidP="009F005C">
      <w:pPr>
        <w:rPr>
          <w:rFonts w:ascii="Arial" w:hAnsi="Arial" w:cs="Arial"/>
          <w:sz w:val="24"/>
          <w:szCs w:val="24"/>
        </w:rPr>
      </w:pPr>
    </w:p>
    <w:p w14:paraId="59F06F9D" w14:textId="77777777" w:rsidR="00C70F08" w:rsidRDefault="00C70F08" w:rsidP="009F005C">
      <w:pPr>
        <w:rPr>
          <w:rFonts w:ascii="Arial" w:hAnsi="Arial" w:cs="Arial"/>
          <w:sz w:val="24"/>
          <w:szCs w:val="24"/>
        </w:rPr>
      </w:pPr>
    </w:p>
    <w:p w14:paraId="509E502E" w14:textId="77777777" w:rsidR="00C70F08" w:rsidRDefault="00C70F08" w:rsidP="009F005C">
      <w:pPr>
        <w:rPr>
          <w:rFonts w:ascii="Arial" w:hAnsi="Arial" w:cs="Arial"/>
          <w:sz w:val="24"/>
          <w:szCs w:val="24"/>
        </w:rPr>
      </w:pPr>
    </w:p>
    <w:p w14:paraId="3FCA2745" w14:textId="77777777" w:rsidR="00C70F08" w:rsidRDefault="00C70F08" w:rsidP="009F005C">
      <w:pPr>
        <w:rPr>
          <w:rFonts w:ascii="Arial" w:hAnsi="Arial" w:cs="Arial"/>
          <w:sz w:val="24"/>
          <w:szCs w:val="24"/>
        </w:rPr>
      </w:pPr>
    </w:p>
    <w:p w14:paraId="5195E113" w14:textId="77777777" w:rsidR="00C70F08" w:rsidRDefault="00C70F08" w:rsidP="009F005C">
      <w:pPr>
        <w:rPr>
          <w:rFonts w:ascii="Arial" w:hAnsi="Arial" w:cs="Arial"/>
          <w:sz w:val="24"/>
          <w:szCs w:val="24"/>
        </w:rPr>
      </w:pPr>
    </w:p>
    <w:p w14:paraId="57BAAD37" w14:textId="77777777" w:rsidR="00C70F08" w:rsidRDefault="00C70F08" w:rsidP="009F005C">
      <w:pPr>
        <w:rPr>
          <w:rFonts w:ascii="Arial" w:hAnsi="Arial" w:cs="Arial"/>
          <w:sz w:val="24"/>
          <w:szCs w:val="24"/>
        </w:rPr>
      </w:pPr>
    </w:p>
    <w:p w14:paraId="58DE01B8" w14:textId="77777777" w:rsidR="00C70F08" w:rsidRDefault="00C70F08" w:rsidP="009F005C">
      <w:pPr>
        <w:rPr>
          <w:rFonts w:ascii="Arial" w:hAnsi="Arial" w:cs="Arial"/>
          <w:sz w:val="24"/>
          <w:szCs w:val="24"/>
        </w:rPr>
      </w:pPr>
    </w:p>
    <w:p w14:paraId="67683389" w14:textId="77777777" w:rsidR="00C70F08" w:rsidRDefault="00C70F08" w:rsidP="009F005C">
      <w:pPr>
        <w:rPr>
          <w:rFonts w:ascii="Arial" w:hAnsi="Arial" w:cs="Arial"/>
          <w:sz w:val="24"/>
          <w:szCs w:val="24"/>
        </w:rPr>
      </w:pPr>
    </w:p>
    <w:p w14:paraId="16F07109" w14:textId="77777777" w:rsidR="00C70F08" w:rsidRDefault="00C70F08" w:rsidP="009F005C">
      <w:pPr>
        <w:rPr>
          <w:rFonts w:ascii="Arial" w:hAnsi="Arial" w:cs="Arial"/>
          <w:sz w:val="24"/>
          <w:szCs w:val="24"/>
        </w:rPr>
      </w:pPr>
    </w:p>
    <w:p w14:paraId="5BB7353F" w14:textId="77777777" w:rsidR="00C70F08" w:rsidRDefault="00C70F08" w:rsidP="009F005C">
      <w:pPr>
        <w:rPr>
          <w:rFonts w:ascii="Arial" w:hAnsi="Arial" w:cs="Arial"/>
          <w:sz w:val="24"/>
          <w:szCs w:val="24"/>
        </w:rPr>
      </w:pPr>
    </w:p>
    <w:p w14:paraId="1159AEB2" w14:textId="77777777" w:rsidR="00C70F08" w:rsidRDefault="00C70F08" w:rsidP="009F005C">
      <w:pPr>
        <w:rPr>
          <w:rFonts w:ascii="Arial" w:hAnsi="Arial" w:cs="Arial"/>
          <w:sz w:val="24"/>
          <w:szCs w:val="24"/>
        </w:rPr>
      </w:pPr>
    </w:p>
    <w:p w14:paraId="75C508AA" w14:textId="77777777" w:rsidR="00C70F08" w:rsidRDefault="00C70F08" w:rsidP="009F005C">
      <w:pPr>
        <w:rPr>
          <w:rFonts w:ascii="Arial" w:hAnsi="Arial" w:cs="Arial"/>
          <w:sz w:val="24"/>
          <w:szCs w:val="24"/>
        </w:rPr>
      </w:pPr>
    </w:p>
    <w:bookmarkStart w:id="1" w:name="_Toc143185579" w:displacedByCustomXml="next"/>
    <w:sdt>
      <w:sdtPr>
        <w:id w:val="-559560978"/>
        <w:docPartObj>
          <w:docPartGallery w:val="Bibliographies"/>
          <w:docPartUnique/>
        </w:docPartObj>
      </w:sdtPr>
      <w:sdtEndPr>
        <w:rPr>
          <w:rFonts w:asciiTheme="minorHAnsi" w:eastAsiaTheme="minorHAnsi" w:hAnsiTheme="minorHAnsi" w:cstheme="minorBidi"/>
          <w:color w:val="auto"/>
          <w:sz w:val="22"/>
          <w:szCs w:val="22"/>
        </w:rPr>
      </w:sdtEndPr>
      <w:sdtContent>
        <w:p w14:paraId="3F022A70" w14:textId="23E3A58F" w:rsidR="00C70F08" w:rsidRDefault="00C70F08">
          <w:pPr>
            <w:pStyle w:val="Heading1"/>
          </w:pPr>
          <w:r>
            <w:t>References</w:t>
          </w:r>
          <w:bookmarkEnd w:id="1"/>
        </w:p>
        <w:sdt>
          <w:sdtPr>
            <w:id w:val="-573587230"/>
            <w:bibliography/>
          </w:sdtPr>
          <w:sdtContent>
            <w:p w14:paraId="0428B586" w14:textId="77777777" w:rsidR="00C70F08" w:rsidRDefault="00C70F08" w:rsidP="00C70F08">
              <w:pPr>
                <w:pStyle w:val="Bibliography"/>
                <w:rPr>
                  <w:noProof/>
                  <w:kern w:val="0"/>
                  <w:sz w:val="24"/>
                  <w:szCs w:val="24"/>
                  <w14:ligatures w14:val="none"/>
                </w:rPr>
              </w:pPr>
              <w:r>
                <w:fldChar w:fldCharType="begin"/>
              </w:r>
              <w:r>
                <w:instrText xml:space="preserve"> BIBLIOGRAPHY </w:instrText>
              </w:r>
              <w:r>
                <w:fldChar w:fldCharType="separate"/>
              </w:r>
              <w:r>
                <w:rPr>
                  <w:noProof/>
                </w:rPr>
                <w:t xml:space="preserve">Brown, N., 2023. </w:t>
              </w:r>
              <w:r>
                <w:rPr>
                  <w:i/>
                  <w:iCs/>
                  <w:noProof/>
                </w:rPr>
                <w:t xml:space="preserve">Dr Nicole Brown. </w:t>
              </w:r>
              <w:r>
                <w:rPr>
                  <w:noProof/>
                </w:rPr>
                <w:t xml:space="preserve">[Online] </w:t>
              </w:r>
              <w:r>
                <w:rPr>
                  <w:noProof/>
                </w:rPr>
                <w:br/>
                <w:t xml:space="preserve">Available at: </w:t>
              </w:r>
              <w:r>
                <w:rPr>
                  <w:noProof/>
                  <w:u w:val="single"/>
                </w:rPr>
                <w:t>https://www.nicole-brown.co.uk/reflective-model-according-to-gibbs/</w:t>
              </w:r>
              <w:r>
                <w:rPr>
                  <w:noProof/>
                </w:rPr>
                <w:br/>
                <w:t>[Accessed 13 August 2023].</w:t>
              </w:r>
            </w:p>
            <w:p w14:paraId="28C875FA" w14:textId="77777777" w:rsidR="00C70F08" w:rsidRDefault="00C70F08" w:rsidP="00C70F08">
              <w:pPr>
                <w:pStyle w:val="Bibliography"/>
                <w:rPr>
                  <w:noProof/>
                </w:rPr>
              </w:pPr>
              <w:r>
                <w:rPr>
                  <w:noProof/>
                </w:rPr>
                <w:t xml:space="preserve">Dobbs, M. E., 2014. "Guidelines for applying Porter's five forces framework: a set of industry analysis templates". </w:t>
              </w:r>
              <w:r>
                <w:rPr>
                  <w:i/>
                  <w:iCs/>
                  <w:noProof/>
                </w:rPr>
                <w:t xml:space="preserve">Competitiveness Review, </w:t>
              </w:r>
              <w:r>
                <w:rPr>
                  <w:noProof/>
                </w:rPr>
                <w:t>24(1), pp. 32-45.</w:t>
              </w:r>
            </w:p>
            <w:p w14:paraId="2D62B650" w14:textId="77777777" w:rsidR="00C70F08" w:rsidRDefault="00C70F08" w:rsidP="00C70F08">
              <w:pPr>
                <w:pStyle w:val="Bibliography"/>
                <w:rPr>
                  <w:noProof/>
                </w:rPr>
              </w:pPr>
              <w:r>
                <w:rPr>
                  <w:noProof/>
                </w:rPr>
                <w:t xml:space="preserve">easyjet, 2022. </w:t>
              </w:r>
              <w:r>
                <w:rPr>
                  <w:i/>
                  <w:iCs/>
                  <w:noProof/>
                </w:rPr>
                <w:t xml:space="preserve">easyjet. </w:t>
              </w:r>
              <w:r>
                <w:rPr>
                  <w:noProof/>
                </w:rPr>
                <w:t xml:space="preserve">[Online] </w:t>
              </w:r>
              <w:r>
                <w:rPr>
                  <w:noProof/>
                </w:rPr>
                <w:br/>
                <w:t xml:space="preserve">Available at: </w:t>
              </w:r>
              <w:r>
                <w:rPr>
                  <w:noProof/>
                  <w:u w:val="single"/>
                </w:rPr>
                <w:t>https://corporate.easyjet.com/~/media/Files/E/Easyjet/pdf/sustainability/easyjet-environment-policy-v2.pdf</w:t>
              </w:r>
              <w:r>
                <w:rPr>
                  <w:noProof/>
                </w:rPr>
                <w:br/>
                <w:t>[Accessed 13 August 2023].</w:t>
              </w:r>
            </w:p>
            <w:p w14:paraId="3EF8E145" w14:textId="77777777" w:rsidR="00C70F08" w:rsidRDefault="00C70F08" w:rsidP="00C70F08">
              <w:pPr>
                <w:pStyle w:val="Bibliography"/>
                <w:rPr>
                  <w:noProof/>
                </w:rPr>
              </w:pPr>
              <w:r>
                <w:rPr>
                  <w:noProof/>
                </w:rPr>
                <w:t xml:space="preserve">Sascha Albers, V. R., 2020. European airlines′ strategic responses to the COVID-19 pandemic (January-May, 2020). </w:t>
              </w:r>
              <w:r>
                <w:rPr>
                  <w:i/>
                  <w:iCs/>
                  <w:noProof/>
                </w:rPr>
                <w:t xml:space="preserve">Journal of Air Transport Management, </w:t>
              </w:r>
              <w:r>
                <w:rPr>
                  <w:noProof/>
                </w:rPr>
                <w:t>Volume 87.</w:t>
              </w:r>
            </w:p>
            <w:p w14:paraId="5122D10B" w14:textId="5EA9670F" w:rsidR="00C70F08" w:rsidRDefault="00C70F08" w:rsidP="00C70F08">
              <w:r>
                <w:rPr>
                  <w:b/>
                  <w:bCs/>
                  <w:noProof/>
                </w:rPr>
                <w:fldChar w:fldCharType="end"/>
              </w:r>
            </w:p>
          </w:sdtContent>
        </w:sdt>
      </w:sdtContent>
    </w:sdt>
    <w:p w14:paraId="120B0B28" w14:textId="77777777" w:rsidR="00C70F08" w:rsidRPr="00345E39" w:rsidRDefault="00C70F08" w:rsidP="009F005C">
      <w:pPr>
        <w:rPr>
          <w:rFonts w:ascii="Arial" w:hAnsi="Arial" w:cs="Arial"/>
          <w:sz w:val="24"/>
          <w:szCs w:val="24"/>
        </w:rPr>
      </w:pPr>
    </w:p>
    <w:sectPr w:rsidR="00C70F08" w:rsidRPr="00345E39" w:rsidSect="000E18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28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1483"/>
    <w:rsid w:val="000E18CE"/>
    <w:rsid w:val="001E0093"/>
    <w:rsid w:val="00345E39"/>
    <w:rsid w:val="006A1483"/>
    <w:rsid w:val="00755CE2"/>
    <w:rsid w:val="008F02BD"/>
    <w:rsid w:val="009F005C"/>
    <w:rsid w:val="00C70F08"/>
    <w:rsid w:val="00C867EC"/>
  </w:rsids>
  <m:mathPr>
    <m:mathFont m:val="Cambria Math"/>
    <m:brkBin m:val="before"/>
    <m:brkBinSub m:val="--"/>
    <m:smallFrac m:val="0"/>
    <m:dispDef/>
    <m:lMargin m:val="0"/>
    <m:rMargin m:val="0"/>
    <m:defJc m:val="centerGroup"/>
    <m:wrapIndent m:val="1440"/>
    <m:intLim m:val="subSup"/>
    <m:naryLim m:val="undOvr"/>
  </m:mathPr>
  <w:themeFontLang w:val="it-IT"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0A1B55"/>
  <w15:chartTrackingRefBased/>
  <w15:docId w15:val="{C96772DB-5F59-4B6C-B571-8F6A8D81F9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5E3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5E3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867EC"/>
    <w:pPr>
      <w:outlineLvl w:val="9"/>
    </w:pPr>
    <w:rPr>
      <w:kern w:val="0"/>
      <w:lang w:val="en-US"/>
      <w14:ligatures w14:val="none"/>
    </w:rPr>
  </w:style>
  <w:style w:type="paragraph" w:styleId="TOC1">
    <w:name w:val="toc 1"/>
    <w:basedOn w:val="Normal"/>
    <w:next w:val="Normal"/>
    <w:autoRedefine/>
    <w:uiPriority w:val="39"/>
    <w:unhideWhenUsed/>
    <w:rsid w:val="00C867EC"/>
    <w:pPr>
      <w:spacing w:after="100"/>
    </w:pPr>
  </w:style>
  <w:style w:type="character" w:styleId="Hyperlink">
    <w:name w:val="Hyperlink"/>
    <w:basedOn w:val="DefaultParagraphFont"/>
    <w:uiPriority w:val="99"/>
    <w:unhideWhenUsed/>
    <w:rsid w:val="00C867EC"/>
    <w:rPr>
      <w:color w:val="0563C1" w:themeColor="hyperlink"/>
      <w:u w:val="single"/>
    </w:rPr>
  </w:style>
  <w:style w:type="paragraph" w:styleId="Bibliography">
    <w:name w:val="Bibliography"/>
    <w:basedOn w:val="Normal"/>
    <w:next w:val="Normal"/>
    <w:uiPriority w:val="37"/>
    <w:unhideWhenUsed/>
    <w:rsid w:val="00C70F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2275364">
      <w:bodyDiv w:val="1"/>
      <w:marLeft w:val="0"/>
      <w:marRight w:val="0"/>
      <w:marTop w:val="0"/>
      <w:marBottom w:val="0"/>
      <w:divBdr>
        <w:top w:val="none" w:sz="0" w:space="0" w:color="auto"/>
        <w:left w:val="none" w:sz="0" w:space="0" w:color="auto"/>
        <w:bottom w:val="none" w:sz="0" w:space="0" w:color="auto"/>
        <w:right w:val="none" w:sz="0" w:space="0" w:color="auto"/>
      </w:divBdr>
    </w:div>
    <w:div w:id="460659963">
      <w:bodyDiv w:val="1"/>
      <w:marLeft w:val="0"/>
      <w:marRight w:val="0"/>
      <w:marTop w:val="0"/>
      <w:marBottom w:val="0"/>
      <w:divBdr>
        <w:top w:val="none" w:sz="0" w:space="0" w:color="auto"/>
        <w:left w:val="none" w:sz="0" w:space="0" w:color="auto"/>
        <w:bottom w:val="none" w:sz="0" w:space="0" w:color="auto"/>
        <w:right w:val="none" w:sz="0" w:space="0" w:color="auto"/>
      </w:divBdr>
    </w:div>
    <w:div w:id="1069183271">
      <w:bodyDiv w:val="1"/>
      <w:marLeft w:val="0"/>
      <w:marRight w:val="0"/>
      <w:marTop w:val="0"/>
      <w:marBottom w:val="0"/>
      <w:divBdr>
        <w:top w:val="none" w:sz="0" w:space="0" w:color="auto"/>
        <w:left w:val="none" w:sz="0" w:space="0" w:color="auto"/>
        <w:bottom w:val="none" w:sz="0" w:space="0" w:color="auto"/>
        <w:right w:val="none" w:sz="0" w:space="0" w:color="auto"/>
      </w:divBdr>
    </w:div>
    <w:div w:id="1435781493">
      <w:bodyDiv w:val="1"/>
      <w:marLeft w:val="0"/>
      <w:marRight w:val="0"/>
      <w:marTop w:val="0"/>
      <w:marBottom w:val="0"/>
      <w:divBdr>
        <w:top w:val="none" w:sz="0" w:space="0" w:color="auto"/>
        <w:left w:val="none" w:sz="0" w:space="0" w:color="auto"/>
        <w:bottom w:val="none" w:sz="0" w:space="0" w:color="auto"/>
        <w:right w:val="none" w:sz="0" w:space="0" w:color="auto"/>
      </w:divBdr>
    </w:div>
    <w:div w:id="1629815214">
      <w:bodyDiv w:val="1"/>
      <w:marLeft w:val="0"/>
      <w:marRight w:val="0"/>
      <w:marTop w:val="0"/>
      <w:marBottom w:val="0"/>
      <w:divBdr>
        <w:top w:val="none" w:sz="0" w:space="0" w:color="auto"/>
        <w:left w:val="none" w:sz="0" w:space="0" w:color="auto"/>
        <w:bottom w:val="none" w:sz="0" w:space="0" w:color="auto"/>
        <w:right w:val="none" w:sz="0" w:space="0" w:color="auto"/>
      </w:divBdr>
    </w:div>
    <w:div w:id="2004384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Nic23</b:Tag>
    <b:SourceType>InternetSite</b:SourceType>
    <b:Guid>{FBF6B35A-C056-4314-AB1F-483F4DD31C3C}</b:Guid>
    <b:Author>
      <b:Author>
        <b:NameList>
          <b:Person>
            <b:Last>Brown</b:Last>
            <b:First>Nicole</b:First>
          </b:Person>
        </b:NameList>
      </b:Author>
    </b:Author>
    <b:Title>Dr Nicole Brown</b:Title>
    <b:Year>2023</b:Year>
    <b:YearAccessed>2023</b:YearAccessed>
    <b:MonthAccessed>August</b:MonthAccessed>
    <b:DayAccessed>13</b:DayAccessed>
    <b:URL>https://www.nicole-brown.co.uk/reflective-model-according-to-gibbs/</b:URL>
    <b:RefOrder>1</b:RefOrder>
  </b:Source>
  <b:Source>
    <b:Tag>eas22</b:Tag>
    <b:SourceType>InternetSite</b:SourceType>
    <b:Guid>{0826DE7F-E5A2-4C76-881B-0DEF4BE5BB01}</b:Guid>
    <b:Author>
      <b:Author>
        <b:NameList>
          <b:Person>
            <b:Last>easyjet</b:Last>
          </b:Person>
        </b:NameList>
      </b:Author>
    </b:Author>
    <b:Title>easyjet</b:Title>
    <b:Year>2022</b:Year>
    <b:YearAccessed>2023</b:YearAccessed>
    <b:MonthAccessed>August</b:MonthAccessed>
    <b:DayAccessed>13</b:DayAccessed>
    <b:URL>https://corporate.easyjet.com/~/media/Files/E/Easyjet/pdf/sustainability/easyjet-environment-policy-v2.pdf</b:URL>
    <b:RefOrder>2</b:RefOrder>
  </b:Source>
  <b:Source>
    <b:Tag>Mic14</b:Tag>
    <b:SourceType>JournalArticle</b:SourceType>
    <b:Guid>{090379EF-A793-4402-A0FE-9298EEE73096}</b:Guid>
    <b:Author>
      <b:Author>
        <b:NameList>
          <b:Person>
            <b:Last>Dobbs</b:Last>
            <b:First>Michael</b:First>
            <b:Middle>E.</b:Middle>
          </b:Person>
        </b:NameList>
      </b:Author>
    </b:Author>
    <b:Title>"Guidelines for applying Porter's five forces framework: a set of industry analysis templates"</b:Title>
    <b:JournalName> Competitiveness Review</b:JournalName>
    <b:Year>2014</b:Year>
    <b:Pages>32-45</b:Pages>
    <b:Volume>24</b:Volume>
    <b:Issue>1</b:Issue>
    <b:RefOrder>3</b:RefOrder>
  </b:Source>
  <b:Source>
    <b:Tag>Sas20</b:Tag>
    <b:SourceType>JournalArticle</b:SourceType>
    <b:Guid>{54E3C74E-D805-420B-8DCA-2D3ADC61B620}</b:Guid>
    <b:Title>European airlines′ strategic responses to the COVID-19 pandemic (January-May, 2020)</b:Title>
    <b:Year>2020</b:Year>
    <b:Author>
      <b:Author>
        <b:NameList>
          <b:Person>
            <b:Last>Sascha Albers</b:Last>
            <b:First>Volker</b:First>
            <b:Middle>Rundshagen</b:Middle>
          </b:Person>
        </b:NameList>
      </b:Author>
    </b:Author>
    <b:JournalName>Journal of Air Transport Management</b:JournalName>
    <b:Volume>87</b:Volume>
    <b:RefOrder>4</b:RefOrder>
  </b:Source>
</b:Sources>
</file>

<file path=customXml/itemProps1.xml><?xml version="1.0" encoding="utf-8"?>
<ds:datastoreItem xmlns:ds="http://schemas.openxmlformats.org/officeDocument/2006/customXml" ds:itemID="{02B3DEE9-D2AE-4B55-A1B9-33D3519B10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5</Pages>
  <Words>749</Words>
  <Characters>4270</Characters>
  <Application>Microsoft Office Word</Application>
  <DocSecurity>0</DocSecurity>
  <Lines>35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Pisanti</dc:creator>
  <cp:keywords/>
  <dc:description/>
  <cp:lastModifiedBy>Andrea Pisanti</cp:lastModifiedBy>
  <cp:revision>5</cp:revision>
  <dcterms:created xsi:type="dcterms:W3CDTF">2023-08-13T13:04:00Z</dcterms:created>
  <dcterms:modified xsi:type="dcterms:W3CDTF">2023-08-17T16:26:00Z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465c5021-97ef-481d-95a7-75b736d84be1</vt:lpwstr>
  </property>
</Properties>
</file>